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(EqIA)</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467E4BFB" w:rsidR="008D15EA" w:rsidRDefault="00B361AE" w:rsidP="009B1F57">
            <w:pPr>
              <w:spacing w:line="276" w:lineRule="auto"/>
              <w:rPr>
                <w:lang w:val="en-US"/>
              </w:rPr>
            </w:pPr>
            <w:r>
              <w:rPr>
                <w:lang w:val="en-US"/>
              </w:rPr>
              <w:t>ICB Health and Safety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47847874" w:rsidR="008D15EA" w:rsidRDefault="00656B4C" w:rsidP="009B1F57">
            <w:pPr>
              <w:spacing w:line="276" w:lineRule="auto"/>
              <w:rPr>
                <w:lang w:val="en-US"/>
              </w:rPr>
            </w:pPr>
            <w:r>
              <w:rPr>
                <w:lang w:val="en-US"/>
              </w:rPr>
              <w:t xml:space="preserve">February </w:t>
            </w:r>
            <w:r w:rsidR="00B361AE">
              <w:rPr>
                <w:lang w:val="en-US"/>
              </w:rPr>
              <w:t>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48ED5EA0" w14:textId="77777777" w:rsidR="008D15EA" w:rsidRDefault="00B361AE" w:rsidP="009B1F57">
            <w:pPr>
              <w:spacing w:line="276" w:lineRule="auto"/>
              <w:rPr>
                <w:lang w:val="en-US"/>
              </w:rPr>
            </w:pPr>
            <w:r>
              <w:rPr>
                <w:lang w:val="en-US"/>
              </w:rPr>
              <w:t>Gary Johnson</w:t>
            </w:r>
          </w:p>
          <w:p w14:paraId="1715D81E" w14:textId="77777777" w:rsidR="00B361AE" w:rsidRDefault="00B361AE" w:rsidP="009B1F57">
            <w:pPr>
              <w:spacing w:line="276" w:lineRule="auto"/>
              <w:rPr>
                <w:lang w:val="en-US"/>
              </w:rPr>
            </w:pPr>
            <w:r>
              <w:rPr>
                <w:lang w:val="en-US"/>
              </w:rPr>
              <w:t>Corporate Services</w:t>
            </w:r>
          </w:p>
          <w:p w14:paraId="66F26653" w14:textId="37DEED80" w:rsidR="00B361AE" w:rsidRDefault="00B361AE" w:rsidP="009B1F57">
            <w:pPr>
              <w:spacing w:line="276" w:lineRule="auto"/>
              <w:rPr>
                <w:lang w:val="en-US"/>
              </w:rPr>
            </w:pPr>
            <w:r>
              <w:rPr>
                <w:lang w:val="en-US"/>
              </w:rPr>
              <w:t>ICB</w:t>
            </w:r>
          </w:p>
        </w:tc>
      </w:tr>
      <w:tr w:rsidR="008D15EA" w14:paraId="0A227E12" w14:textId="77777777" w:rsidTr="00263E16">
        <w:tc>
          <w:tcPr>
            <w:tcW w:w="3397" w:type="dxa"/>
          </w:tcPr>
          <w:p w14:paraId="38F1FC81" w14:textId="63E0AD73"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of this policy, project or function</w:t>
            </w:r>
            <w:r>
              <w:rPr>
                <w:lang w:val="en-US"/>
              </w:rPr>
              <w:t>:</w:t>
            </w:r>
          </w:p>
          <w:p w14:paraId="1953EBE1" w14:textId="7DEAEF79" w:rsidR="00CB53B9" w:rsidRDefault="00CB53B9" w:rsidP="009B1F57">
            <w:pPr>
              <w:spacing w:line="276" w:lineRule="auto"/>
              <w:rPr>
                <w:lang w:val="en-US"/>
              </w:rPr>
            </w:pPr>
          </w:p>
        </w:tc>
        <w:tc>
          <w:tcPr>
            <w:tcW w:w="5619" w:type="dxa"/>
          </w:tcPr>
          <w:p w14:paraId="24DFD481" w14:textId="01CD0AAB" w:rsidR="008D780B" w:rsidRDefault="008D780B" w:rsidP="009B1F57">
            <w:pPr>
              <w:spacing w:line="276" w:lineRule="auto"/>
            </w:pPr>
            <w:r>
              <w:t xml:space="preserve">This policy replaces </w:t>
            </w:r>
            <w:r w:rsidR="00285F4F">
              <w:t xml:space="preserve">several historic </w:t>
            </w:r>
            <w:r>
              <w:t>health and safety policies in place before the establishment of NHS Humber and North Yorkshire Integrated Care Board (ICB) on Friday 1 July 2022.</w:t>
            </w:r>
          </w:p>
          <w:p w14:paraId="4E77E87D" w14:textId="77777777" w:rsidR="00285F4F" w:rsidRDefault="00285F4F" w:rsidP="009B1F57">
            <w:pPr>
              <w:spacing w:line="276" w:lineRule="auto"/>
            </w:pPr>
          </w:p>
          <w:p w14:paraId="034F1169" w14:textId="6DA57487" w:rsidR="00B361AE" w:rsidRPr="00B361AE" w:rsidRDefault="00285F4F" w:rsidP="009B1F57">
            <w:pPr>
              <w:spacing w:line="276" w:lineRule="auto"/>
            </w:pPr>
            <w:r>
              <w:t xml:space="preserve">HNY ICB </w:t>
            </w:r>
            <w:r w:rsidR="00FD3142">
              <w:t xml:space="preserve">is moving to a single policy </w:t>
            </w:r>
            <w:r w:rsidR="00B361AE" w:rsidRPr="00B361AE">
              <w:t>to prevent or reduce the nature and severity of all workplace accidents, the spread of infectious diseases and any dangerous occurrences in line with the Reporting of injuries, Disease and Dangerous Occurrences Regulations (RIDDOR) 1995.</w:t>
            </w:r>
          </w:p>
          <w:p w14:paraId="438CC305" w14:textId="77777777" w:rsidR="008D15EA" w:rsidRDefault="008D15EA" w:rsidP="009B1F57">
            <w:pPr>
              <w:spacing w:line="276" w:lineRule="auto"/>
              <w:rPr>
                <w:lang w:val="en-US"/>
              </w:rPr>
            </w:pP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0DECE810" w:rsidR="008D15EA" w:rsidRDefault="00B361AE" w:rsidP="009B1F57">
            <w:pPr>
              <w:spacing w:line="276" w:lineRule="auto"/>
              <w:rPr>
                <w:lang w:val="en-US"/>
              </w:rPr>
            </w:pPr>
            <w:r>
              <w:rPr>
                <w:lang w:val="en-US"/>
              </w:rPr>
              <w:t xml:space="preserve">New </w:t>
            </w:r>
            <w:r w:rsidR="00C653DB">
              <w:rPr>
                <w:lang w:val="en-US"/>
              </w:rPr>
              <w:t>p</w:t>
            </w:r>
            <w:r>
              <w:rPr>
                <w:lang w:val="en-US"/>
              </w:rPr>
              <w:t>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4B82E2C0" w:rsidR="008D15EA" w:rsidRDefault="00B361AE" w:rsidP="009B1F57">
            <w:pPr>
              <w:spacing w:line="276" w:lineRule="auto"/>
              <w:rPr>
                <w:lang w:val="en-US"/>
              </w:rPr>
            </w:pPr>
            <w:r>
              <w:rPr>
                <w:lang w:val="en-US"/>
              </w:rPr>
              <w:lastRenderedPageBreak/>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4982787C" w:rsidR="008D15EA" w:rsidRDefault="00B361AE" w:rsidP="009B1F57">
            <w:pPr>
              <w:spacing w:line="276" w:lineRule="auto"/>
              <w:rPr>
                <w:lang w:val="en-US"/>
              </w:rPr>
            </w:pPr>
            <w:r>
              <w:rPr>
                <w:color w:val="000000" w:themeColor="text1"/>
              </w:rPr>
              <w:t>The policy applies to NHS Humber and North Yorkshire ICB and all its employees and must be followed by all those who work for the organisation</w:t>
            </w:r>
            <w:r w:rsidR="00C57A9F">
              <w:rPr>
                <w:color w:val="000000" w:themeColor="text1"/>
              </w:rPr>
              <w:t>. This includes</w:t>
            </w:r>
            <w:r w:rsidR="00C53926">
              <w:rPr>
                <w:color w:val="000000" w:themeColor="text1"/>
              </w:rPr>
              <w:t xml:space="preserve"> </w:t>
            </w:r>
            <w:r w:rsidR="009A634E">
              <w:rPr>
                <w:color w:val="000000" w:themeColor="text1"/>
              </w:rPr>
              <w:t xml:space="preserve">all </w:t>
            </w:r>
            <w:r w:rsidR="00C53926">
              <w:rPr>
                <w:color w:val="000000" w:themeColor="text1"/>
              </w:rPr>
              <w:t>permanent members of staff,</w:t>
            </w:r>
            <w:r w:rsidR="00AD704D">
              <w:rPr>
                <w:color w:val="000000" w:themeColor="text1"/>
              </w:rPr>
              <w:t xml:space="preserve"> members of the ICB executive board,</w:t>
            </w:r>
            <w:r>
              <w:rPr>
                <w:color w:val="000000" w:themeColor="text1"/>
              </w:rPr>
              <w:t xml:space="preserve"> those on temporary or honorary contracts, secondments, pool and agency staff, contractors and students</w:t>
            </w:r>
            <w:r w:rsidR="007A2C71">
              <w:rPr>
                <w:color w:val="000000" w:themeColor="text1"/>
              </w:rPr>
              <w:t>.</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9B1F57">
            <w:pPr>
              <w:spacing w:line="276" w:lineRule="auto"/>
              <w:rPr>
                <w:lang w:val="en-US"/>
              </w:rPr>
            </w:pPr>
          </w:p>
        </w:tc>
        <w:tc>
          <w:tcPr>
            <w:tcW w:w="5619" w:type="dxa"/>
          </w:tcPr>
          <w:p w14:paraId="2C1B10AB" w14:textId="38C9E435" w:rsidR="008D15EA" w:rsidRDefault="00B361AE" w:rsidP="009B1F57">
            <w:pPr>
              <w:spacing w:line="276" w:lineRule="auto"/>
              <w:rPr>
                <w:lang w:val="en-US"/>
              </w:rPr>
            </w:pPr>
            <w:r>
              <w:rPr>
                <w:lang w:val="en-US"/>
              </w:rPr>
              <w:t>ICB Executive Committee</w:t>
            </w:r>
          </w:p>
          <w:p w14:paraId="59814DF6" w14:textId="77777777" w:rsidR="00B361AE" w:rsidRDefault="00B361AE" w:rsidP="009B1F57">
            <w:pPr>
              <w:spacing w:line="276" w:lineRule="auto"/>
              <w:rPr>
                <w:lang w:val="en-US"/>
              </w:rPr>
            </w:pPr>
            <w:r>
              <w:rPr>
                <w:lang w:val="en-US"/>
              </w:rPr>
              <w:t>SPF</w:t>
            </w:r>
          </w:p>
          <w:p w14:paraId="490A319C" w14:textId="3DAF014E" w:rsidR="00B361AE" w:rsidRDefault="00B361AE" w:rsidP="009B1F57">
            <w:pPr>
              <w:spacing w:line="276" w:lineRule="auto"/>
              <w:rPr>
                <w:lang w:val="en-US"/>
              </w:rPr>
            </w:pPr>
            <w:r>
              <w:rPr>
                <w:lang w:val="en-US"/>
              </w:rPr>
              <w:t xml:space="preserve">Staff wellbeing </w:t>
            </w:r>
            <w:r w:rsidR="007A2C71">
              <w:rPr>
                <w:lang w:val="en-US"/>
              </w:rPr>
              <w:t>g</w:t>
            </w:r>
            <w:r>
              <w:rPr>
                <w:lang w:val="en-US"/>
              </w:rPr>
              <w:t>roup</w:t>
            </w:r>
          </w:p>
          <w:p w14:paraId="1905DC78" w14:textId="3B22B3F2" w:rsidR="00B361AE" w:rsidRDefault="00B361AE" w:rsidP="009B1F57">
            <w:pPr>
              <w:spacing w:line="276" w:lineRule="auto"/>
              <w:rPr>
                <w:lang w:val="en-US"/>
              </w:rPr>
            </w:pPr>
            <w:r>
              <w:rPr>
                <w:lang w:val="en-US"/>
              </w:rPr>
              <w:t>Place</w:t>
            </w:r>
            <w:r w:rsidR="00021C89">
              <w:rPr>
                <w:lang w:val="en-US"/>
              </w:rPr>
              <w:t>-</w:t>
            </w:r>
            <w:r w:rsidR="00527D24">
              <w:rPr>
                <w:lang w:val="en-US"/>
              </w:rPr>
              <w:t>based health</w:t>
            </w:r>
            <w:r w:rsidR="00021C89">
              <w:rPr>
                <w:lang w:val="en-US"/>
              </w:rPr>
              <w:t xml:space="preserve"> and safety </w:t>
            </w:r>
            <w:r>
              <w:rPr>
                <w:lang w:val="en-US"/>
              </w:rPr>
              <w:t>groups</w:t>
            </w:r>
          </w:p>
          <w:p w14:paraId="2F118B36" w14:textId="77777777" w:rsidR="009B1F57" w:rsidRDefault="009B1F57" w:rsidP="009B1F57">
            <w:pPr>
              <w:spacing w:line="276" w:lineRule="auto"/>
              <w:rPr>
                <w:lang w:val="en-US"/>
              </w:rPr>
            </w:pPr>
            <w:r>
              <w:rPr>
                <w:lang w:val="en-US"/>
              </w:rPr>
              <w:t>ICB people team (for equality, diversity and inclusion support)</w:t>
            </w:r>
          </w:p>
          <w:p w14:paraId="07B00FAE" w14:textId="047C4938" w:rsidR="009B1F57" w:rsidRDefault="009B1F57" w:rsidP="009B1F57">
            <w:pPr>
              <w:spacing w:line="276" w:lineRule="auto"/>
              <w:rPr>
                <w:lang w:val="en-US"/>
              </w:rPr>
            </w:pP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0"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74337CA7" w:rsidR="00B246F1" w:rsidRDefault="00527D24" w:rsidP="009B1F57">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lastRenderedPageBreak/>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77777777" w:rsidR="00B246F1" w:rsidRDefault="00B246F1" w:rsidP="009B1F57">
            <w:pPr>
              <w:spacing w:line="276" w:lineRule="auto"/>
              <w:rPr>
                <w:lang w:val="en-US"/>
              </w:rPr>
            </w:pP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77777777" w:rsidR="00B246F1" w:rsidRDefault="00B246F1" w:rsidP="009B1F57">
            <w:pPr>
              <w:spacing w:line="276" w:lineRule="auto"/>
              <w:rPr>
                <w:lang w:val="en-US"/>
              </w:rPr>
            </w:pP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1"/>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9B1F57">
      <w:pPr>
        <w:pStyle w:val="ListParagraph"/>
        <w:numPr>
          <w:ilvl w:val="0"/>
          <w:numId w:val="2"/>
        </w:numPr>
        <w:spacing w:line="276" w:lineRule="auto"/>
      </w:pPr>
      <w:r>
        <w:t>insights gathered through engagement</w:t>
      </w:r>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Content>
            <w:tc>
              <w:tcPr>
                <w:tcW w:w="1755" w:type="dxa"/>
              </w:tcPr>
              <w:p w14:paraId="1E8EA2A1" w14:textId="6F3D1B99" w:rsidR="005E29FD" w:rsidRDefault="004E6162"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77777777" w:rsidR="005E29FD" w:rsidRDefault="005E29FD" w:rsidP="009B1F57">
            <w:pPr>
              <w:spacing w:line="276" w:lineRule="auto"/>
            </w:pP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hidden, invisible or variable conditions</w:t>
            </w:r>
          </w:p>
        </w:tc>
        <w:sdt>
          <w:sdtPr>
            <w:rPr>
              <w:sz w:val="48"/>
              <w:szCs w:val="44"/>
            </w:rPr>
            <w:id w:val="-416864603"/>
            <w14:checkbox>
              <w14:checked w14:val="0"/>
              <w14:checkedState w14:val="2612" w14:font="MS Gothic"/>
              <w14:uncheckedState w14:val="2610" w14:font="MS Gothic"/>
            </w14:checkbox>
          </w:sdtPr>
          <w:sdtContent>
            <w:tc>
              <w:tcPr>
                <w:tcW w:w="1755" w:type="dxa"/>
              </w:tcPr>
              <w:p w14:paraId="3FB46671" w14:textId="61F066B1" w:rsidR="005E29FD" w:rsidRDefault="005E29FD"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Content>
            <w:tc>
              <w:tcPr>
                <w:tcW w:w="1788" w:type="dxa"/>
              </w:tcPr>
              <w:p w14:paraId="06CAC2F6" w14:textId="3B262C73" w:rsidR="005E29FD" w:rsidRDefault="00527D24"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Content>
            <w:tc>
              <w:tcPr>
                <w:tcW w:w="1843" w:type="dxa"/>
              </w:tcPr>
              <w:p w14:paraId="2BA61CE7" w14:textId="6F751B67" w:rsidR="005E29FD" w:rsidRDefault="004E6162" w:rsidP="009B1F57">
                <w:pPr>
                  <w:spacing w:line="276" w:lineRule="auto"/>
                  <w:jc w:val="center"/>
                </w:pPr>
                <w:r>
                  <w:rPr>
                    <w:rFonts w:ascii="MS Gothic" w:eastAsia="MS Gothic" w:hAnsi="MS Gothic" w:hint="eastAsia"/>
                    <w:sz w:val="48"/>
                    <w:szCs w:val="44"/>
                  </w:rPr>
                  <w:t>☒</w:t>
                </w:r>
              </w:p>
            </w:tc>
          </w:sdtContent>
        </w:sdt>
        <w:tc>
          <w:tcPr>
            <w:tcW w:w="4739" w:type="dxa"/>
          </w:tcPr>
          <w:p w14:paraId="4B32C8D4" w14:textId="18F49AC0" w:rsidR="00527D24" w:rsidRDefault="00527D24" w:rsidP="009B1F57">
            <w:pPr>
              <w:spacing w:line="276" w:lineRule="auto"/>
            </w:pPr>
            <w:r>
              <w:t>Positive Impact. Policy broadened to include management responsibility for ensuring that all staff have risk assessments in place and reviewed regularly and any adaptive equipment is provided and well maintained. Also see appendix 2 when a risk assessment should be carried out.</w:t>
            </w:r>
          </w:p>
          <w:p w14:paraId="14EE76DC" w14:textId="77777777" w:rsidR="00527D24" w:rsidRDefault="00527D24" w:rsidP="009B1F57">
            <w:pPr>
              <w:spacing w:line="276" w:lineRule="auto"/>
            </w:pPr>
          </w:p>
          <w:p w14:paraId="16FBA50F" w14:textId="37280256" w:rsidR="005E29FD" w:rsidRDefault="00527D24" w:rsidP="009B1F57">
            <w:pPr>
              <w:spacing w:line="276" w:lineRule="auto"/>
            </w:pPr>
            <w:r>
              <w:t>Negative impact</w:t>
            </w:r>
            <w:r w:rsidR="007E202A">
              <w:t xml:space="preserve">. Health and safety information is not automatically published in an accessible format, in alternative </w:t>
            </w:r>
            <w:r w:rsidR="007E202A">
              <w:lastRenderedPageBreak/>
              <w:t xml:space="preserve">formats </w:t>
            </w:r>
            <w:r>
              <w:t>e.g.</w:t>
            </w:r>
            <w:r w:rsidR="007E202A">
              <w:t xml:space="preserve"> braille or in languages other than English </w:t>
            </w:r>
            <w:r>
              <w:t>e.g.</w:t>
            </w:r>
            <w:r w:rsidR="007E202A">
              <w:t xml:space="preserve"> British Sign Language (BSL).</w:t>
            </w:r>
          </w:p>
          <w:p w14:paraId="1D8B0397" w14:textId="77777777" w:rsidR="007E202A" w:rsidRDefault="007E202A" w:rsidP="009B1F57">
            <w:pPr>
              <w:spacing w:line="276" w:lineRule="auto"/>
            </w:pPr>
          </w:p>
          <w:p w14:paraId="0935F01B" w14:textId="77777777" w:rsidR="007E202A" w:rsidRDefault="003B4CA4" w:rsidP="009B1F57">
            <w:pPr>
              <w:spacing w:line="276" w:lineRule="auto"/>
            </w:pPr>
            <w:r>
              <w:t>The primary source of circulation is digital only using the partnership’s website.</w:t>
            </w:r>
          </w:p>
          <w:p w14:paraId="7986F7F0" w14:textId="77777777" w:rsidR="003B4CA4" w:rsidRDefault="003B4CA4" w:rsidP="009B1F57">
            <w:pPr>
              <w:spacing w:line="276" w:lineRule="auto"/>
            </w:pPr>
          </w:p>
          <w:p w14:paraId="1EAF92FA" w14:textId="186FC052" w:rsidR="003B4CA4" w:rsidRDefault="00225E32" w:rsidP="009B1F57">
            <w:pPr>
              <w:spacing w:line="276" w:lineRule="auto"/>
            </w:pPr>
            <w:r>
              <w:t xml:space="preserve">As the policy </w:t>
            </w:r>
            <w:r w:rsidR="00930952">
              <w:t xml:space="preserve">document </w:t>
            </w:r>
            <w:r>
              <w:t xml:space="preserve">itself is not accessible, it </w:t>
            </w:r>
            <w:r w:rsidR="004F3379">
              <w:t xml:space="preserve">will likely not be compatible for use with </w:t>
            </w:r>
            <w:r>
              <w:t>screen readers and other assistive technology</w:t>
            </w:r>
            <w:r w:rsidR="004F3379">
              <w:t>,</w:t>
            </w:r>
            <w:r w:rsidR="007C35F0">
              <w:t xml:space="preserve"> which could make it inaccessible for people with vision loss</w:t>
            </w:r>
            <w:r w:rsidR="009357C9">
              <w:t xml:space="preserve"> or for those with</w:t>
            </w:r>
            <w:r w:rsidR="007C35F0">
              <w:t xml:space="preserve"> learning differences, for example, dyslexia</w:t>
            </w:r>
            <w:r w:rsidR="009357C9">
              <w:t>.</w:t>
            </w: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 xml:space="preserve">For example, Trans (transgender) people, non-binary people or </w:t>
            </w:r>
            <w:r>
              <w:lastRenderedPageBreak/>
              <w:t>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Content>
            <w:tc>
              <w:tcPr>
                <w:tcW w:w="1755" w:type="dxa"/>
              </w:tcPr>
              <w:p w14:paraId="55AAD0F8" w14:textId="2C6F0F07" w:rsidR="005E29FD" w:rsidRDefault="00930952"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77777777" w:rsidR="005E29FD" w:rsidRDefault="005E29FD" w:rsidP="009B1F57">
            <w:pPr>
              <w:spacing w:line="276" w:lineRule="auto"/>
            </w:pP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Content>
            <w:tc>
              <w:tcPr>
                <w:tcW w:w="1755" w:type="dxa"/>
              </w:tcPr>
              <w:p w14:paraId="0DE5F9CE" w14:textId="2FB96C6C" w:rsidR="005E29FD" w:rsidRDefault="00930952"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77777777" w:rsidR="005E29FD" w:rsidRDefault="005E29FD" w:rsidP="009B1F57">
            <w:pPr>
              <w:spacing w:line="276" w:lineRule="auto"/>
            </w:pP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Content>
            <w:tc>
              <w:tcPr>
                <w:tcW w:w="1755" w:type="dxa"/>
              </w:tcPr>
              <w:p w14:paraId="60DEAB6B" w14:textId="230D2AF6"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Content>
            <w:tc>
              <w:tcPr>
                <w:tcW w:w="1788" w:type="dxa"/>
              </w:tcPr>
              <w:p w14:paraId="59630515" w14:textId="0A8D90D1" w:rsidR="005E29FD" w:rsidRDefault="003A1247"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0BFC76FA" w:rsidR="005E29FD" w:rsidRDefault="009C677C" w:rsidP="009B1F57">
            <w:pPr>
              <w:spacing w:line="276" w:lineRule="auto"/>
            </w:pPr>
            <w:r>
              <w:t>Yes. Appendix 2 highlights specific times when risk assessments should be updated i.e., new staff, changes to staff or activities.</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0"/>
              <w14:checkedState w14:val="2612" w14:font="MS Gothic"/>
              <w14:uncheckedState w14:val="2610" w14:font="MS Gothic"/>
            </w14:checkbox>
          </w:sdtPr>
          <w:sdtContent>
            <w:tc>
              <w:tcPr>
                <w:tcW w:w="1755" w:type="dxa"/>
              </w:tcPr>
              <w:p w14:paraId="6CF3F549" w14:textId="3DF97B73"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1"/>
              <w14:checkedState w14:val="2612" w14:font="MS Gothic"/>
              <w14:uncheckedState w14:val="2610" w14:font="MS Gothic"/>
            </w14:checkbox>
          </w:sdtPr>
          <w:sdtContent>
            <w:tc>
              <w:tcPr>
                <w:tcW w:w="1843" w:type="dxa"/>
              </w:tcPr>
              <w:p w14:paraId="6F57E106" w14:textId="217C8A40" w:rsidR="005E29FD" w:rsidRDefault="00441E93" w:rsidP="009B1F57">
                <w:pPr>
                  <w:spacing w:line="276" w:lineRule="auto"/>
                  <w:jc w:val="center"/>
                </w:pPr>
                <w:r>
                  <w:rPr>
                    <w:rFonts w:ascii="MS Gothic" w:eastAsia="MS Gothic" w:hAnsi="MS Gothic" w:hint="eastAsia"/>
                    <w:sz w:val="48"/>
                    <w:szCs w:val="44"/>
                  </w:rPr>
                  <w:t>☒</w:t>
                </w:r>
              </w:p>
            </w:tc>
          </w:sdtContent>
        </w:sdt>
        <w:tc>
          <w:tcPr>
            <w:tcW w:w="4739" w:type="dxa"/>
          </w:tcPr>
          <w:p w14:paraId="19608C88" w14:textId="21AC782D" w:rsidR="005E29FD" w:rsidRDefault="00441E93" w:rsidP="009B1F57">
            <w:pPr>
              <w:spacing w:line="276" w:lineRule="auto"/>
            </w:pPr>
            <w:r>
              <w:t>Yes. Health and safety impact is not automatically published in languages other than English.</w:t>
            </w: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Content>
            <w:tc>
              <w:tcPr>
                <w:tcW w:w="1755" w:type="dxa"/>
              </w:tcPr>
              <w:p w14:paraId="37C60958" w14:textId="54FBEF1B"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77777777" w:rsidR="005E29FD" w:rsidRDefault="005E29FD" w:rsidP="009B1F57">
            <w:pPr>
              <w:spacing w:line="276" w:lineRule="auto"/>
            </w:pP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9B1F57">
            <w:pPr>
              <w:spacing w:line="276" w:lineRule="auto"/>
            </w:pPr>
          </w:p>
        </w:tc>
        <w:sdt>
          <w:sdtPr>
            <w:rPr>
              <w:sz w:val="48"/>
              <w:szCs w:val="44"/>
            </w:rPr>
            <w:id w:val="-1055547240"/>
            <w14:checkbox>
              <w14:checked w14:val="1"/>
              <w14:checkedState w14:val="2612" w14:font="MS Gothic"/>
              <w14:uncheckedState w14:val="2610" w14:font="MS Gothic"/>
            </w14:checkbox>
          </w:sdtPr>
          <w:sdtContent>
            <w:tc>
              <w:tcPr>
                <w:tcW w:w="1755" w:type="dxa"/>
              </w:tcPr>
              <w:p w14:paraId="051C4275" w14:textId="2A549E29" w:rsidR="005E29FD" w:rsidRDefault="002C36D5"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Content>
            <w:tc>
              <w:tcPr>
                <w:tcW w:w="1788" w:type="dxa"/>
              </w:tcPr>
              <w:p w14:paraId="282E2892" w14:textId="326290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77777777" w:rsidR="005E29FD" w:rsidRDefault="005E29FD" w:rsidP="009B1F57">
            <w:pPr>
              <w:spacing w:line="276" w:lineRule="auto"/>
            </w:pP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Content>
            <w:tc>
              <w:tcPr>
                <w:tcW w:w="1755" w:type="dxa"/>
              </w:tcPr>
              <w:p w14:paraId="269B0190" w14:textId="18ABB525"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7777777" w:rsidR="005E29FD" w:rsidRDefault="005E29FD" w:rsidP="009B1F57">
            <w:pPr>
              <w:spacing w:line="276" w:lineRule="auto"/>
            </w:pPr>
          </w:p>
        </w:tc>
      </w:tr>
      <w:tr w:rsidR="005E29FD" w14:paraId="76F97C34" w14:textId="77777777" w:rsidTr="00B540AD">
        <w:tc>
          <w:tcPr>
            <w:tcW w:w="3823" w:type="dxa"/>
          </w:tcPr>
          <w:p w14:paraId="57750EAF" w14:textId="5ED4B167" w:rsidR="005E29FD" w:rsidRDefault="005E29FD" w:rsidP="009B1F57">
            <w:pPr>
              <w:spacing w:line="276" w:lineRule="auto"/>
            </w:pPr>
            <w:r>
              <w:rPr>
                <w:b/>
                <w:bCs/>
              </w:rPr>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1"/>
              <w14:checkedState w14:val="2612" w14:font="MS Gothic"/>
              <w14:uncheckedState w14:val="2610" w14:font="MS Gothic"/>
            </w14:checkbox>
          </w:sdtPr>
          <w:sdtContent>
            <w:tc>
              <w:tcPr>
                <w:tcW w:w="1755" w:type="dxa"/>
              </w:tcPr>
              <w:p w14:paraId="190819F0" w14:textId="7C42C5FE" w:rsidR="005E29FD" w:rsidRDefault="009D67BD"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Content>
            <w:tc>
              <w:tcPr>
                <w:tcW w:w="1788" w:type="dxa"/>
              </w:tcPr>
              <w:p w14:paraId="66D7BA91" w14:textId="6304EA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Content>
            <w:tc>
              <w:tcPr>
                <w:tcW w:w="1843" w:type="dxa"/>
              </w:tcPr>
              <w:p w14:paraId="7D1D3738" w14:textId="4109E0AB"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77777777" w:rsidR="005E29FD" w:rsidRDefault="005E29FD" w:rsidP="009B1F57">
            <w:pPr>
              <w:spacing w:line="276" w:lineRule="auto"/>
            </w:pP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 xml:space="preserve">Refers to anyone who cares, unpaid, for a friend or family member who due to their illness, </w:t>
            </w:r>
            <w:r>
              <w:lastRenderedPageBreak/>
              <w:t>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Content>
            <w:tc>
              <w:tcPr>
                <w:tcW w:w="1755" w:type="dxa"/>
              </w:tcPr>
              <w:p w14:paraId="3306C7B7" w14:textId="3003E28C" w:rsidR="005E29FD" w:rsidRDefault="009D67BD"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77777777" w:rsidR="005E29FD" w:rsidRDefault="005E29FD" w:rsidP="009B1F57">
            <w:pPr>
              <w:spacing w:line="276" w:lineRule="auto"/>
            </w:pP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3"/>
        <w:gridCol w:w="5093"/>
        <w:gridCol w:w="2004"/>
        <w:gridCol w:w="1700"/>
        <w:gridCol w:w="1618"/>
      </w:tblGrid>
      <w:tr w:rsidR="003A1247" w14:paraId="5986F657" w14:textId="77777777" w:rsidTr="003A1247">
        <w:tc>
          <w:tcPr>
            <w:tcW w:w="3533"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50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004"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700"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618"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3A1247" w14:paraId="5A561A09" w14:textId="77777777" w:rsidTr="003A1247">
        <w:tc>
          <w:tcPr>
            <w:tcW w:w="3533" w:type="dxa"/>
          </w:tcPr>
          <w:p w14:paraId="29A5577A" w14:textId="0DA8D93A" w:rsidR="00994E14" w:rsidRDefault="009D67BD" w:rsidP="009B1F57">
            <w:pPr>
              <w:spacing w:line="276" w:lineRule="auto"/>
            </w:pPr>
            <w:r>
              <w:t>Inaccessibility for disabled colleagues</w:t>
            </w:r>
          </w:p>
        </w:tc>
        <w:tc>
          <w:tcPr>
            <w:tcW w:w="5093" w:type="dxa"/>
          </w:tcPr>
          <w:p w14:paraId="452C85D5" w14:textId="1DF2887F" w:rsidR="00994E14" w:rsidRDefault="00B4364E" w:rsidP="00B4364E">
            <w:pPr>
              <w:pStyle w:val="ListParagraph"/>
              <w:numPr>
                <w:ilvl w:val="0"/>
                <w:numId w:val="4"/>
              </w:numPr>
              <w:spacing w:line="276" w:lineRule="auto"/>
            </w:pPr>
            <w:r>
              <w:t>Ensure the final policy is made fully accessible before publishing.</w:t>
            </w:r>
          </w:p>
          <w:p w14:paraId="6E380F3D" w14:textId="5E184AEA" w:rsidR="00B4364E" w:rsidRDefault="00B4364E" w:rsidP="00B4364E">
            <w:pPr>
              <w:pStyle w:val="ListParagraph"/>
              <w:numPr>
                <w:ilvl w:val="0"/>
                <w:numId w:val="4"/>
              </w:numPr>
              <w:spacing w:line="276" w:lineRule="auto"/>
            </w:pPr>
            <w:r>
              <w:t>Provide a clear and easy way for people to request printed copies through the post if required.</w:t>
            </w:r>
          </w:p>
          <w:p w14:paraId="685D2543" w14:textId="779397E0" w:rsidR="00B4364E" w:rsidRDefault="00B4364E" w:rsidP="00B4364E">
            <w:pPr>
              <w:pStyle w:val="ListParagraph"/>
              <w:numPr>
                <w:ilvl w:val="0"/>
                <w:numId w:val="4"/>
              </w:numPr>
              <w:spacing w:line="276" w:lineRule="auto"/>
            </w:pPr>
            <w:r>
              <w:t xml:space="preserve">Provide a clear and easy way for people to request copies of the policy in alternative </w:t>
            </w:r>
            <w:r w:rsidR="00F851E8">
              <w:t xml:space="preserve">formats </w:t>
            </w:r>
            <w:r w:rsidR="003A1247">
              <w:t>e.g.,</w:t>
            </w:r>
            <w:r w:rsidR="00F851E8">
              <w:t xml:space="preserve"> braille, large print or audio.</w:t>
            </w:r>
          </w:p>
          <w:p w14:paraId="3C77FCE3" w14:textId="6DDED016" w:rsidR="00F851E8" w:rsidRDefault="00F851E8" w:rsidP="009C677C">
            <w:pPr>
              <w:pStyle w:val="ListParagraph"/>
              <w:numPr>
                <w:ilvl w:val="0"/>
                <w:numId w:val="4"/>
              </w:numPr>
              <w:spacing w:line="276" w:lineRule="auto"/>
            </w:pPr>
            <w:r>
              <w:t>Provide a clear and eas</w:t>
            </w:r>
            <w:r w:rsidR="00610C9F">
              <w:t>y</w:t>
            </w:r>
            <w:r>
              <w:t xml:space="preserve"> wa</w:t>
            </w:r>
            <w:r w:rsidR="00610C9F">
              <w:t>y</w:t>
            </w:r>
            <w:r>
              <w:t xml:space="preserve"> for people to access this information in BSL format, for example, through the use of a BSL </w:t>
            </w:r>
            <w:r w:rsidR="00EC507D">
              <w:t>interpreter.</w:t>
            </w:r>
          </w:p>
          <w:p w14:paraId="47199E10" w14:textId="3CA94799" w:rsidR="00B4364E" w:rsidRDefault="00B4364E" w:rsidP="009B1F57">
            <w:pPr>
              <w:spacing w:line="276" w:lineRule="auto"/>
            </w:pPr>
          </w:p>
        </w:tc>
        <w:tc>
          <w:tcPr>
            <w:tcW w:w="2004" w:type="dxa"/>
          </w:tcPr>
          <w:p w14:paraId="3CD1B53D" w14:textId="7AAE19C1" w:rsidR="00994E14" w:rsidRDefault="003A1247" w:rsidP="009B1F57">
            <w:pPr>
              <w:spacing w:line="276" w:lineRule="auto"/>
            </w:pPr>
            <w:r>
              <w:t xml:space="preserve">Corporate Affairs/ </w:t>
            </w:r>
            <w:r w:rsidR="00783180">
              <w:t xml:space="preserve">Communications team </w:t>
            </w:r>
          </w:p>
        </w:tc>
        <w:tc>
          <w:tcPr>
            <w:tcW w:w="1700" w:type="dxa"/>
          </w:tcPr>
          <w:p w14:paraId="5422AE70" w14:textId="31FC5B3F" w:rsidR="00994E14" w:rsidRDefault="003A1247" w:rsidP="009B1F57">
            <w:pPr>
              <w:spacing w:line="276" w:lineRule="auto"/>
            </w:pPr>
            <w:r>
              <w:t>June 2023</w:t>
            </w:r>
          </w:p>
        </w:tc>
        <w:tc>
          <w:tcPr>
            <w:tcW w:w="1618" w:type="dxa"/>
          </w:tcPr>
          <w:p w14:paraId="518AF141" w14:textId="78C0084D" w:rsidR="00994E14" w:rsidRDefault="003A1247" w:rsidP="009B1F57">
            <w:pPr>
              <w:spacing w:line="276" w:lineRule="auto"/>
            </w:pPr>
            <w:r>
              <w:t>June 2024</w:t>
            </w:r>
          </w:p>
        </w:tc>
      </w:tr>
      <w:tr w:rsidR="003A1247" w14:paraId="7620EBFE" w14:textId="77777777" w:rsidTr="003A1247">
        <w:tc>
          <w:tcPr>
            <w:tcW w:w="3533" w:type="dxa"/>
          </w:tcPr>
          <w:p w14:paraId="3431B9CA" w14:textId="0F02CFFD" w:rsidR="00994E14" w:rsidRDefault="005C057F" w:rsidP="009B1F57">
            <w:pPr>
              <w:spacing w:line="276" w:lineRule="auto"/>
            </w:pPr>
            <w:r>
              <w:t>Policy only available in English</w:t>
            </w:r>
          </w:p>
        </w:tc>
        <w:tc>
          <w:tcPr>
            <w:tcW w:w="5093" w:type="dxa"/>
          </w:tcPr>
          <w:p w14:paraId="55ED503C" w14:textId="77777777" w:rsidR="00994E14" w:rsidRDefault="005C057F">
            <w:pPr>
              <w:pStyle w:val="ListParagraph"/>
              <w:numPr>
                <w:ilvl w:val="0"/>
                <w:numId w:val="5"/>
              </w:numPr>
              <w:spacing w:line="276" w:lineRule="auto"/>
            </w:pPr>
            <w:r>
              <w:t>Line managers to provide support if a team member’s first language is not English and this is requested.</w:t>
            </w:r>
          </w:p>
          <w:p w14:paraId="72B15126" w14:textId="21F1D7B7" w:rsidR="00826B5D" w:rsidRDefault="00826B5D" w:rsidP="009C677C">
            <w:pPr>
              <w:pStyle w:val="ListParagraph"/>
              <w:spacing w:line="276" w:lineRule="auto"/>
            </w:pPr>
          </w:p>
        </w:tc>
        <w:tc>
          <w:tcPr>
            <w:tcW w:w="2004" w:type="dxa"/>
          </w:tcPr>
          <w:p w14:paraId="178305AF" w14:textId="01D9B819" w:rsidR="00994E14" w:rsidRDefault="005C057F" w:rsidP="009B1F57">
            <w:pPr>
              <w:spacing w:line="276" w:lineRule="auto"/>
            </w:pPr>
            <w:r>
              <w:t>Line managers</w:t>
            </w:r>
          </w:p>
        </w:tc>
        <w:tc>
          <w:tcPr>
            <w:tcW w:w="1700" w:type="dxa"/>
          </w:tcPr>
          <w:p w14:paraId="187DCD30" w14:textId="1D1CF9E8" w:rsidR="00994E14" w:rsidRDefault="003A1247" w:rsidP="009B1F57">
            <w:pPr>
              <w:spacing w:line="276" w:lineRule="auto"/>
            </w:pPr>
            <w:r>
              <w:t>Ongoing</w:t>
            </w:r>
          </w:p>
        </w:tc>
        <w:tc>
          <w:tcPr>
            <w:tcW w:w="1618" w:type="dxa"/>
          </w:tcPr>
          <w:p w14:paraId="2D357046" w14:textId="2DDD6BBC" w:rsidR="00994E14" w:rsidRDefault="003A1247" w:rsidP="009B1F57">
            <w:pPr>
              <w:spacing w:line="276" w:lineRule="auto"/>
            </w:pPr>
            <w:r>
              <w:t>Ongoing</w:t>
            </w: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Sign-off</w:t>
      </w:r>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EqIA to: </w:t>
      </w:r>
      <w:hyperlink r:id="rId12"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9B1F57">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6C066410" w14:textId="152A5930" w:rsidR="00E76DF0" w:rsidRDefault="00376D29" w:rsidP="009B1F57">
            <w:pPr>
              <w:spacing w:line="276" w:lineRule="auto"/>
            </w:pPr>
            <w:r>
              <w:t xml:space="preserve">Nicky Lowe </w:t>
            </w: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1B10E0CD" w:rsidR="00DD3E4C" w:rsidRDefault="003A1247" w:rsidP="009B1F57">
            <w:pPr>
              <w:spacing w:line="276" w:lineRule="auto"/>
            </w:pPr>
            <w:r>
              <w:t>16 May 2023</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CBB8" w14:textId="77777777" w:rsidR="0096467A" w:rsidRDefault="0096467A" w:rsidP="0060204D">
      <w:pPr>
        <w:spacing w:after="0" w:line="240" w:lineRule="auto"/>
      </w:pPr>
      <w:r>
        <w:separator/>
      </w:r>
    </w:p>
  </w:endnote>
  <w:endnote w:type="continuationSeparator" w:id="0">
    <w:p w14:paraId="6E2A48D2" w14:textId="77777777" w:rsidR="0096467A" w:rsidRDefault="0096467A" w:rsidP="0060204D">
      <w:pPr>
        <w:spacing w:after="0" w:line="240" w:lineRule="auto"/>
      </w:pPr>
      <w:r>
        <w:continuationSeparator/>
      </w:r>
    </w:p>
  </w:endnote>
  <w:endnote w:type="continuationNotice" w:id="1">
    <w:p w14:paraId="01554041" w14:textId="77777777" w:rsidR="0096467A" w:rsidRDefault="00964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94D4" w14:textId="77777777" w:rsidR="0096467A" w:rsidRDefault="0096467A" w:rsidP="0060204D">
      <w:pPr>
        <w:spacing w:after="0" w:line="240" w:lineRule="auto"/>
      </w:pPr>
      <w:r>
        <w:separator/>
      </w:r>
    </w:p>
  </w:footnote>
  <w:footnote w:type="continuationSeparator" w:id="0">
    <w:p w14:paraId="06E2C80B" w14:textId="77777777" w:rsidR="0096467A" w:rsidRDefault="0096467A" w:rsidP="0060204D">
      <w:pPr>
        <w:spacing w:after="0" w:line="240" w:lineRule="auto"/>
      </w:pPr>
      <w:r>
        <w:continuationSeparator/>
      </w:r>
    </w:p>
  </w:footnote>
  <w:footnote w:type="continuationNotice" w:id="1">
    <w:p w14:paraId="1BA48EC4" w14:textId="77777777" w:rsidR="0096467A" w:rsidRDefault="009646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5D04"/>
    <w:rsid w:val="00026D4C"/>
    <w:rsid w:val="00027982"/>
    <w:rsid w:val="00031FDA"/>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7652"/>
    <w:rsid w:val="001F049F"/>
    <w:rsid w:val="00225E32"/>
    <w:rsid w:val="00232A77"/>
    <w:rsid w:val="002502CE"/>
    <w:rsid w:val="00263E16"/>
    <w:rsid w:val="00264BFB"/>
    <w:rsid w:val="0026724A"/>
    <w:rsid w:val="00270E46"/>
    <w:rsid w:val="0027486B"/>
    <w:rsid w:val="00285F4F"/>
    <w:rsid w:val="00294335"/>
    <w:rsid w:val="002B2079"/>
    <w:rsid w:val="002C36D5"/>
    <w:rsid w:val="002D50FB"/>
    <w:rsid w:val="0030008D"/>
    <w:rsid w:val="00305ACF"/>
    <w:rsid w:val="00326C8B"/>
    <w:rsid w:val="00353371"/>
    <w:rsid w:val="00362962"/>
    <w:rsid w:val="003716D2"/>
    <w:rsid w:val="00376D29"/>
    <w:rsid w:val="00383CA8"/>
    <w:rsid w:val="003A1247"/>
    <w:rsid w:val="003B4CA4"/>
    <w:rsid w:val="003D5AD3"/>
    <w:rsid w:val="003D7742"/>
    <w:rsid w:val="003E3F6C"/>
    <w:rsid w:val="003F074C"/>
    <w:rsid w:val="0040197A"/>
    <w:rsid w:val="00406D6F"/>
    <w:rsid w:val="0041129B"/>
    <w:rsid w:val="00424C9A"/>
    <w:rsid w:val="00432521"/>
    <w:rsid w:val="00441E93"/>
    <w:rsid w:val="004436EE"/>
    <w:rsid w:val="004519C2"/>
    <w:rsid w:val="004C16BE"/>
    <w:rsid w:val="004E1E7B"/>
    <w:rsid w:val="004E6162"/>
    <w:rsid w:val="004F3379"/>
    <w:rsid w:val="005014D9"/>
    <w:rsid w:val="00503A4E"/>
    <w:rsid w:val="00520309"/>
    <w:rsid w:val="0052471B"/>
    <w:rsid w:val="00527D24"/>
    <w:rsid w:val="00536DE5"/>
    <w:rsid w:val="005560FC"/>
    <w:rsid w:val="00560A4E"/>
    <w:rsid w:val="00561272"/>
    <w:rsid w:val="005847C2"/>
    <w:rsid w:val="005A130E"/>
    <w:rsid w:val="005B300C"/>
    <w:rsid w:val="005C057F"/>
    <w:rsid w:val="005E29FD"/>
    <w:rsid w:val="005E60D2"/>
    <w:rsid w:val="005F184A"/>
    <w:rsid w:val="005F2816"/>
    <w:rsid w:val="0060204D"/>
    <w:rsid w:val="00610C9F"/>
    <w:rsid w:val="0062635D"/>
    <w:rsid w:val="006361BE"/>
    <w:rsid w:val="00640728"/>
    <w:rsid w:val="00656B4C"/>
    <w:rsid w:val="00666688"/>
    <w:rsid w:val="006708E6"/>
    <w:rsid w:val="00680747"/>
    <w:rsid w:val="0068143F"/>
    <w:rsid w:val="00697C6C"/>
    <w:rsid w:val="006C4AA1"/>
    <w:rsid w:val="006E228A"/>
    <w:rsid w:val="00705310"/>
    <w:rsid w:val="00726866"/>
    <w:rsid w:val="0074459B"/>
    <w:rsid w:val="00755C87"/>
    <w:rsid w:val="00755D65"/>
    <w:rsid w:val="00772A59"/>
    <w:rsid w:val="0078220C"/>
    <w:rsid w:val="00783180"/>
    <w:rsid w:val="00784E10"/>
    <w:rsid w:val="00793A3D"/>
    <w:rsid w:val="007A2C71"/>
    <w:rsid w:val="007B16A1"/>
    <w:rsid w:val="007C32CC"/>
    <w:rsid w:val="007C35F0"/>
    <w:rsid w:val="007E202A"/>
    <w:rsid w:val="007F65AC"/>
    <w:rsid w:val="008159CC"/>
    <w:rsid w:val="00824726"/>
    <w:rsid w:val="00826B5D"/>
    <w:rsid w:val="008A2D81"/>
    <w:rsid w:val="008A3B81"/>
    <w:rsid w:val="008B0A3A"/>
    <w:rsid w:val="008D15EA"/>
    <w:rsid w:val="008D780B"/>
    <w:rsid w:val="008F3408"/>
    <w:rsid w:val="009004EB"/>
    <w:rsid w:val="009070E6"/>
    <w:rsid w:val="00910309"/>
    <w:rsid w:val="00930952"/>
    <w:rsid w:val="00931EAC"/>
    <w:rsid w:val="009357C9"/>
    <w:rsid w:val="0096467A"/>
    <w:rsid w:val="00975A6F"/>
    <w:rsid w:val="00985C79"/>
    <w:rsid w:val="00994E14"/>
    <w:rsid w:val="009A634E"/>
    <w:rsid w:val="009B1F57"/>
    <w:rsid w:val="009C677C"/>
    <w:rsid w:val="009C6EDF"/>
    <w:rsid w:val="009D56CB"/>
    <w:rsid w:val="009D67BD"/>
    <w:rsid w:val="00A11C6C"/>
    <w:rsid w:val="00A3414A"/>
    <w:rsid w:val="00A40501"/>
    <w:rsid w:val="00A50CFD"/>
    <w:rsid w:val="00A65C0A"/>
    <w:rsid w:val="00A8112B"/>
    <w:rsid w:val="00A9272C"/>
    <w:rsid w:val="00A9739D"/>
    <w:rsid w:val="00AA48C5"/>
    <w:rsid w:val="00AB40EF"/>
    <w:rsid w:val="00AC45F6"/>
    <w:rsid w:val="00AD704D"/>
    <w:rsid w:val="00AE3FCB"/>
    <w:rsid w:val="00AF660D"/>
    <w:rsid w:val="00B246F1"/>
    <w:rsid w:val="00B361AE"/>
    <w:rsid w:val="00B3778F"/>
    <w:rsid w:val="00B37ABD"/>
    <w:rsid w:val="00B4364E"/>
    <w:rsid w:val="00B540AD"/>
    <w:rsid w:val="00B55B13"/>
    <w:rsid w:val="00B74E39"/>
    <w:rsid w:val="00BE10A1"/>
    <w:rsid w:val="00C27630"/>
    <w:rsid w:val="00C35D71"/>
    <w:rsid w:val="00C36151"/>
    <w:rsid w:val="00C53926"/>
    <w:rsid w:val="00C55101"/>
    <w:rsid w:val="00C57A9F"/>
    <w:rsid w:val="00C6070A"/>
    <w:rsid w:val="00C60B4D"/>
    <w:rsid w:val="00C63667"/>
    <w:rsid w:val="00C653DB"/>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97773"/>
    <w:rsid w:val="00DA194D"/>
    <w:rsid w:val="00DD18F7"/>
    <w:rsid w:val="00DD3E4C"/>
    <w:rsid w:val="00E5181B"/>
    <w:rsid w:val="00E5688E"/>
    <w:rsid w:val="00E56BCC"/>
    <w:rsid w:val="00E76DF0"/>
    <w:rsid w:val="00EB0AE7"/>
    <w:rsid w:val="00EC294E"/>
    <w:rsid w:val="00EC507D"/>
    <w:rsid w:val="00EE0F0F"/>
    <w:rsid w:val="00F12A13"/>
    <w:rsid w:val="00F42E21"/>
    <w:rsid w:val="00F458E3"/>
    <w:rsid w:val="00F51684"/>
    <w:rsid w:val="00F57257"/>
    <w:rsid w:val="00F851E8"/>
    <w:rsid w:val="00FA3F40"/>
    <w:rsid w:val="00FB6F6E"/>
    <w:rsid w:val="00FD3142"/>
    <w:rsid w:val="00FD58C1"/>
    <w:rsid w:val="00FE4A6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nyicb-hull.hnypolicyenquirie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EF40D-57F2-46CC-B17B-9452A669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3.xml><?xml version="1.0" encoding="utf-8"?>
<ds:datastoreItem xmlns:ds="http://schemas.openxmlformats.org/officeDocument/2006/customXml" ds:itemID="{F873546B-AE78-49B9-A032-616F6E4F0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4</cp:revision>
  <dcterms:created xsi:type="dcterms:W3CDTF">2023-05-16T08:55:00Z</dcterms:created>
  <dcterms:modified xsi:type="dcterms:W3CDTF">2023-05-18T08:18:00Z</dcterms:modified>
</cp:coreProperties>
</file>