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5B22" w14:textId="5B332430" w:rsidR="004328A9" w:rsidRDefault="004D7482" w:rsidP="0094556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Joint Capital Resource Template for 23/24</w:t>
      </w:r>
    </w:p>
    <w:p w14:paraId="6460C099" w14:textId="6EC98C37" w:rsidR="004D7482" w:rsidRDefault="004D7482" w:rsidP="004D7482">
      <w:pPr>
        <w:pStyle w:val="ListParagraph"/>
        <w:spacing w:after="0" w:line="240" w:lineRule="auto"/>
        <w:ind w:left="567"/>
        <w:jc w:val="both"/>
        <w:rPr>
          <w:b/>
          <w:bCs/>
          <w:color w:val="auto"/>
          <w:sz w:val="24"/>
          <w:szCs w:val="24"/>
        </w:rPr>
      </w:pPr>
    </w:p>
    <w:p w14:paraId="451503A1" w14:textId="523915D2" w:rsidR="004D7482" w:rsidRDefault="004D7482" w:rsidP="004D7482">
      <w:pPr>
        <w:pStyle w:val="ListParagraph"/>
        <w:spacing w:after="0" w:line="240" w:lineRule="auto"/>
        <w:ind w:left="567"/>
        <w:jc w:val="both"/>
        <w:rPr>
          <w:b/>
          <w:bCs/>
          <w:color w:val="auto"/>
          <w:sz w:val="24"/>
          <w:szCs w:val="24"/>
        </w:rPr>
      </w:pPr>
    </w:p>
    <w:p w14:paraId="59F59B5E" w14:textId="77777777" w:rsidR="004D7482" w:rsidRPr="00370520" w:rsidRDefault="004D7482" w:rsidP="004D7482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4D7482" w14:paraId="00D39BE9" w14:textId="77777777" w:rsidTr="00EE5486">
        <w:trPr>
          <w:trHeight w:val="605"/>
        </w:trPr>
        <w:tc>
          <w:tcPr>
            <w:tcW w:w="2972" w:type="dxa"/>
            <w:shd w:val="clear" w:color="auto" w:fill="365F91" w:themeFill="accent1" w:themeFillShade="BF"/>
            <w:vAlign w:val="center"/>
          </w:tcPr>
          <w:p w14:paraId="3E5653F8" w14:textId="77777777" w:rsidR="004D7482" w:rsidRPr="00EF2607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F2607">
              <w:rPr>
                <w:b/>
                <w:bCs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EGION</w:t>
            </w:r>
          </w:p>
        </w:tc>
        <w:sdt>
          <w:sdtPr>
            <w:rPr>
              <w:b/>
              <w:bCs/>
              <w:color w:val="auto"/>
              <w:sz w:val="24"/>
              <w:szCs w:val="24"/>
            </w:rPr>
            <w:alias w:val="REGION"/>
            <w:tag w:val="REGION"/>
            <w:id w:val="-1480458433"/>
            <w:placeholder>
              <w:docPart w:val="F33EC464A73C475A80859ABEF6438D72"/>
            </w:placeholder>
            <w:dropDownList>
              <w:listItem w:value="Choose an item."/>
              <w:listItem w:displayText="North East &amp; Yorkshire" w:value="North East &amp; Yorkshire"/>
              <w:listItem w:displayText="South East" w:value="South East"/>
              <w:listItem w:displayText="South West" w:value="South West"/>
              <w:listItem w:displayText="London" w:value="London"/>
              <w:listItem w:displayText="Midlands" w:value="Midlands"/>
              <w:listItem w:displayText="East of England" w:value="East of England"/>
              <w:listItem w:displayText="North West" w:value="North West"/>
            </w:dropDownList>
          </w:sdtPr>
          <w:sdtEndPr/>
          <w:sdtContent>
            <w:tc>
              <w:tcPr>
                <w:tcW w:w="6044" w:type="dxa"/>
                <w:vAlign w:val="center"/>
              </w:tcPr>
              <w:p w14:paraId="10E01D60" w14:textId="77777777" w:rsidR="004D7482" w:rsidRPr="004D7482" w:rsidRDefault="004D7482" w:rsidP="00EE5486">
                <w:pPr>
                  <w:rPr>
                    <w:b/>
                    <w:bCs/>
                    <w:color w:val="auto"/>
                    <w:sz w:val="24"/>
                    <w:szCs w:val="24"/>
                  </w:rPr>
                </w:pPr>
                <w:r w:rsidRPr="004D7482">
                  <w:rPr>
                    <w:b/>
                    <w:bCs/>
                    <w:color w:val="auto"/>
                    <w:sz w:val="24"/>
                    <w:szCs w:val="24"/>
                  </w:rPr>
                  <w:t>North East &amp; Yorkshire</w:t>
                </w:r>
              </w:p>
            </w:tc>
          </w:sdtContent>
        </w:sdt>
      </w:tr>
      <w:tr w:rsidR="004D7482" w14:paraId="26454A7F" w14:textId="77777777" w:rsidTr="00EE5486">
        <w:trPr>
          <w:trHeight w:val="556"/>
        </w:trPr>
        <w:tc>
          <w:tcPr>
            <w:tcW w:w="2972" w:type="dxa"/>
            <w:shd w:val="clear" w:color="auto" w:fill="365F91" w:themeFill="accent1" w:themeFillShade="BF"/>
            <w:vAlign w:val="center"/>
          </w:tcPr>
          <w:p w14:paraId="5110D751" w14:textId="77777777" w:rsidR="004D7482" w:rsidRPr="00EF2607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ICB / SYSTEM</w:t>
            </w:r>
          </w:p>
        </w:tc>
        <w:tc>
          <w:tcPr>
            <w:tcW w:w="6044" w:type="dxa"/>
            <w:vAlign w:val="center"/>
          </w:tcPr>
          <w:p w14:paraId="0E211592" w14:textId="77777777" w:rsidR="004D7482" w:rsidRPr="004D7482" w:rsidRDefault="004D7482" w:rsidP="00EE5486">
            <w:pPr>
              <w:rPr>
                <w:b/>
                <w:bCs/>
                <w:color w:val="auto"/>
                <w:sz w:val="24"/>
                <w:szCs w:val="24"/>
              </w:rPr>
            </w:pPr>
            <w:r w:rsidRPr="004D7482">
              <w:rPr>
                <w:b/>
                <w:bCs/>
                <w:color w:val="auto"/>
                <w:sz w:val="24"/>
                <w:szCs w:val="24"/>
              </w:rPr>
              <w:t>Humber &amp; North Yorkshire ICB</w:t>
            </w:r>
          </w:p>
        </w:tc>
      </w:tr>
    </w:tbl>
    <w:p w14:paraId="4B47B66A" w14:textId="77777777" w:rsidR="004D7482" w:rsidRDefault="004D7482" w:rsidP="004D74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7482" w14:paraId="324C9E03" w14:textId="77777777" w:rsidTr="00EE5486">
        <w:trPr>
          <w:trHeight w:val="605"/>
        </w:trPr>
        <w:tc>
          <w:tcPr>
            <w:tcW w:w="9016" w:type="dxa"/>
            <w:shd w:val="clear" w:color="auto" w:fill="365F91" w:themeFill="accent1" w:themeFillShade="BF"/>
            <w:vAlign w:val="center"/>
          </w:tcPr>
          <w:p w14:paraId="192DD6E7" w14:textId="77777777" w:rsidR="004D7482" w:rsidRPr="00EF2607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Introduction</w:t>
            </w:r>
          </w:p>
          <w:p w14:paraId="0E9A1FF5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Guidance:</w:t>
            </w:r>
          </w:p>
          <w:p w14:paraId="49C8AAC8" w14:textId="77777777" w:rsidR="004D7482" w:rsidRPr="00A56BE7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A56BE7">
              <w:rPr>
                <w:i/>
                <w:iCs/>
                <w:color w:val="FFFFFF" w:themeColor="background1"/>
                <w:sz w:val="18"/>
                <w:szCs w:val="18"/>
              </w:rPr>
              <w:t xml:space="preserve">Please provide </w:t>
            </w:r>
            <w:r>
              <w:rPr>
                <w:i/>
                <w:iCs/>
                <w:color w:val="FFFFFF" w:themeColor="background1"/>
                <w:sz w:val="18"/>
                <w:szCs w:val="18"/>
              </w:rPr>
              <w:t xml:space="preserve">some </w:t>
            </w:r>
            <w:proofErr w:type="gramStart"/>
            <w:r>
              <w:rPr>
                <w:i/>
                <w:iCs/>
                <w:color w:val="FFFFFF" w:themeColor="background1"/>
                <w:sz w:val="18"/>
                <w:szCs w:val="18"/>
              </w:rPr>
              <w:t>high level</w:t>
            </w:r>
            <w:proofErr w:type="gramEnd"/>
            <w:r>
              <w:rPr>
                <w:i/>
                <w:iCs/>
                <w:color w:val="FFFFFF" w:themeColor="background1"/>
                <w:sz w:val="18"/>
                <w:szCs w:val="18"/>
              </w:rPr>
              <w:t xml:space="preserve"> commentary about the joint capital plan which should be developed between the ICB and partner NHS Trust and foundation trusts – key strategic priorities, key schemes throughout the year, background to what happened last year, overview funding sources etc.</w:t>
            </w:r>
          </w:p>
        </w:tc>
      </w:tr>
      <w:tr w:rsidR="004D7482" w14:paraId="631520C6" w14:textId="77777777" w:rsidTr="00EE5486">
        <w:trPr>
          <w:trHeight w:val="2716"/>
        </w:trPr>
        <w:tc>
          <w:tcPr>
            <w:tcW w:w="9016" w:type="dxa"/>
            <w:shd w:val="clear" w:color="auto" w:fill="FFFFFF" w:themeFill="background1"/>
          </w:tcPr>
          <w:p w14:paraId="4056AD62" w14:textId="77777777" w:rsidR="004D7482" w:rsidRDefault="004D7482" w:rsidP="00EE5486">
            <w:pPr>
              <w:rPr>
                <w:sz w:val="24"/>
                <w:szCs w:val="24"/>
              </w:rPr>
            </w:pPr>
          </w:p>
          <w:p w14:paraId="2B1469C5" w14:textId="77777777" w:rsidR="004D7482" w:rsidRDefault="004D7482" w:rsidP="00EE5486">
            <w:pPr>
              <w:pStyle w:val="ListParagraph"/>
              <w:rPr>
                <w:color w:val="auto"/>
              </w:rPr>
            </w:pPr>
            <w:r>
              <w:rPr>
                <w:color w:val="auto"/>
              </w:rPr>
              <w:t>The joint capital resource plan was produced and agreed by all stakeholders and agreed through the ICB and individual provider organisations.</w:t>
            </w:r>
          </w:p>
          <w:p w14:paraId="7C0CFF25" w14:textId="19A520B6" w:rsidR="004D7482" w:rsidRDefault="004D7482" w:rsidP="00EE5486">
            <w:pPr>
              <w:pStyle w:val="ListParagraph"/>
              <w:rPr>
                <w:color w:val="auto"/>
              </w:rPr>
            </w:pPr>
          </w:p>
          <w:p w14:paraId="6EE499BE" w14:textId="5B7180CC" w:rsidR="004D7482" w:rsidRDefault="004D7482" w:rsidP="00EE5486">
            <w:pPr>
              <w:pStyle w:val="ListParagraph"/>
              <w:rPr>
                <w:color w:val="auto"/>
              </w:rPr>
            </w:pPr>
            <w:r>
              <w:rPr>
                <w:color w:val="auto"/>
              </w:rPr>
              <w:t xml:space="preserve">As the NHS moved to a </w:t>
            </w:r>
            <w:r w:rsidR="00F06081">
              <w:rPr>
                <w:color w:val="auto"/>
              </w:rPr>
              <w:t>three-year</w:t>
            </w:r>
            <w:r>
              <w:rPr>
                <w:color w:val="auto"/>
              </w:rPr>
              <w:t xml:space="preserve"> allocation, 23/24 constitute</w:t>
            </w:r>
            <w:r w:rsidR="00647B0B">
              <w:rPr>
                <w:color w:val="auto"/>
              </w:rPr>
              <w:t>s</w:t>
            </w:r>
            <w:r>
              <w:rPr>
                <w:color w:val="auto"/>
              </w:rPr>
              <w:t xml:space="preserve"> year 2 of </w:t>
            </w:r>
            <w:r w:rsidR="00647B0B">
              <w:rPr>
                <w:color w:val="auto"/>
              </w:rPr>
              <w:t>the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3 year</w:t>
            </w:r>
            <w:proofErr w:type="gramEnd"/>
            <w:r>
              <w:rPr>
                <w:color w:val="auto"/>
              </w:rPr>
              <w:t xml:space="preserve"> plan agreed across the system.  This has enabled some specific system schemes to be agreed such as the </w:t>
            </w:r>
            <w:r w:rsidR="00647B0B">
              <w:rPr>
                <w:color w:val="auto"/>
              </w:rPr>
              <w:t xml:space="preserve">York </w:t>
            </w:r>
            <w:r>
              <w:rPr>
                <w:color w:val="auto"/>
              </w:rPr>
              <w:t xml:space="preserve">Vascular Intervention Unit, Yorkshire Health Care Record and the Catterick Integrated Care Campus which would have been challenging </w:t>
            </w:r>
            <w:r w:rsidR="00647B0B">
              <w:rPr>
                <w:color w:val="auto"/>
              </w:rPr>
              <w:t>to deliver with a single year allocation</w:t>
            </w:r>
            <w:r>
              <w:rPr>
                <w:color w:val="auto"/>
              </w:rPr>
              <w:t>.</w:t>
            </w:r>
          </w:p>
          <w:p w14:paraId="60160BAC" w14:textId="77777777" w:rsidR="004D7482" w:rsidRDefault="004D7482" w:rsidP="00EE5486">
            <w:pPr>
              <w:pStyle w:val="ListParagraph"/>
              <w:rPr>
                <w:color w:val="auto"/>
              </w:rPr>
            </w:pPr>
          </w:p>
          <w:p w14:paraId="49842666" w14:textId="07F46739" w:rsidR="00647B0B" w:rsidRDefault="00647B0B" w:rsidP="00EE5486">
            <w:pPr>
              <w:pStyle w:val="ListParagraph"/>
              <w:rPr>
                <w:color w:val="auto"/>
              </w:rPr>
            </w:pPr>
            <w:r>
              <w:rPr>
                <w:color w:val="auto"/>
              </w:rPr>
              <w:t xml:space="preserve">The approach taken was to focus on ensuring replacement of existing assets was a major priority for Operational capital (due to the scale of backlog maintenance) whilst also ensuring key strategic schemes were affordable over the life of the </w:t>
            </w:r>
            <w:r w:rsidR="00F06081">
              <w:rPr>
                <w:color w:val="auto"/>
              </w:rPr>
              <w:t>3-year</w:t>
            </w:r>
            <w:r>
              <w:rPr>
                <w:color w:val="auto"/>
              </w:rPr>
              <w:t xml:space="preserve"> allocation. </w:t>
            </w:r>
          </w:p>
          <w:p w14:paraId="4462F171" w14:textId="77777777" w:rsidR="00647B0B" w:rsidRDefault="00647B0B" w:rsidP="00EE5486">
            <w:pPr>
              <w:pStyle w:val="ListParagraph"/>
              <w:rPr>
                <w:color w:val="auto"/>
              </w:rPr>
            </w:pPr>
          </w:p>
          <w:p w14:paraId="058A0010" w14:textId="6E2FB694" w:rsidR="00647B0B" w:rsidRDefault="00647B0B" w:rsidP="00EE5486">
            <w:pPr>
              <w:pStyle w:val="ListParagraph"/>
              <w:rPr>
                <w:color w:val="auto"/>
              </w:rPr>
            </w:pPr>
            <w:r>
              <w:rPr>
                <w:color w:val="auto"/>
              </w:rPr>
              <w:t xml:space="preserve">Key schemes planned for in 23/24 </w:t>
            </w:r>
            <w:r w:rsidR="00F06081">
              <w:rPr>
                <w:color w:val="auto"/>
              </w:rPr>
              <w:t>are: -</w:t>
            </w:r>
          </w:p>
          <w:p w14:paraId="219D6519" w14:textId="77777777" w:rsidR="00647B0B" w:rsidRDefault="00647B0B" w:rsidP="00EE5486">
            <w:pPr>
              <w:pStyle w:val="ListParagraph"/>
              <w:rPr>
                <w:color w:val="auto"/>
              </w:rPr>
            </w:pPr>
          </w:p>
          <w:p w14:paraId="58466FB4" w14:textId="647A38AE" w:rsidR="004D7482" w:rsidRPr="004D7482" w:rsidRDefault="004D7482" w:rsidP="00647B0B">
            <w:pPr>
              <w:pStyle w:val="ListParagraph"/>
              <w:numPr>
                <w:ilvl w:val="0"/>
                <w:numId w:val="31"/>
              </w:numPr>
              <w:rPr>
                <w:color w:val="auto"/>
              </w:rPr>
            </w:pPr>
            <w:r w:rsidRPr="004D7482">
              <w:rPr>
                <w:color w:val="auto"/>
              </w:rPr>
              <w:t xml:space="preserve">Complete the acute assessment units at Scunthorpe, </w:t>
            </w:r>
            <w:r w:rsidR="00F06081" w:rsidRPr="004D7482">
              <w:rPr>
                <w:color w:val="auto"/>
              </w:rPr>
              <w:t>Grimsby,</w:t>
            </w:r>
            <w:r w:rsidRPr="004D7482">
              <w:rPr>
                <w:color w:val="auto"/>
              </w:rPr>
              <w:t xml:space="preserve"> and Scarborough </w:t>
            </w:r>
          </w:p>
          <w:p w14:paraId="213823D6" w14:textId="7FE4C6C0" w:rsidR="004D7482" w:rsidRPr="004D7482" w:rsidRDefault="004D7482" w:rsidP="00647B0B">
            <w:pPr>
              <w:pStyle w:val="ListParagraph"/>
              <w:numPr>
                <w:ilvl w:val="0"/>
                <w:numId w:val="31"/>
              </w:numPr>
              <w:rPr>
                <w:color w:val="auto"/>
              </w:rPr>
            </w:pPr>
            <w:r w:rsidRPr="004D7482">
              <w:rPr>
                <w:color w:val="auto"/>
              </w:rPr>
              <w:t xml:space="preserve">Target Investment Fund (TIF) schemes </w:t>
            </w:r>
            <w:r w:rsidR="00647B0B">
              <w:rPr>
                <w:color w:val="auto"/>
              </w:rPr>
              <w:t xml:space="preserve">to enhance elective activity </w:t>
            </w:r>
            <w:r w:rsidRPr="004D7482">
              <w:rPr>
                <w:color w:val="auto"/>
              </w:rPr>
              <w:t>in all four acute providers</w:t>
            </w:r>
          </w:p>
          <w:p w14:paraId="01C37B3F" w14:textId="02AAFF50" w:rsidR="004D7482" w:rsidRPr="004D7482" w:rsidRDefault="004D7482" w:rsidP="00647B0B">
            <w:pPr>
              <w:pStyle w:val="ListParagraph"/>
              <w:numPr>
                <w:ilvl w:val="0"/>
                <w:numId w:val="31"/>
              </w:numPr>
              <w:rPr>
                <w:color w:val="auto"/>
              </w:rPr>
            </w:pPr>
            <w:r w:rsidRPr="004D7482">
              <w:rPr>
                <w:color w:val="auto"/>
              </w:rPr>
              <w:t>Catterick Integrated Care Campus</w:t>
            </w:r>
            <w:r w:rsidR="00647B0B">
              <w:rPr>
                <w:color w:val="auto"/>
              </w:rPr>
              <w:t xml:space="preserve"> a first in the country collaboration between the NHS and Ministry of Defence</w:t>
            </w:r>
          </w:p>
          <w:p w14:paraId="373B0C44" w14:textId="50C81198" w:rsidR="004D7482" w:rsidRPr="004D7482" w:rsidRDefault="00647B0B" w:rsidP="00647B0B">
            <w:pPr>
              <w:pStyle w:val="ListParagraph"/>
              <w:numPr>
                <w:ilvl w:val="0"/>
                <w:numId w:val="31"/>
              </w:numPr>
              <w:rPr>
                <w:color w:val="auto"/>
              </w:rPr>
            </w:pPr>
            <w:r>
              <w:rPr>
                <w:color w:val="auto"/>
              </w:rPr>
              <w:t xml:space="preserve">Focus on </w:t>
            </w:r>
            <w:r w:rsidR="004D7482" w:rsidRPr="004D7482">
              <w:rPr>
                <w:color w:val="auto"/>
              </w:rPr>
              <w:t>CQC compliant estate</w:t>
            </w:r>
            <w:r>
              <w:rPr>
                <w:color w:val="auto"/>
              </w:rPr>
              <w:t xml:space="preserve"> </w:t>
            </w:r>
          </w:p>
          <w:p w14:paraId="6F526D0F" w14:textId="431B5B70" w:rsidR="004D7482" w:rsidRPr="004D7482" w:rsidRDefault="00647B0B" w:rsidP="00647B0B">
            <w:pPr>
              <w:pStyle w:val="ListParagraph"/>
              <w:numPr>
                <w:ilvl w:val="0"/>
                <w:numId w:val="31"/>
              </w:numPr>
              <w:rPr>
                <w:color w:val="auto"/>
              </w:rPr>
            </w:pPr>
            <w:r>
              <w:rPr>
                <w:color w:val="auto"/>
              </w:rPr>
              <w:t xml:space="preserve">Significant digital investment, focusing around enhancing digital maturity and developing new </w:t>
            </w:r>
            <w:r w:rsidR="004D7482" w:rsidRPr="004D7482">
              <w:rPr>
                <w:color w:val="auto"/>
              </w:rPr>
              <w:t>E</w:t>
            </w:r>
            <w:r>
              <w:rPr>
                <w:color w:val="auto"/>
              </w:rPr>
              <w:t xml:space="preserve">lectronic </w:t>
            </w:r>
            <w:r w:rsidR="004D7482" w:rsidRPr="004D7482">
              <w:rPr>
                <w:color w:val="auto"/>
              </w:rPr>
              <w:t>P</w:t>
            </w:r>
            <w:r>
              <w:rPr>
                <w:color w:val="auto"/>
              </w:rPr>
              <w:t xml:space="preserve">atient </w:t>
            </w:r>
            <w:r w:rsidR="004D7482" w:rsidRPr="004D7482">
              <w:rPr>
                <w:color w:val="auto"/>
              </w:rPr>
              <w:t>R</w:t>
            </w:r>
            <w:r>
              <w:rPr>
                <w:color w:val="auto"/>
              </w:rPr>
              <w:t>ecord solutions and enhancing the care record</w:t>
            </w:r>
          </w:p>
          <w:p w14:paraId="0B7A04C1" w14:textId="399EF53F" w:rsidR="004D7482" w:rsidRPr="00647B0B" w:rsidRDefault="004D7482" w:rsidP="00EE5486">
            <w:pPr>
              <w:pStyle w:val="ListParagraph"/>
              <w:numPr>
                <w:ilvl w:val="0"/>
                <w:numId w:val="31"/>
              </w:numPr>
              <w:rPr>
                <w:color w:val="auto"/>
              </w:rPr>
            </w:pPr>
            <w:r w:rsidRPr="004D7482">
              <w:rPr>
                <w:color w:val="auto"/>
              </w:rPr>
              <w:t>Progress towards 2028 decarbonation target</w:t>
            </w:r>
          </w:p>
        </w:tc>
      </w:tr>
    </w:tbl>
    <w:p w14:paraId="3C9742C4" w14:textId="77777777" w:rsidR="004D7482" w:rsidRDefault="004D7482" w:rsidP="004D74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D7482" w14:paraId="11030401" w14:textId="77777777" w:rsidTr="00EE5486">
        <w:trPr>
          <w:trHeight w:val="605"/>
        </w:trPr>
        <w:tc>
          <w:tcPr>
            <w:tcW w:w="9016" w:type="dxa"/>
            <w:shd w:val="clear" w:color="auto" w:fill="365F91" w:themeFill="accent1" w:themeFillShade="BF"/>
            <w:vAlign w:val="center"/>
          </w:tcPr>
          <w:p w14:paraId="11E93631" w14:textId="77777777" w:rsidR="004D7482" w:rsidRPr="00EF2607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Assumed Sources of Funding for 2023/24</w:t>
            </w:r>
          </w:p>
          <w:p w14:paraId="3AD0B93D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Guidance:</w:t>
            </w:r>
          </w:p>
          <w:p w14:paraId="745F1EEA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Please provide detailed of the overall funding envelopes to which the system will be working to.</w:t>
            </w:r>
          </w:p>
          <w:p w14:paraId="0031FB56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 xml:space="preserve">Explain any assumptions (and related risks) associated with the assumed sources and </w:t>
            </w:r>
            <w:proofErr w:type="gramStart"/>
            <w:r>
              <w:rPr>
                <w:i/>
                <w:iCs/>
                <w:color w:val="FFFFFF" w:themeColor="background1"/>
                <w:sz w:val="18"/>
                <w:szCs w:val="18"/>
              </w:rPr>
              <w:t>quantum’s</w:t>
            </w:r>
            <w:proofErr w:type="gramEnd"/>
            <w:r>
              <w:rPr>
                <w:i/>
                <w:iCs/>
                <w:color w:val="FFFFFF" w:themeColor="background1"/>
                <w:sz w:val="18"/>
                <w:szCs w:val="18"/>
              </w:rPr>
              <w:t xml:space="preserve"> of funding for the ICB and Partner Trusts</w:t>
            </w:r>
          </w:p>
          <w:p w14:paraId="1883BD54" w14:textId="77777777" w:rsidR="004D7482" w:rsidRPr="00A56BE7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Draft table inserted which can be expanded upon.</w:t>
            </w:r>
          </w:p>
        </w:tc>
      </w:tr>
      <w:tr w:rsidR="004D7482" w14:paraId="7C41D376" w14:textId="77777777" w:rsidTr="00EE5486">
        <w:trPr>
          <w:trHeight w:val="3228"/>
        </w:trPr>
        <w:tc>
          <w:tcPr>
            <w:tcW w:w="9016" w:type="dxa"/>
            <w:shd w:val="clear" w:color="auto" w:fill="FFFFFF" w:themeFill="background1"/>
          </w:tcPr>
          <w:p w14:paraId="0BC1A551" w14:textId="77777777" w:rsidR="00F16C3C" w:rsidRDefault="00F16C3C" w:rsidP="00EE5486">
            <w:pPr>
              <w:rPr>
                <w:color w:val="auto"/>
                <w:sz w:val="24"/>
                <w:szCs w:val="24"/>
              </w:rPr>
            </w:pPr>
          </w:p>
          <w:p w14:paraId="0EB044CB" w14:textId="088E3F46" w:rsidR="00F16C3C" w:rsidRDefault="004D7482" w:rsidP="00EE5486">
            <w:pPr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 xml:space="preserve">The ICB funding sources in </w:t>
            </w:r>
            <w:r w:rsidR="00F16C3C">
              <w:rPr>
                <w:color w:val="auto"/>
                <w:sz w:val="24"/>
                <w:szCs w:val="24"/>
              </w:rPr>
              <w:t>23/24</w:t>
            </w:r>
            <w:r w:rsidRPr="004D7482">
              <w:rPr>
                <w:color w:val="auto"/>
                <w:sz w:val="24"/>
                <w:szCs w:val="24"/>
              </w:rPr>
              <w:t xml:space="preserve"> </w:t>
            </w:r>
            <w:r w:rsidR="00F06081" w:rsidRPr="004D7482">
              <w:rPr>
                <w:color w:val="auto"/>
                <w:sz w:val="24"/>
                <w:szCs w:val="24"/>
              </w:rPr>
              <w:t>are</w:t>
            </w:r>
            <w:r w:rsidR="00F06081">
              <w:rPr>
                <w:color w:val="auto"/>
                <w:sz w:val="24"/>
                <w:szCs w:val="24"/>
              </w:rPr>
              <w:t>: -</w:t>
            </w:r>
          </w:p>
          <w:p w14:paraId="2E555925" w14:textId="6CDF5BF3" w:rsidR="004D7482" w:rsidRPr="001F2CA9" w:rsidRDefault="00F16C3C" w:rsidP="00F16C3C">
            <w:pPr>
              <w:pStyle w:val="ListParagraph"/>
              <w:numPr>
                <w:ilvl w:val="0"/>
                <w:numId w:val="32"/>
              </w:numPr>
              <w:rPr>
                <w:color w:val="auto"/>
                <w:sz w:val="24"/>
                <w:szCs w:val="24"/>
              </w:rPr>
            </w:pPr>
            <w:r w:rsidRPr="001F2CA9">
              <w:rPr>
                <w:color w:val="auto"/>
                <w:sz w:val="24"/>
                <w:szCs w:val="24"/>
              </w:rPr>
              <w:t>Operational Capital (effectively replacement of assets</w:t>
            </w:r>
            <w:r w:rsidR="00FB7EC6" w:rsidRPr="001F2CA9">
              <w:rPr>
                <w:color w:val="auto"/>
                <w:sz w:val="24"/>
                <w:szCs w:val="24"/>
              </w:rPr>
              <w:t xml:space="preserve">. </w:t>
            </w:r>
            <w:r w:rsidR="001F2CA9" w:rsidRPr="001F2CA9">
              <w:rPr>
                <w:color w:val="auto"/>
                <w:sz w:val="24"/>
                <w:szCs w:val="24"/>
              </w:rPr>
              <w:t xml:space="preserve">Capital Spending Limit for providers </w:t>
            </w:r>
            <w:r w:rsidR="00FB7EC6" w:rsidRPr="001F2CA9">
              <w:rPr>
                <w:color w:val="auto"/>
                <w:sz w:val="24"/>
                <w:szCs w:val="24"/>
              </w:rPr>
              <w:t xml:space="preserve">utilising </w:t>
            </w:r>
            <w:r w:rsidR="001F2CA9" w:rsidRPr="001F2CA9">
              <w:rPr>
                <w:color w:val="auto"/>
                <w:sz w:val="24"/>
                <w:szCs w:val="24"/>
              </w:rPr>
              <w:t xml:space="preserve">their own </w:t>
            </w:r>
            <w:r w:rsidR="00FB7EC6" w:rsidRPr="001F2CA9">
              <w:rPr>
                <w:color w:val="auto"/>
                <w:sz w:val="24"/>
                <w:szCs w:val="24"/>
              </w:rPr>
              <w:t>cash reserves</w:t>
            </w:r>
            <w:r w:rsidRPr="001F2CA9">
              <w:rPr>
                <w:color w:val="auto"/>
                <w:sz w:val="24"/>
                <w:szCs w:val="24"/>
              </w:rPr>
              <w:t>)</w:t>
            </w:r>
          </w:p>
          <w:p w14:paraId="6D0D5354" w14:textId="68BC2153" w:rsidR="00F16C3C" w:rsidRDefault="00F16C3C" w:rsidP="00F16C3C">
            <w:pPr>
              <w:pStyle w:val="ListParagraph"/>
              <w:numPr>
                <w:ilvl w:val="0"/>
                <w:numId w:val="3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Capital funding for IFRS16 type leases (accounting treatment</w:t>
            </w:r>
            <w:r w:rsidR="00FB7EC6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B7EC6">
              <w:rPr>
                <w:color w:val="auto"/>
                <w:sz w:val="24"/>
                <w:szCs w:val="24"/>
              </w:rPr>
              <w:t>non cash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)</w:t>
            </w:r>
          </w:p>
          <w:p w14:paraId="3500A44C" w14:textId="1E159F3F" w:rsidR="00F16C3C" w:rsidRDefault="00F16C3C" w:rsidP="00F16C3C">
            <w:pPr>
              <w:pStyle w:val="ListParagraph"/>
              <w:numPr>
                <w:ilvl w:val="0"/>
                <w:numId w:val="3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National Programmes (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digitisation, mental health, urgent care</w:t>
            </w:r>
            <w:r w:rsidR="00FB7EC6">
              <w:rPr>
                <w:color w:val="auto"/>
                <w:sz w:val="24"/>
                <w:szCs w:val="24"/>
              </w:rPr>
              <w:t xml:space="preserve"> which provide cash and capital envelope funding</w:t>
            </w:r>
            <w:r>
              <w:rPr>
                <w:color w:val="auto"/>
                <w:sz w:val="24"/>
                <w:szCs w:val="24"/>
              </w:rPr>
              <w:t>)</w:t>
            </w:r>
          </w:p>
          <w:p w14:paraId="5DED28D3" w14:textId="77777777" w:rsidR="00F16C3C" w:rsidRPr="00F16C3C" w:rsidRDefault="00F16C3C" w:rsidP="00F16C3C">
            <w:pPr>
              <w:pStyle w:val="ListParagraph"/>
              <w:ind w:left="780"/>
              <w:rPr>
                <w:color w:val="auto"/>
                <w:sz w:val="24"/>
                <w:szCs w:val="24"/>
              </w:rPr>
            </w:pPr>
          </w:p>
          <w:p w14:paraId="6CA09EE8" w14:textId="47B4BD33" w:rsidR="00F16C3C" w:rsidRPr="004D7482" w:rsidRDefault="00F16C3C" w:rsidP="00F16C3C">
            <w:pPr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>There has been a significant over commitment against the available envelope of funding and consequently a prioritisation exercise has been undertaken to agree the apportionment of capital based on an agreed set of principles</w:t>
            </w:r>
            <w:r w:rsidR="00FB7EC6">
              <w:rPr>
                <w:color w:val="auto"/>
                <w:sz w:val="24"/>
                <w:szCs w:val="24"/>
              </w:rPr>
              <w:t xml:space="preserve"> (see prioritisation section below</w:t>
            </w:r>
            <w:r w:rsidRPr="004D7482">
              <w:rPr>
                <w:color w:val="auto"/>
                <w:sz w:val="24"/>
                <w:szCs w:val="24"/>
              </w:rPr>
              <w:t>.</w:t>
            </w:r>
            <w:r w:rsidR="00FB7EC6">
              <w:rPr>
                <w:color w:val="auto"/>
                <w:sz w:val="24"/>
                <w:szCs w:val="24"/>
              </w:rPr>
              <w:t>)</w:t>
            </w:r>
            <w:r w:rsidRPr="004D7482">
              <w:rPr>
                <w:color w:val="auto"/>
                <w:sz w:val="24"/>
                <w:szCs w:val="24"/>
              </w:rPr>
              <w:t xml:space="preserve">  </w:t>
            </w:r>
          </w:p>
          <w:p w14:paraId="7365B164" w14:textId="70882884" w:rsidR="004D7482" w:rsidRDefault="004D7482" w:rsidP="00EE5486">
            <w:pPr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 xml:space="preserve">This has been developed by the ICB in partnership with the five provider organisations </w:t>
            </w:r>
            <w:r w:rsidR="00FB7EC6">
              <w:rPr>
                <w:color w:val="auto"/>
                <w:sz w:val="24"/>
                <w:szCs w:val="24"/>
              </w:rPr>
              <w:t xml:space="preserve">and primary care providers </w:t>
            </w:r>
            <w:r w:rsidRPr="004D7482">
              <w:rPr>
                <w:color w:val="auto"/>
                <w:sz w:val="24"/>
                <w:szCs w:val="24"/>
              </w:rPr>
              <w:t>who fall within the boundary of the ICB</w:t>
            </w:r>
            <w:r w:rsidR="00FB7EC6">
              <w:rPr>
                <w:color w:val="auto"/>
                <w:sz w:val="24"/>
                <w:szCs w:val="24"/>
              </w:rPr>
              <w:t xml:space="preserve">.  The NHS Trusts are </w:t>
            </w:r>
            <w:r w:rsidRPr="004D7482">
              <w:rPr>
                <w:color w:val="auto"/>
                <w:sz w:val="24"/>
                <w:szCs w:val="24"/>
              </w:rPr>
              <w:t xml:space="preserve">Harrogate &amp; District Hospital NHS Foundation Trust, York and Scarborough Hospitals NHS Foundation Trust, Humber Foundation Trust, Hull and East Riding NHS Trust and North Lincolnshire and Goole NHS Foundations Trust. </w:t>
            </w:r>
          </w:p>
          <w:p w14:paraId="32873675" w14:textId="0840EC91" w:rsidR="00FB7EC6" w:rsidRDefault="00FB7EC6" w:rsidP="00EE5486">
            <w:pPr>
              <w:rPr>
                <w:color w:val="auto"/>
                <w:sz w:val="24"/>
                <w:szCs w:val="24"/>
              </w:rPr>
            </w:pPr>
          </w:p>
          <w:p w14:paraId="3DC023C8" w14:textId="0F2996D6" w:rsidR="00FB7EC6" w:rsidRDefault="00FB7EC6" w:rsidP="00EE5486">
            <w:pPr>
              <w:rPr>
                <w:color w:val="auto"/>
                <w:sz w:val="24"/>
                <w:szCs w:val="24"/>
              </w:rPr>
            </w:pPr>
          </w:p>
          <w:p w14:paraId="498C47CA" w14:textId="25AAE521" w:rsidR="00FB7EC6" w:rsidRDefault="00FB7EC6" w:rsidP="00EE5486">
            <w:pPr>
              <w:rPr>
                <w:color w:val="auto"/>
                <w:sz w:val="24"/>
                <w:szCs w:val="24"/>
              </w:rPr>
            </w:pPr>
          </w:p>
          <w:p w14:paraId="2824E72D" w14:textId="2AC56810" w:rsidR="00FB7EC6" w:rsidRDefault="00FB7EC6" w:rsidP="00EE5486">
            <w:pPr>
              <w:rPr>
                <w:color w:val="auto"/>
                <w:sz w:val="24"/>
                <w:szCs w:val="24"/>
              </w:rPr>
            </w:pPr>
          </w:p>
          <w:p w14:paraId="723608EC" w14:textId="1E014125" w:rsidR="00FB7EC6" w:rsidRDefault="00FB7EC6" w:rsidP="00EE5486">
            <w:pPr>
              <w:rPr>
                <w:color w:val="auto"/>
                <w:sz w:val="24"/>
                <w:szCs w:val="24"/>
              </w:rPr>
            </w:pPr>
          </w:p>
          <w:p w14:paraId="312CE236" w14:textId="21EF0D2F" w:rsidR="00FB7EC6" w:rsidRDefault="00FB7EC6" w:rsidP="00EE5486">
            <w:pPr>
              <w:rPr>
                <w:color w:val="auto"/>
                <w:sz w:val="24"/>
                <w:szCs w:val="24"/>
              </w:rPr>
            </w:pPr>
          </w:p>
          <w:p w14:paraId="6AD97633" w14:textId="33987039" w:rsidR="00FB7EC6" w:rsidRDefault="00FB7EC6" w:rsidP="00EE5486">
            <w:pPr>
              <w:rPr>
                <w:color w:val="auto"/>
                <w:sz w:val="24"/>
                <w:szCs w:val="24"/>
              </w:rPr>
            </w:pPr>
          </w:p>
          <w:p w14:paraId="7A16118C" w14:textId="77777777" w:rsidR="00FB7EC6" w:rsidRPr="004D7482" w:rsidRDefault="00FB7EC6" w:rsidP="00EE5486">
            <w:pPr>
              <w:rPr>
                <w:color w:val="auto"/>
                <w:sz w:val="24"/>
                <w:szCs w:val="24"/>
              </w:rPr>
            </w:pPr>
          </w:p>
          <w:p w14:paraId="1FB6C0C0" w14:textId="0A66A7CD" w:rsidR="004D7482" w:rsidRDefault="004D7482" w:rsidP="00EE5486">
            <w:pPr>
              <w:rPr>
                <w:color w:val="auto"/>
                <w:sz w:val="24"/>
                <w:szCs w:val="24"/>
              </w:rPr>
            </w:pPr>
          </w:p>
          <w:tbl>
            <w:tblPr>
              <w:tblW w:w="9392" w:type="dxa"/>
              <w:tblLook w:val="04A0" w:firstRow="1" w:lastRow="0" w:firstColumn="1" w:lastColumn="0" w:noHBand="0" w:noVBand="1"/>
            </w:tblPr>
            <w:tblGrid>
              <w:gridCol w:w="1141"/>
              <w:gridCol w:w="2840"/>
              <w:gridCol w:w="992"/>
              <w:gridCol w:w="4419"/>
            </w:tblGrid>
            <w:tr w:rsidR="00F16C3C" w:rsidRPr="00F16C3C" w14:paraId="2994B4E0" w14:textId="77777777" w:rsidTr="00F16C3C">
              <w:trPr>
                <w:trHeight w:val="300"/>
              </w:trPr>
              <w:tc>
                <w:tcPr>
                  <w:tcW w:w="11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14:paraId="3EF8187D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FFFFFF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28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14:paraId="4ED03832" w14:textId="154061F9" w:rsidR="00F16C3C" w:rsidRPr="00F16C3C" w:rsidRDefault="001F2CA9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en-GB"/>
                    </w:rPr>
                  </w:pPr>
                  <w:r w:rsidRPr="001F2CA9">
                    <w:rPr>
                      <w:rStyle w:val="Strong"/>
                      <w:rFonts w:ascii="Roboto" w:hAnsi="Roboto"/>
                      <w:color w:val="FFFFFF" w:themeColor="background1"/>
                      <w:sz w:val="21"/>
                      <w:szCs w:val="21"/>
                      <w:highlight w:val="blue"/>
                      <w:shd w:val="clear" w:color="auto" w:fill="FFFFFF"/>
                    </w:rPr>
                    <w:t>capital departmental expenditure limit (Capital Spending Limit)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0070C0"/>
                  <w:vAlign w:val="center"/>
                  <w:hideMark/>
                </w:tcPr>
                <w:p w14:paraId="2508A644" w14:textId="77777777" w:rsidR="00F16C3C" w:rsidRPr="00F16C3C" w:rsidRDefault="00F16C3C" w:rsidP="00F16C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Total</w:t>
                  </w:r>
                </w:p>
              </w:tc>
              <w:tc>
                <w:tcPr>
                  <w:tcW w:w="44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0070C0"/>
                  <w:noWrap/>
                  <w:vAlign w:val="center"/>
                  <w:hideMark/>
                </w:tcPr>
                <w:p w14:paraId="57DF38D9" w14:textId="77777777" w:rsidR="00F16C3C" w:rsidRPr="00F16C3C" w:rsidRDefault="00F16C3C" w:rsidP="00F16C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Narrative on the main categories of expenditure</w:t>
                  </w:r>
                </w:p>
              </w:tc>
            </w:tr>
            <w:tr w:rsidR="00F16C3C" w:rsidRPr="00F16C3C" w14:paraId="1D811C7D" w14:textId="77777777" w:rsidTr="00F16C3C">
              <w:trPr>
                <w:trHeight w:val="578"/>
              </w:trPr>
              <w:tc>
                <w:tcPr>
                  <w:tcW w:w="11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EBB943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en-GB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2F088C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70C0"/>
                  <w:vAlign w:val="center"/>
                  <w:hideMark/>
                </w:tcPr>
                <w:p w14:paraId="2567A818" w14:textId="77777777" w:rsidR="00F16C3C" w:rsidRPr="00F16C3C" w:rsidRDefault="00F16C3C" w:rsidP="00F16C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Full Year Plan</w:t>
                  </w:r>
                </w:p>
              </w:tc>
              <w:tc>
                <w:tcPr>
                  <w:tcW w:w="44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A87444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</w:pPr>
                </w:p>
              </w:tc>
            </w:tr>
            <w:tr w:rsidR="00F16C3C" w:rsidRPr="00F16C3C" w14:paraId="515730DF" w14:textId="77777777" w:rsidTr="00F16C3C">
              <w:trPr>
                <w:trHeight w:val="315"/>
              </w:trPr>
              <w:tc>
                <w:tcPr>
                  <w:tcW w:w="11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2E9B55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en-GB"/>
                    </w:rPr>
                  </w:pPr>
                </w:p>
              </w:tc>
              <w:tc>
                <w:tcPr>
                  <w:tcW w:w="28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0A075D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70C0"/>
                  <w:vAlign w:val="center"/>
                  <w:hideMark/>
                </w:tcPr>
                <w:p w14:paraId="1BC93B73" w14:textId="77777777" w:rsidR="00F16C3C" w:rsidRPr="00F16C3C" w:rsidRDefault="00F16C3C" w:rsidP="00F16C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  <w:t>£’000</w:t>
                  </w:r>
                </w:p>
              </w:tc>
              <w:tc>
                <w:tcPr>
                  <w:tcW w:w="44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FA7B41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n-GB"/>
                    </w:rPr>
                  </w:pPr>
                </w:p>
              </w:tc>
            </w:tr>
            <w:tr w:rsidR="00F16C3C" w:rsidRPr="00F16C3C" w14:paraId="26B21958" w14:textId="77777777" w:rsidTr="00F16C3C">
              <w:trPr>
                <w:trHeight w:val="9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AC710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Provider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36170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Operational Capital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E0178" w14:textId="77777777" w:rsidR="00F16C3C" w:rsidRPr="00F16C3C" w:rsidRDefault="00F16C3C" w:rsidP="00F16C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76,492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7B3522" w14:textId="2E864815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Replacement (depreciation) funding, York Vascular </w:t>
                  </w:r>
                  <w:r w:rsidR="00FB7EC6"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Intervention</w:t>
                  </w: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Unit, backlog maintenance</w:t>
                  </w:r>
                </w:p>
              </w:tc>
            </w:tr>
            <w:tr w:rsidR="00F16C3C" w:rsidRPr="00F16C3C" w14:paraId="386B2AA6" w14:textId="77777777" w:rsidTr="00F16C3C">
              <w:trPr>
                <w:trHeight w:val="3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2FD18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ICB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343711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Operational Capital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16D9A" w14:textId="77777777" w:rsidR="00F16C3C" w:rsidRPr="00F16C3C" w:rsidRDefault="00F16C3C" w:rsidP="00F16C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5,567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69267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Catterick £2.5m, primary care capital</w:t>
                  </w:r>
                </w:p>
              </w:tc>
            </w:tr>
            <w:tr w:rsidR="00F16C3C" w:rsidRPr="00F16C3C" w14:paraId="7DA9521C" w14:textId="77777777" w:rsidTr="00F16C3C">
              <w:trPr>
                <w:trHeight w:val="3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24FE2BF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BA74F4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 Op Cap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259DFF" w14:textId="77777777" w:rsidR="00F16C3C" w:rsidRPr="00F16C3C" w:rsidRDefault="00F16C3C" w:rsidP="00F16C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82,059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AF297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F16C3C" w:rsidRPr="00F16C3C" w14:paraId="1FA4B567" w14:textId="77777777" w:rsidTr="00F16C3C">
              <w:trPr>
                <w:trHeight w:val="3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FF268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Provider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C371E5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Impact of IFRS 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55088" w14:textId="77777777" w:rsidR="00F16C3C" w:rsidRPr="00F16C3C" w:rsidRDefault="00F16C3C" w:rsidP="00F16C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10,526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F5249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Medical equipment and estate leases</w:t>
                  </w:r>
                </w:p>
              </w:tc>
            </w:tr>
            <w:tr w:rsidR="00F16C3C" w:rsidRPr="00F16C3C" w14:paraId="705E1FEA" w14:textId="77777777" w:rsidTr="00F16C3C">
              <w:trPr>
                <w:trHeight w:val="3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00611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ICB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855EE5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Impact of IFRS 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62AD1" w14:textId="77777777" w:rsidR="00F16C3C" w:rsidRPr="00F16C3C" w:rsidRDefault="00F16C3C" w:rsidP="00F16C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90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57388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Estate leases</w:t>
                  </w:r>
                </w:p>
              </w:tc>
            </w:tr>
            <w:tr w:rsidR="00F16C3C" w:rsidRPr="00F16C3C" w14:paraId="7BFEB397" w14:textId="77777777" w:rsidTr="00F16C3C">
              <w:trPr>
                <w:trHeight w:val="12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496B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Provider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3C7FFC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gramStart"/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Upgrades  &amp;</w:t>
                  </w:r>
                  <w:proofErr w:type="gramEnd"/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NHP Programmes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6D8E3" w14:textId="77777777" w:rsidR="00F16C3C" w:rsidRPr="00F16C3C" w:rsidRDefault="00F16C3C" w:rsidP="00F16C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10,865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BB5D80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£9m </w:t>
                  </w:r>
                  <w:proofErr w:type="spellStart"/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Scarbourough</w:t>
                  </w:r>
                  <w:proofErr w:type="spellEnd"/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General Hospital- UECC - AAU/A&amp;E New Build and £2m for backlog maintenance relating to Scunthorpe and Grimsby Hospital AAU dept</w:t>
                  </w:r>
                </w:p>
              </w:tc>
            </w:tr>
            <w:tr w:rsidR="00F16C3C" w:rsidRPr="00F16C3C" w14:paraId="551E9EC8" w14:textId="77777777" w:rsidTr="00F16C3C">
              <w:trPr>
                <w:trHeight w:val="9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C9B9E" w14:textId="5804BB9B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Provide</w:t>
                  </w:r>
                  <w:r w:rsidR="001F2CA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</w:t>
                  </w: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2AEEAA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National Programmes (diagnostics, Front line digitisation, Mental Health, TIF)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2C9BF" w14:textId="77777777" w:rsidR="00F16C3C" w:rsidRPr="00F16C3C" w:rsidRDefault="00F16C3C" w:rsidP="00F16C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76,150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D28400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Main programmes consist of EPR £18m, TIF schemes £34m, CDC £17m and other diagnostics £6m</w:t>
                  </w:r>
                </w:p>
              </w:tc>
            </w:tr>
            <w:tr w:rsidR="00F16C3C" w:rsidRPr="00F16C3C" w14:paraId="2E5047CE" w14:textId="77777777" w:rsidTr="00F16C3C">
              <w:trPr>
                <w:trHeight w:val="3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E53FF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Provider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A92259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Other (technical accounting)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77977" w14:textId="77777777" w:rsidR="00F16C3C" w:rsidRPr="00F16C3C" w:rsidRDefault="00F16C3C" w:rsidP="00F16C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1,444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B8880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PFI payments</w:t>
                  </w:r>
                </w:p>
              </w:tc>
            </w:tr>
            <w:tr w:rsidR="00F16C3C" w:rsidRPr="00F16C3C" w14:paraId="425A752A" w14:textId="77777777" w:rsidTr="00F16C3C">
              <w:trPr>
                <w:trHeight w:val="315"/>
              </w:trPr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8DF713E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83556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Total system CDEL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2E79A" w14:textId="77777777" w:rsidR="00F16C3C" w:rsidRPr="00F16C3C" w:rsidRDefault="00F16C3C" w:rsidP="00F16C3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181,134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BE41A" w14:textId="77777777" w:rsidR="00F16C3C" w:rsidRPr="00F16C3C" w:rsidRDefault="00F16C3C" w:rsidP="00F16C3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16C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0FDF1553" w14:textId="77777777" w:rsidR="004D7482" w:rsidRPr="001E5486" w:rsidRDefault="004D7482" w:rsidP="00EE5486">
            <w:pPr>
              <w:rPr>
                <w:sz w:val="24"/>
                <w:szCs w:val="24"/>
              </w:rPr>
            </w:pPr>
          </w:p>
        </w:tc>
      </w:tr>
    </w:tbl>
    <w:p w14:paraId="1737B2A3" w14:textId="3BAC15B4" w:rsidR="004D7482" w:rsidRDefault="004D7482" w:rsidP="004D74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7482" w14:paraId="63B3AA8D" w14:textId="77777777" w:rsidTr="00EE5486">
        <w:trPr>
          <w:trHeight w:val="605"/>
        </w:trPr>
        <w:tc>
          <w:tcPr>
            <w:tcW w:w="9016" w:type="dxa"/>
            <w:shd w:val="clear" w:color="auto" w:fill="365F91" w:themeFill="accent1" w:themeFillShade="BF"/>
            <w:vAlign w:val="center"/>
          </w:tcPr>
          <w:p w14:paraId="4ECCE2E4" w14:textId="77777777" w:rsidR="004D7482" w:rsidRPr="00EF2607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Overview of Ongoing Scheme Progression</w:t>
            </w:r>
          </w:p>
          <w:p w14:paraId="25293034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Guidance:</w:t>
            </w:r>
          </w:p>
          <w:p w14:paraId="382AF988" w14:textId="77777777" w:rsidR="004D7482" w:rsidRPr="00A56BE7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A56BE7">
              <w:rPr>
                <w:i/>
                <w:iCs/>
                <w:color w:val="FFFFFF" w:themeColor="background1"/>
                <w:sz w:val="18"/>
                <w:szCs w:val="18"/>
              </w:rPr>
              <w:t xml:space="preserve">Please provide </w:t>
            </w:r>
            <w:r>
              <w:rPr>
                <w:i/>
                <w:iCs/>
                <w:color w:val="FFFFFF" w:themeColor="background1"/>
                <w:sz w:val="18"/>
                <w:szCs w:val="18"/>
              </w:rPr>
              <w:t>an overview of scheme progression. Probably should only be schemes above a certain level</w:t>
            </w:r>
          </w:p>
        </w:tc>
      </w:tr>
      <w:tr w:rsidR="004D7482" w14:paraId="6F8A94C9" w14:textId="77777777" w:rsidTr="00EE5486">
        <w:trPr>
          <w:trHeight w:val="2716"/>
        </w:trPr>
        <w:tc>
          <w:tcPr>
            <w:tcW w:w="9016" w:type="dxa"/>
            <w:shd w:val="clear" w:color="auto" w:fill="FFFFFF" w:themeFill="background1"/>
          </w:tcPr>
          <w:p w14:paraId="7EA2BC62" w14:textId="77777777" w:rsidR="004D7482" w:rsidRPr="004D7482" w:rsidRDefault="004D7482" w:rsidP="00EE5486">
            <w:pPr>
              <w:rPr>
                <w:color w:val="auto"/>
                <w:sz w:val="24"/>
                <w:szCs w:val="24"/>
              </w:rPr>
            </w:pPr>
          </w:p>
          <w:p w14:paraId="442201A6" w14:textId="6BD475C9" w:rsidR="004D7482" w:rsidRPr="004D7482" w:rsidRDefault="004D7482" w:rsidP="00EE5486">
            <w:pPr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 xml:space="preserve">The ICB has an excellent track record of delivering the system capital programme within plan </w:t>
            </w:r>
            <w:r w:rsidR="00F16C3C">
              <w:rPr>
                <w:color w:val="auto"/>
                <w:sz w:val="24"/>
                <w:szCs w:val="24"/>
              </w:rPr>
              <w:t xml:space="preserve">year on year, through system working and close </w:t>
            </w:r>
            <w:r w:rsidRPr="004D7482">
              <w:rPr>
                <w:color w:val="auto"/>
                <w:sz w:val="24"/>
                <w:szCs w:val="24"/>
              </w:rPr>
              <w:t xml:space="preserve">management of </w:t>
            </w:r>
            <w:r w:rsidR="00F16C3C">
              <w:rPr>
                <w:color w:val="auto"/>
                <w:sz w:val="24"/>
                <w:szCs w:val="24"/>
              </w:rPr>
              <w:t xml:space="preserve">the </w:t>
            </w:r>
            <w:r w:rsidRPr="004D7482">
              <w:rPr>
                <w:color w:val="auto"/>
                <w:sz w:val="24"/>
                <w:szCs w:val="24"/>
              </w:rPr>
              <w:t>risks and mitigations</w:t>
            </w:r>
            <w:r w:rsidR="00F16C3C">
              <w:rPr>
                <w:color w:val="auto"/>
                <w:sz w:val="24"/>
                <w:szCs w:val="24"/>
              </w:rPr>
              <w:t>.</w:t>
            </w:r>
          </w:p>
          <w:p w14:paraId="2570B2DD" w14:textId="2CEF9A75" w:rsidR="004D7482" w:rsidRPr="001E5486" w:rsidRDefault="004D7482" w:rsidP="00F16C3C">
            <w:pPr>
              <w:rPr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>The operational capital is phased over the course of the year with some of the national programmes being a continuation of prior year schemes</w:t>
            </w:r>
            <w:r w:rsidR="00F16C3C">
              <w:rPr>
                <w:color w:val="auto"/>
                <w:sz w:val="24"/>
                <w:szCs w:val="24"/>
              </w:rPr>
              <w:t>.</w:t>
            </w:r>
          </w:p>
        </w:tc>
      </w:tr>
    </w:tbl>
    <w:p w14:paraId="327ACE51" w14:textId="53C97F51" w:rsidR="004D7482" w:rsidRDefault="004D7482" w:rsidP="004D7482">
      <w:pPr>
        <w:rPr>
          <w:b/>
          <w:bCs/>
          <w:sz w:val="24"/>
          <w:szCs w:val="24"/>
        </w:rPr>
      </w:pPr>
    </w:p>
    <w:p w14:paraId="742639F6" w14:textId="798A9603" w:rsidR="00FB7EC6" w:rsidRDefault="00FB7EC6" w:rsidP="004D7482">
      <w:pPr>
        <w:rPr>
          <w:b/>
          <w:bCs/>
          <w:sz w:val="24"/>
          <w:szCs w:val="24"/>
        </w:rPr>
      </w:pPr>
    </w:p>
    <w:p w14:paraId="54A9F6D6" w14:textId="176F526D" w:rsidR="00FB7EC6" w:rsidRDefault="00FB7EC6" w:rsidP="004D7482">
      <w:pPr>
        <w:rPr>
          <w:b/>
          <w:bCs/>
          <w:sz w:val="24"/>
          <w:szCs w:val="24"/>
        </w:rPr>
      </w:pPr>
    </w:p>
    <w:p w14:paraId="24B9DB8B" w14:textId="77777777" w:rsidR="00FB7EC6" w:rsidRDefault="00FB7EC6" w:rsidP="004D74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7482" w14:paraId="6A690748" w14:textId="77777777" w:rsidTr="00EE5486">
        <w:trPr>
          <w:trHeight w:val="605"/>
        </w:trPr>
        <w:tc>
          <w:tcPr>
            <w:tcW w:w="9016" w:type="dxa"/>
            <w:shd w:val="clear" w:color="auto" w:fill="365F91" w:themeFill="accent1" w:themeFillShade="BF"/>
            <w:vAlign w:val="center"/>
          </w:tcPr>
          <w:p w14:paraId="2C49D776" w14:textId="77777777" w:rsidR="004D7482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Risks and Contingencies</w:t>
            </w:r>
          </w:p>
          <w:p w14:paraId="27DBA222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Guidance:</w:t>
            </w:r>
          </w:p>
          <w:p w14:paraId="2FE7CB25" w14:textId="77777777" w:rsidR="004D7482" w:rsidRPr="00A56BE7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AB50B2">
              <w:rPr>
                <w:i/>
                <w:iCs/>
                <w:color w:val="FFFFFF" w:themeColor="background1"/>
                <w:sz w:val="18"/>
                <w:szCs w:val="18"/>
              </w:rPr>
              <w:t>I</w:t>
            </w:r>
            <w:r>
              <w:rPr>
                <w:i/>
                <w:iCs/>
                <w:color w:val="FFFFFF" w:themeColor="background1"/>
                <w:sz w:val="18"/>
                <w:szCs w:val="18"/>
              </w:rPr>
              <w:t>nsert any notable risks and/or contingencies associated with the capital plan. Consider RAG rating risks also.</w:t>
            </w:r>
          </w:p>
        </w:tc>
      </w:tr>
      <w:tr w:rsidR="004D7482" w14:paraId="269B9781" w14:textId="77777777" w:rsidTr="00EE5486">
        <w:trPr>
          <w:trHeight w:val="2908"/>
        </w:trPr>
        <w:tc>
          <w:tcPr>
            <w:tcW w:w="9016" w:type="dxa"/>
            <w:shd w:val="clear" w:color="auto" w:fill="FFFFFF" w:themeFill="background1"/>
          </w:tcPr>
          <w:p w14:paraId="5A4941E0" w14:textId="77777777" w:rsidR="004D7482" w:rsidRPr="004D7482" w:rsidRDefault="004D7482" w:rsidP="00EE5486">
            <w:pPr>
              <w:rPr>
                <w:color w:val="auto"/>
                <w:sz w:val="24"/>
                <w:szCs w:val="24"/>
              </w:rPr>
            </w:pPr>
          </w:p>
          <w:p w14:paraId="0B089F91" w14:textId="63D20B6F" w:rsidR="00F16C3C" w:rsidRDefault="004D7482" w:rsidP="00EE5486">
            <w:pPr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 xml:space="preserve">The over commitment of schemes at planning stage has been </w:t>
            </w:r>
            <w:r w:rsidR="00F16C3C">
              <w:rPr>
                <w:color w:val="auto"/>
                <w:sz w:val="24"/>
                <w:szCs w:val="24"/>
              </w:rPr>
              <w:t xml:space="preserve">managed through partnership working, </w:t>
            </w:r>
            <w:r w:rsidR="00FB7EC6">
              <w:rPr>
                <w:color w:val="auto"/>
                <w:sz w:val="24"/>
                <w:szCs w:val="24"/>
              </w:rPr>
              <w:t>to</w:t>
            </w:r>
            <w:r w:rsidR="00F16C3C">
              <w:rPr>
                <w:color w:val="auto"/>
                <w:sz w:val="24"/>
                <w:szCs w:val="24"/>
              </w:rPr>
              <w:t xml:space="preserve"> agree a system plan.  </w:t>
            </w:r>
            <w:r w:rsidRPr="004D7482">
              <w:rPr>
                <w:color w:val="auto"/>
                <w:sz w:val="24"/>
                <w:szCs w:val="24"/>
              </w:rPr>
              <w:t xml:space="preserve">  </w:t>
            </w:r>
          </w:p>
          <w:p w14:paraId="47711DB8" w14:textId="1AA8196A" w:rsidR="004D7482" w:rsidRPr="004D7482" w:rsidRDefault="004D7482" w:rsidP="00EE5486">
            <w:pPr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>However</w:t>
            </w:r>
            <w:r w:rsidR="00F16C3C">
              <w:rPr>
                <w:color w:val="auto"/>
                <w:sz w:val="24"/>
                <w:szCs w:val="24"/>
              </w:rPr>
              <w:t>,</w:t>
            </w:r>
            <w:r w:rsidRPr="004D7482">
              <w:rPr>
                <w:color w:val="auto"/>
                <w:sz w:val="24"/>
                <w:szCs w:val="24"/>
              </w:rPr>
              <w:t xml:space="preserve"> this leaves </w:t>
            </w:r>
            <w:r w:rsidR="00864FB6" w:rsidRPr="004D7482">
              <w:rPr>
                <w:color w:val="auto"/>
                <w:sz w:val="24"/>
                <w:szCs w:val="24"/>
              </w:rPr>
              <w:t>several</w:t>
            </w:r>
            <w:r w:rsidRPr="004D7482">
              <w:rPr>
                <w:color w:val="auto"/>
                <w:sz w:val="24"/>
                <w:szCs w:val="24"/>
              </w:rPr>
              <w:t xml:space="preserve"> risks</w:t>
            </w:r>
          </w:p>
          <w:p w14:paraId="598DF289" w14:textId="77777777" w:rsidR="004D7482" w:rsidRPr="004D7482" w:rsidRDefault="004D7482" w:rsidP="004D748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>The inability to deliver all the schemes required within the envelope of funding available</w:t>
            </w:r>
          </w:p>
          <w:p w14:paraId="28BC7AB7" w14:textId="77777777" w:rsidR="00864FB6" w:rsidRDefault="004D7482" w:rsidP="00864FB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 xml:space="preserve">Inflationary pressures continue to be a major challenge for our system (as with other systems) and delivering schemes on budget remains challenging, </w:t>
            </w:r>
            <w:r w:rsidRPr="00864FB6">
              <w:rPr>
                <w:color w:val="auto"/>
                <w:sz w:val="24"/>
                <w:szCs w:val="24"/>
              </w:rPr>
              <w:t>however mitigated through value re-engineering and management of spend in year</w:t>
            </w:r>
          </w:p>
          <w:p w14:paraId="15B046DF" w14:textId="6328A12F" w:rsidR="004D7482" w:rsidRPr="00864FB6" w:rsidRDefault="004D7482" w:rsidP="00864FB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4FB6">
              <w:rPr>
                <w:color w:val="auto"/>
                <w:sz w:val="24"/>
                <w:szCs w:val="24"/>
              </w:rPr>
              <w:t xml:space="preserve">The ICB is not carrying any central capital contingency.  The management of slippage or overspends is through monthly monitoring and liaison across the system.  This enables the </w:t>
            </w:r>
            <w:r w:rsidR="00F16C3C" w:rsidRPr="00864FB6">
              <w:rPr>
                <w:color w:val="auto"/>
                <w:sz w:val="24"/>
                <w:szCs w:val="24"/>
              </w:rPr>
              <w:t>I</w:t>
            </w:r>
            <w:r w:rsidRPr="00864FB6">
              <w:rPr>
                <w:color w:val="auto"/>
                <w:sz w:val="24"/>
                <w:szCs w:val="24"/>
              </w:rPr>
              <w:t>CB to manage alternative schemes where slippage is reported or look to manage overshoots through the slipping of other schemes to ensure delivery within the funding and capital envelop</w:t>
            </w:r>
            <w:r w:rsidR="00864FB6" w:rsidRPr="00864FB6">
              <w:rPr>
                <w:color w:val="auto"/>
                <w:sz w:val="24"/>
                <w:szCs w:val="24"/>
              </w:rPr>
              <w:t xml:space="preserve">e </w:t>
            </w:r>
            <w:r w:rsidRPr="00864FB6">
              <w:rPr>
                <w:color w:val="auto"/>
                <w:sz w:val="24"/>
                <w:szCs w:val="24"/>
              </w:rPr>
              <w:t>available</w:t>
            </w:r>
            <w:r w:rsidR="00864FB6" w:rsidRPr="00864FB6">
              <w:rPr>
                <w:color w:val="auto"/>
                <w:sz w:val="24"/>
                <w:szCs w:val="24"/>
              </w:rPr>
              <w:t>.</w:t>
            </w:r>
          </w:p>
        </w:tc>
      </w:tr>
    </w:tbl>
    <w:p w14:paraId="3A0FF612" w14:textId="77777777" w:rsidR="004D7482" w:rsidRDefault="004D7482" w:rsidP="004D74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7482" w14:paraId="23373BFA" w14:textId="77777777" w:rsidTr="00EE5486">
        <w:trPr>
          <w:trHeight w:val="605"/>
        </w:trPr>
        <w:tc>
          <w:tcPr>
            <w:tcW w:w="9016" w:type="dxa"/>
            <w:shd w:val="clear" w:color="auto" w:fill="365F91" w:themeFill="accent1" w:themeFillShade="BF"/>
            <w:vAlign w:val="center"/>
          </w:tcPr>
          <w:p w14:paraId="115FF1F3" w14:textId="77777777" w:rsidR="004D7482" w:rsidRPr="00EE1FF5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Business Cases in 2023/24</w:t>
            </w:r>
          </w:p>
          <w:p w14:paraId="28D1AFDA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Guidance:</w:t>
            </w:r>
          </w:p>
          <w:p w14:paraId="0F53F6FF" w14:textId="77777777" w:rsidR="004D7482" w:rsidRPr="00A56BE7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Please insert detail of some of the key business cases in the ICB that are likely to be submitted in 2023/24.</w:t>
            </w:r>
          </w:p>
        </w:tc>
      </w:tr>
      <w:tr w:rsidR="004D7482" w14:paraId="2C763557" w14:textId="77777777" w:rsidTr="00EE5486">
        <w:trPr>
          <w:trHeight w:val="2908"/>
        </w:trPr>
        <w:tc>
          <w:tcPr>
            <w:tcW w:w="9016" w:type="dxa"/>
            <w:shd w:val="clear" w:color="auto" w:fill="FFFFFF" w:themeFill="background1"/>
          </w:tcPr>
          <w:p w14:paraId="1904A729" w14:textId="0C0D99E3" w:rsidR="004D7482" w:rsidRDefault="004D7482" w:rsidP="00EE5486">
            <w:pPr>
              <w:rPr>
                <w:color w:val="auto"/>
                <w:sz w:val="24"/>
                <w:szCs w:val="24"/>
              </w:rPr>
            </w:pPr>
          </w:p>
          <w:p w14:paraId="00D556E9" w14:textId="1021316C" w:rsidR="00FB7EC6" w:rsidRPr="004D7482" w:rsidRDefault="00FB7EC6" w:rsidP="00EE548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The major </w:t>
            </w:r>
            <w:r w:rsidR="007927B9">
              <w:rPr>
                <w:color w:val="auto"/>
                <w:sz w:val="24"/>
                <w:szCs w:val="24"/>
              </w:rPr>
              <w:t>business cases are</w:t>
            </w:r>
          </w:p>
          <w:p w14:paraId="77894B82" w14:textId="30E5C4E6" w:rsidR="004D7482" w:rsidRPr="00864FB6" w:rsidRDefault="00864FB6" w:rsidP="00864FB6">
            <w:pPr>
              <w:pStyle w:val="ListParagraph"/>
              <w:numPr>
                <w:ilvl w:val="0"/>
                <w:numId w:val="33"/>
              </w:numPr>
              <w:rPr>
                <w:color w:val="auto"/>
                <w:sz w:val="24"/>
                <w:szCs w:val="24"/>
              </w:rPr>
            </w:pPr>
            <w:r w:rsidRPr="00864FB6">
              <w:rPr>
                <w:color w:val="auto"/>
                <w:sz w:val="24"/>
                <w:szCs w:val="24"/>
              </w:rPr>
              <w:t>Scarborough General Hospital – Urgent Emergency Care £9m</w:t>
            </w:r>
          </w:p>
          <w:p w14:paraId="32A314B5" w14:textId="0686D857" w:rsidR="00864FB6" w:rsidRPr="00864FB6" w:rsidRDefault="00864FB6" w:rsidP="00864FB6">
            <w:pPr>
              <w:pStyle w:val="ListParagraph"/>
              <w:numPr>
                <w:ilvl w:val="0"/>
                <w:numId w:val="33"/>
              </w:numPr>
              <w:rPr>
                <w:color w:val="auto"/>
                <w:sz w:val="24"/>
                <w:szCs w:val="24"/>
              </w:rPr>
            </w:pPr>
            <w:r w:rsidRPr="00864FB6">
              <w:rPr>
                <w:color w:val="auto"/>
                <w:sz w:val="24"/>
                <w:szCs w:val="24"/>
              </w:rPr>
              <w:t>E</w:t>
            </w:r>
            <w:r>
              <w:rPr>
                <w:color w:val="auto"/>
                <w:sz w:val="24"/>
                <w:szCs w:val="24"/>
              </w:rPr>
              <w:t xml:space="preserve">lectronic </w:t>
            </w:r>
            <w:r w:rsidRPr="00864FB6">
              <w:rPr>
                <w:color w:val="auto"/>
                <w:sz w:val="24"/>
                <w:szCs w:val="24"/>
              </w:rPr>
              <w:t>P</w:t>
            </w:r>
            <w:r>
              <w:rPr>
                <w:color w:val="auto"/>
                <w:sz w:val="24"/>
                <w:szCs w:val="24"/>
              </w:rPr>
              <w:t xml:space="preserve">atient </w:t>
            </w:r>
            <w:r w:rsidRPr="00864FB6">
              <w:rPr>
                <w:color w:val="auto"/>
                <w:sz w:val="24"/>
                <w:szCs w:val="24"/>
              </w:rPr>
              <w:t>R</w:t>
            </w:r>
            <w:r>
              <w:rPr>
                <w:color w:val="auto"/>
                <w:sz w:val="24"/>
                <w:szCs w:val="24"/>
              </w:rPr>
              <w:t>ecord</w:t>
            </w:r>
            <w:r w:rsidRPr="00864FB6">
              <w:rPr>
                <w:color w:val="auto"/>
                <w:sz w:val="24"/>
                <w:szCs w:val="24"/>
              </w:rPr>
              <w:t xml:space="preserve"> £18m</w:t>
            </w:r>
          </w:p>
          <w:p w14:paraId="58906029" w14:textId="73416AE6" w:rsidR="00864FB6" w:rsidRPr="00864FB6" w:rsidRDefault="00864FB6" w:rsidP="00864FB6">
            <w:pPr>
              <w:pStyle w:val="ListParagraph"/>
              <w:numPr>
                <w:ilvl w:val="0"/>
                <w:numId w:val="33"/>
              </w:numPr>
              <w:rPr>
                <w:color w:val="auto"/>
                <w:sz w:val="24"/>
                <w:szCs w:val="24"/>
              </w:rPr>
            </w:pPr>
            <w:r w:rsidRPr="00864FB6">
              <w:rPr>
                <w:color w:val="auto"/>
                <w:sz w:val="24"/>
                <w:szCs w:val="24"/>
              </w:rPr>
              <w:t>T</w:t>
            </w:r>
            <w:r>
              <w:rPr>
                <w:color w:val="auto"/>
                <w:sz w:val="24"/>
                <w:szCs w:val="24"/>
              </w:rPr>
              <w:t xml:space="preserve">argeted </w:t>
            </w:r>
            <w:r w:rsidRPr="00864FB6">
              <w:rPr>
                <w:color w:val="auto"/>
                <w:sz w:val="24"/>
                <w:szCs w:val="24"/>
              </w:rPr>
              <w:t>I</w:t>
            </w:r>
            <w:r>
              <w:rPr>
                <w:color w:val="auto"/>
                <w:sz w:val="24"/>
                <w:szCs w:val="24"/>
              </w:rPr>
              <w:t xml:space="preserve">nvestment </w:t>
            </w:r>
            <w:r w:rsidRPr="00864FB6">
              <w:rPr>
                <w:color w:val="auto"/>
                <w:sz w:val="24"/>
                <w:szCs w:val="24"/>
              </w:rPr>
              <w:t>F</w:t>
            </w:r>
            <w:r>
              <w:rPr>
                <w:color w:val="auto"/>
                <w:sz w:val="24"/>
                <w:szCs w:val="24"/>
              </w:rPr>
              <w:t>und</w:t>
            </w:r>
            <w:r w:rsidRPr="00864FB6">
              <w:rPr>
                <w:color w:val="auto"/>
                <w:sz w:val="24"/>
                <w:szCs w:val="24"/>
              </w:rPr>
              <w:t xml:space="preserve"> schemes </w:t>
            </w:r>
            <w:r>
              <w:rPr>
                <w:color w:val="auto"/>
                <w:sz w:val="24"/>
                <w:szCs w:val="24"/>
              </w:rPr>
              <w:t xml:space="preserve">for elective recovery </w:t>
            </w:r>
            <w:r w:rsidRPr="00864FB6">
              <w:rPr>
                <w:color w:val="auto"/>
                <w:sz w:val="24"/>
                <w:szCs w:val="24"/>
              </w:rPr>
              <w:t>£34m</w:t>
            </w:r>
            <w:r w:rsidR="007927B9">
              <w:rPr>
                <w:color w:val="auto"/>
                <w:sz w:val="24"/>
                <w:szCs w:val="24"/>
              </w:rPr>
              <w:t xml:space="preserve"> </w:t>
            </w:r>
          </w:p>
          <w:p w14:paraId="7732C5FB" w14:textId="5B47FF6E" w:rsidR="00864FB6" w:rsidRPr="00864FB6" w:rsidRDefault="00864FB6" w:rsidP="00864FB6">
            <w:pPr>
              <w:pStyle w:val="ListParagraph"/>
              <w:numPr>
                <w:ilvl w:val="0"/>
                <w:numId w:val="33"/>
              </w:numPr>
              <w:rPr>
                <w:color w:val="auto"/>
                <w:sz w:val="24"/>
                <w:szCs w:val="24"/>
              </w:rPr>
            </w:pPr>
            <w:r w:rsidRPr="00864FB6">
              <w:rPr>
                <w:color w:val="auto"/>
                <w:sz w:val="24"/>
                <w:szCs w:val="24"/>
              </w:rPr>
              <w:t>C</w:t>
            </w:r>
            <w:r>
              <w:rPr>
                <w:color w:val="auto"/>
                <w:sz w:val="24"/>
                <w:szCs w:val="24"/>
              </w:rPr>
              <w:t xml:space="preserve">ommunity </w:t>
            </w:r>
            <w:r w:rsidRPr="00864FB6">
              <w:rPr>
                <w:color w:val="auto"/>
                <w:sz w:val="24"/>
                <w:szCs w:val="24"/>
              </w:rPr>
              <w:t>D</w:t>
            </w:r>
            <w:r>
              <w:rPr>
                <w:color w:val="auto"/>
                <w:sz w:val="24"/>
                <w:szCs w:val="24"/>
              </w:rPr>
              <w:t xml:space="preserve">iagnostic </w:t>
            </w:r>
            <w:r w:rsidRPr="00864FB6">
              <w:rPr>
                <w:color w:val="auto"/>
                <w:sz w:val="24"/>
                <w:szCs w:val="24"/>
              </w:rPr>
              <w:t>C</w:t>
            </w:r>
            <w:r>
              <w:rPr>
                <w:color w:val="auto"/>
                <w:sz w:val="24"/>
                <w:szCs w:val="24"/>
              </w:rPr>
              <w:t>entres</w:t>
            </w:r>
            <w:r w:rsidRPr="00864FB6">
              <w:rPr>
                <w:color w:val="auto"/>
                <w:sz w:val="24"/>
                <w:szCs w:val="24"/>
              </w:rPr>
              <w:t xml:space="preserve"> £17m </w:t>
            </w:r>
          </w:p>
          <w:p w14:paraId="6BF6C19D" w14:textId="77777777" w:rsidR="00864FB6" w:rsidRDefault="00864FB6" w:rsidP="00864FB6">
            <w:pPr>
              <w:pStyle w:val="ListParagraph"/>
              <w:numPr>
                <w:ilvl w:val="0"/>
                <w:numId w:val="33"/>
              </w:numPr>
              <w:rPr>
                <w:color w:val="auto"/>
                <w:sz w:val="24"/>
                <w:szCs w:val="24"/>
              </w:rPr>
            </w:pPr>
            <w:r w:rsidRPr="00864FB6">
              <w:rPr>
                <w:color w:val="auto"/>
                <w:sz w:val="24"/>
                <w:szCs w:val="24"/>
              </w:rPr>
              <w:t>Other diagnostics £6m</w:t>
            </w:r>
          </w:p>
          <w:p w14:paraId="73DBABC1" w14:textId="77777777" w:rsidR="00864FB6" w:rsidRDefault="00864FB6" w:rsidP="00864FB6">
            <w:pPr>
              <w:pStyle w:val="ListParagraph"/>
              <w:numPr>
                <w:ilvl w:val="0"/>
                <w:numId w:val="33"/>
              </w:numPr>
              <w:rPr>
                <w:color w:val="auto"/>
                <w:sz w:val="24"/>
                <w:szCs w:val="24"/>
              </w:rPr>
            </w:pPr>
            <w:r w:rsidRPr="00864FB6">
              <w:rPr>
                <w:color w:val="auto"/>
                <w:sz w:val="24"/>
                <w:szCs w:val="24"/>
              </w:rPr>
              <w:t>Catterick Integrated Care Campus £2.5m</w:t>
            </w:r>
          </w:p>
          <w:p w14:paraId="663F7B9D" w14:textId="2FAEFC88" w:rsidR="007927B9" w:rsidRPr="00864FB6" w:rsidRDefault="007927B9" w:rsidP="007927B9">
            <w:pPr>
              <w:pStyle w:val="ListParagraph"/>
              <w:rPr>
                <w:color w:val="auto"/>
                <w:sz w:val="24"/>
                <w:szCs w:val="24"/>
              </w:rPr>
            </w:pPr>
          </w:p>
        </w:tc>
      </w:tr>
    </w:tbl>
    <w:p w14:paraId="4DE91562" w14:textId="77777777" w:rsidR="004D7482" w:rsidRDefault="004D7482" w:rsidP="004D7482">
      <w:pPr>
        <w:rPr>
          <w:b/>
          <w:bCs/>
          <w:sz w:val="24"/>
          <w:szCs w:val="24"/>
        </w:rPr>
      </w:pPr>
    </w:p>
    <w:p w14:paraId="01E63516" w14:textId="77777777" w:rsidR="004D7482" w:rsidRDefault="004D7482" w:rsidP="004D7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7482" w14:paraId="179A5AA6" w14:textId="77777777" w:rsidTr="00EE5486">
        <w:trPr>
          <w:trHeight w:val="605"/>
        </w:trPr>
        <w:tc>
          <w:tcPr>
            <w:tcW w:w="9016" w:type="dxa"/>
            <w:shd w:val="clear" w:color="auto" w:fill="365F91" w:themeFill="accent1" w:themeFillShade="BF"/>
            <w:vAlign w:val="center"/>
          </w:tcPr>
          <w:p w14:paraId="778F305B" w14:textId="77777777" w:rsidR="004D7482" w:rsidRPr="00EE1FF5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Cross System Working </w:t>
            </w:r>
          </w:p>
          <w:p w14:paraId="4B3F0913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Guidance:</w:t>
            </w:r>
          </w:p>
          <w:p w14:paraId="4C4BEB9A" w14:textId="77777777" w:rsidR="004D7482" w:rsidRPr="00A56BE7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If applicable, can you detail how your system capital plan is coordinated with other systems or providers located in other systems.</w:t>
            </w:r>
          </w:p>
        </w:tc>
      </w:tr>
      <w:tr w:rsidR="004D7482" w14:paraId="6FFEB909" w14:textId="77777777" w:rsidTr="00EE5486">
        <w:trPr>
          <w:trHeight w:val="2908"/>
        </w:trPr>
        <w:tc>
          <w:tcPr>
            <w:tcW w:w="9016" w:type="dxa"/>
            <w:shd w:val="clear" w:color="auto" w:fill="FFFFFF" w:themeFill="background1"/>
          </w:tcPr>
          <w:p w14:paraId="179454C5" w14:textId="77777777" w:rsidR="004D7482" w:rsidRPr="004D7482" w:rsidRDefault="004D7482" w:rsidP="00EE5486">
            <w:pPr>
              <w:rPr>
                <w:color w:val="auto"/>
                <w:sz w:val="24"/>
                <w:szCs w:val="24"/>
              </w:rPr>
            </w:pPr>
          </w:p>
          <w:p w14:paraId="3084C177" w14:textId="2F501C6C" w:rsidR="004D7482" w:rsidRPr="001E5486" w:rsidRDefault="004D7482" w:rsidP="00EE5486">
            <w:pPr>
              <w:rPr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 xml:space="preserve">We are cognisant of the need to work across </w:t>
            </w:r>
            <w:r w:rsidR="00314F14">
              <w:rPr>
                <w:color w:val="auto"/>
                <w:sz w:val="24"/>
                <w:szCs w:val="24"/>
              </w:rPr>
              <w:t xml:space="preserve">health, </w:t>
            </w:r>
            <w:r w:rsidR="00F06081" w:rsidRPr="004D7482">
              <w:rPr>
                <w:color w:val="auto"/>
                <w:sz w:val="24"/>
                <w:szCs w:val="24"/>
              </w:rPr>
              <w:t>care,</w:t>
            </w:r>
            <w:r w:rsidRPr="004D7482">
              <w:rPr>
                <w:color w:val="auto"/>
                <w:sz w:val="24"/>
                <w:szCs w:val="24"/>
              </w:rPr>
              <w:t xml:space="preserve"> and geographic boundaries.  We have been supportive of the </w:t>
            </w:r>
            <w:proofErr w:type="spellStart"/>
            <w:r w:rsidRPr="004D7482">
              <w:rPr>
                <w:color w:val="auto"/>
                <w:sz w:val="24"/>
                <w:szCs w:val="24"/>
              </w:rPr>
              <w:t>Friarage</w:t>
            </w:r>
            <w:proofErr w:type="spellEnd"/>
            <w:r w:rsidRPr="004D7482">
              <w:rPr>
                <w:color w:val="auto"/>
                <w:sz w:val="24"/>
                <w:szCs w:val="24"/>
              </w:rPr>
              <w:t xml:space="preserve"> elective theatre replacement programme in S Tees Hospital and have transferred capital envelope to enable the development of the Catterick Integrated Care Campus</w:t>
            </w:r>
            <w:r w:rsidR="00314F14">
              <w:rPr>
                <w:color w:val="auto"/>
                <w:sz w:val="24"/>
                <w:szCs w:val="24"/>
              </w:rPr>
              <w:t xml:space="preserve"> with the Ministry of Defence.</w:t>
            </w:r>
          </w:p>
        </w:tc>
      </w:tr>
    </w:tbl>
    <w:p w14:paraId="1A0D8110" w14:textId="77777777" w:rsidR="004D7482" w:rsidRDefault="004D7482" w:rsidP="004D74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7482" w14:paraId="1AE1B76F" w14:textId="77777777" w:rsidTr="00EE5486">
        <w:trPr>
          <w:trHeight w:val="605"/>
        </w:trPr>
        <w:tc>
          <w:tcPr>
            <w:tcW w:w="9016" w:type="dxa"/>
            <w:shd w:val="clear" w:color="auto" w:fill="365F91" w:themeFill="accent1" w:themeFillShade="BF"/>
            <w:vAlign w:val="center"/>
          </w:tcPr>
          <w:p w14:paraId="131D00C8" w14:textId="77777777" w:rsidR="004D7482" w:rsidRPr="00EF2607" w:rsidRDefault="004D7482" w:rsidP="00EE548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Capital Planning &amp; Prioritisation</w:t>
            </w:r>
          </w:p>
          <w:p w14:paraId="5AB3B473" w14:textId="77777777" w:rsidR="004D7482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</w:rPr>
              <w:t>Guidance:</w:t>
            </w:r>
          </w:p>
          <w:p w14:paraId="3B1E77AB" w14:textId="77777777" w:rsidR="004D7482" w:rsidRPr="00490E93" w:rsidRDefault="004D7482" w:rsidP="00EE5486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490E93">
              <w:rPr>
                <w:i/>
                <w:iCs/>
                <w:color w:val="FFFFFF" w:themeColor="background1"/>
                <w:sz w:val="18"/>
                <w:szCs w:val="18"/>
              </w:rPr>
              <w:t>Please detail how your system is prioritising available resources for investments which c</w:t>
            </w:r>
            <w:r w:rsidRPr="00490E93">
              <w:rPr>
                <w:color w:val="FFFFFF" w:themeColor="background1"/>
                <w:sz w:val="18"/>
                <w:szCs w:val="18"/>
              </w:rPr>
              <w:t xml:space="preserve">ontribute </w:t>
            </w:r>
            <w:r w:rsidRPr="00490E93">
              <w:rPr>
                <w:i/>
                <w:iCs/>
                <w:color w:val="FFFFFF" w:themeColor="background1"/>
                <w:sz w:val="18"/>
                <w:szCs w:val="18"/>
              </w:rPr>
              <w:t xml:space="preserve">to the wider local strategic priorities of the </w:t>
            </w:r>
            <w:proofErr w:type="gramStart"/>
            <w:r w:rsidRPr="00490E93">
              <w:rPr>
                <w:i/>
                <w:iCs/>
                <w:color w:val="FFFFFF" w:themeColor="background1"/>
                <w:sz w:val="18"/>
                <w:szCs w:val="18"/>
              </w:rPr>
              <w:t>ICS, and</w:t>
            </w:r>
            <w:proofErr w:type="gramEnd"/>
            <w:r w:rsidRPr="00490E93">
              <w:rPr>
                <w:i/>
                <w:iCs/>
                <w:color w:val="FFFFFF" w:themeColor="background1"/>
                <w:sz w:val="18"/>
                <w:szCs w:val="18"/>
              </w:rPr>
              <w:t xml:space="preserve"> maximise efficiencies within an affordable envelope</w:t>
            </w:r>
            <w:r w:rsidRPr="00FD428D">
              <w:rPr>
                <w:i/>
                <w:iCs/>
                <w:color w:val="FFFFFF" w:themeColor="background1"/>
                <w:sz w:val="18"/>
                <w:szCs w:val="18"/>
              </w:rPr>
              <w:t xml:space="preserve">s </w:t>
            </w:r>
            <w:r>
              <w:rPr>
                <w:i/>
                <w:iCs/>
                <w:color w:val="FFFFFF" w:themeColor="background1"/>
                <w:sz w:val="18"/>
                <w:szCs w:val="18"/>
              </w:rPr>
              <w:t xml:space="preserve">as </w:t>
            </w:r>
            <w:r w:rsidRPr="00FD428D">
              <w:rPr>
                <w:i/>
                <w:iCs/>
                <w:color w:val="FFFFFF" w:themeColor="background1"/>
                <w:sz w:val="18"/>
                <w:szCs w:val="18"/>
              </w:rPr>
              <w:t>well as how this aligns with and supports the ICS’ wider infrastructure strategy - in particular, priorities and plans for future use and development of its estate and assets.</w:t>
            </w:r>
          </w:p>
        </w:tc>
      </w:tr>
      <w:tr w:rsidR="004D7482" w14:paraId="56D49860" w14:textId="77777777" w:rsidTr="00EE5486">
        <w:trPr>
          <w:trHeight w:val="2908"/>
        </w:trPr>
        <w:tc>
          <w:tcPr>
            <w:tcW w:w="9016" w:type="dxa"/>
            <w:shd w:val="clear" w:color="auto" w:fill="FFFFFF" w:themeFill="background1"/>
          </w:tcPr>
          <w:p w14:paraId="782327FD" w14:textId="77777777" w:rsidR="00A739F8" w:rsidRDefault="00A739F8" w:rsidP="00EE5486">
            <w:pPr>
              <w:rPr>
                <w:color w:val="auto"/>
                <w:sz w:val="24"/>
                <w:szCs w:val="24"/>
              </w:rPr>
            </w:pPr>
          </w:p>
          <w:p w14:paraId="6046EEC5" w14:textId="519491C5" w:rsidR="004D7482" w:rsidRPr="004D7482" w:rsidRDefault="004D7482" w:rsidP="00EE5486">
            <w:pPr>
              <w:rPr>
                <w:color w:val="auto"/>
                <w:sz w:val="24"/>
                <w:szCs w:val="24"/>
              </w:rPr>
            </w:pPr>
            <w:r w:rsidRPr="004D7482">
              <w:rPr>
                <w:color w:val="auto"/>
                <w:sz w:val="24"/>
                <w:szCs w:val="24"/>
              </w:rPr>
              <w:t xml:space="preserve">The </w:t>
            </w:r>
            <w:r w:rsidR="00A739F8">
              <w:rPr>
                <w:color w:val="auto"/>
                <w:sz w:val="24"/>
                <w:szCs w:val="24"/>
              </w:rPr>
              <w:t xml:space="preserve">capital </w:t>
            </w:r>
            <w:r w:rsidRPr="004D7482">
              <w:rPr>
                <w:color w:val="auto"/>
                <w:sz w:val="24"/>
                <w:szCs w:val="24"/>
              </w:rPr>
              <w:t xml:space="preserve">prioritisation process </w:t>
            </w:r>
            <w:r w:rsidR="00A739F8">
              <w:rPr>
                <w:color w:val="auto"/>
                <w:sz w:val="24"/>
                <w:szCs w:val="24"/>
              </w:rPr>
              <w:t xml:space="preserve">within the ICB </w:t>
            </w:r>
            <w:r w:rsidRPr="004D7482">
              <w:rPr>
                <w:color w:val="auto"/>
                <w:sz w:val="24"/>
                <w:szCs w:val="24"/>
              </w:rPr>
              <w:t xml:space="preserve">is detailed </w:t>
            </w:r>
            <w:r w:rsidR="00F06081" w:rsidRPr="004D7482">
              <w:rPr>
                <w:color w:val="auto"/>
                <w:sz w:val="24"/>
                <w:szCs w:val="24"/>
              </w:rPr>
              <w:t>below: -</w:t>
            </w:r>
          </w:p>
          <w:p w14:paraId="4D8E4B18" w14:textId="4EA005A2" w:rsidR="004D7482" w:rsidRPr="00A739F8" w:rsidRDefault="004D7482" w:rsidP="004D7482">
            <w:pPr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739F8">
              <w:rPr>
                <w:color w:val="auto"/>
                <w:sz w:val="24"/>
                <w:szCs w:val="24"/>
              </w:rPr>
              <w:t>A draft</w:t>
            </w:r>
            <w:r w:rsidR="00A739F8">
              <w:rPr>
                <w:color w:val="auto"/>
                <w:sz w:val="24"/>
                <w:szCs w:val="24"/>
              </w:rPr>
              <w:t xml:space="preserve"> </w:t>
            </w:r>
            <w:r w:rsidR="00F06081">
              <w:rPr>
                <w:color w:val="auto"/>
                <w:sz w:val="24"/>
                <w:szCs w:val="24"/>
              </w:rPr>
              <w:t>3-year</w:t>
            </w:r>
            <w:r w:rsidRPr="00A739F8">
              <w:rPr>
                <w:color w:val="auto"/>
                <w:sz w:val="24"/>
                <w:szCs w:val="24"/>
              </w:rPr>
              <w:t xml:space="preserve"> capital plan </w:t>
            </w:r>
            <w:r w:rsidR="00A739F8">
              <w:rPr>
                <w:color w:val="auto"/>
                <w:sz w:val="24"/>
                <w:szCs w:val="24"/>
              </w:rPr>
              <w:t>was</w:t>
            </w:r>
            <w:r w:rsidRPr="00A739F8">
              <w:rPr>
                <w:color w:val="auto"/>
                <w:sz w:val="24"/>
                <w:szCs w:val="24"/>
              </w:rPr>
              <w:t xml:space="preserve"> provided by each partner organisation </w:t>
            </w:r>
            <w:r w:rsidR="00A739F8">
              <w:rPr>
                <w:color w:val="auto"/>
                <w:sz w:val="24"/>
                <w:szCs w:val="24"/>
              </w:rPr>
              <w:t xml:space="preserve">at the start of the </w:t>
            </w:r>
            <w:r w:rsidR="00FB7EC6">
              <w:rPr>
                <w:color w:val="auto"/>
                <w:sz w:val="24"/>
                <w:szCs w:val="24"/>
              </w:rPr>
              <w:t>3-year</w:t>
            </w:r>
            <w:r w:rsidR="00A739F8">
              <w:rPr>
                <w:color w:val="auto"/>
                <w:sz w:val="24"/>
                <w:szCs w:val="24"/>
              </w:rPr>
              <w:t xml:space="preserve"> cycle (22/23 – 24/25)</w:t>
            </w:r>
          </w:p>
          <w:p w14:paraId="66E3C8B5" w14:textId="599FDFE2" w:rsidR="004D7482" w:rsidRPr="00A739F8" w:rsidRDefault="004D7482" w:rsidP="004D7482">
            <w:pPr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739F8">
              <w:rPr>
                <w:color w:val="auto"/>
                <w:sz w:val="24"/>
                <w:szCs w:val="24"/>
              </w:rPr>
              <w:t xml:space="preserve">As there will be no separate emergency capital process outside of the envelope, emergency/essential capital investments will have to be the </w:t>
            </w:r>
            <w:r w:rsidR="00A739F8" w:rsidRPr="00A739F8">
              <w:rPr>
                <w:color w:val="auto"/>
                <w:sz w:val="24"/>
                <w:szCs w:val="24"/>
              </w:rPr>
              <w:t>priority</w:t>
            </w:r>
            <w:r w:rsidRPr="00A739F8">
              <w:rPr>
                <w:color w:val="auto"/>
                <w:sz w:val="24"/>
                <w:szCs w:val="24"/>
              </w:rPr>
              <w:t xml:space="preserve">.  These will need to be clearly set out in the organisation’s plan with a clear rationale to enable a peer review and agreement by the Partnership. </w:t>
            </w:r>
          </w:p>
          <w:p w14:paraId="7F1A07BD" w14:textId="77777777" w:rsidR="00270175" w:rsidRPr="00A739F8" w:rsidRDefault="00270175" w:rsidP="00270175">
            <w:pPr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739F8">
              <w:rPr>
                <w:color w:val="auto"/>
                <w:sz w:val="24"/>
                <w:szCs w:val="24"/>
              </w:rPr>
              <w:t xml:space="preserve">Investments that support the maintenance/replacement of existing assets will form the </w:t>
            </w:r>
            <w:r>
              <w:rPr>
                <w:color w:val="auto"/>
                <w:sz w:val="24"/>
                <w:szCs w:val="24"/>
              </w:rPr>
              <w:t xml:space="preserve">bulk of commitments </w:t>
            </w:r>
            <w:r w:rsidRPr="00A739F8">
              <w:rPr>
                <w:color w:val="auto"/>
                <w:sz w:val="24"/>
                <w:szCs w:val="24"/>
              </w:rPr>
              <w:t>against the ICS CDEL envelope (Depreciation)</w:t>
            </w:r>
          </w:p>
          <w:p w14:paraId="4B97C4A9" w14:textId="6AE0A001" w:rsidR="004D7482" w:rsidRPr="00A739F8" w:rsidRDefault="004D7482" w:rsidP="004D7482">
            <w:pPr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739F8">
              <w:rPr>
                <w:color w:val="auto"/>
                <w:sz w:val="24"/>
                <w:szCs w:val="24"/>
              </w:rPr>
              <w:t>ICS strategic priorities identified and agreed by the partnership (</w:t>
            </w:r>
            <w:r w:rsidR="00A739F8">
              <w:rPr>
                <w:color w:val="auto"/>
                <w:sz w:val="24"/>
                <w:szCs w:val="24"/>
              </w:rPr>
              <w:t xml:space="preserve">Vascular Intervention Unit for 22/23-25/26 &amp; </w:t>
            </w:r>
            <w:r w:rsidRPr="00A739F8">
              <w:rPr>
                <w:color w:val="auto"/>
                <w:sz w:val="24"/>
                <w:szCs w:val="24"/>
              </w:rPr>
              <w:t>Catterick agreed 23/24</w:t>
            </w:r>
            <w:r w:rsidR="00270175">
              <w:rPr>
                <w:color w:val="auto"/>
                <w:sz w:val="24"/>
                <w:szCs w:val="24"/>
              </w:rPr>
              <w:t xml:space="preserve"> &amp; 24/25</w:t>
            </w:r>
            <w:r w:rsidRPr="00A739F8">
              <w:rPr>
                <w:color w:val="auto"/>
                <w:sz w:val="24"/>
                <w:szCs w:val="24"/>
              </w:rPr>
              <w:t>)</w:t>
            </w:r>
          </w:p>
          <w:p w14:paraId="43513A0C" w14:textId="77777777" w:rsidR="004D7482" w:rsidRPr="00A739F8" w:rsidRDefault="004D7482" w:rsidP="004D7482">
            <w:pPr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739F8">
              <w:rPr>
                <w:color w:val="auto"/>
                <w:sz w:val="24"/>
                <w:szCs w:val="24"/>
              </w:rPr>
              <w:t>Completion of partially completed schemes</w:t>
            </w:r>
          </w:p>
          <w:p w14:paraId="42AFDCDD" w14:textId="6FB8E698" w:rsidR="00270175" w:rsidRDefault="00270175" w:rsidP="004D7482">
            <w:pPr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739F8">
              <w:rPr>
                <w:color w:val="auto"/>
                <w:sz w:val="24"/>
                <w:szCs w:val="24"/>
              </w:rPr>
              <w:t>Management of capital across multiple years to reflect individual organisation capital needs to complete specific schemes</w:t>
            </w:r>
          </w:p>
          <w:p w14:paraId="7BAA7EEF" w14:textId="0383F436" w:rsidR="004D7482" w:rsidRPr="00270175" w:rsidRDefault="004D7482" w:rsidP="00EE5486">
            <w:pPr>
              <w:numPr>
                <w:ilvl w:val="0"/>
                <w:numId w:val="30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739F8">
              <w:rPr>
                <w:color w:val="auto"/>
                <w:sz w:val="24"/>
                <w:szCs w:val="24"/>
              </w:rPr>
              <w:t>If the total cost of planned capital investments in these categories exceeds the confirmed CDEL envelope</w:t>
            </w:r>
            <w:r w:rsidR="00270175">
              <w:rPr>
                <w:color w:val="auto"/>
                <w:sz w:val="24"/>
                <w:szCs w:val="24"/>
              </w:rPr>
              <w:t xml:space="preserve">, </w:t>
            </w:r>
            <w:r w:rsidRPr="00A739F8">
              <w:rPr>
                <w:color w:val="auto"/>
                <w:sz w:val="24"/>
                <w:szCs w:val="24"/>
              </w:rPr>
              <w:t>pro rata percentage reduction to each organisation to balance to the envelope</w:t>
            </w:r>
            <w:r w:rsidR="00270175">
              <w:rPr>
                <w:color w:val="auto"/>
                <w:sz w:val="24"/>
                <w:szCs w:val="24"/>
              </w:rPr>
              <w:t xml:space="preserve"> of funding available</w:t>
            </w:r>
          </w:p>
        </w:tc>
      </w:tr>
    </w:tbl>
    <w:p w14:paraId="73070D6D" w14:textId="709AFD44" w:rsidR="004D7482" w:rsidRPr="003508BB" w:rsidRDefault="004D7482" w:rsidP="003508BB">
      <w:pPr>
        <w:spacing w:after="0" w:line="240" w:lineRule="auto"/>
        <w:jc w:val="both"/>
        <w:rPr>
          <w:b/>
          <w:bCs/>
          <w:color w:val="auto"/>
          <w:sz w:val="24"/>
          <w:szCs w:val="24"/>
        </w:rPr>
      </w:pPr>
    </w:p>
    <w:p w14:paraId="003A1A42" w14:textId="77777777" w:rsidR="00E576F9" w:rsidRDefault="00E576F9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  <w:sectPr w:rsidR="00E576F9" w:rsidSect="000B082B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59F33BA3" w14:textId="6343CCC1" w:rsidR="00E576F9" w:rsidRDefault="00E576F9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29B8F4F3" w14:textId="3A112A7C" w:rsidR="00945567" w:rsidRPr="00945567" w:rsidRDefault="00B15CB1" w:rsidP="00945567">
      <w:pPr>
        <w:spacing w:after="0" w:line="240" w:lineRule="auto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Appendix </w:t>
      </w:r>
      <w:r w:rsidR="003508BB"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</w:rPr>
        <w:t xml:space="preserve"> - </w:t>
      </w:r>
      <w:r w:rsidR="00945567" w:rsidRPr="00945567">
        <w:rPr>
          <w:color w:val="auto"/>
          <w:sz w:val="36"/>
          <w:szCs w:val="36"/>
        </w:rPr>
        <w:t xml:space="preserve">Joint </w:t>
      </w:r>
      <w:r w:rsidR="00945567">
        <w:rPr>
          <w:color w:val="auto"/>
          <w:sz w:val="36"/>
          <w:szCs w:val="36"/>
        </w:rPr>
        <w:t>C</w:t>
      </w:r>
      <w:r w:rsidR="00945567" w:rsidRPr="00945567">
        <w:rPr>
          <w:color w:val="auto"/>
          <w:sz w:val="36"/>
          <w:szCs w:val="36"/>
        </w:rPr>
        <w:t xml:space="preserve">apital </w:t>
      </w:r>
      <w:r w:rsidR="00945567">
        <w:rPr>
          <w:color w:val="auto"/>
          <w:sz w:val="36"/>
          <w:szCs w:val="36"/>
        </w:rPr>
        <w:t>R</w:t>
      </w:r>
      <w:r w:rsidR="00945567" w:rsidRPr="00945567">
        <w:rPr>
          <w:color w:val="auto"/>
          <w:sz w:val="36"/>
          <w:szCs w:val="36"/>
        </w:rPr>
        <w:t xml:space="preserve">esource </w:t>
      </w:r>
      <w:r w:rsidR="00945567">
        <w:rPr>
          <w:color w:val="auto"/>
          <w:sz w:val="36"/>
          <w:szCs w:val="36"/>
        </w:rPr>
        <w:t>U</w:t>
      </w:r>
      <w:r w:rsidR="00945567" w:rsidRPr="00945567">
        <w:rPr>
          <w:color w:val="auto"/>
          <w:sz w:val="36"/>
          <w:szCs w:val="36"/>
        </w:rPr>
        <w:t xml:space="preserve">se </w:t>
      </w:r>
      <w:r w:rsidR="00945567">
        <w:rPr>
          <w:color w:val="auto"/>
          <w:sz w:val="36"/>
          <w:szCs w:val="36"/>
        </w:rPr>
        <w:t>P</w:t>
      </w:r>
      <w:r w:rsidR="00945567" w:rsidRPr="00945567">
        <w:rPr>
          <w:color w:val="auto"/>
          <w:sz w:val="36"/>
          <w:szCs w:val="36"/>
        </w:rPr>
        <w:t>lan – 202</w:t>
      </w:r>
      <w:r w:rsidR="004328A9">
        <w:rPr>
          <w:color w:val="auto"/>
          <w:sz w:val="36"/>
          <w:szCs w:val="36"/>
        </w:rPr>
        <w:t>3</w:t>
      </w:r>
      <w:r w:rsidR="00945567" w:rsidRPr="00945567">
        <w:rPr>
          <w:color w:val="auto"/>
          <w:sz w:val="36"/>
          <w:szCs w:val="36"/>
        </w:rPr>
        <w:t>/2</w:t>
      </w:r>
      <w:r w:rsidR="004328A9">
        <w:rPr>
          <w:color w:val="auto"/>
          <w:sz w:val="36"/>
          <w:szCs w:val="36"/>
        </w:rPr>
        <w:t>4</w:t>
      </w:r>
    </w:p>
    <w:p w14:paraId="3B130193" w14:textId="500E0FF8" w:rsidR="00E576F9" w:rsidRDefault="00E576F9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46878D90" w14:textId="594EA7D3" w:rsidR="00E576F9" w:rsidRDefault="00E576F9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398933AD" w14:textId="26500BB3" w:rsidR="00E576F9" w:rsidRDefault="00F06081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  <w:r w:rsidRPr="00F06081">
        <w:rPr>
          <w:noProof/>
        </w:rPr>
        <w:drawing>
          <wp:inline distT="0" distB="0" distL="0" distR="0" wp14:anchorId="3D65A150" wp14:editId="4B3AD1A3">
            <wp:extent cx="9251950" cy="3061335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C930" w14:textId="0AD308DD" w:rsidR="00E576F9" w:rsidRDefault="00E576F9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5D07B244" w14:textId="36590972" w:rsidR="00E576F9" w:rsidRDefault="00945567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Individual Organisation plan in appendix </w:t>
      </w:r>
      <w:r w:rsidR="003508BB">
        <w:rPr>
          <w:color w:val="auto"/>
          <w:sz w:val="24"/>
          <w:szCs w:val="24"/>
        </w:rPr>
        <w:t>2</w:t>
      </w:r>
    </w:p>
    <w:p w14:paraId="690600E9" w14:textId="265DE022" w:rsidR="00E576F9" w:rsidRDefault="00E576F9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50147421" w14:textId="3BB7F154" w:rsidR="00E576F9" w:rsidRDefault="00E576F9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18A0E51D" w14:textId="57B16149" w:rsidR="00F06081" w:rsidRPr="00F06081" w:rsidRDefault="00F06081" w:rsidP="00F06081">
      <w:pPr>
        <w:spacing w:after="0" w:line="240" w:lineRule="auto"/>
        <w:rPr>
          <w:b/>
          <w:bCs/>
          <w:color w:val="auto"/>
          <w:sz w:val="24"/>
          <w:szCs w:val="24"/>
        </w:rPr>
      </w:pPr>
      <w:r w:rsidRPr="00F06081">
        <w:rPr>
          <w:b/>
          <w:bCs/>
          <w:color w:val="auto"/>
          <w:sz w:val="24"/>
          <w:szCs w:val="24"/>
        </w:rPr>
        <w:t>Appendix</w:t>
      </w:r>
      <w:r w:rsidR="003508BB">
        <w:rPr>
          <w:b/>
          <w:bCs/>
          <w:color w:val="auto"/>
          <w:sz w:val="24"/>
          <w:szCs w:val="24"/>
        </w:rPr>
        <w:t xml:space="preserve"> 2</w:t>
      </w:r>
      <w:r w:rsidRPr="00F06081">
        <w:rPr>
          <w:b/>
          <w:bCs/>
          <w:color w:val="auto"/>
          <w:sz w:val="24"/>
          <w:szCs w:val="24"/>
        </w:rPr>
        <w:t>– Detailed (provider) Joint capital resource use plan – 202</w:t>
      </w:r>
      <w:r>
        <w:rPr>
          <w:b/>
          <w:bCs/>
          <w:color w:val="auto"/>
          <w:sz w:val="24"/>
          <w:szCs w:val="24"/>
        </w:rPr>
        <w:t>3</w:t>
      </w:r>
      <w:r w:rsidRPr="00F06081">
        <w:rPr>
          <w:b/>
          <w:bCs/>
          <w:color w:val="auto"/>
          <w:sz w:val="24"/>
          <w:szCs w:val="24"/>
        </w:rPr>
        <w:t>/2</w:t>
      </w:r>
      <w:r>
        <w:rPr>
          <w:b/>
          <w:bCs/>
          <w:color w:val="auto"/>
          <w:sz w:val="24"/>
          <w:szCs w:val="24"/>
        </w:rPr>
        <w:t>4</w:t>
      </w:r>
    </w:p>
    <w:p w14:paraId="1F8617E8" w14:textId="77777777" w:rsidR="00F06081" w:rsidRDefault="00F06081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70EA7BE9" w14:textId="77777777" w:rsidR="00F06081" w:rsidRDefault="00F06081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7E55193E" w14:textId="566E5CC0" w:rsidR="00F06081" w:rsidRDefault="003508BB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object w:dxaOrig="1530" w:dyaOrig="992" w14:anchorId="6F683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5pt;height:49.5pt" o:ole="">
            <v:imagedata r:id="rId14" o:title=""/>
          </v:shape>
          <o:OLEObject Type="Embed" ProgID="Excel.Sheet.12" ShapeID="_x0000_i1031" DrawAspect="Icon" ObjectID="_1746971403" r:id="rId15"/>
        </w:object>
      </w:r>
    </w:p>
    <w:p w14:paraId="47833D33" w14:textId="77777777" w:rsidR="00C43873" w:rsidRDefault="00C43873" w:rsidP="00E576F9">
      <w:pPr>
        <w:pStyle w:val="ListParagraph"/>
        <w:spacing w:after="240" w:line="240" w:lineRule="auto"/>
        <w:ind w:left="567"/>
        <w:contextualSpacing w:val="0"/>
        <w:jc w:val="both"/>
        <w:rPr>
          <w:color w:val="auto"/>
          <w:sz w:val="24"/>
          <w:szCs w:val="24"/>
        </w:rPr>
      </w:pPr>
    </w:p>
    <w:p w14:paraId="759DD8E9" w14:textId="49E71A3C" w:rsidR="00C43873" w:rsidRPr="00C43873" w:rsidRDefault="00C43873" w:rsidP="00C43873">
      <w:pPr>
        <w:pStyle w:val="ListParagraph"/>
        <w:spacing w:after="240" w:line="240" w:lineRule="auto"/>
        <w:ind w:left="0"/>
        <w:contextualSpacing w:val="0"/>
        <w:jc w:val="both"/>
        <w:rPr>
          <w:b/>
          <w:bCs/>
          <w:color w:val="auto"/>
          <w:sz w:val="24"/>
          <w:szCs w:val="24"/>
        </w:rPr>
        <w:sectPr w:rsidR="00C43873" w:rsidRPr="00C43873" w:rsidSect="00E576F9">
          <w:pgSz w:w="16838" w:h="11906" w:orient="landscape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78C300BE" w14:textId="15FFB770" w:rsidR="002A0EBC" w:rsidRPr="00482B85" w:rsidRDefault="002A0EBC" w:rsidP="002C3D0A">
      <w:pPr>
        <w:spacing w:after="0" w:line="240" w:lineRule="auto"/>
        <w:rPr>
          <w:color w:val="auto"/>
        </w:rPr>
      </w:pPr>
    </w:p>
    <w:sectPr w:rsidR="002A0EBC" w:rsidRPr="00482B85" w:rsidSect="000B082B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D36F" w14:textId="77777777" w:rsidR="00A203C2" w:rsidRDefault="00A203C2" w:rsidP="00206B76">
      <w:pPr>
        <w:spacing w:after="0" w:line="240" w:lineRule="auto"/>
      </w:pPr>
      <w:r>
        <w:separator/>
      </w:r>
    </w:p>
  </w:endnote>
  <w:endnote w:type="continuationSeparator" w:id="0">
    <w:p w14:paraId="58659D2B" w14:textId="77777777" w:rsidR="00A203C2" w:rsidRDefault="00A203C2" w:rsidP="002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67157"/>
      <w:docPartObj>
        <w:docPartGallery w:val="Page Numbers (Bottom of Page)"/>
        <w:docPartUnique/>
      </w:docPartObj>
    </w:sdtPr>
    <w:sdtEndPr>
      <w:rPr>
        <w:color w:val="auto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  <w:sz w:val="16"/>
            <w:szCs w:val="16"/>
          </w:rPr>
        </w:sdtEndPr>
        <w:sdtContent>
          <w:p w14:paraId="6010A07D" w14:textId="0728662A" w:rsidR="000B082B" w:rsidRPr="006C6CAA" w:rsidRDefault="006C6CAA" w:rsidP="006C6CAA">
            <w:pPr>
              <w:pStyle w:val="Footer"/>
              <w:jc w:val="right"/>
              <w:rPr>
                <w:color w:val="auto"/>
                <w:sz w:val="16"/>
                <w:szCs w:val="16"/>
              </w:rPr>
            </w:pPr>
            <w:r w:rsidRPr="006C6CAA">
              <w:rPr>
                <w:color w:val="auto"/>
                <w:sz w:val="16"/>
                <w:szCs w:val="16"/>
              </w:rPr>
              <w:t xml:space="preserve">Page </w:t>
            </w:r>
            <w:r w:rsidRPr="006C6CAA">
              <w:rPr>
                <w:color w:val="auto"/>
                <w:sz w:val="16"/>
                <w:szCs w:val="16"/>
              </w:rPr>
              <w:fldChar w:fldCharType="begin"/>
            </w:r>
            <w:r w:rsidRPr="006C6CAA">
              <w:rPr>
                <w:color w:val="auto"/>
                <w:sz w:val="16"/>
                <w:szCs w:val="16"/>
              </w:rPr>
              <w:instrText xml:space="preserve"> PAGE </w:instrText>
            </w:r>
            <w:r w:rsidRPr="006C6CAA">
              <w:rPr>
                <w:color w:val="auto"/>
                <w:sz w:val="16"/>
                <w:szCs w:val="16"/>
              </w:rPr>
              <w:fldChar w:fldCharType="separate"/>
            </w:r>
            <w:r w:rsidRPr="006C6CAA">
              <w:rPr>
                <w:noProof/>
                <w:color w:val="auto"/>
                <w:sz w:val="16"/>
                <w:szCs w:val="16"/>
              </w:rPr>
              <w:t>2</w:t>
            </w:r>
            <w:r w:rsidRPr="006C6CAA">
              <w:rPr>
                <w:color w:val="auto"/>
                <w:sz w:val="16"/>
                <w:szCs w:val="16"/>
              </w:rPr>
              <w:fldChar w:fldCharType="end"/>
            </w:r>
            <w:r w:rsidRPr="006C6CAA">
              <w:rPr>
                <w:color w:val="auto"/>
                <w:sz w:val="16"/>
                <w:szCs w:val="16"/>
              </w:rPr>
              <w:t xml:space="preserve"> of </w:t>
            </w:r>
            <w:r w:rsidRPr="006C6CAA">
              <w:rPr>
                <w:color w:val="auto"/>
                <w:sz w:val="16"/>
                <w:szCs w:val="16"/>
              </w:rPr>
              <w:fldChar w:fldCharType="begin"/>
            </w:r>
            <w:r w:rsidRPr="006C6CAA">
              <w:rPr>
                <w:color w:val="auto"/>
                <w:sz w:val="16"/>
                <w:szCs w:val="16"/>
              </w:rPr>
              <w:instrText xml:space="preserve"> NUMPAGES  </w:instrText>
            </w:r>
            <w:r w:rsidRPr="006C6CAA">
              <w:rPr>
                <w:color w:val="auto"/>
                <w:sz w:val="16"/>
                <w:szCs w:val="16"/>
              </w:rPr>
              <w:fldChar w:fldCharType="separate"/>
            </w:r>
            <w:r w:rsidRPr="006C6CAA">
              <w:rPr>
                <w:noProof/>
                <w:color w:val="auto"/>
                <w:sz w:val="16"/>
                <w:szCs w:val="16"/>
              </w:rPr>
              <w:t>2</w:t>
            </w:r>
            <w:r w:rsidRPr="006C6CAA">
              <w:rPr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D466" w14:textId="77777777" w:rsidR="00A203C2" w:rsidRDefault="00A203C2" w:rsidP="00206B76">
      <w:pPr>
        <w:spacing w:after="0" w:line="240" w:lineRule="auto"/>
      </w:pPr>
      <w:r>
        <w:separator/>
      </w:r>
    </w:p>
  </w:footnote>
  <w:footnote w:type="continuationSeparator" w:id="0">
    <w:p w14:paraId="1F39928C" w14:textId="77777777" w:rsidR="00A203C2" w:rsidRDefault="00A203C2" w:rsidP="002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816F" w14:textId="5FC0BAF7" w:rsidR="006C6CAA" w:rsidRDefault="006C6CAA">
    <w:pPr>
      <w:pStyle w:val="Header"/>
    </w:pPr>
    <w:r w:rsidRPr="007109D4">
      <w:rPr>
        <w:noProof/>
      </w:rPr>
      <w:drawing>
        <wp:anchor distT="0" distB="0" distL="114300" distR="114300" simplePos="0" relativeHeight="251656704" behindDoc="0" locked="0" layoutInCell="1" allowOverlap="1" wp14:anchorId="369AF5A8" wp14:editId="33E4CD38">
          <wp:simplePos x="0" y="0"/>
          <wp:positionH relativeFrom="margin">
            <wp:posOffset>0</wp:posOffset>
          </wp:positionH>
          <wp:positionV relativeFrom="paragraph">
            <wp:posOffset>46355</wp:posOffset>
          </wp:positionV>
          <wp:extent cx="2905125" cy="552649"/>
          <wp:effectExtent l="0" t="0" r="0" b="0"/>
          <wp:wrapNone/>
          <wp:docPr id="28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52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9D4">
      <w:rPr>
        <w:noProof/>
      </w:rPr>
      <w:drawing>
        <wp:anchor distT="0" distB="0" distL="114300" distR="114300" simplePos="0" relativeHeight="251657728" behindDoc="0" locked="0" layoutInCell="1" allowOverlap="1" wp14:anchorId="2D3195E9" wp14:editId="60145511">
          <wp:simplePos x="0" y="0"/>
          <wp:positionH relativeFrom="margin">
            <wp:posOffset>4500880</wp:posOffset>
          </wp:positionH>
          <wp:positionV relativeFrom="paragraph">
            <wp:posOffset>-176530</wp:posOffset>
          </wp:positionV>
          <wp:extent cx="1571625" cy="838982"/>
          <wp:effectExtent l="0" t="0" r="0" b="0"/>
          <wp:wrapNone/>
          <wp:docPr id="29" name="Picture 29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8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A0B63" w14:textId="09D8FB9D" w:rsidR="006C6CAA" w:rsidRDefault="006C6CAA">
    <w:pPr>
      <w:pStyle w:val="Header"/>
    </w:pPr>
  </w:p>
  <w:p w14:paraId="1C8325EC" w14:textId="38AB63D4" w:rsidR="006C6CAA" w:rsidRDefault="006C6CAA">
    <w:pPr>
      <w:pStyle w:val="Header"/>
    </w:pPr>
  </w:p>
  <w:p w14:paraId="22218AFE" w14:textId="77777777" w:rsidR="006C6CAA" w:rsidRDefault="006C6CAA">
    <w:pPr>
      <w:pStyle w:val="Header"/>
    </w:pPr>
  </w:p>
  <w:p w14:paraId="303C4631" w14:textId="7430BF15" w:rsidR="007109D4" w:rsidRDefault="0071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09"/>
    <w:multiLevelType w:val="hybridMultilevel"/>
    <w:tmpl w:val="7110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5ED2"/>
    <w:multiLevelType w:val="hybridMultilevel"/>
    <w:tmpl w:val="B8EA7D78"/>
    <w:lvl w:ilvl="0" w:tplc="FFFFFFFF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D945E4"/>
    <w:multiLevelType w:val="hybridMultilevel"/>
    <w:tmpl w:val="DA2C53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D95001"/>
    <w:multiLevelType w:val="multilevel"/>
    <w:tmpl w:val="1856E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A371F1"/>
    <w:multiLevelType w:val="multilevel"/>
    <w:tmpl w:val="B9D25E1E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0A4624"/>
    <w:multiLevelType w:val="hybridMultilevel"/>
    <w:tmpl w:val="9B22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19B9"/>
    <w:multiLevelType w:val="multilevel"/>
    <w:tmpl w:val="1856E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2007"/>
        </w:tabs>
        <w:ind w:left="229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2574"/>
        </w:tabs>
        <w:ind w:left="257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512"/>
        </w:tabs>
        <w:ind w:left="248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69"/>
        </w:tabs>
        <w:ind w:left="286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226"/>
        </w:tabs>
        <w:ind w:left="322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" w15:restartNumberingAfterBreak="0">
    <w:nsid w:val="14F00152"/>
    <w:multiLevelType w:val="hybridMultilevel"/>
    <w:tmpl w:val="B8EA7D78"/>
    <w:lvl w:ilvl="0" w:tplc="07B041E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7226F0"/>
    <w:multiLevelType w:val="multilevel"/>
    <w:tmpl w:val="B9D25E1E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E147A9"/>
    <w:multiLevelType w:val="hybridMultilevel"/>
    <w:tmpl w:val="DAB4D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A376E"/>
    <w:multiLevelType w:val="hybridMultilevel"/>
    <w:tmpl w:val="82A45E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D560E1"/>
    <w:multiLevelType w:val="hybridMultilevel"/>
    <w:tmpl w:val="17C66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19D2"/>
    <w:multiLevelType w:val="hybridMultilevel"/>
    <w:tmpl w:val="93627A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557C40"/>
    <w:multiLevelType w:val="multilevel"/>
    <w:tmpl w:val="3D94CD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  <w:color w:val="auto"/>
        <w:sz w:val="22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45C7521"/>
    <w:multiLevelType w:val="hybridMultilevel"/>
    <w:tmpl w:val="58120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8B5"/>
    <w:multiLevelType w:val="hybridMultilevel"/>
    <w:tmpl w:val="88D2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A482E"/>
    <w:multiLevelType w:val="hybridMultilevel"/>
    <w:tmpl w:val="B8EA7D78"/>
    <w:lvl w:ilvl="0" w:tplc="FFFFFFFF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4317DD"/>
    <w:multiLevelType w:val="hybridMultilevel"/>
    <w:tmpl w:val="51361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63531B"/>
    <w:multiLevelType w:val="hybridMultilevel"/>
    <w:tmpl w:val="E95885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9D6C50"/>
    <w:multiLevelType w:val="multilevel"/>
    <w:tmpl w:val="05749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3A7DD8"/>
    <w:multiLevelType w:val="multilevel"/>
    <w:tmpl w:val="941A2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B743E6"/>
    <w:multiLevelType w:val="hybridMultilevel"/>
    <w:tmpl w:val="072A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7619B"/>
    <w:multiLevelType w:val="hybridMultilevel"/>
    <w:tmpl w:val="87845DC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D03D7E"/>
    <w:multiLevelType w:val="hybridMultilevel"/>
    <w:tmpl w:val="B994F3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BE3F71"/>
    <w:multiLevelType w:val="multilevel"/>
    <w:tmpl w:val="3B56D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2E6AD9"/>
    <w:multiLevelType w:val="multilevel"/>
    <w:tmpl w:val="CECAC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4F4053"/>
    <w:multiLevelType w:val="hybridMultilevel"/>
    <w:tmpl w:val="F49A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2FE3"/>
    <w:multiLevelType w:val="hybridMultilevel"/>
    <w:tmpl w:val="BEFE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4EF4"/>
    <w:multiLevelType w:val="multilevel"/>
    <w:tmpl w:val="609476C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30" w15:restartNumberingAfterBreak="0">
    <w:nsid w:val="5FE111D3"/>
    <w:multiLevelType w:val="hybridMultilevel"/>
    <w:tmpl w:val="FDAC7B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A824CD"/>
    <w:multiLevelType w:val="hybridMultilevel"/>
    <w:tmpl w:val="089E0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633A02"/>
    <w:multiLevelType w:val="multilevel"/>
    <w:tmpl w:val="1856E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FD6109"/>
    <w:multiLevelType w:val="hybridMultilevel"/>
    <w:tmpl w:val="B8EA7D78"/>
    <w:lvl w:ilvl="0" w:tplc="FFFFFFFF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ED5050"/>
    <w:multiLevelType w:val="hybridMultilevel"/>
    <w:tmpl w:val="29A85B00"/>
    <w:lvl w:ilvl="0" w:tplc="1036253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4347AB"/>
    <w:multiLevelType w:val="hybridMultilevel"/>
    <w:tmpl w:val="664831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00819510">
    <w:abstractNumId w:val="20"/>
  </w:num>
  <w:num w:numId="2" w16cid:durableId="853229989">
    <w:abstractNumId w:val="5"/>
  </w:num>
  <w:num w:numId="3" w16cid:durableId="306276732">
    <w:abstractNumId w:val="0"/>
  </w:num>
  <w:num w:numId="4" w16cid:durableId="1882285918">
    <w:abstractNumId w:val="12"/>
  </w:num>
  <w:num w:numId="5" w16cid:durableId="826282583">
    <w:abstractNumId w:val="15"/>
  </w:num>
  <w:num w:numId="6" w16cid:durableId="882404758">
    <w:abstractNumId w:val="28"/>
  </w:num>
  <w:num w:numId="7" w16cid:durableId="2016765191">
    <w:abstractNumId w:val="23"/>
  </w:num>
  <w:num w:numId="8" w16cid:durableId="1770393771">
    <w:abstractNumId w:val="29"/>
  </w:num>
  <w:num w:numId="9" w16cid:durableId="849173376">
    <w:abstractNumId w:val="26"/>
  </w:num>
  <w:num w:numId="10" w16cid:durableId="1154833596">
    <w:abstractNumId w:val="9"/>
  </w:num>
  <w:num w:numId="11" w16cid:durableId="1937444180">
    <w:abstractNumId w:val="3"/>
  </w:num>
  <w:num w:numId="12" w16cid:durableId="205412281">
    <w:abstractNumId w:val="25"/>
  </w:num>
  <w:num w:numId="13" w16cid:durableId="922298831">
    <w:abstractNumId w:val="32"/>
  </w:num>
  <w:num w:numId="14" w16cid:durableId="1590696606">
    <w:abstractNumId w:val="4"/>
  </w:num>
  <w:num w:numId="15" w16cid:durableId="1659193101">
    <w:abstractNumId w:val="6"/>
  </w:num>
  <w:num w:numId="16" w16cid:durableId="929581567">
    <w:abstractNumId w:val="8"/>
  </w:num>
  <w:num w:numId="17" w16cid:durableId="1581215430">
    <w:abstractNumId w:val="30"/>
  </w:num>
  <w:num w:numId="18" w16cid:durableId="1146361509">
    <w:abstractNumId w:val="11"/>
  </w:num>
  <w:num w:numId="19" w16cid:durableId="790511989">
    <w:abstractNumId w:val="22"/>
  </w:num>
  <w:num w:numId="20" w16cid:durableId="26411406">
    <w:abstractNumId w:val="24"/>
  </w:num>
  <w:num w:numId="21" w16cid:durableId="1352493479">
    <w:abstractNumId w:val="35"/>
  </w:num>
  <w:num w:numId="22" w16cid:durableId="1572539052">
    <w:abstractNumId w:val="17"/>
  </w:num>
  <w:num w:numId="23" w16cid:durableId="742600718">
    <w:abstractNumId w:val="21"/>
  </w:num>
  <w:num w:numId="24" w16cid:durableId="1492140945">
    <w:abstractNumId w:val="33"/>
  </w:num>
  <w:num w:numId="25" w16cid:durableId="815072951">
    <w:abstractNumId w:val="27"/>
  </w:num>
  <w:num w:numId="26" w16cid:durableId="1299148224">
    <w:abstractNumId w:val="13"/>
  </w:num>
  <w:num w:numId="27" w16cid:durableId="937450141">
    <w:abstractNumId w:val="7"/>
  </w:num>
  <w:num w:numId="28" w16cid:durableId="1517423778">
    <w:abstractNumId w:val="19"/>
  </w:num>
  <w:num w:numId="29" w16cid:durableId="1100221209">
    <w:abstractNumId w:val="16"/>
  </w:num>
  <w:num w:numId="30" w16cid:durableId="1653753735">
    <w:abstractNumId w:val="18"/>
  </w:num>
  <w:num w:numId="31" w16cid:durableId="1685471772">
    <w:abstractNumId w:val="31"/>
  </w:num>
  <w:num w:numId="32" w16cid:durableId="1532038471">
    <w:abstractNumId w:val="2"/>
  </w:num>
  <w:num w:numId="33" w16cid:durableId="1267619622">
    <w:abstractNumId w:val="10"/>
  </w:num>
  <w:num w:numId="34" w16cid:durableId="1535076120">
    <w:abstractNumId w:val="1"/>
  </w:num>
  <w:num w:numId="35" w16cid:durableId="1939362765">
    <w:abstractNumId w:val="14"/>
  </w:num>
  <w:num w:numId="36" w16cid:durableId="154162749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9F"/>
    <w:rsid w:val="00000041"/>
    <w:rsid w:val="00007950"/>
    <w:rsid w:val="000102CB"/>
    <w:rsid w:val="000126CA"/>
    <w:rsid w:val="00026704"/>
    <w:rsid w:val="00036470"/>
    <w:rsid w:val="00043155"/>
    <w:rsid w:val="00045447"/>
    <w:rsid w:val="000601A8"/>
    <w:rsid w:val="0006137D"/>
    <w:rsid w:val="00063C30"/>
    <w:rsid w:val="00066468"/>
    <w:rsid w:val="00073BBA"/>
    <w:rsid w:val="000755B8"/>
    <w:rsid w:val="00080753"/>
    <w:rsid w:val="00085A81"/>
    <w:rsid w:val="00095494"/>
    <w:rsid w:val="000A2C91"/>
    <w:rsid w:val="000A6313"/>
    <w:rsid w:val="000B082B"/>
    <w:rsid w:val="000B6058"/>
    <w:rsid w:val="000B7B78"/>
    <w:rsid w:val="000C3DF7"/>
    <w:rsid w:val="000D2F25"/>
    <w:rsid w:val="000E4B82"/>
    <w:rsid w:val="000E54A7"/>
    <w:rsid w:val="000E6CE5"/>
    <w:rsid w:val="000F00F0"/>
    <w:rsid w:val="000F3FCD"/>
    <w:rsid w:val="000F681C"/>
    <w:rsid w:val="001049D6"/>
    <w:rsid w:val="0010586B"/>
    <w:rsid w:val="0010672E"/>
    <w:rsid w:val="00117908"/>
    <w:rsid w:val="00122DFC"/>
    <w:rsid w:val="00133A04"/>
    <w:rsid w:val="00137DBB"/>
    <w:rsid w:val="0015699B"/>
    <w:rsid w:val="00165FAE"/>
    <w:rsid w:val="00167407"/>
    <w:rsid w:val="001707FF"/>
    <w:rsid w:val="001768CF"/>
    <w:rsid w:val="001774D9"/>
    <w:rsid w:val="00186878"/>
    <w:rsid w:val="00196845"/>
    <w:rsid w:val="001A441A"/>
    <w:rsid w:val="001B1EF2"/>
    <w:rsid w:val="001B25C2"/>
    <w:rsid w:val="001B7FA9"/>
    <w:rsid w:val="001C09DB"/>
    <w:rsid w:val="001C2543"/>
    <w:rsid w:val="001C6F52"/>
    <w:rsid w:val="001C786C"/>
    <w:rsid w:val="001E6526"/>
    <w:rsid w:val="001E780C"/>
    <w:rsid w:val="001F2CA9"/>
    <w:rsid w:val="002001E7"/>
    <w:rsid w:val="00202518"/>
    <w:rsid w:val="00204AC7"/>
    <w:rsid w:val="00206B76"/>
    <w:rsid w:val="00211B1F"/>
    <w:rsid w:val="0021269C"/>
    <w:rsid w:val="00213DF2"/>
    <w:rsid w:val="00214DFC"/>
    <w:rsid w:val="002161A6"/>
    <w:rsid w:val="0021698E"/>
    <w:rsid w:val="002170BA"/>
    <w:rsid w:val="00217123"/>
    <w:rsid w:val="00221680"/>
    <w:rsid w:val="00222F0D"/>
    <w:rsid w:val="002258B0"/>
    <w:rsid w:val="0023264A"/>
    <w:rsid w:val="0023574C"/>
    <w:rsid w:val="002415F0"/>
    <w:rsid w:val="00243019"/>
    <w:rsid w:val="00250EA4"/>
    <w:rsid w:val="00253B89"/>
    <w:rsid w:val="0025572F"/>
    <w:rsid w:val="00255925"/>
    <w:rsid w:val="002561D2"/>
    <w:rsid w:val="00270175"/>
    <w:rsid w:val="00270E1F"/>
    <w:rsid w:val="00270E8F"/>
    <w:rsid w:val="00273C37"/>
    <w:rsid w:val="002746BC"/>
    <w:rsid w:val="00292CD0"/>
    <w:rsid w:val="00294C64"/>
    <w:rsid w:val="0029694C"/>
    <w:rsid w:val="002A0EBC"/>
    <w:rsid w:val="002A13D9"/>
    <w:rsid w:val="002A33AE"/>
    <w:rsid w:val="002A5816"/>
    <w:rsid w:val="002B0F1C"/>
    <w:rsid w:val="002B3075"/>
    <w:rsid w:val="002B3EA5"/>
    <w:rsid w:val="002B4676"/>
    <w:rsid w:val="002B6F55"/>
    <w:rsid w:val="002B7229"/>
    <w:rsid w:val="002C3D0A"/>
    <w:rsid w:val="002D223A"/>
    <w:rsid w:val="002D22F3"/>
    <w:rsid w:val="002D2FBC"/>
    <w:rsid w:val="002D4BC5"/>
    <w:rsid w:val="002D7FCB"/>
    <w:rsid w:val="002E50F3"/>
    <w:rsid w:val="002E7DDE"/>
    <w:rsid w:val="003011F5"/>
    <w:rsid w:val="00303057"/>
    <w:rsid w:val="0030526A"/>
    <w:rsid w:val="00306457"/>
    <w:rsid w:val="00310A09"/>
    <w:rsid w:val="00314926"/>
    <w:rsid w:val="00314F14"/>
    <w:rsid w:val="00326FBF"/>
    <w:rsid w:val="00331295"/>
    <w:rsid w:val="003312D3"/>
    <w:rsid w:val="00331688"/>
    <w:rsid w:val="003328D6"/>
    <w:rsid w:val="00340567"/>
    <w:rsid w:val="0034324D"/>
    <w:rsid w:val="003508BB"/>
    <w:rsid w:val="00356967"/>
    <w:rsid w:val="003728AB"/>
    <w:rsid w:val="003734A1"/>
    <w:rsid w:val="00373698"/>
    <w:rsid w:val="0037462C"/>
    <w:rsid w:val="0037732B"/>
    <w:rsid w:val="00381FC0"/>
    <w:rsid w:val="00386180"/>
    <w:rsid w:val="00387246"/>
    <w:rsid w:val="0038793F"/>
    <w:rsid w:val="00390986"/>
    <w:rsid w:val="00390F40"/>
    <w:rsid w:val="003A14A9"/>
    <w:rsid w:val="003A1818"/>
    <w:rsid w:val="003B2F18"/>
    <w:rsid w:val="003B6637"/>
    <w:rsid w:val="003C1D6F"/>
    <w:rsid w:val="003C5AB0"/>
    <w:rsid w:val="003D11C8"/>
    <w:rsid w:val="003D47EE"/>
    <w:rsid w:val="003D729B"/>
    <w:rsid w:val="003E4F0A"/>
    <w:rsid w:val="003F6485"/>
    <w:rsid w:val="003F7FBC"/>
    <w:rsid w:val="00405FAB"/>
    <w:rsid w:val="004159D1"/>
    <w:rsid w:val="004168BB"/>
    <w:rsid w:val="004307C4"/>
    <w:rsid w:val="00431C03"/>
    <w:rsid w:val="00431DFE"/>
    <w:rsid w:val="00432645"/>
    <w:rsid w:val="004328A9"/>
    <w:rsid w:val="004368D3"/>
    <w:rsid w:val="00440CA7"/>
    <w:rsid w:val="00440CFB"/>
    <w:rsid w:val="0044576F"/>
    <w:rsid w:val="00445AFD"/>
    <w:rsid w:val="004540FF"/>
    <w:rsid w:val="0046152F"/>
    <w:rsid w:val="00466779"/>
    <w:rsid w:val="004764FD"/>
    <w:rsid w:val="004765EA"/>
    <w:rsid w:val="00476E2A"/>
    <w:rsid w:val="00481604"/>
    <w:rsid w:val="00482B85"/>
    <w:rsid w:val="00485613"/>
    <w:rsid w:val="0049270B"/>
    <w:rsid w:val="004927D7"/>
    <w:rsid w:val="0049375E"/>
    <w:rsid w:val="00496429"/>
    <w:rsid w:val="00497DAE"/>
    <w:rsid w:val="004A4AF8"/>
    <w:rsid w:val="004A4FEF"/>
    <w:rsid w:val="004A6F2B"/>
    <w:rsid w:val="004B0CCF"/>
    <w:rsid w:val="004B6A05"/>
    <w:rsid w:val="004C16F5"/>
    <w:rsid w:val="004C2B19"/>
    <w:rsid w:val="004C525D"/>
    <w:rsid w:val="004D060E"/>
    <w:rsid w:val="004D7482"/>
    <w:rsid w:val="004E24B1"/>
    <w:rsid w:val="004F1273"/>
    <w:rsid w:val="004F190C"/>
    <w:rsid w:val="004F3385"/>
    <w:rsid w:val="00505381"/>
    <w:rsid w:val="00521467"/>
    <w:rsid w:val="00524FEE"/>
    <w:rsid w:val="0052611C"/>
    <w:rsid w:val="0054508E"/>
    <w:rsid w:val="00555274"/>
    <w:rsid w:val="00556818"/>
    <w:rsid w:val="00563D73"/>
    <w:rsid w:val="00566BDC"/>
    <w:rsid w:val="00570ED5"/>
    <w:rsid w:val="00571205"/>
    <w:rsid w:val="005855F9"/>
    <w:rsid w:val="0059099C"/>
    <w:rsid w:val="00592F4E"/>
    <w:rsid w:val="005952CF"/>
    <w:rsid w:val="0059566F"/>
    <w:rsid w:val="005A3F90"/>
    <w:rsid w:val="005A5070"/>
    <w:rsid w:val="005A6CEB"/>
    <w:rsid w:val="005C4DDD"/>
    <w:rsid w:val="005C6C78"/>
    <w:rsid w:val="005D3300"/>
    <w:rsid w:val="005E2527"/>
    <w:rsid w:val="005E3B35"/>
    <w:rsid w:val="005E5BC8"/>
    <w:rsid w:val="005F3077"/>
    <w:rsid w:val="00600448"/>
    <w:rsid w:val="00600FD0"/>
    <w:rsid w:val="00604489"/>
    <w:rsid w:val="00606936"/>
    <w:rsid w:val="00611220"/>
    <w:rsid w:val="0061339A"/>
    <w:rsid w:val="0061348C"/>
    <w:rsid w:val="00613ACB"/>
    <w:rsid w:val="006219EE"/>
    <w:rsid w:val="006227C9"/>
    <w:rsid w:val="0063018A"/>
    <w:rsid w:val="00633D8D"/>
    <w:rsid w:val="00634CC3"/>
    <w:rsid w:val="006353ED"/>
    <w:rsid w:val="006362B9"/>
    <w:rsid w:val="00647B0B"/>
    <w:rsid w:val="006500B1"/>
    <w:rsid w:val="006552CE"/>
    <w:rsid w:val="00696849"/>
    <w:rsid w:val="00696CD9"/>
    <w:rsid w:val="006A114D"/>
    <w:rsid w:val="006A1DFE"/>
    <w:rsid w:val="006A2D48"/>
    <w:rsid w:val="006C125A"/>
    <w:rsid w:val="006C31DB"/>
    <w:rsid w:val="006C4C28"/>
    <w:rsid w:val="006C6CAA"/>
    <w:rsid w:val="006C7A4C"/>
    <w:rsid w:val="006D1B3F"/>
    <w:rsid w:val="006D362D"/>
    <w:rsid w:val="006D3BFA"/>
    <w:rsid w:val="006E1649"/>
    <w:rsid w:val="006F51F1"/>
    <w:rsid w:val="006F7291"/>
    <w:rsid w:val="007025AD"/>
    <w:rsid w:val="0070366D"/>
    <w:rsid w:val="007109D4"/>
    <w:rsid w:val="00714138"/>
    <w:rsid w:val="00717141"/>
    <w:rsid w:val="00722B9F"/>
    <w:rsid w:val="00723683"/>
    <w:rsid w:val="00743AD3"/>
    <w:rsid w:val="0074404F"/>
    <w:rsid w:val="00746877"/>
    <w:rsid w:val="00750340"/>
    <w:rsid w:val="00750FD9"/>
    <w:rsid w:val="00752FC4"/>
    <w:rsid w:val="00764500"/>
    <w:rsid w:val="007650BC"/>
    <w:rsid w:val="007736DB"/>
    <w:rsid w:val="007765DF"/>
    <w:rsid w:val="00785AAF"/>
    <w:rsid w:val="007927B9"/>
    <w:rsid w:val="007A31C3"/>
    <w:rsid w:val="007A3FFD"/>
    <w:rsid w:val="007B2F2E"/>
    <w:rsid w:val="007B6BF9"/>
    <w:rsid w:val="007B7316"/>
    <w:rsid w:val="007C197E"/>
    <w:rsid w:val="007C42F1"/>
    <w:rsid w:val="007C6F0E"/>
    <w:rsid w:val="007D2276"/>
    <w:rsid w:val="007D4159"/>
    <w:rsid w:val="007D5A7F"/>
    <w:rsid w:val="007E0F0A"/>
    <w:rsid w:val="007E630F"/>
    <w:rsid w:val="007E7D10"/>
    <w:rsid w:val="00801D37"/>
    <w:rsid w:val="008104F6"/>
    <w:rsid w:val="008133A3"/>
    <w:rsid w:val="008142EE"/>
    <w:rsid w:val="00814A1E"/>
    <w:rsid w:val="0081687C"/>
    <w:rsid w:val="008205C8"/>
    <w:rsid w:val="008233C9"/>
    <w:rsid w:val="00832316"/>
    <w:rsid w:val="00856A5A"/>
    <w:rsid w:val="00856D9A"/>
    <w:rsid w:val="00857751"/>
    <w:rsid w:val="008601C9"/>
    <w:rsid w:val="0086257D"/>
    <w:rsid w:val="00862AFA"/>
    <w:rsid w:val="00864DEE"/>
    <w:rsid w:val="00864FB6"/>
    <w:rsid w:val="00865394"/>
    <w:rsid w:val="00880E9F"/>
    <w:rsid w:val="00884D3A"/>
    <w:rsid w:val="008951B4"/>
    <w:rsid w:val="008A1857"/>
    <w:rsid w:val="008A3599"/>
    <w:rsid w:val="008B1783"/>
    <w:rsid w:val="008B518F"/>
    <w:rsid w:val="008C54B1"/>
    <w:rsid w:val="008D121F"/>
    <w:rsid w:val="008D4F11"/>
    <w:rsid w:val="008E64C6"/>
    <w:rsid w:val="008F2002"/>
    <w:rsid w:val="008F27FD"/>
    <w:rsid w:val="00901FDA"/>
    <w:rsid w:val="0090276F"/>
    <w:rsid w:val="009061A5"/>
    <w:rsid w:val="00912FC7"/>
    <w:rsid w:val="009136DB"/>
    <w:rsid w:val="00913A2F"/>
    <w:rsid w:val="00922F3D"/>
    <w:rsid w:val="0092717F"/>
    <w:rsid w:val="0093186A"/>
    <w:rsid w:val="009369E8"/>
    <w:rsid w:val="00941C08"/>
    <w:rsid w:val="0094347C"/>
    <w:rsid w:val="00945567"/>
    <w:rsid w:val="00953DC4"/>
    <w:rsid w:val="00955029"/>
    <w:rsid w:val="00963148"/>
    <w:rsid w:val="00970A26"/>
    <w:rsid w:val="009722A9"/>
    <w:rsid w:val="0098708B"/>
    <w:rsid w:val="009A6569"/>
    <w:rsid w:val="009B0877"/>
    <w:rsid w:val="009C5785"/>
    <w:rsid w:val="009C5E34"/>
    <w:rsid w:val="009D047E"/>
    <w:rsid w:val="009D1E5C"/>
    <w:rsid w:val="009E24D5"/>
    <w:rsid w:val="009E3B04"/>
    <w:rsid w:val="009F44BF"/>
    <w:rsid w:val="00A02876"/>
    <w:rsid w:val="00A07AA3"/>
    <w:rsid w:val="00A11200"/>
    <w:rsid w:val="00A14791"/>
    <w:rsid w:val="00A15746"/>
    <w:rsid w:val="00A203C2"/>
    <w:rsid w:val="00A24C14"/>
    <w:rsid w:val="00A304AD"/>
    <w:rsid w:val="00A31302"/>
    <w:rsid w:val="00A35FB5"/>
    <w:rsid w:val="00A5045D"/>
    <w:rsid w:val="00A5301A"/>
    <w:rsid w:val="00A5390B"/>
    <w:rsid w:val="00A569F8"/>
    <w:rsid w:val="00A713CE"/>
    <w:rsid w:val="00A739F8"/>
    <w:rsid w:val="00A75C83"/>
    <w:rsid w:val="00A7647F"/>
    <w:rsid w:val="00A76A81"/>
    <w:rsid w:val="00A83562"/>
    <w:rsid w:val="00A83737"/>
    <w:rsid w:val="00A87191"/>
    <w:rsid w:val="00A90438"/>
    <w:rsid w:val="00A90556"/>
    <w:rsid w:val="00A928F1"/>
    <w:rsid w:val="00A949EE"/>
    <w:rsid w:val="00A958CA"/>
    <w:rsid w:val="00A95E61"/>
    <w:rsid w:val="00A962A9"/>
    <w:rsid w:val="00AA5631"/>
    <w:rsid w:val="00AB7ECB"/>
    <w:rsid w:val="00AC0599"/>
    <w:rsid w:val="00AC22C8"/>
    <w:rsid w:val="00AC6206"/>
    <w:rsid w:val="00AD0594"/>
    <w:rsid w:val="00AD1F06"/>
    <w:rsid w:val="00AD44BB"/>
    <w:rsid w:val="00AD4F6E"/>
    <w:rsid w:val="00AE0874"/>
    <w:rsid w:val="00AE1706"/>
    <w:rsid w:val="00AE1D23"/>
    <w:rsid w:val="00AE2D7B"/>
    <w:rsid w:val="00AE2E2B"/>
    <w:rsid w:val="00AF03B4"/>
    <w:rsid w:val="00AF22F7"/>
    <w:rsid w:val="00AF316A"/>
    <w:rsid w:val="00AF4C41"/>
    <w:rsid w:val="00B00F64"/>
    <w:rsid w:val="00B01207"/>
    <w:rsid w:val="00B0337D"/>
    <w:rsid w:val="00B1044C"/>
    <w:rsid w:val="00B15CB1"/>
    <w:rsid w:val="00B177EC"/>
    <w:rsid w:val="00B17BE3"/>
    <w:rsid w:val="00B2634B"/>
    <w:rsid w:val="00B30D44"/>
    <w:rsid w:val="00B30FD3"/>
    <w:rsid w:val="00B42479"/>
    <w:rsid w:val="00B449FA"/>
    <w:rsid w:val="00B451D5"/>
    <w:rsid w:val="00B47858"/>
    <w:rsid w:val="00B52206"/>
    <w:rsid w:val="00B52DED"/>
    <w:rsid w:val="00B7033E"/>
    <w:rsid w:val="00B81A37"/>
    <w:rsid w:val="00B86AF2"/>
    <w:rsid w:val="00B87F8C"/>
    <w:rsid w:val="00B907B0"/>
    <w:rsid w:val="00B91EB9"/>
    <w:rsid w:val="00B9497F"/>
    <w:rsid w:val="00B9579C"/>
    <w:rsid w:val="00BA2E3F"/>
    <w:rsid w:val="00BA31CD"/>
    <w:rsid w:val="00BB336B"/>
    <w:rsid w:val="00BC06EC"/>
    <w:rsid w:val="00BC1D7D"/>
    <w:rsid w:val="00BC2195"/>
    <w:rsid w:val="00BC377E"/>
    <w:rsid w:val="00BD03D7"/>
    <w:rsid w:val="00BD3885"/>
    <w:rsid w:val="00BD54FC"/>
    <w:rsid w:val="00BD6B55"/>
    <w:rsid w:val="00BE579C"/>
    <w:rsid w:val="00BE6F00"/>
    <w:rsid w:val="00C00E2C"/>
    <w:rsid w:val="00C1714A"/>
    <w:rsid w:val="00C20147"/>
    <w:rsid w:val="00C252C7"/>
    <w:rsid w:val="00C30EF9"/>
    <w:rsid w:val="00C34C43"/>
    <w:rsid w:val="00C37C28"/>
    <w:rsid w:val="00C4131D"/>
    <w:rsid w:val="00C43873"/>
    <w:rsid w:val="00C448EC"/>
    <w:rsid w:val="00C44A95"/>
    <w:rsid w:val="00C506E5"/>
    <w:rsid w:val="00C52EC7"/>
    <w:rsid w:val="00C572FC"/>
    <w:rsid w:val="00C736DA"/>
    <w:rsid w:val="00C760C9"/>
    <w:rsid w:val="00C7729B"/>
    <w:rsid w:val="00C80109"/>
    <w:rsid w:val="00C8521E"/>
    <w:rsid w:val="00C85307"/>
    <w:rsid w:val="00C953E2"/>
    <w:rsid w:val="00CA216F"/>
    <w:rsid w:val="00CA24E7"/>
    <w:rsid w:val="00CA4189"/>
    <w:rsid w:val="00CA5C12"/>
    <w:rsid w:val="00CB5092"/>
    <w:rsid w:val="00CC7D9F"/>
    <w:rsid w:val="00CD003C"/>
    <w:rsid w:val="00CD20A8"/>
    <w:rsid w:val="00CD5926"/>
    <w:rsid w:val="00CD6317"/>
    <w:rsid w:val="00CD7034"/>
    <w:rsid w:val="00CF5029"/>
    <w:rsid w:val="00D00EC7"/>
    <w:rsid w:val="00D01DF8"/>
    <w:rsid w:val="00D05ADC"/>
    <w:rsid w:val="00D164AE"/>
    <w:rsid w:val="00D24B48"/>
    <w:rsid w:val="00D37F9D"/>
    <w:rsid w:val="00D431A0"/>
    <w:rsid w:val="00D4384B"/>
    <w:rsid w:val="00D51ED1"/>
    <w:rsid w:val="00D5363C"/>
    <w:rsid w:val="00D619F8"/>
    <w:rsid w:val="00D72226"/>
    <w:rsid w:val="00D72609"/>
    <w:rsid w:val="00D80231"/>
    <w:rsid w:val="00D80612"/>
    <w:rsid w:val="00D86D42"/>
    <w:rsid w:val="00D90441"/>
    <w:rsid w:val="00D90801"/>
    <w:rsid w:val="00DA3AD6"/>
    <w:rsid w:val="00DA55E6"/>
    <w:rsid w:val="00DC01B6"/>
    <w:rsid w:val="00DC40FB"/>
    <w:rsid w:val="00DC7824"/>
    <w:rsid w:val="00DC7FA8"/>
    <w:rsid w:val="00DD2A78"/>
    <w:rsid w:val="00DD3540"/>
    <w:rsid w:val="00DD7F1F"/>
    <w:rsid w:val="00DE1C6F"/>
    <w:rsid w:val="00DE6B70"/>
    <w:rsid w:val="00DF22AE"/>
    <w:rsid w:val="00E02119"/>
    <w:rsid w:val="00E16508"/>
    <w:rsid w:val="00E16E8E"/>
    <w:rsid w:val="00E17BB7"/>
    <w:rsid w:val="00E213AA"/>
    <w:rsid w:val="00E22336"/>
    <w:rsid w:val="00E22D69"/>
    <w:rsid w:val="00E238FC"/>
    <w:rsid w:val="00E23F16"/>
    <w:rsid w:val="00E26982"/>
    <w:rsid w:val="00E3188D"/>
    <w:rsid w:val="00E3617B"/>
    <w:rsid w:val="00E36CAA"/>
    <w:rsid w:val="00E37AF0"/>
    <w:rsid w:val="00E428C9"/>
    <w:rsid w:val="00E42977"/>
    <w:rsid w:val="00E42FE7"/>
    <w:rsid w:val="00E4346B"/>
    <w:rsid w:val="00E43B29"/>
    <w:rsid w:val="00E44F8C"/>
    <w:rsid w:val="00E576F9"/>
    <w:rsid w:val="00E661DD"/>
    <w:rsid w:val="00E735DB"/>
    <w:rsid w:val="00E750DE"/>
    <w:rsid w:val="00E77806"/>
    <w:rsid w:val="00E84C5B"/>
    <w:rsid w:val="00E93107"/>
    <w:rsid w:val="00EA32BA"/>
    <w:rsid w:val="00EA4E93"/>
    <w:rsid w:val="00EA7E82"/>
    <w:rsid w:val="00EB0802"/>
    <w:rsid w:val="00EC02C2"/>
    <w:rsid w:val="00EC11A1"/>
    <w:rsid w:val="00ED01F9"/>
    <w:rsid w:val="00ED2242"/>
    <w:rsid w:val="00ED7BB0"/>
    <w:rsid w:val="00EE3645"/>
    <w:rsid w:val="00EE4E15"/>
    <w:rsid w:val="00EF012F"/>
    <w:rsid w:val="00EF158C"/>
    <w:rsid w:val="00EF2519"/>
    <w:rsid w:val="00EF4BA3"/>
    <w:rsid w:val="00F02345"/>
    <w:rsid w:val="00F06081"/>
    <w:rsid w:val="00F07B5F"/>
    <w:rsid w:val="00F12D21"/>
    <w:rsid w:val="00F143B8"/>
    <w:rsid w:val="00F169E7"/>
    <w:rsid w:val="00F16C3C"/>
    <w:rsid w:val="00F17DC9"/>
    <w:rsid w:val="00F23802"/>
    <w:rsid w:val="00F27EF3"/>
    <w:rsid w:val="00F32A5F"/>
    <w:rsid w:val="00F4644B"/>
    <w:rsid w:val="00F46D9A"/>
    <w:rsid w:val="00F50234"/>
    <w:rsid w:val="00F51B74"/>
    <w:rsid w:val="00F60A32"/>
    <w:rsid w:val="00F623A5"/>
    <w:rsid w:val="00F751F4"/>
    <w:rsid w:val="00F76790"/>
    <w:rsid w:val="00F86952"/>
    <w:rsid w:val="00F87E85"/>
    <w:rsid w:val="00F96AEC"/>
    <w:rsid w:val="00FA5C25"/>
    <w:rsid w:val="00FA6456"/>
    <w:rsid w:val="00FB76C8"/>
    <w:rsid w:val="00FB795B"/>
    <w:rsid w:val="00FB7EC6"/>
    <w:rsid w:val="00FC0217"/>
    <w:rsid w:val="00FC2654"/>
    <w:rsid w:val="00FC40F8"/>
    <w:rsid w:val="00FC6A4D"/>
    <w:rsid w:val="00FE1045"/>
    <w:rsid w:val="00FE3EB7"/>
    <w:rsid w:val="00FE444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B748746"/>
  <w15:docId w15:val="{F58E08F4-C2EF-4B92-8DE6-E5F3845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F2"/>
    <w:pPr>
      <w:spacing w:after="200" w:line="276" w:lineRule="auto"/>
    </w:pPr>
    <w:rPr>
      <w:color w:val="FF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76790"/>
    <w:pPr>
      <w:keepNext/>
      <w:spacing w:after="0" w:line="240" w:lineRule="auto"/>
      <w:ind w:left="-72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76790"/>
    <w:pPr>
      <w:keepNext/>
      <w:spacing w:after="0" w:line="240" w:lineRule="auto"/>
      <w:ind w:left="720" w:hanging="720"/>
      <w:jc w:val="both"/>
      <w:outlineLvl w:val="4"/>
    </w:pPr>
    <w:rPr>
      <w:rFonts w:eastAsia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7679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76790"/>
    <w:rPr>
      <w:rFonts w:eastAsia="Times New Roman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76790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6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C2"/>
    <w:rPr>
      <w:rFonts w:ascii="Tahoma" w:hAnsi="Tahoma" w:cs="Tahoma"/>
      <w:color w:val="FF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26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C786C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86C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2D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76"/>
    <w:rPr>
      <w:color w:val="FF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76"/>
    <w:rPr>
      <w:color w:val="FF0000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E735DB"/>
    <w:rPr>
      <w:smallCaps/>
      <w:color w:val="C0504D" w:themeColor="accent2"/>
      <w:u w:val="single"/>
    </w:rPr>
  </w:style>
  <w:style w:type="table" w:styleId="GridTable5Dark-Accent1">
    <w:name w:val="Grid Table 5 Dark Accent 1"/>
    <w:basedOn w:val="TableNormal"/>
    <w:uiPriority w:val="50"/>
    <w:rsid w:val="00743AD3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743AD3"/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5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5B8"/>
    <w:rPr>
      <w:color w:val="FF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5B8"/>
    <w:rPr>
      <w:b/>
      <w:bCs/>
      <w:color w:val="FF0000"/>
      <w:lang w:eastAsia="en-US"/>
    </w:rPr>
  </w:style>
  <w:style w:type="paragraph" w:styleId="Revision">
    <w:name w:val="Revision"/>
    <w:hidden/>
    <w:uiPriority w:val="99"/>
    <w:semiHidden/>
    <w:rsid w:val="005E3B35"/>
    <w:rPr>
      <w:color w:val="FF0000"/>
      <w:sz w:val="22"/>
      <w:szCs w:val="22"/>
      <w:lang w:eastAsia="en-US"/>
    </w:rPr>
  </w:style>
  <w:style w:type="paragraph" w:styleId="NoSpacing">
    <w:name w:val="No Spacing"/>
    <w:uiPriority w:val="1"/>
    <w:qFormat/>
    <w:rsid w:val="0094347C"/>
    <w:rPr>
      <w:color w:val="FF0000"/>
      <w:sz w:val="22"/>
      <w:szCs w:val="22"/>
      <w:lang w:eastAsia="en-US"/>
    </w:rPr>
  </w:style>
  <w:style w:type="paragraph" w:styleId="ListBullet">
    <w:name w:val="List Bullet"/>
    <w:basedOn w:val="BodyText"/>
    <w:uiPriority w:val="14"/>
    <w:qFormat/>
    <w:rsid w:val="000F3FCD"/>
    <w:pPr>
      <w:numPr>
        <w:numId w:val="27"/>
      </w:numPr>
      <w:tabs>
        <w:tab w:val="clear" w:pos="2007"/>
        <w:tab w:val="num" w:pos="360"/>
      </w:tabs>
      <w:spacing w:after="50" w:line="360" w:lineRule="atLeast"/>
      <w:ind w:left="0" w:firstLine="0"/>
    </w:pPr>
    <w:rPr>
      <w:rFonts w:eastAsiaTheme="minorHAnsi" w:cstheme="minorBidi"/>
      <w:color w:val="231F20"/>
      <w:sz w:val="24"/>
      <w:szCs w:val="24"/>
    </w:rPr>
  </w:style>
  <w:style w:type="paragraph" w:styleId="ListBullet2">
    <w:name w:val="List Bullet 2"/>
    <w:basedOn w:val="BodyText"/>
    <w:uiPriority w:val="14"/>
    <w:qFormat/>
    <w:rsid w:val="000F3FCD"/>
    <w:pPr>
      <w:numPr>
        <w:ilvl w:val="1"/>
        <w:numId w:val="27"/>
      </w:numPr>
      <w:tabs>
        <w:tab w:val="clear" w:pos="2574"/>
        <w:tab w:val="num" w:pos="360"/>
      </w:tabs>
      <w:spacing w:after="50" w:line="360" w:lineRule="atLeast"/>
      <w:ind w:left="0" w:firstLine="0"/>
    </w:pPr>
    <w:rPr>
      <w:rFonts w:eastAsiaTheme="minorHAnsi" w:cstheme="minorBidi"/>
      <w:color w:val="231F20"/>
      <w:sz w:val="24"/>
      <w:szCs w:val="24"/>
    </w:rPr>
  </w:style>
  <w:style w:type="paragraph" w:styleId="ListBullet3">
    <w:name w:val="List Bullet 3"/>
    <w:basedOn w:val="BodyText"/>
    <w:uiPriority w:val="99"/>
    <w:semiHidden/>
    <w:qFormat/>
    <w:rsid w:val="000F3FCD"/>
    <w:pPr>
      <w:numPr>
        <w:ilvl w:val="2"/>
        <w:numId w:val="27"/>
      </w:numPr>
      <w:tabs>
        <w:tab w:val="clear" w:pos="2512"/>
        <w:tab w:val="num" w:pos="360"/>
      </w:tabs>
      <w:spacing w:after="280" w:line="360" w:lineRule="atLeast"/>
      <w:ind w:left="0" w:firstLine="0"/>
      <w:contextualSpacing/>
    </w:pPr>
    <w:rPr>
      <w:rFonts w:eastAsiaTheme="minorHAnsi" w:cstheme="minorBidi"/>
      <w:color w:val="231F20"/>
      <w:sz w:val="24"/>
      <w:szCs w:val="24"/>
    </w:rPr>
  </w:style>
  <w:style w:type="paragraph" w:styleId="ListBullet4">
    <w:name w:val="List Bullet 4"/>
    <w:basedOn w:val="BodyText"/>
    <w:uiPriority w:val="99"/>
    <w:semiHidden/>
    <w:rsid w:val="000F3FCD"/>
    <w:pPr>
      <w:numPr>
        <w:ilvl w:val="3"/>
        <w:numId w:val="27"/>
      </w:numPr>
      <w:tabs>
        <w:tab w:val="clear" w:pos="2869"/>
        <w:tab w:val="num" w:pos="360"/>
      </w:tabs>
      <w:spacing w:after="280" w:line="360" w:lineRule="atLeast"/>
      <w:ind w:left="0" w:firstLine="0"/>
      <w:contextualSpacing/>
    </w:pPr>
    <w:rPr>
      <w:rFonts w:eastAsiaTheme="minorHAnsi" w:cstheme="minorBidi"/>
      <w:color w:val="231F20"/>
      <w:sz w:val="24"/>
      <w:szCs w:val="24"/>
    </w:rPr>
  </w:style>
  <w:style w:type="paragraph" w:styleId="ListBullet5">
    <w:name w:val="List Bullet 5"/>
    <w:basedOn w:val="BodyText"/>
    <w:uiPriority w:val="99"/>
    <w:semiHidden/>
    <w:rsid w:val="000F3FCD"/>
    <w:pPr>
      <w:numPr>
        <w:ilvl w:val="4"/>
        <w:numId w:val="27"/>
      </w:numPr>
      <w:tabs>
        <w:tab w:val="clear" w:pos="3226"/>
        <w:tab w:val="num" w:pos="360"/>
      </w:tabs>
      <w:spacing w:after="280" w:line="360" w:lineRule="atLeast"/>
      <w:ind w:left="0" w:firstLine="0"/>
      <w:contextualSpacing/>
    </w:pPr>
    <w:rPr>
      <w:rFonts w:eastAsiaTheme="minorHAnsi" w:cstheme="minorBidi"/>
      <w:color w:val="231F20"/>
      <w:sz w:val="24"/>
      <w:szCs w:val="24"/>
    </w:rPr>
  </w:style>
  <w:style w:type="numbering" w:customStyle="1" w:styleId="NHSBullets">
    <w:name w:val="NHS Bullets"/>
    <w:basedOn w:val="NoList"/>
    <w:uiPriority w:val="99"/>
    <w:rsid w:val="000F3FCD"/>
    <w:pPr>
      <w:numPr>
        <w:numId w:val="27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0F3F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FCD"/>
    <w:rPr>
      <w:color w:val="FF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F2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EC464A73C475A80859ABEF643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9450-B90F-4952-818A-35820355518A}"/>
      </w:docPartPr>
      <w:docPartBody>
        <w:p w:rsidR="00C257C2" w:rsidRDefault="00C978A9" w:rsidP="00C978A9">
          <w:pPr>
            <w:pStyle w:val="F33EC464A73C475A80859ABEF6438D72"/>
          </w:pPr>
          <w:r w:rsidRPr="009823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9"/>
    <w:rsid w:val="00C257C2"/>
    <w:rsid w:val="00C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8A9"/>
    <w:rPr>
      <w:color w:val="808080"/>
    </w:rPr>
  </w:style>
  <w:style w:type="paragraph" w:customStyle="1" w:styleId="F33EC464A73C475A80859ABEF6438D72">
    <w:name w:val="F33EC464A73C475A80859ABEF6438D72"/>
    <w:rsid w:val="00C97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6a82410-35a1-48d9-a432-e298e5b95e46">
      <Terms xmlns="http://schemas.microsoft.com/office/infopath/2007/PartnerControls"/>
    </lcf76f155ced4ddcb4097134ff3c332f>
    <_ip_UnifiedCompliancePolicyProperties xmlns="http://schemas.microsoft.com/sharepoint/v3" xsi:nil="true"/>
    <TaxCatchAll xmlns="1365388d-8e0b-4df5-a0a3-cd102b49988e" xsi:nil="true"/>
    <Comments xmlns="f6a82410-35a1-48d9-a432-e298e5b95e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7180B59FCBE449E03EB1FD08F5A6A" ma:contentTypeVersion="18" ma:contentTypeDescription="Create a new document." ma:contentTypeScope="" ma:versionID="d78dcc516d9d0b8c742806fdab7285b1">
  <xsd:schema xmlns:xsd="http://www.w3.org/2001/XMLSchema" xmlns:xs="http://www.w3.org/2001/XMLSchema" xmlns:p="http://schemas.microsoft.com/office/2006/metadata/properties" xmlns:ns1="http://schemas.microsoft.com/sharepoint/v3" xmlns:ns2="1365388d-8e0b-4df5-a0a3-cd102b49988e" xmlns:ns3="f6a82410-35a1-48d9-a432-e298e5b95e46" targetNamespace="http://schemas.microsoft.com/office/2006/metadata/properties" ma:root="true" ma:fieldsID="6bb9151ac21032116a52c569213d6963" ns1:_="" ns2:_="" ns3:_="">
    <xsd:import namespace="http://schemas.microsoft.com/sharepoint/v3"/>
    <xsd:import namespace="1365388d-8e0b-4df5-a0a3-cd102b49988e"/>
    <xsd:import namespace="f6a82410-35a1-48d9-a432-e298e5b95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Comme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388d-8e0b-4df5-a0a3-cd102b49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5315965-592d-4197-93ef-99919b253d80}" ma:internalName="TaxCatchAll" ma:showField="CatchAllData" ma:web="1365388d-8e0b-4df5-a0a3-cd102b49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2410-35a1-48d9-a432-e298e5b95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63037-B374-4E91-8EE6-BB39F8C966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a82410-35a1-48d9-a432-e298e5b95e46"/>
    <ds:schemaRef ds:uri="1365388d-8e0b-4df5-a0a3-cd102b49988e"/>
  </ds:schemaRefs>
</ds:datastoreItem>
</file>

<file path=customXml/itemProps2.xml><?xml version="1.0" encoding="utf-8"?>
<ds:datastoreItem xmlns:ds="http://schemas.openxmlformats.org/officeDocument/2006/customXml" ds:itemID="{44AEE223-3043-4547-99A2-9190AF282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65388d-8e0b-4df5-a0a3-cd102b49988e"/>
    <ds:schemaRef ds:uri="f6a82410-35a1-48d9-a432-e298e5b95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53A60-B544-4BC1-9182-F2A47243D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1DA949-B127-41BD-B7F7-DFC352955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Hull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smorley</dc:creator>
  <cp:keywords/>
  <dc:description/>
  <cp:lastModifiedBy>Mark Bradley</cp:lastModifiedBy>
  <cp:revision>2</cp:revision>
  <cp:lastPrinted>2017-09-01T14:28:00Z</cp:lastPrinted>
  <dcterms:created xsi:type="dcterms:W3CDTF">2023-05-30T16:04:00Z</dcterms:created>
  <dcterms:modified xsi:type="dcterms:W3CDTF">2023-05-30T16:04:00Z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0x010100F3E7180B59FCBE449E03EB1FD08F5A6A</vt:lpwstr>
  </property>
  <property fmtid="{D5CDD505-2E9C-101B-9397-08002B2CF9AE}" pid="3" name="MediaServiceImageTags">
    <vt:lpwstr/>
  </property>
</Properties>
</file>