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34616F3D" w:rsidR="00EC7BEA" w:rsidRPr="00402368" w:rsidRDefault="005F4E82" w:rsidP="00316E2C">
      <w:pPr>
        <w:rPr>
          <w:noProof/>
        </w:rPr>
      </w:pPr>
      <w:r w:rsidRPr="00A21D3C">
        <w:rPr>
          <w:noProof/>
        </w:rPr>
        <w:drawing>
          <wp:anchor distT="0" distB="0" distL="114300" distR="114300" simplePos="0" relativeHeight="251662336" behindDoc="0" locked="0" layoutInCell="1" allowOverlap="1" wp14:anchorId="31472B6A" wp14:editId="0CFC2525">
            <wp:simplePos x="0" y="0"/>
            <wp:positionH relativeFrom="margin">
              <wp:align>left</wp:align>
            </wp:positionH>
            <wp:positionV relativeFrom="margin">
              <wp:posOffset>-481965</wp:posOffset>
            </wp:positionV>
            <wp:extent cx="3324225" cy="692150"/>
            <wp:effectExtent l="0" t="0" r="952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7216" behindDoc="0" locked="0" layoutInCell="1" allowOverlap="1" wp14:anchorId="7F05DE8B" wp14:editId="236C4E14">
            <wp:simplePos x="0" y="0"/>
            <wp:positionH relativeFrom="margin">
              <wp:posOffset>4925060</wp:posOffset>
            </wp:positionH>
            <wp:positionV relativeFrom="margin">
              <wp:posOffset>-508000</wp:posOffset>
            </wp:positionV>
            <wp:extent cx="1905000" cy="10287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r w:rsidR="00E11730">
        <w:rPr>
          <w:noProof/>
        </w:rPr>
        <w:tab/>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76D7E5B6" w14:textId="77777777" w:rsidR="004D7F55" w:rsidRPr="00402368" w:rsidRDefault="004D7F55" w:rsidP="00316E2C">
      <w:pPr>
        <w:rPr>
          <w:b/>
        </w:rPr>
      </w:pPr>
    </w:p>
    <w:p w14:paraId="5F8E3F83" w14:textId="77777777" w:rsidR="00AE286E" w:rsidRDefault="00AE286E" w:rsidP="00316E2C">
      <w:pPr>
        <w:jc w:val="center"/>
        <w:rPr>
          <w:b/>
          <w:bCs/>
          <w:color w:val="auto"/>
          <w:sz w:val="48"/>
          <w:szCs w:val="48"/>
        </w:rPr>
      </w:pPr>
    </w:p>
    <w:p w14:paraId="46CF4ABD" w14:textId="77777777" w:rsidR="00A53001" w:rsidRPr="00A53001" w:rsidRDefault="00A53001" w:rsidP="00A53001">
      <w:pPr>
        <w:pStyle w:val="Title"/>
        <w:rPr>
          <w:color w:val="auto"/>
          <w:sz w:val="48"/>
          <w:szCs w:val="48"/>
        </w:rPr>
      </w:pPr>
      <w:r w:rsidRPr="48C4AA5A">
        <w:rPr>
          <w:color w:val="auto"/>
          <w:sz w:val="48"/>
          <w:szCs w:val="48"/>
        </w:rPr>
        <w:t>DATA PROTECTION AND CONFIDENTIALITY POLICY</w:t>
      </w:r>
    </w:p>
    <w:p w14:paraId="6F275B5B" w14:textId="0AB83C6A" w:rsidR="009605B9" w:rsidRDefault="009605B9" w:rsidP="00316E2C">
      <w:pPr>
        <w:jc w:val="center"/>
        <w:rPr>
          <w:b/>
          <w:bCs/>
          <w:color w:val="auto"/>
          <w:sz w:val="48"/>
          <w:szCs w:val="48"/>
        </w:rPr>
      </w:pPr>
    </w:p>
    <w:p w14:paraId="1D3FF1CD" w14:textId="387D4080" w:rsidR="00AE286E" w:rsidRPr="00AE286E" w:rsidRDefault="0041654E" w:rsidP="00316E2C">
      <w:pPr>
        <w:jc w:val="center"/>
        <w:rPr>
          <w:b/>
          <w:bCs/>
          <w:color w:val="auto"/>
          <w:sz w:val="36"/>
          <w:szCs w:val="36"/>
        </w:rPr>
      </w:pPr>
      <w:r>
        <w:rPr>
          <w:b/>
          <w:bCs/>
          <w:color w:val="auto"/>
          <w:sz w:val="36"/>
          <w:szCs w:val="36"/>
        </w:rPr>
        <w:t>June</w:t>
      </w:r>
      <w:r w:rsidR="0053236F">
        <w:rPr>
          <w:b/>
          <w:bCs/>
          <w:color w:val="auto"/>
          <w:sz w:val="36"/>
          <w:szCs w:val="36"/>
        </w:rPr>
        <w:t xml:space="preserve"> 2023</w:t>
      </w:r>
    </w:p>
    <w:p w14:paraId="26E34E15" w14:textId="79374D86" w:rsidR="005F4E82" w:rsidRDefault="005F4E82" w:rsidP="005F4E82">
      <w:pPr>
        <w:spacing w:line="240" w:lineRule="auto"/>
        <w:jc w:val="center"/>
        <w:rPr>
          <w:color w:val="FF0000"/>
        </w:rPr>
      </w:pPr>
    </w:p>
    <w:p w14:paraId="35D6C1E1" w14:textId="762B8BED" w:rsidR="009605B9" w:rsidRPr="00402368" w:rsidRDefault="009605B9" w:rsidP="00316E2C"/>
    <w:tbl>
      <w:tblPr>
        <w:tblStyle w:val="TableGrid"/>
        <w:tblpPr w:leftFromText="180" w:rightFromText="180" w:vertAnchor="text" w:tblpX="75" w:tblpY="1"/>
        <w:tblOverlap w:val="never"/>
        <w:tblW w:w="10607" w:type="dxa"/>
        <w:tblLook w:val="04A0" w:firstRow="1" w:lastRow="0" w:firstColumn="1" w:lastColumn="0" w:noHBand="0" w:noVBand="1"/>
      </w:tblPr>
      <w:tblGrid>
        <w:gridCol w:w="4644"/>
        <w:gridCol w:w="5963"/>
      </w:tblGrid>
      <w:tr w:rsidR="003057AE" w:rsidRPr="00402368" w14:paraId="47EBEA0C" w14:textId="77777777" w:rsidTr="00316E2C">
        <w:tc>
          <w:tcPr>
            <w:tcW w:w="4644" w:type="dxa"/>
          </w:tcPr>
          <w:p w14:paraId="0AD8B207" w14:textId="2EB3C3D5" w:rsidR="003057AE" w:rsidRPr="00402368" w:rsidRDefault="003057AE" w:rsidP="00316E2C">
            <w:pPr>
              <w:rPr>
                <w:b/>
                <w:color w:val="auto"/>
              </w:rPr>
            </w:pPr>
            <w:r w:rsidRPr="00402368">
              <w:rPr>
                <w:b/>
                <w:color w:val="auto"/>
              </w:rPr>
              <w:t>Authorship</w:t>
            </w:r>
            <w:r w:rsidR="005F4E82">
              <w:rPr>
                <w:b/>
                <w:color w:val="auto"/>
              </w:rPr>
              <w:t>:</w:t>
            </w:r>
          </w:p>
        </w:tc>
        <w:tc>
          <w:tcPr>
            <w:tcW w:w="5963" w:type="dxa"/>
          </w:tcPr>
          <w:p w14:paraId="36326F7D" w14:textId="241692DA" w:rsidR="0095282C" w:rsidRPr="005F4E82" w:rsidRDefault="002F193C" w:rsidP="00316E2C">
            <w:pPr>
              <w:rPr>
                <w:color w:val="auto"/>
              </w:rPr>
            </w:pPr>
            <w:r>
              <w:rPr>
                <w:color w:val="auto"/>
              </w:rPr>
              <w:t>Corporate Affairs</w:t>
            </w:r>
          </w:p>
        </w:tc>
      </w:tr>
      <w:tr w:rsidR="003057AE" w:rsidRPr="00402368" w14:paraId="472249B7" w14:textId="77777777" w:rsidTr="00316E2C">
        <w:tc>
          <w:tcPr>
            <w:tcW w:w="4644" w:type="dxa"/>
          </w:tcPr>
          <w:p w14:paraId="407EADD1" w14:textId="0DA4D42F" w:rsidR="003057AE" w:rsidRPr="00402368" w:rsidRDefault="005F4E82" w:rsidP="00316E2C">
            <w:pPr>
              <w:rPr>
                <w:b/>
                <w:color w:val="auto"/>
              </w:rPr>
            </w:pPr>
            <w:r>
              <w:rPr>
                <w:b/>
                <w:color w:val="auto"/>
              </w:rPr>
              <w:t xml:space="preserve">Committee </w:t>
            </w:r>
            <w:r w:rsidR="003057AE" w:rsidRPr="00402368">
              <w:rPr>
                <w:b/>
                <w:color w:val="auto"/>
              </w:rPr>
              <w:t>Approved</w:t>
            </w:r>
            <w:r>
              <w:rPr>
                <w:b/>
                <w:color w:val="auto"/>
              </w:rPr>
              <w:t>:</w:t>
            </w:r>
          </w:p>
        </w:tc>
        <w:tc>
          <w:tcPr>
            <w:tcW w:w="5963" w:type="dxa"/>
          </w:tcPr>
          <w:p w14:paraId="56DF1480" w14:textId="2F35D6E5" w:rsidR="0095282C" w:rsidRPr="005F4E82" w:rsidRDefault="0041654E" w:rsidP="00A10CE8">
            <w:pPr>
              <w:rPr>
                <w:color w:val="auto"/>
              </w:rPr>
            </w:pPr>
            <w:r>
              <w:rPr>
                <w:color w:val="auto"/>
              </w:rPr>
              <w:t xml:space="preserve">SIRO &amp; Information Governance Groups </w:t>
            </w:r>
            <w:r w:rsidR="0053236F">
              <w:rPr>
                <w:color w:val="auto"/>
              </w:rPr>
              <w:t xml:space="preserve">  </w:t>
            </w:r>
          </w:p>
        </w:tc>
      </w:tr>
      <w:tr w:rsidR="003057AE" w:rsidRPr="00402368" w14:paraId="11C2BA35" w14:textId="77777777" w:rsidTr="00316E2C">
        <w:tc>
          <w:tcPr>
            <w:tcW w:w="4644" w:type="dxa"/>
          </w:tcPr>
          <w:p w14:paraId="0972DBCF" w14:textId="2F14241B" w:rsidR="003057AE" w:rsidRPr="00402368" w:rsidRDefault="005F4E82" w:rsidP="00316E2C">
            <w:pPr>
              <w:rPr>
                <w:b/>
                <w:color w:val="auto"/>
              </w:rPr>
            </w:pPr>
            <w:r>
              <w:rPr>
                <w:b/>
                <w:color w:val="auto"/>
              </w:rPr>
              <w:t>Approved d</w:t>
            </w:r>
            <w:r w:rsidR="003057AE" w:rsidRPr="00402368">
              <w:rPr>
                <w:b/>
                <w:color w:val="auto"/>
              </w:rPr>
              <w:t>ate</w:t>
            </w:r>
            <w:r>
              <w:rPr>
                <w:b/>
                <w:color w:val="auto"/>
              </w:rPr>
              <w:t>:</w:t>
            </w:r>
          </w:p>
        </w:tc>
        <w:tc>
          <w:tcPr>
            <w:tcW w:w="5963" w:type="dxa"/>
          </w:tcPr>
          <w:p w14:paraId="16673E03" w14:textId="1AC18777" w:rsidR="0095282C" w:rsidRPr="005F4E82" w:rsidRDefault="0041654E" w:rsidP="00316E2C">
            <w:pPr>
              <w:rPr>
                <w:color w:val="auto"/>
              </w:rPr>
            </w:pPr>
            <w:r>
              <w:rPr>
                <w:color w:val="auto"/>
              </w:rPr>
              <w:t>June 2023</w:t>
            </w:r>
          </w:p>
        </w:tc>
      </w:tr>
      <w:tr w:rsidR="003057AE" w:rsidRPr="00402368" w14:paraId="39B4089C" w14:textId="77777777" w:rsidTr="00316E2C">
        <w:tc>
          <w:tcPr>
            <w:tcW w:w="4644" w:type="dxa"/>
          </w:tcPr>
          <w:p w14:paraId="1CAD852F" w14:textId="03EF7EFC" w:rsidR="003057AE" w:rsidRPr="00402368" w:rsidRDefault="003057AE" w:rsidP="00316E2C">
            <w:pPr>
              <w:rPr>
                <w:b/>
                <w:color w:val="auto"/>
              </w:rPr>
            </w:pPr>
            <w:r w:rsidRPr="00402368">
              <w:rPr>
                <w:b/>
                <w:color w:val="auto"/>
              </w:rPr>
              <w:t xml:space="preserve">Equality Impact </w:t>
            </w:r>
            <w:r w:rsidR="00A102B7" w:rsidRPr="00402368">
              <w:rPr>
                <w:b/>
                <w:color w:val="auto"/>
              </w:rPr>
              <w:t>A</w:t>
            </w:r>
            <w:r w:rsidR="005F4E82">
              <w:rPr>
                <w:b/>
                <w:color w:val="auto"/>
              </w:rPr>
              <w:t>ssessment:</w:t>
            </w:r>
          </w:p>
        </w:tc>
        <w:tc>
          <w:tcPr>
            <w:tcW w:w="5963" w:type="dxa"/>
          </w:tcPr>
          <w:p w14:paraId="47DB0DFA" w14:textId="58DF65C6" w:rsidR="0095282C" w:rsidRPr="005F4E82" w:rsidRDefault="0053236F" w:rsidP="00316E2C">
            <w:pPr>
              <w:rPr>
                <w:color w:val="auto"/>
              </w:rPr>
            </w:pPr>
            <w:r>
              <w:rPr>
                <w:color w:val="auto"/>
              </w:rPr>
              <w:t>March 2023</w:t>
            </w:r>
          </w:p>
        </w:tc>
      </w:tr>
      <w:tr w:rsidR="003057AE" w:rsidRPr="00402368" w14:paraId="0BEBC797" w14:textId="77777777" w:rsidTr="00316E2C">
        <w:tc>
          <w:tcPr>
            <w:tcW w:w="4644" w:type="dxa"/>
          </w:tcPr>
          <w:p w14:paraId="31076981" w14:textId="171C15B3" w:rsidR="003057AE" w:rsidRPr="005F4E82" w:rsidRDefault="003057AE" w:rsidP="00316E2C">
            <w:pPr>
              <w:rPr>
                <w:b/>
                <w:color w:val="auto"/>
              </w:rPr>
            </w:pPr>
            <w:r w:rsidRPr="005F4E82">
              <w:rPr>
                <w:b/>
                <w:color w:val="auto"/>
              </w:rPr>
              <w:t>Target Audience</w:t>
            </w:r>
            <w:r w:rsidR="005F4E82" w:rsidRPr="005F4E82">
              <w:rPr>
                <w:b/>
                <w:color w:val="auto"/>
              </w:rPr>
              <w:t>:</w:t>
            </w:r>
          </w:p>
        </w:tc>
        <w:tc>
          <w:tcPr>
            <w:tcW w:w="5963" w:type="dxa"/>
          </w:tcPr>
          <w:p w14:paraId="046759C7" w14:textId="35A7AAF9" w:rsidR="00BB1833" w:rsidRPr="005F4E82" w:rsidRDefault="0053236F" w:rsidP="00B452C7">
            <w:pPr>
              <w:pStyle w:val="ListParagraph"/>
              <w:spacing w:line="240" w:lineRule="auto"/>
              <w:ind w:left="0"/>
              <w:rPr>
                <w:color w:val="auto"/>
              </w:rPr>
            </w:pPr>
            <w:r>
              <w:rPr>
                <w:color w:val="auto"/>
              </w:rPr>
              <w:t>I</w:t>
            </w:r>
            <w:r w:rsidR="005F4E82" w:rsidRPr="005F4E82">
              <w:rPr>
                <w:color w:val="auto"/>
              </w:rPr>
              <w:t xml:space="preserve">CB </w:t>
            </w:r>
            <w:r>
              <w:rPr>
                <w:color w:val="auto"/>
              </w:rPr>
              <w:t xml:space="preserve">Board </w:t>
            </w:r>
            <w:r w:rsidR="005F4E82" w:rsidRPr="005F4E82">
              <w:rPr>
                <w:color w:val="auto"/>
              </w:rPr>
              <w:t xml:space="preserve">and its Committees and Sub-Committees, ICB Staff, </w:t>
            </w:r>
            <w:r w:rsidR="00C8300A" w:rsidRPr="005F4E82">
              <w:rPr>
                <w:color w:val="auto"/>
              </w:rPr>
              <w:t>agency,</w:t>
            </w:r>
            <w:r w:rsidR="005F4E82" w:rsidRPr="005F4E82">
              <w:rPr>
                <w:color w:val="auto"/>
              </w:rPr>
              <w:t xml:space="preserve"> and temporary staff &amp; third parties under contract</w:t>
            </w:r>
          </w:p>
        </w:tc>
      </w:tr>
      <w:tr w:rsidR="003057AE" w:rsidRPr="00402368" w14:paraId="14C1359E" w14:textId="77777777" w:rsidTr="00316E2C">
        <w:tc>
          <w:tcPr>
            <w:tcW w:w="4644" w:type="dxa"/>
          </w:tcPr>
          <w:p w14:paraId="6F54AA58" w14:textId="2B79372A" w:rsidR="003057AE" w:rsidRPr="005F4E82" w:rsidRDefault="005F4E82" w:rsidP="00316E2C">
            <w:pPr>
              <w:rPr>
                <w:b/>
                <w:color w:val="auto"/>
              </w:rPr>
            </w:pPr>
            <w:r w:rsidRPr="005F4E82">
              <w:rPr>
                <w:b/>
                <w:color w:val="auto"/>
              </w:rPr>
              <w:t xml:space="preserve">Policy </w:t>
            </w:r>
            <w:r w:rsidR="003057AE" w:rsidRPr="005F4E82">
              <w:rPr>
                <w:b/>
                <w:color w:val="auto"/>
              </w:rPr>
              <w:t>Number</w:t>
            </w:r>
            <w:r w:rsidRPr="005F4E82">
              <w:rPr>
                <w:b/>
                <w:color w:val="auto"/>
              </w:rPr>
              <w:t>:</w:t>
            </w:r>
          </w:p>
        </w:tc>
        <w:tc>
          <w:tcPr>
            <w:tcW w:w="5963" w:type="dxa"/>
          </w:tcPr>
          <w:p w14:paraId="1E17DE8B" w14:textId="00E829F7" w:rsidR="004167BD" w:rsidRPr="005F4E82" w:rsidRDefault="002F193C" w:rsidP="00316E2C">
            <w:pPr>
              <w:rPr>
                <w:color w:val="auto"/>
              </w:rPr>
            </w:pPr>
            <w:r>
              <w:rPr>
                <w:color w:val="auto"/>
              </w:rPr>
              <w:t>ICB39</w:t>
            </w:r>
          </w:p>
        </w:tc>
      </w:tr>
      <w:tr w:rsidR="003057AE" w:rsidRPr="00402368" w14:paraId="0A809E26" w14:textId="77777777" w:rsidTr="00316E2C">
        <w:tc>
          <w:tcPr>
            <w:tcW w:w="4644" w:type="dxa"/>
          </w:tcPr>
          <w:p w14:paraId="5332ADF0" w14:textId="64461681" w:rsidR="003057AE" w:rsidRPr="005F4E82" w:rsidRDefault="003057AE" w:rsidP="00316E2C">
            <w:pPr>
              <w:rPr>
                <w:b/>
                <w:color w:val="auto"/>
              </w:rPr>
            </w:pPr>
            <w:r w:rsidRPr="005F4E82">
              <w:rPr>
                <w:b/>
                <w:color w:val="auto"/>
              </w:rPr>
              <w:t>Version Number</w:t>
            </w:r>
            <w:r w:rsidR="005F4E82" w:rsidRPr="005F4E82">
              <w:rPr>
                <w:b/>
                <w:color w:val="auto"/>
              </w:rPr>
              <w:t>:</w:t>
            </w:r>
          </w:p>
        </w:tc>
        <w:tc>
          <w:tcPr>
            <w:tcW w:w="5963" w:type="dxa"/>
          </w:tcPr>
          <w:p w14:paraId="5A47AB39" w14:textId="001C19EC" w:rsidR="004167BD" w:rsidRPr="005F4E82" w:rsidRDefault="0053236F" w:rsidP="00316E2C">
            <w:pPr>
              <w:rPr>
                <w:color w:val="auto"/>
              </w:rPr>
            </w:pPr>
            <w:r>
              <w:rPr>
                <w:color w:val="auto"/>
              </w:rPr>
              <w:t>1.0</w:t>
            </w:r>
          </w:p>
        </w:tc>
      </w:tr>
    </w:tbl>
    <w:p w14:paraId="42F308FB" w14:textId="18850BF4"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402368" w:rsidRDefault="00E92762" w:rsidP="00316E2C">
      <w:pPr>
        <w:rPr>
          <w:b/>
          <w:bCs/>
          <w:color w:val="auto"/>
          <w:sz w:val="28"/>
          <w:szCs w:val="28"/>
        </w:rPr>
      </w:pPr>
      <w:r w:rsidRPr="00402368">
        <w:rPr>
          <w:b/>
          <w:bCs/>
          <w:color w:val="auto"/>
          <w:sz w:val="28"/>
          <w:szCs w:val="28"/>
        </w:rPr>
        <w:lastRenderedPageBreak/>
        <w:t>AMENDMENTS</w:t>
      </w:r>
    </w:p>
    <w:p w14:paraId="5559CDB3"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p w14:paraId="1E0ED1ED" w14:textId="77777777" w:rsidR="00E92762" w:rsidRPr="00402368" w:rsidRDefault="00E92762" w:rsidP="00316E2C">
      <w:pPr>
        <w:autoSpaceDE w:val="0"/>
        <w:autoSpaceDN w:val="0"/>
        <w:adjustRightInd w:val="0"/>
        <w:rPr>
          <w:sz w:val="22"/>
          <w:szCs w:val="22"/>
        </w:rPr>
      </w:pPr>
    </w:p>
    <w:tbl>
      <w:tblPr>
        <w:tblStyle w:val="TableGrid2"/>
        <w:tblW w:w="10456" w:type="dxa"/>
        <w:tblLook w:val="01E0" w:firstRow="1" w:lastRow="1" w:firstColumn="1" w:lastColumn="1" w:noHBand="0" w:noVBand="0"/>
      </w:tblPr>
      <w:tblGrid>
        <w:gridCol w:w="1252"/>
        <w:gridCol w:w="1950"/>
        <w:gridCol w:w="2405"/>
        <w:gridCol w:w="2005"/>
        <w:gridCol w:w="1355"/>
        <w:gridCol w:w="1489"/>
      </w:tblGrid>
      <w:tr w:rsidR="00E91015" w:rsidRPr="00402368" w14:paraId="7BF666EB" w14:textId="77777777" w:rsidTr="00570F61">
        <w:tc>
          <w:tcPr>
            <w:tcW w:w="1252" w:type="dxa"/>
          </w:tcPr>
          <w:p w14:paraId="39984325" w14:textId="77777777" w:rsidR="00E91015" w:rsidRPr="00570F61" w:rsidRDefault="00E91015" w:rsidP="00E91015">
            <w:pPr>
              <w:autoSpaceDE w:val="0"/>
              <w:autoSpaceDN w:val="0"/>
              <w:adjustRightInd w:val="0"/>
              <w:spacing w:line="240" w:lineRule="auto"/>
              <w:rPr>
                <w:rFonts w:ascii="Arial" w:hAnsi="Arial" w:cs="Arial"/>
                <w:b/>
                <w:bCs/>
                <w:sz w:val="24"/>
                <w:szCs w:val="24"/>
              </w:rPr>
            </w:pPr>
            <w:r w:rsidRPr="00570F61">
              <w:rPr>
                <w:rFonts w:ascii="Arial" w:hAnsi="Arial" w:cs="Arial"/>
                <w:b/>
                <w:bCs/>
                <w:sz w:val="24"/>
                <w:szCs w:val="24"/>
              </w:rPr>
              <w:t>New Version Number</w:t>
            </w:r>
          </w:p>
        </w:tc>
        <w:tc>
          <w:tcPr>
            <w:tcW w:w="1950" w:type="dxa"/>
          </w:tcPr>
          <w:p w14:paraId="2154B850" w14:textId="7BF6E5BB" w:rsidR="00E91015" w:rsidRPr="00570F61" w:rsidRDefault="00E91015" w:rsidP="00E91015">
            <w:pPr>
              <w:autoSpaceDE w:val="0"/>
              <w:autoSpaceDN w:val="0"/>
              <w:adjustRightInd w:val="0"/>
              <w:spacing w:line="240" w:lineRule="auto"/>
              <w:rPr>
                <w:rFonts w:ascii="Arial" w:hAnsi="Arial" w:cs="Arial"/>
                <w:b/>
                <w:bCs/>
                <w:sz w:val="24"/>
                <w:szCs w:val="24"/>
              </w:rPr>
            </w:pPr>
            <w:r w:rsidRPr="00570F61">
              <w:rPr>
                <w:rFonts w:ascii="Arial" w:hAnsi="Arial" w:cs="Arial"/>
                <w:b/>
                <w:bCs/>
                <w:sz w:val="24"/>
                <w:szCs w:val="24"/>
              </w:rPr>
              <w:t xml:space="preserve">Issued by </w:t>
            </w:r>
          </w:p>
        </w:tc>
        <w:tc>
          <w:tcPr>
            <w:tcW w:w="2405" w:type="dxa"/>
          </w:tcPr>
          <w:p w14:paraId="4A2F8EAF" w14:textId="77777777" w:rsidR="00E91015" w:rsidRPr="00570F61" w:rsidRDefault="00E91015" w:rsidP="00E91015">
            <w:pPr>
              <w:autoSpaceDE w:val="0"/>
              <w:autoSpaceDN w:val="0"/>
              <w:adjustRightInd w:val="0"/>
              <w:spacing w:line="240" w:lineRule="auto"/>
              <w:rPr>
                <w:rFonts w:ascii="Arial" w:hAnsi="Arial" w:cs="Arial"/>
                <w:sz w:val="24"/>
                <w:szCs w:val="24"/>
              </w:rPr>
            </w:pPr>
            <w:r w:rsidRPr="00570F61">
              <w:rPr>
                <w:rFonts w:ascii="Arial" w:hAnsi="Arial" w:cs="Arial"/>
                <w:b/>
                <w:bCs/>
                <w:sz w:val="24"/>
                <w:szCs w:val="24"/>
              </w:rPr>
              <w:t>Nature of Amendment</w:t>
            </w:r>
          </w:p>
        </w:tc>
        <w:tc>
          <w:tcPr>
            <w:tcW w:w="2005" w:type="dxa"/>
          </w:tcPr>
          <w:p w14:paraId="1D819D34" w14:textId="70A01AC4" w:rsidR="00E91015" w:rsidRPr="00570F61" w:rsidRDefault="00E91015" w:rsidP="00E91015">
            <w:pPr>
              <w:autoSpaceDE w:val="0"/>
              <w:autoSpaceDN w:val="0"/>
              <w:adjustRightInd w:val="0"/>
              <w:spacing w:line="240" w:lineRule="auto"/>
              <w:rPr>
                <w:rFonts w:ascii="Arial" w:hAnsi="Arial" w:cs="Arial"/>
                <w:b/>
                <w:sz w:val="24"/>
                <w:szCs w:val="24"/>
              </w:rPr>
            </w:pPr>
            <w:r w:rsidRPr="00570F61">
              <w:rPr>
                <w:rFonts w:ascii="Arial" w:hAnsi="Arial" w:cs="Arial"/>
                <w:b/>
                <w:sz w:val="24"/>
                <w:szCs w:val="24"/>
              </w:rPr>
              <w:t>Approving body</w:t>
            </w:r>
          </w:p>
        </w:tc>
        <w:tc>
          <w:tcPr>
            <w:tcW w:w="1355" w:type="dxa"/>
          </w:tcPr>
          <w:p w14:paraId="49968B8B" w14:textId="2B349553" w:rsidR="00E91015" w:rsidRPr="00570F61" w:rsidRDefault="00E91015" w:rsidP="00E91015">
            <w:pPr>
              <w:autoSpaceDE w:val="0"/>
              <w:autoSpaceDN w:val="0"/>
              <w:adjustRightInd w:val="0"/>
              <w:spacing w:line="240" w:lineRule="auto"/>
              <w:rPr>
                <w:rFonts w:ascii="Arial" w:hAnsi="Arial" w:cs="Arial"/>
                <w:b/>
                <w:sz w:val="24"/>
                <w:szCs w:val="24"/>
              </w:rPr>
            </w:pPr>
            <w:r w:rsidRPr="00570F61">
              <w:rPr>
                <w:rFonts w:ascii="Arial" w:hAnsi="Arial" w:cs="Arial"/>
                <w:b/>
                <w:sz w:val="24"/>
                <w:szCs w:val="24"/>
              </w:rPr>
              <w:t>Approval date</w:t>
            </w:r>
          </w:p>
        </w:tc>
        <w:tc>
          <w:tcPr>
            <w:tcW w:w="1489" w:type="dxa"/>
          </w:tcPr>
          <w:p w14:paraId="10788E43" w14:textId="6217D1D4" w:rsidR="00E91015" w:rsidRPr="00570F61" w:rsidRDefault="00E91015" w:rsidP="00E91015">
            <w:pPr>
              <w:autoSpaceDE w:val="0"/>
              <w:autoSpaceDN w:val="0"/>
              <w:adjustRightInd w:val="0"/>
              <w:spacing w:line="240" w:lineRule="auto"/>
              <w:rPr>
                <w:rFonts w:ascii="Arial" w:hAnsi="Arial" w:cs="Arial"/>
                <w:b/>
                <w:sz w:val="24"/>
                <w:szCs w:val="24"/>
              </w:rPr>
            </w:pPr>
            <w:r w:rsidRPr="00570F61">
              <w:rPr>
                <w:rFonts w:ascii="Arial" w:hAnsi="Arial" w:cs="Arial"/>
                <w:b/>
                <w:sz w:val="24"/>
                <w:szCs w:val="24"/>
              </w:rPr>
              <w:t>Date published on website</w:t>
            </w:r>
          </w:p>
        </w:tc>
      </w:tr>
      <w:tr w:rsidR="00E91015" w:rsidRPr="00402368" w14:paraId="22DC4690" w14:textId="77777777" w:rsidTr="00570F61">
        <w:tc>
          <w:tcPr>
            <w:tcW w:w="1252" w:type="dxa"/>
          </w:tcPr>
          <w:p w14:paraId="36D7499F" w14:textId="309A1AC5" w:rsidR="00E91015" w:rsidRPr="00570F61" w:rsidRDefault="0009504B" w:rsidP="00316E2C">
            <w:pPr>
              <w:rPr>
                <w:rFonts w:ascii="Arial" w:hAnsi="Arial" w:cs="Arial"/>
                <w:color w:val="000000"/>
                <w:sz w:val="24"/>
                <w:szCs w:val="24"/>
              </w:rPr>
            </w:pPr>
            <w:r w:rsidRPr="00570F61">
              <w:rPr>
                <w:rFonts w:ascii="Arial" w:hAnsi="Arial" w:cs="Arial"/>
                <w:color w:val="000000"/>
                <w:sz w:val="24"/>
                <w:szCs w:val="24"/>
              </w:rPr>
              <w:t>1.0</w:t>
            </w:r>
          </w:p>
        </w:tc>
        <w:tc>
          <w:tcPr>
            <w:tcW w:w="1950" w:type="dxa"/>
          </w:tcPr>
          <w:p w14:paraId="7C30232A" w14:textId="45111EFA" w:rsidR="00E91015" w:rsidRPr="00570F61" w:rsidRDefault="00295048" w:rsidP="00316E2C">
            <w:pPr>
              <w:rPr>
                <w:rFonts w:ascii="Arial" w:hAnsi="Arial" w:cs="Arial"/>
                <w:color w:val="000000"/>
                <w:sz w:val="24"/>
                <w:szCs w:val="24"/>
              </w:rPr>
            </w:pPr>
            <w:r>
              <w:rPr>
                <w:rFonts w:ascii="Arial" w:hAnsi="Arial" w:cs="Arial"/>
                <w:color w:val="000000"/>
                <w:sz w:val="24"/>
                <w:szCs w:val="24"/>
              </w:rPr>
              <w:t xml:space="preserve">Executive Director of Corporate Affairs </w:t>
            </w:r>
          </w:p>
        </w:tc>
        <w:tc>
          <w:tcPr>
            <w:tcW w:w="2405" w:type="dxa"/>
          </w:tcPr>
          <w:p w14:paraId="5DC1EA42" w14:textId="0BF95E21" w:rsidR="00E91015" w:rsidRPr="00570F61" w:rsidRDefault="0009504B" w:rsidP="0009504B">
            <w:pPr>
              <w:spacing w:line="240" w:lineRule="auto"/>
              <w:rPr>
                <w:rFonts w:ascii="Arial" w:hAnsi="Arial" w:cs="Arial"/>
                <w:color w:val="000000"/>
                <w:sz w:val="24"/>
                <w:szCs w:val="24"/>
              </w:rPr>
            </w:pPr>
            <w:r w:rsidRPr="00570F61">
              <w:rPr>
                <w:rFonts w:ascii="Arial" w:hAnsi="Arial" w:cs="Arial"/>
                <w:color w:val="000000"/>
                <w:sz w:val="24"/>
                <w:szCs w:val="24"/>
              </w:rPr>
              <w:t xml:space="preserve">New policy </w:t>
            </w:r>
            <w:r w:rsidR="0053236F" w:rsidRPr="00570F61">
              <w:rPr>
                <w:rFonts w:ascii="Arial" w:hAnsi="Arial" w:cs="Arial"/>
                <w:color w:val="000000"/>
                <w:sz w:val="24"/>
                <w:szCs w:val="24"/>
              </w:rPr>
              <w:t xml:space="preserve">for ICB </w:t>
            </w:r>
            <w:r w:rsidRPr="00570F61">
              <w:rPr>
                <w:rFonts w:ascii="Arial" w:hAnsi="Arial" w:cs="Arial"/>
                <w:color w:val="000000"/>
                <w:sz w:val="24"/>
                <w:szCs w:val="24"/>
              </w:rPr>
              <w:t xml:space="preserve"> </w:t>
            </w:r>
          </w:p>
        </w:tc>
        <w:tc>
          <w:tcPr>
            <w:tcW w:w="2005" w:type="dxa"/>
          </w:tcPr>
          <w:p w14:paraId="7344C44F" w14:textId="3741406F" w:rsidR="00E91015" w:rsidRPr="00570F61" w:rsidRDefault="00A62259" w:rsidP="007E66C9">
            <w:pPr>
              <w:spacing w:line="240" w:lineRule="auto"/>
              <w:rPr>
                <w:rFonts w:ascii="Arial" w:hAnsi="Arial" w:cs="Arial"/>
                <w:color w:val="000000"/>
                <w:sz w:val="24"/>
                <w:szCs w:val="24"/>
              </w:rPr>
            </w:pPr>
            <w:r>
              <w:rPr>
                <w:rFonts w:ascii="Arial" w:hAnsi="Arial" w:cs="Arial"/>
                <w:color w:val="000000"/>
                <w:sz w:val="24"/>
                <w:szCs w:val="24"/>
              </w:rPr>
              <w:t xml:space="preserve">SIRO </w:t>
            </w:r>
          </w:p>
        </w:tc>
        <w:tc>
          <w:tcPr>
            <w:tcW w:w="1355" w:type="dxa"/>
          </w:tcPr>
          <w:p w14:paraId="16AB918A" w14:textId="3670A4B4" w:rsidR="00E91015" w:rsidRPr="00570F61" w:rsidRDefault="0041654E" w:rsidP="005D1A55">
            <w:pPr>
              <w:spacing w:line="240" w:lineRule="auto"/>
              <w:rPr>
                <w:rFonts w:ascii="Arial" w:hAnsi="Arial" w:cs="Arial"/>
                <w:color w:val="000000"/>
                <w:sz w:val="24"/>
                <w:szCs w:val="24"/>
              </w:rPr>
            </w:pPr>
            <w:r>
              <w:rPr>
                <w:rFonts w:ascii="Arial" w:hAnsi="Arial" w:cs="Arial"/>
                <w:color w:val="000000"/>
                <w:sz w:val="24"/>
                <w:szCs w:val="24"/>
              </w:rPr>
              <w:t>22.06.23</w:t>
            </w:r>
          </w:p>
        </w:tc>
        <w:tc>
          <w:tcPr>
            <w:tcW w:w="1489" w:type="dxa"/>
          </w:tcPr>
          <w:p w14:paraId="302BFED7" w14:textId="350D53C3" w:rsidR="00E91015" w:rsidRPr="00570F61" w:rsidRDefault="00A01640" w:rsidP="005D1A55">
            <w:pPr>
              <w:spacing w:line="240" w:lineRule="auto"/>
              <w:rPr>
                <w:rFonts w:ascii="Arial" w:hAnsi="Arial" w:cs="Arial"/>
                <w:color w:val="000000"/>
                <w:sz w:val="24"/>
                <w:szCs w:val="24"/>
              </w:rPr>
            </w:pPr>
            <w:r>
              <w:rPr>
                <w:rFonts w:ascii="Arial" w:hAnsi="Arial" w:cs="Arial"/>
                <w:color w:val="000000"/>
                <w:sz w:val="24"/>
                <w:szCs w:val="24"/>
              </w:rPr>
              <w:t>27.06.23</w:t>
            </w:r>
          </w:p>
        </w:tc>
      </w:tr>
    </w:tbl>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p w14:paraId="3EEAA087" w14:textId="77777777" w:rsidR="00316E2C" w:rsidRPr="00316E2C" w:rsidRDefault="00316E2C" w:rsidP="00316E2C">
      <w:pPr>
        <w:spacing w:line="240" w:lineRule="auto"/>
        <w:ind w:right="-760"/>
        <w:jc w:val="center"/>
        <w:rPr>
          <w:b/>
          <w:color w:val="auto"/>
          <w:szCs w:val="20"/>
          <w:lang w:eastAsia="en-US"/>
        </w:rPr>
      </w:pPr>
    </w:p>
    <w:p w14:paraId="4A1D21A0" w14:textId="77777777" w:rsidR="00F11374" w:rsidRPr="00F11374" w:rsidRDefault="00F11374" w:rsidP="00316E2C">
      <w:pPr>
        <w:spacing w:line="240" w:lineRule="auto"/>
        <w:ind w:right="-760"/>
        <w:jc w:val="center"/>
        <w:rPr>
          <w:b/>
          <w:color w:val="auto"/>
          <w:szCs w:val="20"/>
          <w:lang w:eastAsia="en-US"/>
        </w:rPr>
      </w:pPr>
    </w:p>
    <w:sdt>
      <w:sdtPr>
        <w:rPr>
          <w:rFonts w:ascii="Arial" w:eastAsia="Times New Roman" w:hAnsi="Arial" w:cs="Arial"/>
          <w:b w:val="0"/>
          <w:bCs w:val="0"/>
          <w:color w:val="000000" w:themeColor="text1"/>
          <w:sz w:val="24"/>
          <w:szCs w:val="24"/>
          <w:lang w:val="en-GB" w:eastAsia="en-GB"/>
        </w:rPr>
        <w:id w:val="1739975210"/>
        <w:docPartObj>
          <w:docPartGallery w:val="Table of Contents"/>
          <w:docPartUnique/>
        </w:docPartObj>
      </w:sdtPr>
      <w:sdtEndPr>
        <w:rPr>
          <w:noProof/>
        </w:rPr>
      </w:sdtEndPr>
      <w:sdtContent>
        <w:p w14:paraId="547ABCA8" w14:textId="3BF151C7" w:rsidR="009F2C13" w:rsidRPr="0032084D" w:rsidRDefault="009F2C13" w:rsidP="009F2C13">
          <w:pPr>
            <w:pStyle w:val="TOCHeading"/>
            <w:numPr>
              <w:ilvl w:val="0"/>
              <w:numId w:val="0"/>
            </w:numPr>
            <w:rPr>
              <w:rFonts w:ascii="Arial" w:hAnsi="Arial" w:cs="Arial"/>
              <w:color w:val="000000" w:themeColor="text1"/>
              <w:sz w:val="24"/>
              <w:szCs w:val="24"/>
            </w:rPr>
          </w:pPr>
          <w:r w:rsidRPr="0032084D">
            <w:rPr>
              <w:rFonts w:ascii="Arial" w:hAnsi="Arial" w:cs="Arial"/>
              <w:color w:val="000000" w:themeColor="text1"/>
              <w:sz w:val="24"/>
              <w:szCs w:val="24"/>
            </w:rPr>
            <w:t>Contents</w:t>
          </w:r>
        </w:p>
        <w:p w14:paraId="719837C3" w14:textId="4445896E" w:rsidR="00567EEA" w:rsidRDefault="008409BD">
          <w:pPr>
            <w:pStyle w:val="TOC1"/>
            <w:rPr>
              <w:rFonts w:asciiTheme="minorHAnsi" w:hAnsiTheme="minorHAnsi" w:cstheme="minorBidi"/>
              <w:bCs w:val="0"/>
              <w:sz w:val="22"/>
              <w:szCs w:val="22"/>
              <w:lang w:val="en-GB" w:eastAsia="en-GB"/>
            </w:rPr>
          </w:pPr>
          <w:r>
            <w:rPr>
              <w:color w:val="000000" w:themeColor="text1"/>
            </w:rPr>
            <w:fldChar w:fldCharType="begin"/>
          </w:r>
          <w:r>
            <w:rPr>
              <w:color w:val="000000" w:themeColor="text1"/>
            </w:rPr>
            <w:instrText xml:space="preserve"> TOC \o "1-1" \h \z \u </w:instrText>
          </w:r>
          <w:r>
            <w:rPr>
              <w:color w:val="000000" w:themeColor="text1"/>
            </w:rPr>
            <w:fldChar w:fldCharType="separate"/>
          </w:r>
          <w:hyperlink w:anchor="_Toc130985141" w:history="1">
            <w:r w:rsidR="00567EEA" w:rsidRPr="007F273D">
              <w:rPr>
                <w:rStyle w:val="Hyperlink"/>
              </w:rPr>
              <w:t>1</w:t>
            </w:r>
            <w:r w:rsidR="00567EEA">
              <w:rPr>
                <w:rFonts w:asciiTheme="minorHAnsi" w:hAnsiTheme="minorHAnsi" w:cstheme="minorBidi"/>
                <w:bCs w:val="0"/>
                <w:sz w:val="22"/>
                <w:szCs w:val="22"/>
                <w:lang w:val="en-GB" w:eastAsia="en-GB"/>
              </w:rPr>
              <w:tab/>
            </w:r>
            <w:r w:rsidR="00567EEA" w:rsidRPr="007F273D">
              <w:rPr>
                <w:rStyle w:val="Hyperlink"/>
              </w:rPr>
              <w:t>Introduction</w:t>
            </w:r>
            <w:r w:rsidR="00567EEA">
              <w:rPr>
                <w:webHidden/>
              </w:rPr>
              <w:tab/>
            </w:r>
            <w:r w:rsidR="00567EEA">
              <w:rPr>
                <w:webHidden/>
              </w:rPr>
              <w:fldChar w:fldCharType="begin"/>
            </w:r>
            <w:r w:rsidR="00567EEA">
              <w:rPr>
                <w:webHidden/>
              </w:rPr>
              <w:instrText xml:space="preserve"> PAGEREF _Toc130985141 \h </w:instrText>
            </w:r>
            <w:r w:rsidR="00567EEA">
              <w:rPr>
                <w:webHidden/>
              </w:rPr>
            </w:r>
            <w:r w:rsidR="00567EEA">
              <w:rPr>
                <w:webHidden/>
              </w:rPr>
              <w:fldChar w:fldCharType="separate"/>
            </w:r>
            <w:r w:rsidR="00567EEA">
              <w:rPr>
                <w:webHidden/>
              </w:rPr>
              <w:t>4</w:t>
            </w:r>
            <w:r w:rsidR="00567EEA">
              <w:rPr>
                <w:webHidden/>
              </w:rPr>
              <w:fldChar w:fldCharType="end"/>
            </w:r>
          </w:hyperlink>
        </w:p>
        <w:p w14:paraId="77A029B3" w14:textId="42CD70CE" w:rsidR="00567EEA" w:rsidRDefault="00000000">
          <w:pPr>
            <w:pStyle w:val="TOC1"/>
            <w:rPr>
              <w:rFonts w:asciiTheme="minorHAnsi" w:hAnsiTheme="minorHAnsi" w:cstheme="minorBidi"/>
              <w:bCs w:val="0"/>
              <w:sz w:val="22"/>
              <w:szCs w:val="22"/>
              <w:lang w:val="en-GB" w:eastAsia="en-GB"/>
            </w:rPr>
          </w:pPr>
          <w:hyperlink w:anchor="_Toc130985142" w:history="1">
            <w:r w:rsidR="00567EEA" w:rsidRPr="007F273D">
              <w:rPr>
                <w:rStyle w:val="Hyperlink"/>
              </w:rPr>
              <w:t>2</w:t>
            </w:r>
            <w:r w:rsidR="00567EEA">
              <w:rPr>
                <w:rFonts w:asciiTheme="minorHAnsi" w:hAnsiTheme="minorHAnsi" w:cstheme="minorBidi"/>
                <w:bCs w:val="0"/>
                <w:sz w:val="22"/>
                <w:szCs w:val="22"/>
                <w:lang w:val="en-GB" w:eastAsia="en-GB"/>
              </w:rPr>
              <w:tab/>
            </w:r>
            <w:r w:rsidR="00567EEA" w:rsidRPr="007F273D">
              <w:rPr>
                <w:rStyle w:val="Hyperlink"/>
              </w:rPr>
              <w:t>Purpose</w:t>
            </w:r>
            <w:r w:rsidR="00567EEA">
              <w:rPr>
                <w:webHidden/>
              </w:rPr>
              <w:tab/>
            </w:r>
            <w:r w:rsidR="00567EEA">
              <w:rPr>
                <w:webHidden/>
              </w:rPr>
              <w:fldChar w:fldCharType="begin"/>
            </w:r>
            <w:r w:rsidR="00567EEA">
              <w:rPr>
                <w:webHidden/>
              </w:rPr>
              <w:instrText xml:space="preserve"> PAGEREF _Toc130985142 \h </w:instrText>
            </w:r>
            <w:r w:rsidR="00567EEA">
              <w:rPr>
                <w:webHidden/>
              </w:rPr>
            </w:r>
            <w:r w:rsidR="00567EEA">
              <w:rPr>
                <w:webHidden/>
              </w:rPr>
              <w:fldChar w:fldCharType="separate"/>
            </w:r>
            <w:r w:rsidR="00567EEA">
              <w:rPr>
                <w:webHidden/>
              </w:rPr>
              <w:t>4</w:t>
            </w:r>
            <w:r w:rsidR="00567EEA">
              <w:rPr>
                <w:webHidden/>
              </w:rPr>
              <w:fldChar w:fldCharType="end"/>
            </w:r>
          </w:hyperlink>
        </w:p>
        <w:p w14:paraId="566CAD97" w14:textId="422E7A64" w:rsidR="00567EEA" w:rsidRDefault="00000000">
          <w:pPr>
            <w:pStyle w:val="TOC1"/>
            <w:rPr>
              <w:rFonts w:asciiTheme="minorHAnsi" w:hAnsiTheme="minorHAnsi" w:cstheme="minorBidi"/>
              <w:bCs w:val="0"/>
              <w:sz w:val="22"/>
              <w:szCs w:val="22"/>
              <w:lang w:val="en-GB" w:eastAsia="en-GB"/>
            </w:rPr>
          </w:pPr>
          <w:hyperlink w:anchor="_Toc130985143" w:history="1">
            <w:r w:rsidR="00567EEA" w:rsidRPr="007F273D">
              <w:rPr>
                <w:rStyle w:val="Hyperlink"/>
              </w:rPr>
              <w:t>3</w:t>
            </w:r>
            <w:r w:rsidR="00567EEA">
              <w:rPr>
                <w:rFonts w:asciiTheme="minorHAnsi" w:hAnsiTheme="minorHAnsi" w:cstheme="minorBidi"/>
                <w:bCs w:val="0"/>
                <w:sz w:val="22"/>
                <w:szCs w:val="22"/>
                <w:lang w:val="en-GB" w:eastAsia="en-GB"/>
              </w:rPr>
              <w:tab/>
            </w:r>
            <w:r w:rsidR="00567EEA" w:rsidRPr="007F273D">
              <w:rPr>
                <w:rStyle w:val="Hyperlink"/>
              </w:rPr>
              <w:t>Definition/ Explanation of Terms</w:t>
            </w:r>
            <w:r w:rsidR="00567EEA">
              <w:rPr>
                <w:webHidden/>
              </w:rPr>
              <w:tab/>
            </w:r>
            <w:r w:rsidR="00567EEA">
              <w:rPr>
                <w:webHidden/>
              </w:rPr>
              <w:fldChar w:fldCharType="begin"/>
            </w:r>
            <w:r w:rsidR="00567EEA">
              <w:rPr>
                <w:webHidden/>
              </w:rPr>
              <w:instrText xml:space="preserve"> PAGEREF _Toc130985143 \h </w:instrText>
            </w:r>
            <w:r w:rsidR="00567EEA">
              <w:rPr>
                <w:webHidden/>
              </w:rPr>
            </w:r>
            <w:r w:rsidR="00567EEA">
              <w:rPr>
                <w:webHidden/>
              </w:rPr>
              <w:fldChar w:fldCharType="separate"/>
            </w:r>
            <w:r w:rsidR="00567EEA">
              <w:rPr>
                <w:webHidden/>
              </w:rPr>
              <w:t>4</w:t>
            </w:r>
            <w:r w:rsidR="00567EEA">
              <w:rPr>
                <w:webHidden/>
              </w:rPr>
              <w:fldChar w:fldCharType="end"/>
            </w:r>
          </w:hyperlink>
        </w:p>
        <w:p w14:paraId="224C538C" w14:textId="65C49804" w:rsidR="00567EEA" w:rsidRDefault="00000000">
          <w:pPr>
            <w:pStyle w:val="TOC1"/>
            <w:rPr>
              <w:rFonts w:asciiTheme="minorHAnsi" w:hAnsiTheme="minorHAnsi" w:cstheme="minorBidi"/>
              <w:bCs w:val="0"/>
              <w:sz w:val="22"/>
              <w:szCs w:val="22"/>
              <w:lang w:val="en-GB" w:eastAsia="en-GB"/>
            </w:rPr>
          </w:pPr>
          <w:hyperlink w:anchor="_Toc130985144" w:history="1">
            <w:r w:rsidR="00567EEA" w:rsidRPr="007F273D">
              <w:rPr>
                <w:rStyle w:val="Hyperlink"/>
              </w:rPr>
              <w:t>4</w:t>
            </w:r>
            <w:r w:rsidR="00567EEA">
              <w:rPr>
                <w:rFonts w:asciiTheme="minorHAnsi" w:hAnsiTheme="minorHAnsi" w:cstheme="minorBidi"/>
                <w:bCs w:val="0"/>
                <w:sz w:val="22"/>
                <w:szCs w:val="22"/>
                <w:lang w:val="en-GB" w:eastAsia="en-GB"/>
              </w:rPr>
              <w:tab/>
            </w:r>
            <w:r w:rsidR="00567EEA" w:rsidRPr="007F273D">
              <w:rPr>
                <w:rStyle w:val="Hyperlink"/>
              </w:rPr>
              <w:t>Scope of the Policy</w:t>
            </w:r>
            <w:r w:rsidR="00567EEA">
              <w:rPr>
                <w:webHidden/>
              </w:rPr>
              <w:tab/>
            </w:r>
            <w:r w:rsidR="00567EEA">
              <w:rPr>
                <w:webHidden/>
              </w:rPr>
              <w:fldChar w:fldCharType="begin"/>
            </w:r>
            <w:r w:rsidR="00567EEA">
              <w:rPr>
                <w:webHidden/>
              </w:rPr>
              <w:instrText xml:space="preserve"> PAGEREF _Toc130985144 \h </w:instrText>
            </w:r>
            <w:r w:rsidR="00567EEA">
              <w:rPr>
                <w:webHidden/>
              </w:rPr>
            </w:r>
            <w:r w:rsidR="00567EEA">
              <w:rPr>
                <w:webHidden/>
              </w:rPr>
              <w:fldChar w:fldCharType="separate"/>
            </w:r>
            <w:r w:rsidR="00567EEA">
              <w:rPr>
                <w:webHidden/>
              </w:rPr>
              <w:t>5</w:t>
            </w:r>
            <w:r w:rsidR="00567EEA">
              <w:rPr>
                <w:webHidden/>
              </w:rPr>
              <w:fldChar w:fldCharType="end"/>
            </w:r>
          </w:hyperlink>
        </w:p>
        <w:p w14:paraId="652DE598" w14:textId="6E3870AD" w:rsidR="00567EEA" w:rsidRDefault="00000000">
          <w:pPr>
            <w:pStyle w:val="TOC1"/>
            <w:rPr>
              <w:rFonts w:asciiTheme="minorHAnsi" w:hAnsiTheme="minorHAnsi" w:cstheme="minorBidi"/>
              <w:bCs w:val="0"/>
              <w:sz w:val="22"/>
              <w:szCs w:val="22"/>
              <w:lang w:val="en-GB" w:eastAsia="en-GB"/>
            </w:rPr>
          </w:pPr>
          <w:hyperlink w:anchor="_Toc130985145" w:history="1">
            <w:r w:rsidR="00567EEA" w:rsidRPr="007F273D">
              <w:rPr>
                <w:rStyle w:val="Hyperlink"/>
              </w:rPr>
              <w:t>5</w:t>
            </w:r>
            <w:r w:rsidR="00567EEA">
              <w:rPr>
                <w:rFonts w:asciiTheme="minorHAnsi" w:hAnsiTheme="minorHAnsi" w:cstheme="minorBidi"/>
                <w:bCs w:val="0"/>
                <w:sz w:val="22"/>
                <w:szCs w:val="22"/>
                <w:lang w:val="en-GB" w:eastAsia="en-GB"/>
              </w:rPr>
              <w:tab/>
            </w:r>
            <w:r w:rsidR="00567EEA" w:rsidRPr="007F273D">
              <w:rPr>
                <w:rStyle w:val="Hyperlink"/>
              </w:rPr>
              <w:t xml:space="preserve">Duties/ Accountabilities and Responsibilities     </w:t>
            </w:r>
            <w:r w:rsidR="00567EEA">
              <w:rPr>
                <w:webHidden/>
              </w:rPr>
              <w:tab/>
            </w:r>
            <w:r w:rsidR="00567EEA">
              <w:rPr>
                <w:webHidden/>
              </w:rPr>
              <w:fldChar w:fldCharType="begin"/>
            </w:r>
            <w:r w:rsidR="00567EEA">
              <w:rPr>
                <w:webHidden/>
              </w:rPr>
              <w:instrText xml:space="preserve"> PAGEREF _Toc130985145 \h </w:instrText>
            </w:r>
            <w:r w:rsidR="00567EEA">
              <w:rPr>
                <w:webHidden/>
              </w:rPr>
            </w:r>
            <w:r w:rsidR="00567EEA">
              <w:rPr>
                <w:webHidden/>
              </w:rPr>
              <w:fldChar w:fldCharType="separate"/>
            </w:r>
            <w:r w:rsidR="00567EEA">
              <w:rPr>
                <w:webHidden/>
              </w:rPr>
              <w:t>5</w:t>
            </w:r>
            <w:r w:rsidR="00567EEA">
              <w:rPr>
                <w:webHidden/>
              </w:rPr>
              <w:fldChar w:fldCharType="end"/>
            </w:r>
          </w:hyperlink>
        </w:p>
        <w:p w14:paraId="2CCDD9DA" w14:textId="0F6EE24C" w:rsidR="00567EEA" w:rsidRDefault="00000000">
          <w:pPr>
            <w:pStyle w:val="TOC1"/>
            <w:rPr>
              <w:rFonts w:asciiTheme="minorHAnsi" w:hAnsiTheme="minorHAnsi" w:cstheme="minorBidi"/>
              <w:bCs w:val="0"/>
              <w:sz w:val="22"/>
              <w:szCs w:val="22"/>
              <w:lang w:val="en-GB" w:eastAsia="en-GB"/>
            </w:rPr>
          </w:pPr>
          <w:hyperlink w:anchor="_Toc130985146" w:history="1">
            <w:r w:rsidR="00567EEA" w:rsidRPr="007F273D">
              <w:rPr>
                <w:rStyle w:val="Hyperlink"/>
              </w:rPr>
              <w:t>6</w:t>
            </w:r>
            <w:r w:rsidR="00567EEA">
              <w:rPr>
                <w:rFonts w:asciiTheme="minorHAnsi" w:hAnsiTheme="minorHAnsi" w:cstheme="minorBidi"/>
                <w:bCs w:val="0"/>
                <w:sz w:val="22"/>
                <w:szCs w:val="22"/>
                <w:lang w:val="en-GB" w:eastAsia="en-GB"/>
              </w:rPr>
              <w:tab/>
            </w:r>
            <w:r w:rsidR="00567EEA" w:rsidRPr="007F273D">
              <w:rPr>
                <w:rStyle w:val="Hyperlink"/>
              </w:rPr>
              <w:t>Policy Document Requirements</w:t>
            </w:r>
            <w:r w:rsidR="00567EEA">
              <w:rPr>
                <w:webHidden/>
              </w:rPr>
              <w:tab/>
            </w:r>
            <w:r w:rsidR="00567EEA">
              <w:rPr>
                <w:webHidden/>
              </w:rPr>
              <w:fldChar w:fldCharType="begin"/>
            </w:r>
            <w:r w:rsidR="00567EEA">
              <w:rPr>
                <w:webHidden/>
              </w:rPr>
              <w:instrText xml:space="preserve"> PAGEREF _Toc130985146 \h </w:instrText>
            </w:r>
            <w:r w:rsidR="00567EEA">
              <w:rPr>
                <w:webHidden/>
              </w:rPr>
            </w:r>
            <w:r w:rsidR="00567EEA">
              <w:rPr>
                <w:webHidden/>
              </w:rPr>
              <w:fldChar w:fldCharType="separate"/>
            </w:r>
            <w:r w:rsidR="00567EEA">
              <w:rPr>
                <w:webHidden/>
              </w:rPr>
              <w:t>6</w:t>
            </w:r>
            <w:r w:rsidR="00567EEA">
              <w:rPr>
                <w:webHidden/>
              </w:rPr>
              <w:fldChar w:fldCharType="end"/>
            </w:r>
          </w:hyperlink>
        </w:p>
        <w:p w14:paraId="702B4DAB" w14:textId="48086AC6" w:rsidR="00567EEA" w:rsidRDefault="00000000">
          <w:pPr>
            <w:pStyle w:val="TOC1"/>
            <w:rPr>
              <w:rFonts w:asciiTheme="minorHAnsi" w:hAnsiTheme="minorHAnsi" w:cstheme="minorBidi"/>
              <w:bCs w:val="0"/>
              <w:sz w:val="22"/>
              <w:szCs w:val="22"/>
              <w:lang w:val="en-GB" w:eastAsia="en-GB"/>
            </w:rPr>
          </w:pPr>
          <w:hyperlink w:anchor="_Toc130985147" w:history="1">
            <w:r w:rsidR="00567EEA" w:rsidRPr="007F273D">
              <w:rPr>
                <w:rStyle w:val="Hyperlink"/>
              </w:rPr>
              <w:t>7</w:t>
            </w:r>
            <w:r w:rsidR="00567EEA">
              <w:rPr>
                <w:rFonts w:asciiTheme="minorHAnsi" w:hAnsiTheme="minorHAnsi" w:cstheme="minorBidi"/>
                <w:bCs w:val="0"/>
                <w:sz w:val="22"/>
                <w:szCs w:val="22"/>
                <w:lang w:val="en-GB" w:eastAsia="en-GB"/>
              </w:rPr>
              <w:tab/>
            </w:r>
            <w:r w:rsidR="00567EEA" w:rsidRPr="007F273D">
              <w:rPr>
                <w:rStyle w:val="Hyperlink"/>
              </w:rPr>
              <w:t>Consultation</w:t>
            </w:r>
            <w:r w:rsidR="00567EEA">
              <w:rPr>
                <w:webHidden/>
              </w:rPr>
              <w:tab/>
            </w:r>
            <w:r w:rsidR="00567EEA">
              <w:rPr>
                <w:webHidden/>
              </w:rPr>
              <w:fldChar w:fldCharType="begin"/>
            </w:r>
            <w:r w:rsidR="00567EEA">
              <w:rPr>
                <w:webHidden/>
              </w:rPr>
              <w:instrText xml:space="preserve"> PAGEREF _Toc130985147 \h </w:instrText>
            </w:r>
            <w:r w:rsidR="00567EEA">
              <w:rPr>
                <w:webHidden/>
              </w:rPr>
            </w:r>
            <w:r w:rsidR="00567EEA">
              <w:rPr>
                <w:webHidden/>
              </w:rPr>
              <w:fldChar w:fldCharType="separate"/>
            </w:r>
            <w:r w:rsidR="00567EEA">
              <w:rPr>
                <w:webHidden/>
              </w:rPr>
              <w:t>10</w:t>
            </w:r>
            <w:r w:rsidR="00567EEA">
              <w:rPr>
                <w:webHidden/>
              </w:rPr>
              <w:fldChar w:fldCharType="end"/>
            </w:r>
          </w:hyperlink>
        </w:p>
        <w:p w14:paraId="484F9248" w14:textId="0D08337D" w:rsidR="00567EEA" w:rsidRDefault="00000000">
          <w:pPr>
            <w:pStyle w:val="TOC1"/>
            <w:rPr>
              <w:rFonts w:asciiTheme="minorHAnsi" w:hAnsiTheme="minorHAnsi" w:cstheme="minorBidi"/>
              <w:bCs w:val="0"/>
              <w:sz w:val="22"/>
              <w:szCs w:val="22"/>
              <w:lang w:val="en-GB" w:eastAsia="en-GB"/>
            </w:rPr>
          </w:pPr>
          <w:hyperlink w:anchor="_Toc130985148" w:history="1">
            <w:r w:rsidR="00567EEA" w:rsidRPr="007F273D">
              <w:rPr>
                <w:rStyle w:val="Hyperlink"/>
              </w:rPr>
              <w:t>8</w:t>
            </w:r>
            <w:r w:rsidR="00567EEA">
              <w:rPr>
                <w:rFonts w:asciiTheme="minorHAnsi" w:hAnsiTheme="minorHAnsi" w:cstheme="minorBidi"/>
                <w:bCs w:val="0"/>
                <w:sz w:val="22"/>
                <w:szCs w:val="22"/>
                <w:lang w:val="en-GB" w:eastAsia="en-GB"/>
              </w:rPr>
              <w:tab/>
            </w:r>
            <w:r w:rsidR="00567EEA" w:rsidRPr="007F273D">
              <w:rPr>
                <w:rStyle w:val="Hyperlink"/>
              </w:rPr>
              <w:t>Training</w:t>
            </w:r>
            <w:r w:rsidR="00567EEA">
              <w:rPr>
                <w:webHidden/>
              </w:rPr>
              <w:tab/>
            </w:r>
            <w:r w:rsidR="00567EEA">
              <w:rPr>
                <w:webHidden/>
              </w:rPr>
              <w:fldChar w:fldCharType="begin"/>
            </w:r>
            <w:r w:rsidR="00567EEA">
              <w:rPr>
                <w:webHidden/>
              </w:rPr>
              <w:instrText xml:space="preserve"> PAGEREF _Toc130985148 \h </w:instrText>
            </w:r>
            <w:r w:rsidR="00567EEA">
              <w:rPr>
                <w:webHidden/>
              </w:rPr>
            </w:r>
            <w:r w:rsidR="00567EEA">
              <w:rPr>
                <w:webHidden/>
              </w:rPr>
              <w:fldChar w:fldCharType="separate"/>
            </w:r>
            <w:r w:rsidR="00567EEA">
              <w:rPr>
                <w:webHidden/>
              </w:rPr>
              <w:t>10</w:t>
            </w:r>
            <w:r w:rsidR="00567EEA">
              <w:rPr>
                <w:webHidden/>
              </w:rPr>
              <w:fldChar w:fldCharType="end"/>
            </w:r>
          </w:hyperlink>
        </w:p>
        <w:p w14:paraId="2FABA30F" w14:textId="716D69C0" w:rsidR="00567EEA" w:rsidRDefault="00000000">
          <w:pPr>
            <w:pStyle w:val="TOC1"/>
            <w:rPr>
              <w:rFonts w:asciiTheme="minorHAnsi" w:hAnsiTheme="minorHAnsi" w:cstheme="minorBidi"/>
              <w:bCs w:val="0"/>
              <w:sz w:val="22"/>
              <w:szCs w:val="22"/>
              <w:lang w:val="en-GB" w:eastAsia="en-GB"/>
            </w:rPr>
          </w:pPr>
          <w:hyperlink w:anchor="_Toc130985149" w:history="1">
            <w:r w:rsidR="00567EEA" w:rsidRPr="007F273D">
              <w:rPr>
                <w:rStyle w:val="Hyperlink"/>
              </w:rPr>
              <w:t>9</w:t>
            </w:r>
            <w:r w:rsidR="00567EEA">
              <w:rPr>
                <w:rFonts w:asciiTheme="minorHAnsi" w:hAnsiTheme="minorHAnsi" w:cstheme="minorBidi"/>
                <w:bCs w:val="0"/>
                <w:sz w:val="22"/>
                <w:szCs w:val="22"/>
                <w:lang w:val="en-GB" w:eastAsia="en-GB"/>
              </w:rPr>
              <w:tab/>
            </w:r>
            <w:r w:rsidR="00567EEA" w:rsidRPr="007F273D">
              <w:rPr>
                <w:rStyle w:val="Hyperlink"/>
              </w:rPr>
              <w:t>Monitoring Compliance</w:t>
            </w:r>
            <w:r w:rsidR="00567EEA">
              <w:rPr>
                <w:webHidden/>
              </w:rPr>
              <w:tab/>
            </w:r>
            <w:r w:rsidR="00567EEA">
              <w:rPr>
                <w:webHidden/>
              </w:rPr>
              <w:fldChar w:fldCharType="begin"/>
            </w:r>
            <w:r w:rsidR="00567EEA">
              <w:rPr>
                <w:webHidden/>
              </w:rPr>
              <w:instrText xml:space="preserve"> PAGEREF _Toc130985149 \h </w:instrText>
            </w:r>
            <w:r w:rsidR="00567EEA">
              <w:rPr>
                <w:webHidden/>
              </w:rPr>
            </w:r>
            <w:r w:rsidR="00567EEA">
              <w:rPr>
                <w:webHidden/>
              </w:rPr>
              <w:fldChar w:fldCharType="separate"/>
            </w:r>
            <w:r w:rsidR="00567EEA">
              <w:rPr>
                <w:webHidden/>
              </w:rPr>
              <w:t>10</w:t>
            </w:r>
            <w:r w:rsidR="00567EEA">
              <w:rPr>
                <w:webHidden/>
              </w:rPr>
              <w:fldChar w:fldCharType="end"/>
            </w:r>
          </w:hyperlink>
        </w:p>
        <w:p w14:paraId="669B3430" w14:textId="69AF423F" w:rsidR="00567EEA" w:rsidRDefault="00000000">
          <w:pPr>
            <w:pStyle w:val="TOC1"/>
            <w:rPr>
              <w:rFonts w:asciiTheme="minorHAnsi" w:hAnsiTheme="minorHAnsi" w:cstheme="minorBidi"/>
              <w:bCs w:val="0"/>
              <w:sz w:val="22"/>
              <w:szCs w:val="22"/>
              <w:lang w:val="en-GB" w:eastAsia="en-GB"/>
            </w:rPr>
          </w:pPr>
          <w:hyperlink w:anchor="_Toc130985150" w:history="1">
            <w:r w:rsidR="00567EEA" w:rsidRPr="007F273D">
              <w:rPr>
                <w:rStyle w:val="Hyperlink"/>
              </w:rPr>
              <w:t>10</w:t>
            </w:r>
            <w:r w:rsidR="00567EEA">
              <w:rPr>
                <w:rFonts w:asciiTheme="minorHAnsi" w:hAnsiTheme="minorHAnsi" w:cstheme="minorBidi"/>
                <w:bCs w:val="0"/>
                <w:sz w:val="22"/>
                <w:szCs w:val="22"/>
                <w:lang w:val="en-GB" w:eastAsia="en-GB"/>
              </w:rPr>
              <w:tab/>
            </w:r>
            <w:r w:rsidR="00567EEA" w:rsidRPr="007F273D">
              <w:rPr>
                <w:rStyle w:val="Hyperlink"/>
              </w:rPr>
              <w:t>Arrangements for Review</w:t>
            </w:r>
            <w:r w:rsidR="00567EEA">
              <w:rPr>
                <w:webHidden/>
              </w:rPr>
              <w:tab/>
            </w:r>
            <w:r w:rsidR="00567EEA">
              <w:rPr>
                <w:webHidden/>
              </w:rPr>
              <w:fldChar w:fldCharType="begin"/>
            </w:r>
            <w:r w:rsidR="00567EEA">
              <w:rPr>
                <w:webHidden/>
              </w:rPr>
              <w:instrText xml:space="preserve"> PAGEREF _Toc130985150 \h </w:instrText>
            </w:r>
            <w:r w:rsidR="00567EEA">
              <w:rPr>
                <w:webHidden/>
              </w:rPr>
            </w:r>
            <w:r w:rsidR="00567EEA">
              <w:rPr>
                <w:webHidden/>
              </w:rPr>
              <w:fldChar w:fldCharType="separate"/>
            </w:r>
            <w:r w:rsidR="00567EEA">
              <w:rPr>
                <w:webHidden/>
              </w:rPr>
              <w:t>10</w:t>
            </w:r>
            <w:r w:rsidR="00567EEA">
              <w:rPr>
                <w:webHidden/>
              </w:rPr>
              <w:fldChar w:fldCharType="end"/>
            </w:r>
          </w:hyperlink>
        </w:p>
        <w:p w14:paraId="6B2E090D" w14:textId="283B2F96" w:rsidR="00567EEA" w:rsidRDefault="00000000">
          <w:pPr>
            <w:pStyle w:val="TOC1"/>
            <w:rPr>
              <w:rFonts w:asciiTheme="minorHAnsi" w:hAnsiTheme="minorHAnsi" w:cstheme="minorBidi"/>
              <w:bCs w:val="0"/>
              <w:sz w:val="22"/>
              <w:szCs w:val="22"/>
              <w:lang w:val="en-GB" w:eastAsia="en-GB"/>
            </w:rPr>
          </w:pPr>
          <w:hyperlink w:anchor="_Toc130985151" w:history="1">
            <w:r w:rsidR="00567EEA" w:rsidRPr="007F273D">
              <w:rPr>
                <w:rStyle w:val="Hyperlink"/>
              </w:rPr>
              <w:t>11</w:t>
            </w:r>
            <w:r w:rsidR="00567EEA">
              <w:rPr>
                <w:rFonts w:asciiTheme="minorHAnsi" w:hAnsiTheme="minorHAnsi" w:cstheme="minorBidi"/>
                <w:bCs w:val="0"/>
                <w:sz w:val="22"/>
                <w:szCs w:val="22"/>
                <w:lang w:val="en-GB" w:eastAsia="en-GB"/>
              </w:rPr>
              <w:tab/>
            </w:r>
            <w:r w:rsidR="00567EEA" w:rsidRPr="007F273D">
              <w:rPr>
                <w:rStyle w:val="Hyperlink"/>
              </w:rPr>
              <w:t>Dissemination</w:t>
            </w:r>
            <w:r w:rsidR="00567EEA">
              <w:rPr>
                <w:webHidden/>
              </w:rPr>
              <w:tab/>
            </w:r>
            <w:r w:rsidR="00567EEA">
              <w:rPr>
                <w:webHidden/>
              </w:rPr>
              <w:fldChar w:fldCharType="begin"/>
            </w:r>
            <w:r w:rsidR="00567EEA">
              <w:rPr>
                <w:webHidden/>
              </w:rPr>
              <w:instrText xml:space="preserve"> PAGEREF _Toc130985151 \h </w:instrText>
            </w:r>
            <w:r w:rsidR="00567EEA">
              <w:rPr>
                <w:webHidden/>
              </w:rPr>
            </w:r>
            <w:r w:rsidR="00567EEA">
              <w:rPr>
                <w:webHidden/>
              </w:rPr>
              <w:fldChar w:fldCharType="separate"/>
            </w:r>
            <w:r w:rsidR="00567EEA">
              <w:rPr>
                <w:webHidden/>
              </w:rPr>
              <w:t>10</w:t>
            </w:r>
            <w:r w:rsidR="00567EEA">
              <w:rPr>
                <w:webHidden/>
              </w:rPr>
              <w:fldChar w:fldCharType="end"/>
            </w:r>
          </w:hyperlink>
        </w:p>
        <w:p w14:paraId="601E1BFA" w14:textId="3D07F7D6" w:rsidR="00567EEA" w:rsidRDefault="00000000">
          <w:pPr>
            <w:pStyle w:val="TOC1"/>
            <w:rPr>
              <w:rFonts w:asciiTheme="minorHAnsi" w:hAnsiTheme="minorHAnsi" w:cstheme="minorBidi"/>
              <w:bCs w:val="0"/>
              <w:sz w:val="22"/>
              <w:szCs w:val="22"/>
              <w:lang w:val="en-GB" w:eastAsia="en-GB"/>
            </w:rPr>
          </w:pPr>
          <w:hyperlink w:anchor="_Toc130985152" w:history="1">
            <w:r w:rsidR="00567EEA" w:rsidRPr="007F273D">
              <w:rPr>
                <w:rStyle w:val="Hyperlink"/>
              </w:rPr>
              <w:t>12</w:t>
            </w:r>
            <w:r w:rsidR="00567EEA">
              <w:rPr>
                <w:rFonts w:asciiTheme="minorHAnsi" w:hAnsiTheme="minorHAnsi" w:cstheme="minorBidi"/>
                <w:bCs w:val="0"/>
                <w:sz w:val="22"/>
                <w:szCs w:val="22"/>
                <w:lang w:val="en-GB" w:eastAsia="en-GB"/>
              </w:rPr>
              <w:tab/>
            </w:r>
            <w:r w:rsidR="00567EEA" w:rsidRPr="007F273D">
              <w:rPr>
                <w:rStyle w:val="Hyperlink"/>
              </w:rPr>
              <w:t>Associated Documentation</w:t>
            </w:r>
            <w:r w:rsidR="00567EEA">
              <w:rPr>
                <w:webHidden/>
              </w:rPr>
              <w:tab/>
            </w:r>
            <w:r w:rsidR="00567EEA">
              <w:rPr>
                <w:webHidden/>
              </w:rPr>
              <w:fldChar w:fldCharType="begin"/>
            </w:r>
            <w:r w:rsidR="00567EEA">
              <w:rPr>
                <w:webHidden/>
              </w:rPr>
              <w:instrText xml:space="preserve"> PAGEREF _Toc130985152 \h </w:instrText>
            </w:r>
            <w:r w:rsidR="00567EEA">
              <w:rPr>
                <w:webHidden/>
              </w:rPr>
            </w:r>
            <w:r w:rsidR="00567EEA">
              <w:rPr>
                <w:webHidden/>
              </w:rPr>
              <w:fldChar w:fldCharType="separate"/>
            </w:r>
            <w:r w:rsidR="00567EEA">
              <w:rPr>
                <w:webHidden/>
              </w:rPr>
              <w:t>10</w:t>
            </w:r>
            <w:r w:rsidR="00567EEA">
              <w:rPr>
                <w:webHidden/>
              </w:rPr>
              <w:fldChar w:fldCharType="end"/>
            </w:r>
          </w:hyperlink>
        </w:p>
        <w:p w14:paraId="7E242128" w14:textId="5EEF2B48" w:rsidR="00567EEA" w:rsidRDefault="00000000">
          <w:pPr>
            <w:pStyle w:val="TOC1"/>
            <w:rPr>
              <w:rFonts w:asciiTheme="minorHAnsi" w:hAnsiTheme="minorHAnsi" w:cstheme="minorBidi"/>
              <w:bCs w:val="0"/>
              <w:sz w:val="22"/>
              <w:szCs w:val="22"/>
              <w:lang w:val="en-GB" w:eastAsia="en-GB"/>
            </w:rPr>
          </w:pPr>
          <w:hyperlink w:anchor="_Toc130985153" w:history="1">
            <w:r w:rsidR="00567EEA" w:rsidRPr="007F273D">
              <w:rPr>
                <w:rStyle w:val="Hyperlink"/>
              </w:rPr>
              <w:t>13</w:t>
            </w:r>
            <w:r w:rsidR="00567EEA">
              <w:rPr>
                <w:rFonts w:asciiTheme="minorHAnsi" w:hAnsiTheme="minorHAnsi" w:cstheme="minorBidi"/>
                <w:bCs w:val="0"/>
                <w:sz w:val="22"/>
                <w:szCs w:val="22"/>
                <w:lang w:val="en-GB" w:eastAsia="en-GB"/>
              </w:rPr>
              <w:tab/>
            </w:r>
            <w:r w:rsidR="00567EEA" w:rsidRPr="007F273D">
              <w:rPr>
                <w:rStyle w:val="Hyperlink"/>
              </w:rPr>
              <w:t>References</w:t>
            </w:r>
            <w:r w:rsidR="00567EEA">
              <w:rPr>
                <w:webHidden/>
              </w:rPr>
              <w:tab/>
            </w:r>
            <w:r w:rsidR="00567EEA">
              <w:rPr>
                <w:webHidden/>
              </w:rPr>
              <w:fldChar w:fldCharType="begin"/>
            </w:r>
            <w:r w:rsidR="00567EEA">
              <w:rPr>
                <w:webHidden/>
              </w:rPr>
              <w:instrText xml:space="preserve"> PAGEREF _Toc130985153 \h </w:instrText>
            </w:r>
            <w:r w:rsidR="00567EEA">
              <w:rPr>
                <w:webHidden/>
              </w:rPr>
            </w:r>
            <w:r w:rsidR="00567EEA">
              <w:rPr>
                <w:webHidden/>
              </w:rPr>
              <w:fldChar w:fldCharType="separate"/>
            </w:r>
            <w:r w:rsidR="00567EEA">
              <w:rPr>
                <w:webHidden/>
              </w:rPr>
              <w:t>11</w:t>
            </w:r>
            <w:r w:rsidR="00567EEA">
              <w:rPr>
                <w:webHidden/>
              </w:rPr>
              <w:fldChar w:fldCharType="end"/>
            </w:r>
          </w:hyperlink>
        </w:p>
        <w:p w14:paraId="4B18E57B" w14:textId="226AAC64" w:rsidR="00567EEA" w:rsidRDefault="00000000">
          <w:pPr>
            <w:pStyle w:val="TOC1"/>
            <w:rPr>
              <w:rFonts w:asciiTheme="minorHAnsi" w:hAnsiTheme="minorHAnsi" w:cstheme="minorBidi"/>
              <w:bCs w:val="0"/>
              <w:sz w:val="22"/>
              <w:szCs w:val="22"/>
              <w:lang w:val="en-GB" w:eastAsia="en-GB"/>
            </w:rPr>
          </w:pPr>
          <w:hyperlink w:anchor="_Toc130985154" w:history="1">
            <w:r w:rsidR="00567EEA" w:rsidRPr="007F273D">
              <w:rPr>
                <w:rStyle w:val="Hyperlink"/>
              </w:rPr>
              <w:t>14</w:t>
            </w:r>
            <w:r w:rsidR="00567EEA">
              <w:rPr>
                <w:rFonts w:asciiTheme="minorHAnsi" w:hAnsiTheme="minorHAnsi" w:cstheme="minorBidi"/>
                <w:bCs w:val="0"/>
                <w:sz w:val="22"/>
                <w:szCs w:val="22"/>
                <w:lang w:val="en-GB" w:eastAsia="en-GB"/>
              </w:rPr>
              <w:tab/>
            </w:r>
            <w:r w:rsidR="00567EEA" w:rsidRPr="007F273D">
              <w:rPr>
                <w:rStyle w:val="Hyperlink"/>
              </w:rPr>
              <w:t>Appendices</w:t>
            </w:r>
            <w:r w:rsidR="00567EEA">
              <w:rPr>
                <w:webHidden/>
              </w:rPr>
              <w:tab/>
            </w:r>
            <w:r w:rsidR="00567EEA">
              <w:rPr>
                <w:webHidden/>
              </w:rPr>
              <w:fldChar w:fldCharType="begin"/>
            </w:r>
            <w:r w:rsidR="00567EEA">
              <w:rPr>
                <w:webHidden/>
              </w:rPr>
              <w:instrText xml:space="preserve"> PAGEREF _Toc130985154 \h </w:instrText>
            </w:r>
            <w:r w:rsidR="00567EEA">
              <w:rPr>
                <w:webHidden/>
              </w:rPr>
            </w:r>
            <w:r w:rsidR="00567EEA">
              <w:rPr>
                <w:webHidden/>
              </w:rPr>
              <w:fldChar w:fldCharType="separate"/>
            </w:r>
            <w:r w:rsidR="00567EEA">
              <w:rPr>
                <w:webHidden/>
              </w:rPr>
              <w:t>11</w:t>
            </w:r>
            <w:r w:rsidR="00567EEA">
              <w:rPr>
                <w:webHidden/>
              </w:rPr>
              <w:fldChar w:fldCharType="end"/>
            </w:r>
          </w:hyperlink>
        </w:p>
        <w:p w14:paraId="15287388" w14:textId="37093638" w:rsidR="00567EEA" w:rsidRDefault="00000000">
          <w:pPr>
            <w:pStyle w:val="TOC1"/>
            <w:rPr>
              <w:rFonts w:asciiTheme="minorHAnsi" w:hAnsiTheme="minorHAnsi" w:cstheme="minorBidi"/>
              <w:bCs w:val="0"/>
              <w:sz w:val="22"/>
              <w:szCs w:val="22"/>
              <w:lang w:val="en-GB" w:eastAsia="en-GB"/>
            </w:rPr>
          </w:pPr>
          <w:hyperlink w:anchor="_Toc130985155" w:history="1">
            <w:r w:rsidR="00567EEA" w:rsidRPr="007F273D">
              <w:rPr>
                <w:rStyle w:val="Hyperlink"/>
              </w:rPr>
              <w:t>15</w:t>
            </w:r>
            <w:r w:rsidR="00567EEA">
              <w:rPr>
                <w:rFonts w:asciiTheme="minorHAnsi" w:hAnsiTheme="minorHAnsi" w:cstheme="minorBidi"/>
                <w:bCs w:val="0"/>
                <w:sz w:val="22"/>
                <w:szCs w:val="22"/>
                <w:lang w:val="en-GB" w:eastAsia="en-GB"/>
              </w:rPr>
              <w:tab/>
            </w:r>
            <w:r w:rsidR="00567EEA" w:rsidRPr="007F273D">
              <w:rPr>
                <w:rStyle w:val="Hyperlink"/>
              </w:rPr>
              <w:t>Impact Assessments</w:t>
            </w:r>
            <w:r w:rsidR="00567EEA">
              <w:rPr>
                <w:webHidden/>
              </w:rPr>
              <w:tab/>
            </w:r>
            <w:r w:rsidR="00567EEA">
              <w:rPr>
                <w:webHidden/>
              </w:rPr>
              <w:fldChar w:fldCharType="begin"/>
            </w:r>
            <w:r w:rsidR="00567EEA">
              <w:rPr>
                <w:webHidden/>
              </w:rPr>
              <w:instrText xml:space="preserve"> PAGEREF _Toc130985155 \h </w:instrText>
            </w:r>
            <w:r w:rsidR="00567EEA">
              <w:rPr>
                <w:webHidden/>
              </w:rPr>
            </w:r>
            <w:r w:rsidR="00567EEA">
              <w:rPr>
                <w:webHidden/>
              </w:rPr>
              <w:fldChar w:fldCharType="separate"/>
            </w:r>
            <w:r w:rsidR="00567EEA">
              <w:rPr>
                <w:webHidden/>
              </w:rPr>
              <w:t>11</w:t>
            </w:r>
            <w:r w:rsidR="00567EEA">
              <w:rPr>
                <w:webHidden/>
              </w:rPr>
              <w:fldChar w:fldCharType="end"/>
            </w:r>
          </w:hyperlink>
        </w:p>
        <w:p w14:paraId="4BE4E5B2" w14:textId="79ABBBA4" w:rsidR="00567EEA" w:rsidRDefault="00000000">
          <w:pPr>
            <w:pStyle w:val="TOC1"/>
            <w:rPr>
              <w:rFonts w:asciiTheme="minorHAnsi" w:hAnsiTheme="minorHAnsi" w:cstheme="minorBidi"/>
              <w:bCs w:val="0"/>
              <w:sz w:val="22"/>
              <w:szCs w:val="22"/>
              <w:lang w:val="en-GB" w:eastAsia="en-GB"/>
            </w:rPr>
          </w:pPr>
          <w:hyperlink w:anchor="_Toc130985156" w:history="1">
            <w:r w:rsidR="00567EEA" w:rsidRPr="007F273D">
              <w:rPr>
                <w:rStyle w:val="Hyperlink"/>
              </w:rPr>
              <w:t>Appendix 1 - Anti-Fraud, Bribery and Corruption</w:t>
            </w:r>
            <w:r w:rsidR="00567EEA">
              <w:rPr>
                <w:webHidden/>
              </w:rPr>
              <w:tab/>
            </w:r>
            <w:r w:rsidR="00567EEA">
              <w:rPr>
                <w:webHidden/>
              </w:rPr>
              <w:fldChar w:fldCharType="begin"/>
            </w:r>
            <w:r w:rsidR="00567EEA">
              <w:rPr>
                <w:webHidden/>
              </w:rPr>
              <w:instrText xml:space="preserve"> PAGEREF _Toc130985156 \h </w:instrText>
            </w:r>
            <w:r w:rsidR="00567EEA">
              <w:rPr>
                <w:webHidden/>
              </w:rPr>
            </w:r>
            <w:r w:rsidR="00567EEA">
              <w:rPr>
                <w:webHidden/>
              </w:rPr>
              <w:fldChar w:fldCharType="separate"/>
            </w:r>
            <w:r w:rsidR="00567EEA">
              <w:rPr>
                <w:webHidden/>
              </w:rPr>
              <w:t>11</w:t>
            </w:r>
            <w:r w:rsidR="00567EEA">
              <w:rPr>
                <w:webHidden/>
              </w:rPr>
              <w:fldChar w:fldCharType="end"/>
            </w:r>
          </w:hyperlink>
        </w:p>
        <w:p w14:paraId="274CCDD5" w14:textId="12F90CAB" w:rsidR="00567EEA" w:rsidRDefault="00000000">
          <w:pPr>
            <w:pStyle w:val="TOC1"/>
            <w:rPr>
              <w:rFonts w:asciiTheme="minorHAnsi" w:hAnsiTheme="minorHAnsi" w:cstheme="minorBidi"/>
              <w:bCs w:val="0"/>
              <w:sz w:val="22"/>
              <w:szCs w:val="22"/>
              <w:lang w:val="en-GB" w:eastAsia="en-GB"/>
            </w:rPr>
          </w:pPr>
          <w:hyperlink w:anchor="_Toc130985157" w:history="1">
            <w:r w:rsidR="00567EEA" w:rsidRPr="007F273D">
              <w:rPr>
                <w:rStyle w:val="Hyperlink"/>
              </w:rPr>
              <w:t>Appendix 2 - Mechanisms for Auditing Information Security Control</w:t>
            </w:r>
            <w:r w:rsidR="00567EEA">
              <w:rPr>
                <w:webHidden/>
              </w:rPr>
              <w:tab/>
            </w:r>
            <w:r w:rsidR="00567EEA">
              <w:rPr>
                <w:webHidden/>
              </w:rPr>
              <w:fldChar w:fldCharType="begin"/>
            </w:r>
            <w:r w:rsidR="00567EEA">
              <w:rPr>
                <w:webHidden/>
              </w:rPr>
              <w:instrText xml:space="preserve"> PAGEREF _Toc130985157 \h </w:instrText>
            </w:r>
            <w:r w:rsidR="00567EEA">
              <w:rPr>
                <w:webHidden/>
              </w:rPr>
            </w:r>
            <w:r w:rsidR="00567EEA">
              <w:rPr>
                <w:webHidden/>
              </w:rPr>
              <w:fldChar w:fldCharType="separate"/>
            </w:r>
            <w:r w:rsidR="00567EEA">
              <w:rPr>
                <w:webHidden/>
              </w:rPr>
              <w:t>13</w:t>
            </w:r>
            <w:r w:rsidR="00567EEA">
              <w:rPr>
                <w:webHidden/>
              </w:rPr>
              <w:fldChar w:fldCharType="end"/>
            </w:r>
          </w:hyperlink>
        </w:p>
        <w:p w14:paraId="48813AFF" w14:textId="34649FCB" w:rsidR="00567EEA" w:rsidRDefault="00000000">
          <w:pPr>
            <w:pStyle w:val="TOC1"/>
            <w:rPr>
              <w:rFonts w:asciiTheme="minorHAnsi" w:hAnsiTheme="minorHAnsi" w:cstheme="minorBidi"/>
              <w:bCs w:val="0"/>
              <w:sz w:val="22"/>
              <w:szCs w:val="22"/>
              <w:lang w:val="en-GB" w:eastAsia="en-GB"/>
            </w:rPr>
          </w:pPr>
          <w:hyperlink w:anchor="_Toc130985158" w:history="1">
            <w:r w:rsidR="00567EEA" w:rsidRPr="007F273D">
              <w:rPr>
                <w:rStyle w:val="Hyperlink"/>
              </w:rPr>
              <w:t>Appendix 3 – Safe Haven Checklist</w:t>
            </w:r>
            <w:r w:rsidR="00567EEA">
              <w:rPr>
                <w:webHidden/>
              </w:rPr>
              <w:tab/>
            </w:r>
            <w:r w:rsidR="00567EEA">
              <w:rPr>
                <w:webHidden/>
              </w:rPr>
              <w:fldChar w:fldCharType="begin"/>
            </w:r>
            <w:r w:rsidR="00567EEA">
              <w:rPr>
                <w:webHidden/>
              </w:rPr>
              <w:instrText xml:space="preserve"> PAGEREF _Toc130985158 \h </w:instrText>
            </w:r>
            <w:r w:rsidR="00567EEA">
              <w:rPr>
                <w:webHidden/>
              </w:rPr>
            </w:r>
            <w:r w:rsidR="00567EEA">
              <w:rPr>
                <w:webHidden/>
              </w:rPr>
              <w:fldChar w:fldCharType="separate"/>
            </w:r>
            <w:r w:rsidR="00567EEA">
              <w:rPr>
                <w:webHidden/>
              </w:rPr>
              <w:t>14</w:t>
            </w:r>
            <w:r w:rsidR="00567EEA">
              <w:rPr>
                <w:webHidden/>
              </w:rPr>
              <w:fldChar w:fldCharType="end"/>
            </w:r>
          </w:hyperlink>
        </w:p>
        <w:p w14:paraId="03A45DAA" w14:textId="20C12194" w:rsidR="009F2C13" w:rsidRPr="0032084D" w:rsidRDefault="008409BD">
          <w:pPr>
            <w:rPr>
              <w:color w:val="000000" w:themeColor="text1"/>
            </w:rPr>
          </w:pPr>
          <w:r>
            <w:rPr>
              <w:color w:val="000000" w:themeColor="text1"/>
            </w:rPr>
            <w:fldChar w:fldCharType="end"/>
          </w:r>
        </w:p>
      </w:sdtContent>
    </w:sdt>
    <w:p w14:paraId="37134A2E" w14:textId="574EAA2F" w:rsidR="00DD443C" w:rsidRDefault="00DD443C">
      <w:pPr>
        <w:spacing w:line="240" w:lineRule="auto"/>
        <w:rPr>
          <w:b/>
          <w:color w:val="auto"/>
          <w:sz w:val="28"/>
          <w:szCs w:val="22"/>
        </w:rPr>
      </w:pPr>
      <w:r>
        <w:br w:type="page"/>
      </w:r>
    </w:p>
    <w:p w14:paraId="7A119E60" w14:textId="33237877" w:rsidR="00824982" w:rsidRDefault="00BE1D7D" w:rsidP="00AE286E">
      <w:pPr>
        <w:pStyle w:val="Heading1"/>
      </w:pPr>
      <w:bookmarkStart w:id="0" w:name="_Toc130985141"/>
      <w:r w:rsidRPr="00402368">
        <w:lastRenderedPageBreak/>
        <w:t>I</w:t>
      </w:r>
      <w:r w:rsidR="00E91015">
        <w:t>ntroduction</w:t>
      </w:r>
      <w:bookmarkEnd w:id="0"/>
    </w:p>
    <w:p w14:paraId="7D54D252" w14:textId="3FC14608" w:rsidR="00BA025E" w:rsidRDefault="00BA025E" w:rsidP="002E5CD6">
      <w:pPr>
        <w:spacing w:line="240" w:lineRule="auto"/>
        <w:ind w:left="431"/>
        <w:jc w:val="both"/>
        <w:rPr>
          <w:color w:val="000000" w:themeColor="text1"/>
        </w:rPr>
      </w:pPr>
      <w:r w:rsidRPr="00BA025E">
        <w:rPr>
          <w:color w:val="000000" w:themeColor="text1"/>
        </w:rPr>
        <w:t xml:space="preserve">The </w:t>
      </w:r>
      <w:r w:rsidR="00030466">
        <w:rPr>
          <w:color w:val="000000" w:themeColor="text1"/>
        </w:rPr>
        <w:t xml:space="preserve">Humber and </w:t>
      </w:r>
      <w:r w:rsidR="003F1EE1">
        <w:rPr>
          <w:color w:val="000000" w:themeColor="text1"/>
        </w:rPr>
        <w:t>North Yorkshire Integrated Care Board</w:t>
      </w:r>
      <w:r w:rsidRPr="00BA025E">
        <w:rPr>
          <w:color w:val="000000" w:themeColor="text1"/>
        </w:rPr>
        <w:t xml:space="preserve"> (from this point on known as the </w:t>
      </w:r>
      <w:r w:rsidR="003F1EE1">
        <w:rPr>
          <w:color w:val="000000" w:themeColor="text1"/>
        </w:rPr>
        <w:t>HNY ICB</w:t>
      </w:r>
      <w:r w:rsidRPr="00BA025E">
        <w:rPr>
          <w:color w:val="000000" w:themeColor="text1"/>
        </w:rPr>
        <w:t xml:space="preserve">), has a statutory duty to safeguard the information it holds. The </w:t>
      </w:r>
      <w:r w:rsidR="00C8787E">
        <w:rPr>
          <w:color w:val="000000" w:themeColor="text1"/>
        </w:rPr>
        <w:t>HNY ICB</w:t>
      </w:r>
      <w:r w:rsidRPr="00BA025E">
        <w:rPr>
          <w:color w:val="000000" w:themeColor="text1"/>
        </w:rPr>
        <w:t xml:space="preserve"> has a legal obligation to comply with appropriate legislation in respect of data, information, and information security. All employees or anyone working for or on behalf of the </w:t>
      </w:r>
      <w:r w:rsidR="00C8787E">
        <w:rPr>
          <w:color w:val="000000" w:themeColor="text1"/>
        </w:rPr>
        <w:t>HNY ICB</w:t>
      </w:r>
      <w:r w:rsidRPr="00BA025E">
        <w:rPr>
          <w:color w:val="000000" w:themeColor="text1"/>
        </w:rPr>
        <w:t xml:space="preserve"> are bound by a legal duty of confidence to protect personal confidential information they may encounter during their work.  The principle of this policy is that no individual, including Third Party Contractors, volunteers and seconders working for or on behalf of the </w:t>
      </w:r>
      <w:r w:rsidR="00C8787E">
        <w:rPr>
          <w:color w:val="000000" w:themeColor="text1"/>
        </w:rPr>
        <w:t>HNY ICB</w:t>
      </w:r>
      <w:r w:rsidRPr="00BA025E">
        <w:rPr>
          <w:color w:val="000000" w:themeColor="text1"/>
        </w:rPr>
        <w:t xml:space="preserve"> shall misuse any information it processes or </w:t>
      </w:r>
      <w:proofErr w:type="gramStart"/>
      <w:r w:rsidRPr="00BA025E">
        <w:rPr>
          <w:color w:val="000000" w:themeColor="text1"/>
        </w:rPr>
        <w:t>comes into contact with</w:t>
      </w:r>
      <w:proofErr w:type="gramEnd"/>
      <w:r w:rsidRPr="00BA025E">
        <w:rPr>
          <w:color w:val="000000" w:themeColor="text1"/>
        </w:rPr>
        <w:t xml:space="preserve"> or allow others to do so.  </w:t>
      </w:r>
    </w:p>
    <w:p w14:paraId="74A87247" w14:textId="77777777" w:rsidR="002318A0" w:rsidRPr="00BA025E" w:rsidRDefault="002318A0" w:rsidP="002E5CD6">
      <w:pPr>
        <w:spacing w:line="240" w:lineRule="auto"/>
        <w:ind w:left="431"/>
        <w:jc w:val="both"/>
        <w:rPr>
          <w:color w:val="000000" w:themeColor="text1"/>
        </w:rPr>
      </w:pPr>
    </w:p>
    <w:p w14:paraId="629F8D8F" w14:textId="77777777" w:rsidR="00BA025E" w:rsidRDefault="00BA025E" w:rsidP="002E5CD6">
      <w:pPr>
        <w:spacing w:line="240" w:lineRule="auto"/>
        <w:ind w:left="431"/>
        <w:jc w:val="both"/>
        <w:rPr>
          <w:color w:val="000000" w:themeColor="text1"/>
        </w:rPr>
      </w:pPr>
      <w:r w:rsidRPr="00BA025E">
        <w:rPr>
          <w:color w:val="000000" w:themeColor="text1"/>
        </w:rPr>
        <w:t>All health and care organisations have a legal duty to share information about a patient or service user to facilitate their individual care. The duty to share information for individual care is as important as the duty to protect confidentiality. This policy is intended to provide guidance to help support you so that you can share information correctly, safely, and securely.</w:t>
      </w:r>
    </w:p>
    <w:p w14:paraId="3A157E30" w14:textId="29093E16" w:rsidR="00BA025E" w:rsidRPr="00BA025E" w:rsidRDefault="00BA025E" w:rsidP="002E5CD6">
      <w:pPr>
        <w:spacing w:line="240" w:lineRule="auto"/>
        <w:ind w:left="431"/>
        <w:jc w:val="both"/>
        <w:rPr>
          <w:color w:val="000000" w:themeColor="text1"/>
        </w:rPr>
      </w:pPr>
      <w:r w:rsidRPr="00BA025E">
        <w:rPr>
          <w:color w:val="000000" w:themeColor="text1"/>
        </w:rPr>
        <w:t xml:space="preserve"> </w:t>
      </w:r>
    </w:p>
    <w:p w14:paraId="6596CE94" w14:textId="77777777" w:rsidR="00BA025E" w:rsidRPr="00BA025E" w:rsidRDefault="00BA025E" w:rsidP="002E5CD6">
      <w:pPr>
        <w:spacing w:after="160" w:line="259" w:lineRule="auto"/>
        <w:ind w:left="426"/>
        <w:jc w:val="both"/>
        <w:rPr>
          <w:rFonts w:eastAsia="Calibri"/>
          <w:color w:val="auto"/>
          <w:lang w:eastAsia="en-US"/>
        </w:rPr>
      </w:pPr>
      <w:r w:rsidRPr="00BA025E">
        <w:rPr>
          <w:rFonts w:eastAsia="Calibri"/>
          <w:color w:val="auto"/>
          <w:lang w:eastAsia="en-US"/>
        </w:rPr>
        <w:t>The </w:t>
      </w:r>
      <w:bookmarkStart w:id="1" w:name="_Hlk67599007"/>
      <w:r w:rsidRPr="00BA025E">
        <w:rPr>
          <w:rFonts w:eastAsia="Calibri" w:cs="Times New Roman"/>
          <w:color w:val="auto"/>
          <w:lang w:eastAsia="en-US"/>
        </w:rPr>
        <w:fldChar w:fldCharType="begin"/>
      </w:r>
      <w:r w:rsidRPr="00BA025E">
        <w:rPr>
          <w:rFonts w:eastAsia="Calibri" w:cs="Times New Roman"/>
          <w:color w:val="auto"/>
          <w:lang w:eastAsia="en-US"/>
        </w:rPr>
        <w:instrText xml:space="preserve"> HYPERLINK "https://www.gov.uk/government/publications/the-caldicott-principles" </w:instrText>
      </w:r>
      <w:r w:rsidRPr="00BA025E">
        <w:rPr>
          <w:rFonts w:eastAsia="Calibri" w:cs="Times New Roman"/>
          <w:color w:val="auto"/>
          <w:lang w:eastAsia="en-US"/>
        </w:rPr>
      </w:r>
      <w:r w:rsidRPr="00BA025E">
        <w:rPr>
          <w:rFonts w:eastAsia="Calibri" w:cs="Times New Roman"/>
          <w:color w:val="auto"/>
          <w:lang w:eastAsia="en-US"/>
        </w:rPr>
        <w:fldChar w:fldCharType="separate"/>
      </w:r>
      <w:r w:rsidRPr="00BA025E">
        <w:rPr>
          <w:rFonts w:eastAsia="Calibri"/>
          <w:color w:val="0000FF"/>
          <w:u w:val="single"/>
          <w:lang w:eastAsia="en-US"/>
        </w:rPr>
        <w:t>Caldicott Principles</w:t>
      </w:r>
      <w:r w:rsidRPr="00BA025E">
        <w:rPr>
          <w:rFonts w:eastAsia="Calibri"/>
          <w:color w:val="0000FF"/>
          <w:u w:val="single"/>
          <w:lang w:eastAsia="en-US"/>
        </w:rPr>
        <w:fldChar w:fldCharType="end"/>
      </w:r>
      <w:r w:rsidRPr="00BA025E">
        <w:rPr>
          <w:rFonts w:eastAsia="Calibri"/>
          <w:color w:val="FF0000"/>
          <w:lang w:eastAsia="en-US"/>
        </w:rPr>
        <w:t> </w:t>
      </w:r>
      <w:bookmarkEnd w:id="1"/>
      <w:r w:rsidRPr="00BA025E">
        <w:rPr>
          <w:rFonts w:eastAsia="Calibri"/>
          <w:color w:val="auto"/>
          <w:lang w:eastAsia="en-US"/>
        </w:rPr>
        <w:t>help to ensure that health and care information is used and shared appropriately to support care. Please follow the guidance set out in the principles when sharing information for care and other purposes.</w:t>
      </w:r>
    </w:p>
    <w:p w14:paraId="3D6CB5D4" w14:textId="457226D2" w:rsidR="008C26B8" w:rsidRDefault="00E91015" w:rsidP="00AE286E">
      <w:pPr>
        <w:pStyle w:val="Heading1"/>
      </w:pPr>
      <w:bookmarkStart w:id="2" w:name="_Toc130985142"/>
      <w:r>
        <w:t>Purpose</w:t>
      </w:r>
      <w:bookmarkEnd w:id="2"/>
    </w:p>
    <w:p w14:paraId="7E9B5239" w14:textId="15A6AD97" w:rsidR="00EC7D79" w:rsidRPr="00EC7D79" w:rsidRDefault="00EC7D79" w:rsidP="002E5CD6">
      <w:pPr>
        <w:spacing w:line="240" w:lineRule="auto"/>
        <w:ind w:left="425"/>
        <w:jc w:val="both"/>
        <w:rPr>
          <w:color w:val="000000" w:themeColor="text1"/>
        </w:rPr>
      </w:pPr>
      <w:r w:rsidRPr="00EC7D79">
        <w:rPr>
          <w:color w:val="000000" w:themeColor="text1"/>
        </w:rPr>
        <w:t xml:space="preserve">The purpose of this policy is to set out the </w:t>
      </w:r>
      <w:r w:rsidR="00C8787E">
        <w:rPr>
          <w:color w:val="000000" w:themeColor="text1"/>
        </w:rPr>
        <w:t>HNY ICB</w:t>
      </w:r>
      <w:r w:rsidRPr="00EC7D79">
        <w:rPr>
          <w:color w:val="000000" w:themeColor="text1"/>
        </w:rPr>
        <w:t>’s commitment to the confidentiality and safe appropriate sharing of information and its responsibilities and compliance with the Data Protection legislation regarding the disclosure of such information.</w:t>
      </w:r>
    </w:p>
    <w:p w14:paraId="27AE63E6" w14:textId="77777777" w:rsidR="00EC7D79" w:rsidRPr="00EC7D79" w:rsidRDefault="00EC7D79" w:rsidP="002E5CD6">
      <w:pPr>
        <w:spacing w:line="240" w:lineRule="auto"/>
        <w:ind w:left="425"/>
        <w:jc w:val="both"/>
        <w:rPr>
          <w:color w:val="000000" w:themeColor="text1"/>
        </w:rPr>
      </w:pPr>
    </w:p>
    <w:p w14:paraId="4228C330" w14:textId="2D8C848B" w:rsidR="00E127B3" w:rsidRPr="00C8300A" w:rsidRDefault="00E91015" w:rsidP="00C8300A">
      <w:pPr>
        <w:pStyle w:val="Heading1"/>
      </w:pPr>
      <w:bookmarkStart w:id="3" w:name="_Toc130985143"/>
      <w:r>
        <w:t>Definition/ Explanation of Terms</w:t>
      </w:r>
      <w:bookmarkEnd w:id="3"/>
    </w:p>
    <w:p w14:paraId="46462CD1" w14:textId="6EF1F43E" w:rsidR="00E127B3" w:rsidRPr="00E127B3" w:rsidRDefault="00E127B3" w:rsidP="002E5CD6">
      <w:pPr>
        <w:spacing w:line="240" w:lineRule="auto"/>
        <w:ind w:left="425"/>
        <w:jc w:val="both"/>
        <w:rPr>
          <w:color w:val="000000" w:themeColor="text1"/>
        </w:rPr>
      </w:pPr>
      <w:r w:rsidRPr="00E127B3">
        <w:rPr>
          <w:b/>
          <w:bCs/>
          <w:color w:val="000000" w:themeColor="text1"/>
        </w:rPr>
        <w:t>Data Controller</w:t>
      </w:r>
      <w:r w:rsidRPr="00E127B3">
        <w:rPr>
          <w:color w:val="000000" w:themeColor="text1"/>
        </w:rPr>
        <w:t xml:space="preserve"> – the person or organisation that determines the purpose and means of personal data </w:t>
      </w:r>
      <w:r w:rsidR="0053236F" w:rsidRPr="00E127B3">
        <w:rPr>
          <w:color w:val="000000" w:themeColor="text1"/>
        </w:rPr>
        <w:t>processing.</w:t>
      </w:r>
    </w:p>
    <w:p w14:paraId="0D3219D5" w14:textId="77777777" w:rsidR="00E127B3" w:rsidRPr="00E127B3" w:rsidRDefault="00E127B3" w:rsidP="00E127B3">
      <w:pPr>
        <w:spacing w:line="240" w:lineRule="auto"/>
        <w:ind w:left="425"/>
        <w:rPr>
          <w:color w:val="000000" w:themeColor="text1"/>
        </w:rPr>
      </w:pPr>
    </w:p>
    <w:p w14:paraId="5615B3EE" w14:textId="77777777" w:rsidR="00E127B3" w:rsidRPr="00E127B3" w:rsidRDefault="00E127B3" w:rsidP="002E5CD6">
      <w:pPr>
        <w:spacing w:line="240" w:lineRule="auto"/>
        <w:ind w:left="425"/>
        <w:jc w:val="both"/>
        <w:rPr>
          <w:color w:val="000000" w:themeColor="text1"/>
        </w:rPr>
      </w:pPr>
      <w:r w:rsidRPr="00E127B3">
        <w:rPr>
          <w:b/>
          <w:bCs/>
          <w:color w:val="000000" w:themeColor="text1"/>
        </w:rPr>
        <w:t xml:space="preserve">Data Processor </w:t>
      </w:r>
      <w:r w:rsidRPr="00E127B3">
        <w:rPr>
          <w:color w:val="000000" w:themeColor="text1"/>
        </w:rPr>
        <w:t>– the person or organisation (other than an employee of the Data Controller) that processes data on behalf of and/or under the instruction of the Data Controller.</w:t>
      </w:r>
    </w:p>
    <w:p w14:paraId="19A48A1B" w14:textId="77777777" w:rsidR="00E127B3" w:rsidRPr="00E127B3" w:rsidRDefault="00E127B3" w:rsidP="00E127B3">
      <w:pPr>
        <w:spacing w:line="240" w:lineRule="auto"/>
        <w:ind w:left="425"/>
        <w:rPr>
          <w:color w:val="000000" w:themeColor="text1"/>
        </w:rPr>
      </w:pPr>
    </w:p>
    <w:p w14:paraId="5852DCB6" w14:textId="4569DD35" w:rsidR="00E127B3" w:rsidRPr="00E127B3" w:rsidRDefault="00E127B3" w:rsidP="002E5CD6">
      <w:pPr>
        <w:spacing w:line="240" w:lineRule="auto"/>
        <w:ind w:left="425"/>
        <w:jc w:val="both"/>
        <w:rPr>
          <w:color w:val="000000" w:themeColor="text1"/>
        </w:rPr>
      </w:pPr>
      <w:r w:rsidRPr="00E127B3">
        <w:rPr>
          <w:b/>
          <w:bCs/>
          <w:color w:val="000000" w:themeColor="text1"/>
        </w:rPr>
        <w:t>Data Subject</w:t>
      </w:r>
      <w:r w:rsidRPr="00E127B3">
        <w:rPr>
          <w:color w:val="000000" w:themeColor="text1"/>
        </w:rPr>
        <w:t xml:space="preserve"> - a living individual who is the subject of the personal </w:t>
      </w:r>
      <w:r w:rsidR="0053236F" w:rsidRPr="00E127B3">
        <w:rPr>
          <w:color w:val="000000" w:themeColor="text1"/>
        </w:rPr>
        <w:t>data.</w:t>
      </w:r>
    </w:p>
    <w:p w14:paraId="7DEA2714" w14:textId="77777777" w:rsidR="00E127B3" w:rsidRPr="00E127B3" w:rsidRDefault="00E127B3" w:rsidP="00E127B3">
      <w:pPr>
        <w:spacing w:line="240" w:lineRule="auto"/>
        <w:ind w:left="425"/>
        <w:rPr>
          <w:color w:val="000000" w:themeColor="text1"/>
        </w:rPr>
      </w:pPr>
    </w:p>
    <w:p w14:paraId="1AEA18DD" w14:textId="77777777" w:rsidR="00E127B3" w:rsidRPr="00E127B3" w:rsidRDefault="00E127B3" w:rsidP="002E5CD6">
      <w:pPr>
        <w:spacing w:line="240" w:lineRule="auto"/>
        <w:ind w:left="425"/>
        <w:jc w:val="both"/>
        <w:rPr>
          <w:color w:val="000000" w:themeColor="text1"/>
        </w:rPr>
      </w:pPr>
      <w:r w:rsidRPr="00E127B3">
        <w:rPr>
          <w:b/>
          <w:bCs/>
          <w:color w:val="000000" w:themeColor="text1"/>
        </w:rPr>
        <w:t>Personal Confidential Data</w:t>
      </w:r>
      <w:r w:rsidRPr="00E127B3">
        <w:rPr>
          <w:color w:val="000000" w:themeColor="text1"/>
        </w:rPr>
        <w:t xml:space="preserve"> – Data that relates to a living individual that can identify the individual from the data or other information in the possession of the data controller or data processor (e.g.name, address, NHS number)</w:t>
      </w:r>
    </w:p>
    <w:p w14:paraId="21C88DA9" w14:textId="77777777" w:rsidR="00E127B3" w:rsidRPr="00E127B3" w:rsidRDefault="00E127B3" w:rsidP="00E127B3">
      <w:pPr>
        <w:spacing w:line="240" w:lineRule="auto"/>
        <w:ind w:left="425"/>
        <w:rPr>
          <w:color w:val="000000" w:themeColor="text1"/>
        </w:rPr>
      </w:pPr>
    </w:p>
    <w:p w14:paraId="25EF48CA" w14:textId="383881E8" w:rsidR="00E127B3" w:rsidRPr="00E127B3" w:rsidRDefault="00E127B3" w:rsidP="002E5CD6">
      <w:pPr>
        <w:spacing w:line="240" w:lineRule="auto"/>
        <w:ind w:left="425"/>
        <w:jc w:val="both"/>
        <w:rPr>
          <w:color w:val="000000" w:themeColor="text1"/>
        </w:rPr>
      </w:pPr>
      <w:r w:rsidRPr="00E127B3">
        <w:rPr>
          <w:b/>
          <w:bCs/>
          <w:color w:val="000000" w:themeColor="text1"/>
        </w:rPr>
        <w:t>Sensitive Personal Data</w:t>
      </w:r>
      <w:r w:rsidR="00420892">
        <w:rPr>
          <w:color w:val="000000" w:themeColor="text1"/>
        </w:rPr>
        <w:t xml:space="preserve"> - </w:t>
      </w:r>
      <w:r w:rsidRPr="00E127B3">
        <w:rPr>
          <w:color w:val="000000" w:themeColor="text1"/>
        </w:rPr>
        <w:t xml:space="preserve">also known as ‘Special Category Data’- Data that relates to a living individual that includes racial or ethnic origin; political opinions; religious or other beliefs; trade union membership; Health data (physical or mental health conditions); genetics; sex life and sexual orientation; criminal proceedings, </w:t>
      </w:r>
      <w:proofErr w:type="gramStart"/>
      <w:r w:rsidRPr="00E127B3">
        <w:rPr>
          <w:color w:val="000000" w:themeColor="text1"/>
        </w:rPr>
        <w:t>convictions</w:t>
      </w:r>
      <w:proofErr w:type="gramEnd"/>
      <w:r w:rsidRPr="00E127B3">
        <w:rPr>
          <w:color w:val="000000" w:themeColor="text1"/>
        </w:rPr>
        <w:t xml:space="preserve"> or biometric data (where used for identification purposes).</w:t>
      </w:r>
    </w:p>
    <w:p w14:paraId="67C8304B" w14:textId="77777777" w:rsidR="00E127B3" w:rsidRPr="00E127B3" w:rsidRDefault="00E127B3" w:rsidP="00E127B3">
      <w:pPr>
        <w:spacing w:line="240" w:lineRule="auto"/>
        <w:ind w:left="425"/>
        <w:rPr>
          <w:color w:val="000000" w:themeColor="text1"/>
        </w:rPr>
      </w:pPr>
    </w:p>
    <w:p w14:paraId="05F18EF5" w14:textId="746ED696" w:rsidR="00E127B3" w:rsidRPr="00E127B3" w:rsidRDefault="00E127B3" w:rsidP="002E5CD6">
      <w:pPr>
        <w:spacing w:line="240" w:lineRule="auto"/>
        <w:ind w:left="425"/>
        <w:jc w:val="both"/>
        <w:rPr>
          <w:color w:val="000000" w:themeColor="text1"/>
        </w:rPr>
      </w:pPr>
      <w:r w:rsidRPr="00420892">
        <w:rPr>
          <w:b/>
          <w:bCs/>
          <w:color w:val="000000" w:themeColor="text1"/>
        </w:rPr>
        <w:t>Third Party</w:t>
      </w:r>
      <w:r w:rsidRPr="00E127B3">
        <w:rPr>
          <w:color w:val="000000" w:themeColor="text1"/>
        </w:rPr>
        <w:t xml:space="preserve"> - any person other than; The data subject; The data controller or any data processor or other person authorised to process data on behalf of the data </w:t>
      </w:r>
      <w:r w:rsidR="002E5CD6" w:rsidRPr="00E127B3">
        <w:rPr>
          <w:color w:val="000000" w:themeColor="text1"/>
        </w:rPr>
        <w:t>controller.</w:t>
      </w:r>
    </w:p>
    <w:p w14:paraId="1F05FB16" w14:textId="77777777" w:rsidR="00E127B3" w:rsidRPr="00E127B3" w:rsidRDefault="00E127B3" w:rsidP="002E5CD6">
      <w:pPr>
        <w:spacing w:line="240" w:lineRule="auto"/>
        <w:ind w:left="425"/>
        <w:jc w:val="both"/>
        <w:rPr>
          <w:color w:val="000000" w:themeColor="text1"/>
        </w:rPr>
      </w:pPr>
    </w:p>
    <w:p w14:paraId="437E49AB" w14:textId="77777777" w:rsidR="00E127B3" w:rsidRPr="00E127B3" w:rsidRDefault="00E127B3" w:rsidP="002E5CD6">
      <w:pPr>
        <w:spacing w:line="240" w:lineRule="auto"/>
        <w:ind w:left="425"/>
        <w:jc w:val="both"/>
        <w:rPr>
          <w:color w:val="000000" w:themeColor="text1"/>
        </w:rPr>
      </w:pPr>
      <w:r w:rsidRPr="00420892">
        <w:rPr>
          <w:b/>
          <w:bCs/>
          <w:color w:val="000000" w:themeColor="text1"/>
        </w:rPr>
        <w:t>Processing</w:t>
      </w:r>
      <w:r w:rsidRPr="00E127B3">
        <w:rPr>
          <w:color w:val="000000" w:themeColor="text1"/>
        </w:rPr>
        <w:t xml:space="preserve"> - in relation to information or data means; obtaining, recording or holding the information or data or carrying out any operation or set of operations on the information or data, which may include adaptation or alteration of the information; retrieval, or use of the information </w:t>
      </w:r>
      <w:r w:rsidRPr="00E127B3">
        <w:rPr>
          <w:color w:val="000000" w:themeColor="text1"/>
        </w:rPr>
        <w:lastRenderedPageBreak/>
        <w:t>or data; disclosure of the information or data by transmission, dissemination or otherwise making available, or alignment, combination, blocking, erasure or destruction</w:t>
      </w:r>
    </w:p>
    <w:p w14:paraId="700845D6" w14:textId="5EDCF452" w:rsidR="00E127B3" w:rsidRPr="00E91015" w:rsidRDefault="00E127B3" w:rsidP="00E127B3">
      <w:pPr>
        <w:spacing w:line="240" w:lineRule="auto"/>
        <w:ind w:left="425"/>
        <w:rPr>
          <w:color w:val="000000" w:themeColor="text1"/>
        </w:rPr>
      </w:pPr>
      <w:r w:rsidRPr="00E127B3">
        <w:rPr>
          <w:color w:val="000000" w:themeColor="text1"/>
        </w:rPr>
        <w:t>of the information or data.  In summary anything you do with data is “processing”.</w:t>
      </w:r>
    </w:p>
    <w:p w14:paraId="0E21DF76" w14:textId="77777777" w:rsidR="00DD443C" w:rsidRPr="00DD443C" w:rsidRDefault="00DD443C" w:rsidP="00DD443C">
      <w:pPr>
        <w:ind w:left="432"/>
      </w:pPr>
    </w:p>
    <w:p w14:paraId="448658E8" w14:textId="5E393F76" w:rsidR="00CE68BF" w:rsidRPr="00CE68BF" w:rsidRDefault="00E91015" w:rsidP="00CE68BF">
      <w:pPr>
        <w:pStyle w:val="Heading1"/>
      </w:pPr>
      <w:bookmarkStart w:id="4" w:name="_Toc430791102"/>
      <w:bookmarkStart w:id="5" w:name="_Toc130985144"/>
      <w:r>
        <w:t xml:space="preserve">Scope of the </w:t>
      </w:r>
      <w:r w:rsidR="00AE286E" w:rsidRPr="00EE7401">
        <w:t>P</w:t>
      </w:r>
      <w:bookmarkEnd w:id="4"/>
      <w:r>
        <w:t>olicy</w:t>
      </w:r>
      <w:bookmarkEnd w:id="5"/>
    </w:p>
    <w:p w14:paraId="10F5B658" w14:textId="3C326A97" w:rsidR="007E291D" w:rsidRDefault="007E291D" w:rsidP="002E5CD6">
      <w:pPr>
        <w:spacing w:line="240" w:lineRule="auto"/>
        <w:ind w:left="431"/>
        <w:jc w:val="both"/>
        <w:rPr>
          <w:color w:val="000000" w:themeColor="text1"/>
        </w:rPr>
      </w:pPr>
      <w:r w:rsidRPr="48C4AA5A">
        <w:rPr>
          <w:color w:val="000000" w:themeColor="text1"/>
        </w:rPr>
        <w:t xml:space="preserve">The policy applies to </w:t>
      </w:r>
      <w:r w:rsidR="008B1BAA">
        <w:rPr>
          <w:color w:val="000000" w:themeColor="text1"/>
        </w:rPr>
        <w:t xml:space="preserve">HNYICB, </w:t>
      </w:r>
      <w:r w:rsidRPr="48C4AA5A">
        <w:rPr>
          <w:color w:val="000000" w:themeColor="text1"/>
        </w:rPr>
        <w:t xml:space="preserve">its employees and must be followed by all those who work for the organisation, including the </w:t>
      </w:r>
      <w:proofErr w:type="gramStart"/>
      <w:r w:rsidR="00C46C4F" w:rsidRPr="48C4AA5A">
        <w:rPr>
          <w:color w:val="000000" w:themeColor="text1"/>
        </w:rPr>
        <w:t>Health</w:t>
      </w:r>
      <w:proofErr w:type="gramEnd"/>
      <w:r w:rsidR="00C46C4F" w:rsidRPr="48C4AA5A">
        <w:rPr>
          <w:color w:val="000000" w:themeColor="text1"/>
        </w:rPr>
        <w:t>,</w:t>
      </w:r>
      <w:r w:rsidR="001A7D60" w:rsidRPr="48C4AA5A">
        <w:rPr>
          <w:color w:val="000000" w:themeColor="text1"/>
        </w:rPr>
        <w:t xml:space="preserve"> and</w:t>
      </w:r>
      <w:r w:rsidRPr="48C4AA5A">
        <w:rPr>
          <w:color w:val="000000" w:themeColor="text1"/>
        </w:rPr>
        <w:t xml:space="preserve"> Care Partnership, those on temporary or honorary contracts, secondments, pool staff, contractors, and students. </w:t>
      </w:r>
    </w:p>
    <w:p w14:paraId="4D855DB4" w14:textId="77777777" w:rsidR="007E291D" w:rsidRPr="007E291D" w:rsidRDefault="007E291D" w:rsidP="007E291D">
      <w:pPr>
        <w:spacing w:line="240" w:lineRule="auto"/>
        <w:rPr>
          <w:color w:val="000000" w:themeColor="text1"/>
        </w:rPr>
      </w:pPr>
    </w:p>
    <w:p w14:paraId="78F1A934" w14:textId="58428D6D" w:rsidR="007E291D" w:rsidRDefault="007E291D" w:rsidP="002E5CD6">
      <w:pPr>
        <w:spacing w:line="240" w:lineRule="auto"/>
        <w:ind w:left="431"/>
        <w:jc w:val="both"/>
        <w:rPr>
          <w:color w:val="000000" w:themeColor="text1"/>
        </w:rPr>
      </w:pPr>
      <w:r w:rsidRPr="007E291D">
        <w:rPr>
          <w:color w:val="000000" w:themeColor="text1"/>
        </w:rPr>
        <w:t xml:space="preserve">This policy applies to all information, held in manual or electronic format by or on behalf of the </w:t>
      </w:r>
      <w:r w:rsidR="00C8787E">
        <w:rPr>
          <w:color w:val="000000" w:themeColor="text1"/>
        </w:rPr>
        <w:t>HNY ICB</w:t>
      </w:r>
      <w:r w:rsidRPr="007E291D">
        <w:rPr>
          <w:color w:val="000000" w:themeColor="text1"/>
        </w:rPr>
        <w:t xml:space="preserve"> and includes, but is not limited to, photographs, images, electronic media, and CCTV.</w:t>
      </w:r>
    </w:p>
    <w:p w14:paraId="7D479CB8" w14:textId="77777777" w:rsidR="00E91015" w:rsidRDefault="00E91015" w:rsidP="00E91015">
      <w:pPr>
        <w:spacing w:line="240" w:lineRule="auto"/>
        <w:ind w:left="431"/>
        <w:rPr>
          <w:color w:val="000000" w:themeColor="text1"/>
        </w:rPr>
      </w:pPr>
    </w:p>
    <w:p w14:paraId="09703A50" w14:textId="7C36A1A6" w:rsidR="00E91015" w:rsidRPr="003742C0" w:rsidRDefault="00E91015" w:rsidP="00CE68BF">
      <w:pPr>
        <w:pStyle w:val="Heading1"/>
      </w:pPr>
      <w:bookmarkStart w:id="6" w:name="_Toc130985145"/>
      <w:r w:rsidRPr="003742C0">
        <w:t>Duties/ Accountabilities and Responsibilities</w:t>
      </w:r>
      <w:r w:rsidR="006E35D3" w:rsidRPr="003742C0">
        <w:rPr>
          <w:b w:val="0"/>
          <w:sz w:val="24"/>
          <w:szCs w:val="24"/>
        </w:rPr>
        <w:t xml:space="preserve">     </w:t>
      </w:r>
      <w:bookmarkEnd w:id="6"/>
    </w:p>
    <w:p w14:paraId="6D69D2DB" w14:textId="4E4210F3" w:rsidR="00694ABB" w:rsidRPr="00C43ED8" w:rsidRDefault="00694ABB" w:rsidP="004F79C1">
      <w:pPr>
        <w:ind w:left="136" w:firstLine="720"/>
        <w:contextualSpacing/>
        <w:rPr>
          <w:b/>
          <w:bCs/>
          <w:color w:val="auto"/>
        </w:rPr>
      </w:pPr>
      <w:r w:rsidRPr="00C43ED8">
        <w:rPr>
          <w:b/>
          <w:bCs/>
          <w:color w:val="auto"/>
        </w:rPr>
        <w:t>Chief Executive</w:t>
      </w:r>
    </w:p>
    <w:p w14:paraId="47182454" w14:textId="77777777" w:rsidR="004F79C1" w:rsidRDefault="004F79C1" w:rsidP="004F79C1">
      <w:pPr>
        <w:pStyle w:val="Heading2"/>
        <w:numPr>
          <w:ilvl w:val="0"/>
          <w:numId w:val="0"/>
        </w:numPr>
        <w:spacing w:before="0" w:line="240" w:lineRule="auto"/>
        <w:ind w:left="856"/>
        <w:contextualSpacing/>
        <w:jc w:val="both"/>
        <w:rPr>
          <w:rFonts w:eastAsia="Times New Roman" w:cs="Arial"/>
          <w:b w:val="0"/>
          <w:bCs w:val="0"/>
          <w:szCs w:val="24"/>
        </w:rPr>
      </w:pPr>
      <w:r w:rsidRPr="004F79C1">
        <w:rPr>
          <w:rFonts w:eastAsia="Times New Roman" w:cs="Arial"/>
          <w:b w:val="0"/>
          <w:bCs w:val="0"/>
          <w:szCs w:val="24"/>
        </w:rPr>
        <w:t xml:space="preserve">Overall accountability for procedural documents across the organisation lies with the </w:t>
      </w:r>
      <w:r>
        <w:rPr>
          <w:rFonts w:eastAsia="Times New Roman" w:cs="Arial"/>
          <w:b w:val="0"/>
          <w:bCs w:val="0"/>
          <w:szCs w:val="24"/>
        </w:rPr>
        <w:t xml:space="preserve">Chief Executive, for </w:t>
      </w:r>
      <w:r w:rsidRPr="004F79C1">
        <w:rPr>
          <w:rFonts w:eastAsia="Times New Roman" w:cs="Arial"/>
          <w:b w:val="0"/>
          <w:bCs w:val="0"/>
          <w:szCs w:val="24"/>
        </w:rPr>
        <w:t xml:space="preserve">meeting all statutory requirements and adhering to guidance issued in respect of procedural documents. </w:t>
      </w:r>
    </w:p>
    <w:p w14:paraId="1B90F4FC" w14:textId="77777777" w:rsidR="004F79C1" w:rsidRDefault="004F79C1" w:rsidP="004F79C1">
      <w:pPr>
        <w:pStyle w:val="Heading2"/>
        <w:numPr>
          <w:ilvl w:val="0"/>
          <w:numId w:val="0"/>
        </w:numPr>
        <w:spacing w:before="0" w:line="240" w:lineRule="auto"/>
        <w:ind w:left="856"/>
        <w:contextualSpacing/>
        <w:rPr>
          <w:rFonts w:eastAsia="Times New Roman" w:cs="Arial"/>
          <w:b w:val="0"/>
          <w:bCs w:val="0"/>
          <w:szCs w:val="24"/>
        </w:rPr>
      </w:pPr>
    </w:p>
    <w:p w14:paraId="1DC5A3AE" w14:textId="652FE484" w:rsidR="00694ABB" w:rsidRDefault="0021762F" w:rsidP="004F79C1">
      <w:pPr>
        <w:pStyle w:val="Heading2"/>
        <w:numPr>
          <w:ilvl w:val="0"/>
          <w:numId w:val="0"/>
        </w:numPr>
        <w:spacing w:before="0" w:line="240" w:lineRule="auto"/>
        <w:ind w:left="856"/>
        <w:contextualSpacing/>
      </w:pPr>
      <w:r>
        <w:t xml:space="preserve">Executive Director of Corporate Affairs  </w:t>
      </w:r>
    </w:p>
    <w:p w14:paraId="49D42356" w14:textId="77777777" w:rsidR="0021762F" w:rsidRDefault="0021762F" w:rsidP="0021762F">
      <w:pPr>
        <w:spacing w:line="240" w:lineRule="auto"/>
        <w:ind w:left="1151" w:hanging="295"/>
        <w:rPr>
          <w:color w:val="auto"/>
        </w:rPr>
      </w:pPr>
    </w:p>
    <w:p w14:paraId="50CB3CDA" w14:textId="0D27C0C0" w:rsidR="0021762F" w:rsidRDefault="0021762F" w:rsidP="002E5CD6">
      <w:pPr>
        <w:spacing w:line="240" w:lineRule="auto"/>
        <w:ind w:left="851" w:firstLine="5"/>
        <w:jc w:val="both"/>
        <w:rPr>
          <w:color w:val="auto"/>
        </w:rPr>
      </w:pPr>
      <w:r w:rsidRPr="48C4AA5A">
        <w:rPr>
          <w:color w:val="auto"/>
        </w:rPr>
        <w:t xml:space="preserve">The Executive Director of Corporate Affairs has delegated responsibility for the operational management of </w:t>
      </w:r>
      <w:r w:rsidR="00F51375" w:rsidRPr="48C4AA5A">
        <w:rPr>
          <w:color w:val="auto"/>
        </w:rPr>
        <w:t xml:space="preserve">Data Protection and Confidentiality and will be supported by </w:t>
      </w:r>
      <w:r w:rsidR="00BD5F38" w:rsidRPr="48C4AA5A">
        <w:rPr>
          <w:color w:val="auto"/>
        </w:rPr>
        <w:t>Senior Information Governance Manager</w:t>
      </w:r>
    </w:p>
    <w:p w14:paraId="491A327B" w14:textId="0317FB61" w:rsidR="000613FE" w:rsidRDefault="000613FE" w:rsidP="002E5CD6">
      <w:pPr>
        <w:spacing w:line="240" w:lineRule="auto"/>
        <w:ind w:left="851" w:firstLine="5"/>
        <w:jc w:val="both"/>
        <w:rPr>
          <w:color w:val="auto"/>
        </w:rPr>
      </w:pPr>
    </w:p>
    <w:p w14:paraId="1A5E1468" w14:textId="77777777" w:rsidR="005D114B" w:rsidRDefault="008643D4" w:rsidP="008643D4">
      <w:pPr>
        <w:spacing w:line="240" w:lineRule="auto"/>
        <w:ind w:left="851" w:firstLine="5"/>
        <w:rPr>
          <w:b/>
          <w:bCs/>
          <w:color w:val="auto"/>
        </w:rPr>
      </w:pPr>
      <w:r>
        <w:rPr>
          <w:b/>
          <w:bCs/>
          <w:color w:val="auto"/>
        </w:rPr>
        <w:t>I</w:t>
      </w:r>
      <w:r w:rsidR="005D114B">
        <w:rPr>
          <w:b/>
          <w:bCs/>
          <w:color w:val="auto"/>
        </w:rPr>
        <w:t xml:space="preserve">nformation Governance Specialist  </w:t>
      </w:r>
    </w:p>
    <w:p w14:paraId="3B8FF1C1" w14:textId="77777777" w:rsidR="005D114B" w:rsidRDefault="005D114B" w:rsidP="008643D4">
      <w:pPr>
        <w:spacing w:line="240" w:lineRule="auto"/>
        <w:ind w:left="851" w:firstLine="5"/>
        <w:rPr>
          <w:b/>
          <w:bCs/>
          <w:color w:val="auto"/>
        </w:rPr>
      </w:pPr>
    </w:p>
    <w:p w14:paraId="144B7AE8" w14:textId="45108535" w:rsidR="008643D4" w:rsidRPr="005D114B" w:rsidRDefault="008643D4" w:rsidP="008643D4">
      <w:pPr>
        <w:spacing w:line="240" w:lineRule="auto"/>
        <w:ind w:left="851" w:firstLine="5"/>
        <w:rPr>
          <w:color w:val="auto"/>
        </w:rPr>
      </w:pPr>
      <w:r w:rsidRPr="005D114B">
        <w:rPr>
          <w:color w:val="auto"/>
        </w:rPr>
        <w:t>The ICB</w:t>
      </w:r>
      <w:r w:rsidR="005D114B">
        <w:rPr>
          <w:color w:val="auto"/>
        </w:rPr>
        <w:t>’s</w:t>
      </w:r>
      <w:r w:rsidRPr="005D114B">
        <w:rPr>
          <w:color w:val="auto"/>
        </w:rPr>
        <w:t xml:space="preserve"> Caldicott </w:t>
      </w:r>
      <w:proofErr w:type="gramStart"/>
      <w:r w:rsidRPr="005D114B">
        <w:rPr>
          <w:color w:val="auto"/>
        </w:rPr>
        <w:t>Guardia</w:t>
      </w:r>
      <w:r w:rsidR="005D114B">
        <w:rPr>
          <w:color w:val="auto"/>
        </w:rPr>
        <w:t>n</w:t>
      </w:r>
      <w:r w:rsidR="00B666BA">
        <w:rPr>
          <w:color w:val="auto"/>
        </w:rPr>
        <w:t>(</w:t>
      </w:r>
      <w:proofErr w:type="gramEnd"/>
      <w:r w:rsidR="00B666BA">
        <w:rPr>
          <w:color w:val="auto"/>
        </w:rPr>
        <w:t>CG)</w:t>
      </w:r>
      <w:r w:rsidR="005D114B">
        <w:rPr>
          <w:color w:val="auto"/>
        </w:rPr>
        <w:t>, Senior Information Risk Owner</w:t>
      </w:r>
      <w:r w:rsidR="00B666BA">
        <w:rPr>
          <w:color w:val="auto"/>
        </w:rPr>
        <w:t xml:space="preserve"> (SIRO)</w:t>
      </w:r>
      <w:r w:rsidR="00B521F3">
        <w:rPr>
          <w:color w:val="auto"/>
        </w:rPr>
        <w:t xml:space="preserve">, </w:t>
      </w:r>
      <w:r w:rsidR="00257F0C">
        <w:rPr>
          <w:color w:val="auto"/>
        </w:rPr>
        <w:t xml:space="preserve"> and </w:t>
      </w:r>
      <w:r w:rsidR="00B521F3">
        <w:rPr>
          <w:color w:val="auto"/>
        </w:rPr>
        <w:t>Data Protection Officer</w:t>
      </w:r>
      <w:r w:rsidR="00257F0C">
        <w:rPr>
          <w:color w:val="auto"/>
        </w:rPr>
        <w:t>(DPO)</w:t>
      </w:r>
      <w:r w:rsidRPr="005D114B">
        <w:rPr>
          <w:color w:val="auto"/>
        </w:rPr>
        <w:t xml:space="preserve"> are responsible for overseeing and advising on disclosure of individual’s information held by the ICB</w:t>
      </w:r>
      <w:r w:rsidR="00B521F3">
        <w:rPr>
          <w:color w:val="auto"/>
        </w:rPr>
        <w:t>.</w:t>
      </w:r>
    </w:p>
    <w:p w14:paraId="41C1E839" w14:textId="77777777" w:rsidR="008643D4" w:rsidRDefault="008643D4" w:rsidP="0021762F">
      <w:pPr>
        <w:spacing w:line="240" w:lineRule="auto"/>
        <w:ind w:left="851" w:firstLine="5"/>
        <w:rPr>
          <w:b/>
          <w:bCs/>
          <w:color w:val="auto"/>
        </w:rPr>
      </w:pPr>
    </w:p>
    <w:p w14:paraId="4A137634" w14:textId="62E9E34D" w:rsidR="000613FE" w:rsidRDefault="000613FE" w:rsidP="0021762F">
      <w:pPr>
        <w:spacing w:line="240" w:lineRule="auto"/>
        <w:ind w:left="851" w:firstLine="5"/>
        <w:rPr>
          <w:b/>
          <w:bCs/>
          <w:color w:val="auto"/>
        </w:rPr>
      </w:pPr>
      <w:r w:rsidRPr="000613FE">
        <w:rPr>
          <w:b/>
          <w:bCs/>
          <w:color w:val="auto"/>
        </w:rPr>
        <w:t>Senior Information Governance Manager</w:t>
      </w:r>
    </w:p>
    <w:p w14:paraId="054FAA83" w14:textId="296675AC" w:rsidR="000613FE" w:rsidRDefault="000613FE" w:rsidP="0021762F">
      <w:pPr>
        <w:spacing w:line="240" w:lineRule="auto"/>
        <w:ind w:left="851" w:firstLine="5"/>
        <w:rPr>
          <w:b/>
          <w:bCs/>
          <w:color w:val="auto"/>
        </w:rPr>
      </w:pPr>
    </w:p>
    <w:p w14:paraId="5ABD16FB" w14:textId="386EE7A9" w:rsidR="006F4183" w:rsidRPr="006F4183" w:rsidRDefault="006F4183" w:rsidP="002E5CD6">
      <w:pPr>
        <w:spacing w:line="240" w:lineRule="auto"/>
        <w:ind w:left="851" w:firstLine="5"/>
        <w:jc w:val="both"/>
        <w:rPr>
          <w:color w:val="auto"/>
        </w:rPr>
      </w:pPr>
      <w:r>
        <w:rPr>
          <w:color w:val="auto"/>
        </w:rPr>
        <w:t xml:space="preserve">The Senior Information Governance Manager </w:t>
      </w:r>
      <w:r w:rsidRPr="006F4183">
        <w:rPr>
          <w:color w:val="auto"/>
        </w:rPr>
        <w:t xml:space="preserve">is responsible for ensuring effective management, accountability, </w:t>
      </w:r>
      <w:r w:rsidR="00E56902" w:rsidRPr="006F4183">
        <w:rPr>
          <w:color w:val="auto"/>
        </w:rPr>
        <w:t>compliance,</w:t>
      </w:r>
      <w:r w:rsidRPr="006F4183">
        <w:rPr>
          <w:color w:val="auto"/>
        </w:rPr>
        <w:t xml:space="preserve"> and assurance for all aspects of information governance within the organisation.</w:t>
      </w:r>
    </w:p>
    <w:p w14:paraId="08F94A9B" w14:textId="4F74A3FE" w:rsidR="00694ABB" w:rsidRDefault="00694ABB" w:rsidP="002E5CD6">
      <w:pPr>
        <w:spacing w:line="240" w:lineRule="auto"/>
        <w:ind w:left="856"/>
        <w:jc w:val="both"/>
        <w:rPr>
          <w:color w:val="auto"/>
        </w:rPr>
      </w:pPr>
    </w:p>
    <w:p w14:paraId="48C42A41" w14:textId="0DD0C2B5" w:rsidR="00BE4CF6" w:rsidRPr="00BE4CF6" w:rsidRDefault="00BE4CF6" w:rsidP="00CF50F8">
      <w:pPr>
        <w:spacing w:line="240" w:lineRule="auto"/>
        <w:ind w:left="856"/>
        <w:rPr>
          <w:b/>
          <w:bCs/>
          <w:color w:val="auto"/>
        </w:rPr>
      </w:pPr>
      <w:r w:rsidRPr="00BE4CF6">
        <w:rPr>
          <w:b/>
          <w:bCs/>
          <w:color w:val="auto"/>
        </w:rPr>
        <w:t>Line Managers</w:t>
      </w:r>
    </w:p>
    <w:p w14:paraId="15BEF054" w14:textId="77777777" w:rsidR="00BE4CF6" w:rsidRDefault="00BE4CF6" w:rsidP="00BE4CF6">
      <w:pPr>
        <w:spacing w:line="240" w:lineRule="auto"/>
        <w:ind w:left="856"/>
        <w:rPr>
          <w:color w:val="auto"/>
        </w:rPr>
      </w:pPr>
    </w:p>
    <w:p w14:paraId="17643EE1" w14:textId="331A25C5" w:rsidR="00BD5F38" w:rsidRDefault="00BE4CF6" w:rsidP="002E5CD6">
      <w:pPr>
        <w:spacing w:line="240" w:lineRule="auto"/>
        <w:ind w:left="856"/>
        <w:jc w:val="both"/>
        <w:rPr>
          <w:color w:val="auto"/>
        </w:rPr>
      </w:pPr>
      <w:r w:rsidRPr="00BE4CF6">
        <w:rPr>
          <w:color w:val="auto"/>
        </w:rPr>
        <w:t xml:space="preserve">Line managers are responsible for ensuring that all staff, </w:t>
      </w:r>
      <w:r>
        <w:rPr>
          <w:color w:val="auto"/>
        </w:rPr>
        <w:t>(including</w:t>
      </w:r>
      <w:r w:rsidRPr="00BE4CF6">
        <w:rPr>
          <w:color w:val="auto"/>
        </w:rPr>
        <w:t xml:space="preserve">, temporary </w:t>
      </w:r>
      <w:r>
        <w:rPr>
          <w:color w:val="auto"/>
        </w:rPr>
        <w:t xml:space="preserve">staff, contractors, and </w:t>
      </w:r>
      <w:r w:rsidRPr="00BE4CF6">
        <w:rPr>
          <w:color w:val="auto"/>
        </w:rPr>
        <w:t xml:space="preserve">volunteers, know what is expected of them </w:t>
      </w:r>
      <w:r w:rsidR="000613FE">
        <w:rPr>
          <w:color w:val="auto"/>
        </w:rPr>
        <w:t xml:space="preserve">and </w:t>
      </w:r>
      <w:r w:rsidR="000613FE" w:rsidRPr="000613FE">
        <w:rPr>
          <w:color w:val="auto"/>
        </w:rPr>
        <w:t>are aware of their responsibilities towards the protection and confidentiality of information and ensure that it is held and processed in a confidential secure manner.</w:t>
      </w:r>
    </w:p>
    <w:p w14:paraId="5B25D4F5" w14:textId="44F0E0E8" w:rsidR="009F2C13" w:rsidRDefault="009F2C13" w:rsidP="00694ABB">
      <w:pPr>
        <w:spacing w:line="240" w:lineRule="auto"/>
        <w:ind w:left="720"/>
        <w:rPr>
          <w:color w:val="auto"/>
        </w:rPr>
      </w:pPr>
    </w:p>
    <w:p w14:paraId="1D564186" w14:textId="77777777" w:rsidR="00D32EE3" w:rsidRPr="00D32EE3" w:rsidRDefault="00D32EE3" w:rsidP="002E5CD6">
      <w:pPr>
        <w:spacing w:line="240" w:lineRule="auto"/>
        <w:ind w:left="720" w:firstLine="136"/>
        <w:jc w:val="both"/>
        <w:rPr>
          <w:color w:val="auto"/>
        </w:rPr>
      </w:pPr>
      <w:r w:rsidRPr="00D32EE3">
        <w:rPr>
          <w:color w:val="auto"/>
        </w:rPr>
        <w:t xml:space="preserve">All staff should be aware of: </w:t>
      </w:r>
    </w:p>
    <w:p w14:paraId="111C8142" w14:textId="77777777" w:rsidR="00D32EE3" w:rsidRPr="00D32EE3" w:rsidRDefault="00D32EE3" w:rsidP="002E5CD6">
      <w:pPr>
        <w:spacing w:line="240" w:lineRule="auto"/>
        <w:ind w:left="720"/>
        <w:jc w:val="both"/>
        <w:rPr>
          <w:color w:val="auto"/>
        </w:rPr>
      </w:pPr>
    </w:p>
    <w:p w14:paraId="0D9770B6" w14:textId="77777777" w:rsidR="00D32EE3" w:rsidRPr="00D32EE3" w:rsidRDefault="00D32EE3" w:rsidP="002E5CD6">
      <w:pPr>
        <w:spacing w:line="240" w:lineRule="auto"/>
        <w:ind w:left="720" w:firstLine="136"/>
        <w:jc w:val="both"/>
        <w:rPr>
          <w:color w:val="auto"/>
        </w:rPr>
      </w:pPr>
      <w:r w:rsidRPr="00D32EE3">
        <w:rPr>
          <w:color w:val="auto"/>
        </w:rPr>
        <w:t>•</w:t>
      </w:r>
      <w:r w:rsidRPr="00D32EE3">
        <w:rPr>
          <w:color w:val="auto"/>
        </w:rPr>
        <w:tab/>
        <w:t>their responsibilities for data protection and confidentiality</w:t>
      </w:r>
    </w:p>
    <w:p w14:paraId="05CB9E48" w14:textId="77777777" w:rsidR="00D32EE3" w:rsidRPr="00D32EE3" w:rsidRDefault="00D32EE3" w:rsidP="002E5CD6">
      <w:pPr>
        <w:spacing w:line="240" w:lineRule="auto"/>
        <w:ind w:left="720" w:firstLine="136"/>
        <w:jc w:val="both"/>
        <w:rPr>
          <w:color w:val="auto"/>
        </w:rPr>
      </w:pPr>
      <w:r w:rsidRPr="00D32EE3">
        <w:rPr>
          <w:color w:val="auto"/>
        </w:rPr>
        <w:t>•</w:t>
      </w:r>
      <w:r w:rsidRPr="00D32EE3">
        <w:rPr>
          <w:color w:val="auto"/>
        </w:rPr>
        <w:tab/>
        <w:t>the key principles for safeguarding confidentiality</w:t>
      </w:r>
    </w:p>
    <w:p w14:paraId="6F83F16B" w14:textId="77777777" w:rsidR="00D32EE3" w:rsidRPr="00D32EE3" w:rsidRDefault="00D32EE3" w:rsidP="002E5CD6">
      <w:pPr>
        <w:spacing w:line="240" w:lineRule="auto"/>
        <w:ind w:left="720" w:firstLine="136"/>
        <w:jc w:val="both"/>
        <w:rPr>
          <w:color w:val="auto"/>
        </w:rPr>
      </w:pPr>
      <w:r w:rsidRPr="00D32EE3">
        <w:rPr>
          <w:color w:val="auto"/>
        </w:rPr>
        <w:t>•</w:t>
      </w:r>
      <w:r w:rsidRPr="00D32EE3">
        <w:rPr>
          <w:color w:val="auto"/>
        </w:rPr>
        <w:tab/>
        <w:t>preserving information security</w:t>
      </w:r>
    </w:p>
    <w:p w14:paraId="67F10948" w14:textId="31F39A59" w:rsidR="00D32EE3" w:rsidRPr="00694ABB" w:rsidRDefault="00D32EE3" w:rsidP="002E5CD6">
      <w:pPr>
        <w:spacing w:line="240" w:lineRule="auto"/>
        <w:ind w:left="1418" w:hanging="567"/>
        <w:jc w:val="both"/>
        <w:rPr>
          <w:color w:val="auto"/>
        </w:rPr>
      </w:pPr>
      <w:r w:rsidRPr="48C4AA5A">
        <w:rPr>
          <w:color w:val="auto"/>
        </w:rPr>
        <w:t>•</w:t>
      </w:r>
      <w:r>
        <w:tab/>
      </w:r>
      <w:r w:rsidRPr="48C4AA5A">
        <w:rPr>
          <w:color w:val="auto"/>
        </w:rPr>
        <w:t xml:space="preserve">complying with all information governance policies and completing their statutory and mandatory Data Security </w:t>
      </w:r>
      <w:r w:rsidR="4A31DC31" w:rsidRPr="48C4AA5A">
        <w:rPr>
          <w:color w:val="auto"/>
        </w:rPr>
        <w:t xml:space="preserve">&amp; </w:t>
      </w:r>
      <w:r w:rsidRPr="48C4AA5A">
        <w:rPr>
          <w:color w:val="auto"/>
        </w:rPr>
        <w:t>Awareness training</w:t>
      </w:r>
    </w:p>
    <w:p w14:paraId="1AD394E7" w14:textId="3EFE2055" w:rsidR="00694ABB" w:rsidRDefault="00694ABB" w:rsidP="00CF50F8">
      <w:pPr>
        <w:pStyle w:val="Heading2"/>
        <w:numPr>
          <w:ilvl w:val="0"/>
          <w:numId w:val="0"/>
        </w:numPr>
        <w:ind w:left="278" w:firstLine="578"/>
      </w:pPr>
      <w:r>
        <w:lastRenderedPageBreak/>
        <w:t>Responsibilities for approval</w:t>
      </w:r>
    </w:p>
    <w:p w14:paraId="362B439B" w14:textId="0A79290B" w:rsidR="00694ABB" w:rsidRDefault="00694ABB" w:rsidP="002E5CD6">
      <w:pPr>
        <w:spacing w:line="240" w:lineRule="auto"/>
        <w:ind w:left="856" w:hanging="431"/>
        <w:jc w:val="both"/>
        <w:rPr>
          <w:color w:val="auto"/>
        </w:rPr>
      </w:pPr>
      <w:r>
        <w:rPr>
          <w:color w:val="auto"/>
        </w:rPr>
        <w:tab/>
      </w:r>
      <w:r w:rsidR="009D08E3" w:rsidRPr="009D08E3">
        <w:rPr>
          <w:color w:val="auto"/>
        </w:rPr>
        <w:t xml:space="preserve">The ICB </w:t>
      </w:r>
      <w:r w:rsidR="00F63CB7">
        <w:rPr>
          <w:color w:val="auto"/>
        </w:rPr>
        <w:t>Board</w:t>
      </w:r>
      <w:r w:rsidR="009D08E3">
        <w:rPr>
          <w:color w:val="auto"/>
        </w:rPr>
        <w:t xml:space="preserve"> </w:t>
      </w:r>
      <w:r w:rsidR="009D08E3" w:rsidRPr="009D08E3">
        <w:rPr>
          <w:color w:val="auto"/>
        </w:rPr>
        <w:t>is responsible for the review and approval of this policy</w:t>
      </w:r>
      <w:r w:rsidRPr="00694ABB">
        <w:rPr>
          <w:color w:val="auto"/>
        </w:rPr>
        <w:t>.</w:t>
      </w:r>
    </w:p>
    <w:p w14:paraId="6718750D" w14:textId="7FCFCD69" w:rsidR="00A85A5C" w:rsidRDefault="00A85A5C" w:rsidP="00694ABB">
      <w:pPr>
        <w:spacing w:line="240" w:lineRule="auto"/>
        <w:ind w:left="856" w:hanging="431"/>
        <w:rPr>
          <w:color w:val="auto"/>
        </w:rPr>
      </w:pPr>
    </w:p>
    <w:p w14:paraId="47BF8089" w14:textId="513A06E8" w:rsidR="00694ABB" w:rsidRDefault="00694ABB" w:rsidP="001F304B">
      <w:pPr>
        <w:pStyle w:val="Heading1"/>
        <w:ind w:left="993" w:hanging="567"/>
      </w:pPr>
      <w:bookmarkStart w:id="7" w:name="_Toc130985146"/>
      <w:r>
        <w:t>Policy Document Requirements</w:t>
      </w:r>
      <w:bookmarkEnd w:id="7"/>
    </w:p>
    <w:p w14:paraId="2AFBF75E" w14:textId="39B2BE3C" w:rsidR="005B2D69" w:rsidRPr="00B32D31" w:rsidRDefault="00B32D31" w:rsidP="00B32D31">
      <w:pPr>
        <w:tabs>
          <w:tab w:val="left" w:pos="993"/>
        </w:tabs>
        <w:ind w:left="426"/>
        <w:rPr>
          <w:b/>
          <w:bCs/>
          <w:color w:val="auto"/>
        </w:rPr>
      </w:pPr>
      <w:r w:rsidRPr="00B32D31">
        <w:rPr>
          <w:b/>
          <w:bCs/>
          <w:color w:val="auto"/>
        </w:rPr>
        <w:t xml:space="preserve">6.1 </w:t>
      </w:r>
      <w:r>
        <w:rPr>
          <w:b/>
          <w:bCs/>
          <w:color w:val="auto"/>
        </w:rPr>
        <w:tab/>
      </w:r>
      <w:r w:rsidR="001F304B" w:rsidRPr="00B32D31">
        <w:rPr>
          <w:b/>
          <w:bCs/>
          <w:color w:val="auto"/>
        </w:rPr>
        <w:t xml:space="preserve">Data Protection &amp; Confidentiality </w:t>
      </w:r>
    </w:p>
    <w:p w14:paraId="1F4D915D" w14:textId="77777777" w:rsidR="005B2D69" w:rsidRPr="005B2D69" w:rsidRDefault="005B2D69" w:rsidP="005B2D69">
      <w:pPr>
        <w:spacing w:line="240" w:lineRule="auto"/>
        <w:ind w:left="858"/>
        <w:rPr>
          <w:color w:val="auto"/>
        </w:rPr>
      </w:pPr>
    </w:p>
    <w:p w14:paraId="7DCE69CF" w14:textId="6CB4CF37" w:rsidR="005B2D69" w:rsidRDefault="005B2D69" w:rsidP="002E5CD6">
      <w:pPr>
        <w:spacing w:line="240" w:lineRule="auto"/>
        <w:ind w:left="993" w:hanging="18"/>
        <w:jc w:val="both"/>
        <w:rPr>
          <w:color w:val="auto"/>
        </w:rPr>
      </w:pPr>
      <w:r w:rsidRPr="005B2D69">
        <w:rPr>
          <w:color w:val="auto"/>
        </w:rPr>
        <w:t xml:space="preserve">The </w:t>
      </w:r>
      <w:r w:rsidR="00C8787E">
        <w:rPr>
          <w:color w:val="000000" w:themeColor="text1"/>
        </w:rPr>
        <w:t>HNY ICB</w:t>
      </w:r>
      <w:r w:rsidRPr="005B2D69">
        <w:rPr>
          <w:color w:val="auto"/>
        </w:rPr>
        <w:t xml:space="preserve"> is committed to the delivery of a first-class confidential service. This means ensuring that all personal service user and staff information is processed fairly, lawfully, and as transparently as possible so that the public can: </w:t>
      </w:r>
    </w:p>
    <w:p w14:paraId="22F514E6" w14:textId="77777777" w:rsidR="00A6348C" w:rsidRPr="005B2D69" w:rsidRDefault="00A6348C" w:rsidP="002E5CD6">
      <w:pPr>
        <w:spacing w:line="240" w:lineRule="auto"/>
        <w:ind w:left="858"/>
        <w:jc w:val="both"/>
        <w:rPr>
          <w:color w:val="auto"/>
        </w:rPr>
      </w:pPr>
    </w:p>
    <w:p w14:paraId="72BE1FE9" w14:textId="67FCEDC0" w:rsidR="005B2D69" w:rsidRDefault="005B2D69" w:rsidP="002E5CD6">
      <w:pPr>
        <w:spacing w:line="240" w:lineRule="auto"/>
        <w:ind w:left="1083" w:firstLine="51"/>
        <w:contextualSpacing/>
        <w:jc w:val="both"/>
        <w:rPr>
          <w:color w:val="auto"/>
        </w:rPr>
      </w:pPr>
      <w:r w:rsidRPr="005B2D69">
        <w:rPr>
          <w:color w:val="auto"/>
        </w:rPr>
        <w:t>•</w:t>
      </w:r>
      <w:r w:rsidRPr="005B2D69">
        <w:rPr>
          <w:color w:val="auto"/>
        </w:rPr>
        <w:tab/>
        <w:t xml:space="preserve">understand the reasons for processing personal information. </w:t>
      </w:r>
    </w:p>
    <w:p w14:paraId="02DB1546" w14:textId="2939EEFD" w:rsidR="005B2D69" w:rsidRDefault="005B2D69" w:rsidP="002E5CD6">
      <w:pPr>
        <w:spacing w:line="240" w:lineRule="auto"/>
        <w:ind w:left="1418" w:hanging="284"/>
        <w:jc w:val="both"/>
        <w:rPr>
          <w:color w:val="auto"/>
        </w:rPr>
      </w:pPr>
      <w:r w:rsidRPr="005B2D69">
        <w:rPr>
          <w:color w:val="auto"/>
        </w:rPr>
        <w:t>•</w:t>
      </w:r>
      <w:r w:rsidRPr="005B2D69">
        <w:rPr>
          <w:color w:val="auto"/>
        </w:rPr>
        <w:tab/>
        <w:t xml:space="preserve">give their consent for the disclosure and use of their personal information where relevant and necessary. </w:t>
      </w:r>
    </w:p>
    <w:p w14:paraId="29CBDA00" w14:textId="09E3DCB0" w:rsidR="005B2D69" w:rsidRDefault="005B2D69" w:rsidP="002E5CD6">
      <w:pPr>
        <w:spacing w:line="240" w:lineRule="auto"/>
        <w:ind w:left="1083" w:firstLine="51"/>
        <w:jc w:val="both"/>
        <w:rPr>
          <w:color w:val="auto"/>
        </w:rPr>
      </w:pPr>
      <w:r w:rsidRPr="005B2D69">
        <w:rPr>
          <w:color w:val="auto"/>
        </w:rPr>
        <w:t>•</w:t>
      </w:r>
      <w:r w:rsidRPr="005B2D69">
        <w:rPr>
          <w:color w:val="auto"/>
        </w:rPr>
        <w:tab/>
        <w:t xml:space="preserve">gain trust in the way the </w:t>
      </w:r>
      <w:r w:rsidR="00C8787E">
        <w:rPr>
          <w:color w:val="000000" w:themeColor="text1"/>
        </w:rPr>
        <w:t>HNY ICB</w:t>
      </w:r>
      <w:r w:rsidRPr="005B2D69">
        <w:rPr>
          <w:color w:val="auto"/>
        </w:rPr>
        <w:t xml:space="preserve"> handles information; and</w:t>
      </w:r>
    </w:p>
    <w:p w14:paraId="0C76F4FE" w14:textId="5C1109F8" w:rsidR="005B2D69" w:rsidRDefault="005B2D69" w:rsidP="002E5CD6">
      <w:pPr>
        <w:spacing w:line="240" w:lineRule="auto"/>
        <w:ind w:left="1083" w:firstLine="51"/>
        <w:jc w:val="both"/>
        <w:rPr>
          <w:color w:val="auto"/>
        </w:rPr>
      </w:pPr>
      <w:r w:rsidRPr="005B2D69">
        <w:rPr>
          <w:color w:val="auto"/>
        </w:rPr>
        <w:t>•</w:t>
      </w:r>
      <w:r w:rsidRPr="005B2D69">
        <w:rPr>
          <w:color w:val="auto"/>
        </w:rPr>
        <w:tab/>
        <w:t>understand their rights to access information held about them</w:t>
      </w:r>
    </w:p>
    <w:p w14:paraId="14B84CD5" w14:textId="77777777" w:rsidR="002B41C3" w:rsidRPr="005B2D69" w:rsidRDefault="002B41C3" w:rsidP="002B41C3">
      <w:pPr>
        <w:spacing w:line="240" w:lineRule="auto"/>
        <w:ind w:left="1083" w:hanging="227"/>
        <w:rPr>
          <w:color w:val="auto"/>
        </w:rPr>
      </w:pPr>
    </w:p>
    <w:p w14:paraId="2DBB5868" w14:textId="2E938360" w:rsidR="00410196" w:rsidRPr="00B3089E" w:rsidRDefault="00B3089E" w:rsidP="00085104">
      <w:pPr>
        <w:tabs>
          <w:tab w:val="left" w:pos="993"/>
        </w:tabs>
        <w:spacing w:line="240" w:lineRule="auto"/>
        <w:ind w:firstLine="425"/>
        <w:contextualSpacing/>
        <w:rPr>
          <w:b/>
          <w:bCs/>
          <w:color w:val="auto"/>
        </w:rPr>
      </w:pPr>
      <w:r w:rsidRPr="00B3089E">
        <w:rPr>
          <w:b/>
          <w:bCs/>
          <w:color w:val="auto"/>
        </w:rPr>
        <w:t xml:space="preserve">6.2 </w:t>
      </w:r>
      <w:r>
        <w:rPr>
          <w:b/>
          <w:bCs/>
          <w:color w:val="auto"/>
        </w:rPr>
        <w:tab/>
      </w:r>
      <w:r w:rsidR="005B2D69" w:rsidRPr="00B3089E">
        <w:rPr>
          <w:b/>
          <w:bCs/>
          <w:color w:val="auto"/>
        </w:rPr>
        <w:t>Protecting Personal Confidential and Corporately Sensitive Information</w:t>
      </w:r>
    </w:p>
    <w:p w14:paraId="2D01E354" w14:textId="1ADD80CA" w:rsidR="005B2D69" w:rsidRPr="005B2D69" w:rsidRDefault="005B2D69" w:rsidP="00085104">
      <w:pPr>
        <w:spacing w:before="240" w:line="240" w:lineRule="auto"/>
        <w:ind w:left="1083" w:hanging="227"/>
        <w:jc w:val="both"/>
        <w:rPr>
          <w:color w:val="auto"/>
        </w:rPr>
      </w:pPr>
      <w:r w:rsidRPr="005B2D69">
        <w:rPr>
          <w:color w:val="auto"/>
        </w:rPr>
        <w:t>•</w:t>
      </w:r>
      <w:r w:rsidRPr="005B2D69">
        <w:rPr>
          <w:color w:val="auto"/>
        </w:rPr>
        <w:tab/>
        <w:t xml:space="preserve">The </w:t>
      </w:r>
      <w:r w:rsidR="00C8787E">
        <w:rPr>
          <w:color w:val="000000" w:themeColor="text1"/>
        </w:rPr>
        <w:t>HNY ICB</w:t>
      </w:r>
      <w:r w:rsidRPr="005B2D69">
        <w:rPr>
          <w:color w:val="auto"/>
        </w:rPr>
        <w:t xml:space="preserve"> is responsible for protecting all the information it </w:t>
      </w:r>
      <w:proofErr w:type="gramStart"/>
      <w:r w:rsidRPr="005B2D69">
        <w:rPr>
          <w:color w:val="auto"/>
        </w:rPr>
        <w:t>holds at all times</w:t>
      </w:r>
      <w:proofErr w:type="gramEnd"/>
      <w:r w:rsidRPr="005B2D69">
        <w:rPr>
          <w:color w:val="auto"/>
        </w:rPr>
        <w:t xml:space="preserve"> and must always be able to justify any decision to share information.</w:t>
      </w:r>
    </w:p>
    <w:p w14:paraId="3C7ADD64" w14:textId="77777777" w:rsidR="005B2D69" w:rsidRPr="005B2D69" w:rsidRDefault="005B2D69" w:rsidP="00085104">
      <w:pPr>
        <w:spacing w:line="240" w:lineRule="auto"/>
        <w:ind w:left="1083" w:hanging="227"/>
        <w:jc w:val="both"/>
        <w:rPr>
          <w:color w:val="auto"/>
        </w:rPr>
      </w:pPr>
    </w:p>
    <w:p w14:paraId="508C10EE" w14:textId="77777777" w:rsidR="005B2D69" w:rsidRPr="005B2D69" w:rsidRDefault="005B2D69" w:rsidP="00085104">
      <w:pPr>
        <w:spacing w:line="240" w:lineRule="auto"/>
        <w:ind w:left="1083" w:hanging="227"/>
        <w:jc w:val="both"/>
        <w:rPr>
          <w:color w:val="auto"/>
        </w:rPr>
      </w:pPr>
      <w:r w:rsidRPr="005B2D69">
        <w:rPr>
          <w:color w:val="auto"/>
        </w:rPr>
        <w:t>•</w:t>
      </w:r>
      <w:r w:rsidRPr="005B2D69">
        <w:rPr>
          <w:color w:val="auto"/>
        </w:rPr>
        <w:tab/>
        <w:t xml:space="preserve">Personal confidential information, wherever possible, must be anonymised by removing as many identifiers as possible whilst not unduly compromising the utility of data. </w:t>
      </w:r>
    </w:p>
    <w:p w14:paraId="28725EDE" w14:textId="77777777" w:rsidR="005B2D69" w:rsidRPr="005B2D69" w:rsidRDefault="005B2D69" w:rsidP="00085104">
      <w:pPr>
        <w:spacing w:line="240" w:lineRule="auto"/>
        <w:ind w:left="1083" w:hanging="227"/>
        <w:jc w:val="both"/>
        <w:rPr>
          <w:color w:val="auto"/>
        </w:rPr>
      </w:pPr>
    </w:p>
    <w:p w14:paraId="46AE2D69" w14:textId="77777777" w:rsidR="005B2D69" w:rsidRPr="005B2D69" w:rsidRDefault="005B2D69" w:rsidP="00085104">
      <w:pPr>
        <w:spacing w:line="240" w:lineRule="auto"/>
        <w:ind w:left="1083" w:hanging="227"/>
        <w:jc w:val="both"/>
        <w:rPr>
          <w:color w:val="auto"/>
        </w:rPr>
      </w:pPr>
      <w:r w:rsidRPr="005B2D69">
        <w:rPr>
          <w:color w:val="auto"/>
        </w:rPr>
        <w:t>•</w:t>
      </w:r>
      <w:r w:rsidRPr="005B2D69">
        <w:rPr>
          <w:color w:val="auto"/>
        </w:rPr>
        <w:tab/>
        <w:t>Appropriate data processing agreements need to be in place with the relevant organisations.</w:t>
      </w:r>
    </w:p>
    <w:p w14:paraId="2310E8EB" w14:textId="77777777" w:rsidR="005B2D69" w:rsidRPr="005B2D69" w:rsidRDefault="005B2D69" w:rsidP="00085104">
      <w:pPr>
        <w:spacing w:line="240" w:lineRule="auto"/>
        <w:ind w:left="1083" w:hanging="227"/>
        <w:jc w:val="both"/>
        <w:rPr>
          <w:color w:val="auto"/>
        </w:rPr>
      </w:pPr>
    </w:p>
    <w:p w14:paraId="5AC435B1" w14:textId="77777777" w:rsidR="005B2D69" w:rsidRPr="005B2D69" w:rsidRDefault="005B2D69" w:rsidP="00085104">
      <w:pPr>
        <w:spacing w:line="240" w:lineRule="auto"/>
        <w:ind w:left="1083" w:hanging="227"/>
        <w:jc w:val="both"/>
        <w:rPr>
          <w:color w:val="auto"/>
        </w:rPr>
      </w:pPr>
      <w:r w:rsidRPr="005B2D69">
        <w:rPr>
          <w:color w:val="auto"/>
        </w:rPr>
        <w:t>•</w:t>
      </w:r>
      <w:r w:rsidRPr="005B2D69">
        <w:rPr>
          <w:color w:val="auto"/>
        </w:rPr>
        <w:tab/>
        <w:t>Access to rooms and offices where terminals are present or personal confidential information or corporately confidential information is stored must be controlled. Doors must be locked with keys, keypads or accessed by swipe card. In mixed office environments measures should be in place to prevent oversight of personal confidential information or corporately confidential information by unauthorised parties.</w:t>
      </w:r>
    </w:p>
    <w:p w14:paraId="344CBB97" w14:textId="77777777" w:rsidR="005B2D69" w:rsidRPr="005B2D69" w:rsidRDefault="005B2D69" w:rsidP="00085104">
      <w:pPr>
        <w:spacing w:line="240" w:lineRule="auto"/>
        <w:ind w:left="1083" w:hanging="227"/>
        <w:jc w:val="both"/>
        <w:rPr>
          <w:color w:val="auto"/>
        </w:rPr>
      </w:pPr>
    </w:p>
    <w:p w14:paraId="7EC56618" w14:textId="0B0220AA" w:rsidR="005B2D69" w:rsidRPr="005B2D69" w:rsidRDefault="005B2D69" w:rsidP="00085104">
      <w:pPr>
        <w:spacing w:line="240" w:lineRule="auto"/>
        <w:ind w:left="1083" w:hanging="227"/>
        <w:jc w:val="both"/>
        <w:rPr>
          <w:color w:val="auto"/>
        </w:rPr>
      </w:pPr>
      <w:r w:rsidRPr="48C4AA5A">
        <w:rPr>
          <w:color w:val="auto"/>
        </w:rPr>
        <w:t>•</w:t>
      </w:r>
      <w:r>
        <w:tab/>
      </w:r>
      <w:r w:rsidRPr="48C4AA5A">
        <w:rPr>
          <w:color w:val="auto"/>
        </w:rPr>
        <w:t xml:space="preserve">Working from home creates a new </w:t>
      </w:r>
      <w:r w:rsidR="001A7D60" w:rsidRPr="48C4AA5A">
        <w:rPr>
          <w:color w:val="auto"/>
        </w:rPr>
        <w:t>dynamic</w:t>
      </w:r>
      <w:r w:rsidRPr="48C4AA5A">
        <w:rPr>
          <w:color w:val="auto"/>
        </w:rPr>
        <w:t xml:space="preserve"> with the use of </w:t>
      </w:r>
      <w:r w:rsidR="001A7D60" w:rsidRPr="48C4AA5A">
        <w:rPr>
          <w:color w:val="auto"/>
        </w:rPr>
        <w:t xml:space="preserve">different </w:t>
      </w:r>
      <w:r w:rsidRPr="48C4AA5A">
        <w:rPr>
          <w:color w:val="auto"/>
        </w:rPr>
        <w:t>IT solutions present</w:t>
      </w:r>
      <w:r w:rsidR="001A7D60" w:rsidRPr="48C4AA5A">
        <w:rPr>
          <w:color w:val="auto"/>
        </w:rPr>
        <w:t>ing</w:t>
      </w:r>
      <w:r w:rsidRPr="48C4AA5A">
        <w:rPr>
          <w:color w:val="auto"/>
        </w:rPr>
        <w:t xml:space="preserve"> </w:t>
      </w:r>
      <w:r w:rsidR="00526BB3" w:rsidRPr="48C4AA5A">
        <w:rPr>
          <w:color w:val="auto"/>
        </w:rPr>
        <w:t>other</w:t>
      </w:r>
      <w:r w:rsidRPr="48C4AA5A">
        <w:rPr>
          <w:color w:val="auto"/>
        </w:rPr>
        <w:t xml:space="preserve"> risks </w:t>
      </w:r>
      <w:r w:rsidR="001A7D60" w:rsidRPr="48C4AA5A">
        <w:rPr>
          <w:color w:val="auto"/>
        </w:rPr>
        <w:t>t</w:t>
      </w:r>
      <w:r w:rsidR="00526BB3" w:rsidRPr="48C4AA5A">
        <w:rPr>
          <w:color w:val="auto"/>
        </w:rPr>
        <w:t>han in</w:t>
      </w:r>
      <w:r w:rsidR="001A7D60" w:rsidRPr="48C4AA5A">
        <w:rPr>
          <w:color w:val="auto"/>
        </w:rPr>
        <w:t xml:space="preserve"> </w:t>
      </w:r>
      <w:r w:rsidRPr="48C4AA5A">
        <w:rPr>
          <w:color w:val="auto"/>
        </w:rPr>
        <w:t xml:space="preserve">an office environment, particularly when it comes to data protection.  </w:t>
      </w:r>
      <w:r w:rsidR="001A7D60" w:rsidRPr="48C4AA5A">
        <w:rPr>
          <w:color w:val="auto"/>
        </w:rPr>
        <w:t xml:space="preserve">Staff </w:t>
      </w:r>
      <w:r w:rsidRPr="48C4AA5A">
        <w:rPr>
          <w:color w:val="auto"/>
        </w:rPr>
        <w:t>should treat the data collect</w:t>
      </w:r>
      <w:r w:rsidR="001A7D60" w:rsidRPr="48C4AA5A">
        <w:rPr>
          <w:color w:val="auto"/>
        </w:rPr>
        <w:t>ed</w:t>
      </w:r>
      <w:r w:rsidRPr="48C4AA5A">
        <w:rPr>
          <w:color w:val="auto"/>
        </w:rPr>
        <w:t xml:space="preserve"> and handle</w:t>
      </w:r>
      <w:r w:rsidR="001A7D60" w:rsidRPr="48C4AA5A">
        <w:rPr>
          <w:color w:val="auto"/>
        </w:rPr>
        <w:t>d</w:t>
      </w:r>
      <w:r w:rsidRPr="48C4AA5A">
        <w:rPr>
          <w:color w:val="auto"/>
        </w:rPr>
        <w:t xml:space="preserve"> </w:t>
      </w:r>
      <w:r w:rsidR="00526BB3" w:rsidRPr="48C4AA5A">
        <w:rPr>
          <w:color w:val="auto"/>
        </w:rPr>
        <w:t xml:space="preserve">in </w:t>
      </w:r>
      <w:r w:rsidRPr="48C4AA5A">
        <w:rPr>
          <w:color w:val="auto"/>
        </w:rPr>
        <w:t xml:space="preserve">the same </w:t>
      </w:r>
      <w:r w:rsidR="54D2C330" w:rsidRPr="48C4AA5A">
        <w:rPr>
          <w:color w:val="auto"/>
        </w:rPr>
        <w:t xml:space="preserve">way </w:t>
      </w:r>
      <w:r w:rsidRPr="48C4AA5A">
        <w:rPr>
          <w:color w:val="auto"/>
        </w:rPr>
        <w:t xml:space="preserve">as if </w:t>
      </w:r>
      <w:r w:rsidR="00526BB3" w:rsidRPr="48C4AA5A">
        <w:rPr>
          <w:color w:val="auto"/>
        </w:rPr>
        <w:t>they</w:t>
      </w:r>
      <w:r w:rsidRPr="48C4AA5A">
        <w:rPr>
          <w:color w:val="auto"/>
        </w:rPr>
        <w:t xml:space="preserve"> were in </w:t>
      </w:r>
      <w:r w:rsidR="001A7D60" w:rsidRPr="48C4AA5A">
        <w:rPr>
          <w:color w:val="auto"/>
        </w:rPr>
        <w:t xml:space="preserve">the </w:t>
      </w:r>
      <w:r w:rsidR="00526BB3" w:rsidRPr="48C4AA5A">
        <w:rPr>
          <w:color w:val="auto"/>
        </w:rPr>
        <w:t>w</w:t>
      </w:r>
      <w:r w:rsidRPr="48C4AA5A">
        <w:rPr>
          <w:color w:val="auto"/>
        </w:rPr>
        <w:t xml:space="preserve">orkplace </w:t>
      </w:r>
      <w:r w:rsidR="00526BB3" w:rsidRPr="48C4AA5A">
        <w:rPr>
          <w:color w:val="auto"/>
        </w:rPr>
        <w:t xml:space="preserve">and </w:t>
      </w:r>
      <w:r w:rsidR="001A7D60" w:rsidRPr="48C4AA5A">
        <w:rPr>
          <w:color w:val="auto"/>
        </w:rPr>
        <w:t xml:space="preserve">should </w:t>
      </w:r>
      <w:r w:rsidRPr="48C4AA5A">
        <w:rPr>
          <w:color w:val="auto"/>
        </w:rPr>
        <w:t xml:space="preserve">not prioritise convenience over security. </w:t>
      </w:r>
      <w:r w:rsidR="00526BB3" w:rsidRPr="48C4AA5A">
        <w:rPr>
          <w:color w:val="auto"/>
        </w:rPr>
        <w:t xml:space="preserve">The HNY ICB have updated their policies and procedures accordingly.  </w:t>
      </w:r>
    </w:p>
    <w:p w14:paraId="75EAA98A" w14:textId="77777777" w:rsidR="005B2D69" w:rsidRPr="005B2D69" w:rsidRDefault="005B2D69" w:rsidP="00085104">
      <w:pPr>
        <w:spacing w:line="240" w:lineRule="auto"/>
        <w:ind w:left="1083" w:hanging="227"/>
        <w:jc w:val="both"/>
        <w:rPr>
          <w:color w:val="auto"/>
        </w:rPr>
      </w:pPr>
    </w:p>
    <w:p w14:paraId="46771908" w14:textId="77777777" w:rsidR="005B2D69" w:rsidRPr="005B2D69" w:rsidRDefault="005B2D69" w:rsidP="00085104">
      <w:pPr>
        <w:spacing w:line="240" w:lineRule="auto"/>
        <w:ind w:left="1083" w:hanging="227"/>
        <w:jc w:val="both"/>
        <w:rPr>
          <w:color w:val="auto"/>
        </w:rPr>
      </w:pPr>
      <w:r w:rsidRPr="005B2D69">
        <w:rPr>
          <w:color w:val="auto"/>
        </w:rPr>
        <w:t>•</w:t>
      </w:r>
      <w:r w:rsidRPr="005B2D69">
        <w:rPr>
          <w:color w:val="auto"/>
        </w:rPr>
        <w:tab/>
        <w:t xml:space="preserve">All staff should follow a clear desk and screen policy when left unattended and at the end of each day.  They must keep all records containing personal confidential information or corporately confidential information in recognised filing and storage places that are locked.  </w:t>
      </w:r>
    </w:p>
    <w:p w14:paraId="62081229" w14:textId="77777777" w:rsidR="005B2D69" w:rsidRPr="005B2D69" w:rsidRDefault="005B2D69" w:rsidP="00085104">
      <w:pPr>
        <w:spacing w:line="240" w:lineRule="auto"/>
        <w:ind w:left="1083" w:hanging="227"/>
        <w:jc w:val="both"/>
        <w:rPr>
          <w:color w:val="auto"/>
        </w:rPr>
      </w:pPr>
    </w:p>
    <w:p w14:paraId="6AAD88F5" w14:textId="752BF389" w:rsidR="005B2D69" w:rsidRPr="005B2D69" w:rsidRDefault="005B2D69" w:rsidP="00085104">
      <w:pPr>
        <w:spacing w:line="240" w:lineRule="auto"/>
        <w:ind w:left="1083" w:hanging="227"/>
        <w:jc w:val="both"/>
        <w:rPr>
          <w:color w:val="auto"/>
        </w:rPr>
      </w:pPr>
      <w:r w:rsidRPr="005B2D69">
        <w:rPr>
          <w:color w:val="auto"/>
        </w:rPr>
        <w:t>•</w:t>
      </w:r>
      <w:r w:rsidRPr="005B2D69">
        <w:rPr>
          <w:color w:val="auto"/>
        </w:rPr>
        <w:tab/>
      </w:r>
      <w:r w:rsidR="00526BB3">
        <w:rPr>
          <w:color w:val="auto"/>
        </w:rPr>
        <w:t xml:space="preserve">Staff should </w:t>
      </w:r>
      <w:r w:rsidRPr="005B2D69">
        <w:rPr>
          <w:color w:val="auto"/>
        </w:rPr>
        <w:t xml:space="preserve">ensure that </w:t>
      </w:r>
      <w:r w:rsidR="00526BB3">
        <w:rPr>
          <w:color w:val="auto"/>
        </w:rPr>
        <w:t>they</w:t>
      </w:r>
      <w:r w:rsidRPr="005B2D69">
        <w:rPr>
          <w:color w:val="auto"/>
        </w:rPr>
        <w:t xml:space="preserve"> cannot be overheard when discussing confidential matters.</w:t>
      </w:r>
    </w:p>
    <w:p w14:paraId="1E6C0595" w14:textId="77777777" w:rsidR="005B2D69" w:rsidRPr="005B2D69" w:rsidRDefault="005B2D69" w:rsidP="00085104">
      <w:pPr>
        <w:spacing w:line="240" w:lineRule="auto"/>
        <w:ind w:left="1083" w:hanging="227"/>
        <w:jc w:val="both"/>
        <w:rPr>
          <w:color w:val="auto"/>
        </w:rPr>
      </w:pPr>
    </w:p>
    <w:p w14:paraId="311EF228" w14:textId="2D870CE6" w:rsidR="005B2D69" w:rsidRPr="005B2D69" w:rsidRDefault="005B2D69" w:rsidP="00085104">
      <w:pPr>
        <w:spacing w:line="240" w:lineRule="auto"/>
        <w:ind w:left="1083" w:hanging="227"/>
        <w:jc w:val="both"/>
        <w:rPr>
          <w:color w:val="auto"/>
        </w:rPr>
      </w:pPr>
      <w:r w:rsidRPr="005B2D69">
        <w:rPr>
          <w:color w:val="auto"/>
        </w:rPr>
        <w:t>•</w:t>
      </w:r>
      <w:r w:rsidRPr="005B2D69">
        <w:rPr>
          <w:color w:val="auto"/>
        </w:rPr>
        <w:tab/>
      </w:r>
      <w:r w:rsidR="00526BB3">
        <w:rPr>
          <w:color w:val="auto"/>
        </w:rPr>
        <w:t>P</w:t>
      </w:r>
      <w:r w:rsidRPr="005B2D69">
        <w:rPr>
          <w:color w:val="auto"/>
        </w:rPr>
        <w:t>rint</w:t>
      </w:r>
      <w:r w:rsidR="00526BB3">
        <w:rPr>
          <w:color w:val="auto"/>
        </w:rPr>
        <w:t xml:space="preserve"> options should only be used</w:t>
      </w:r>
      <w:r w:rsidRPr="005B2D69">
        <w:rPr>
          <w:color w:val="auto"/>
        </w:rPr>
        <w:t xml:space="preserve"> if necessary or relevant, any unwanted printouts containing personal confidential information or corporately confidential information must be put into a </w:t>
      </w:r>
      <w:r w:rsidR="00526BB3" w:rsidRPr="005B2D69">
        <w:rPr>
          <w:color w:val="auto"/>
        </w:rPr>
        <w:t>confidential waste bin</w:t>
      </w:r>
      <w:r w:rsidR="00526BB3">
        <w:rPr>
          <w:color w:val="auto"/>
        </w:rPr>
        <w:t xml:space="preserve"> provided</w:t>
      </w:r>
      <w:r w:rsidRPr="005B2D69">
        <w:rPr>
          <w:color w:val="auto"/>
        </w:rPr>
        <w:t xml:space="preserve">. Discs, tapes, printouts, must not be left lying around but be filed and locked away when not in use.  </w:t>
      </w:r>
    </w:p>
    <w:p w14:paraId="0B3CB7E2" w14:textId="77777777" w:rsidR="005B2D69" w:rsidRPr="005B2D69" w:rsidRDefault="005B2D69" w:rsidP="004A63EB">
      <w:pPr>
        <w:spacing w:line="240" w:lineRule="auto"/>
        <w:ind w:left="1083" w:hanging="227"/>
        <w:rPr>
          <w:color w:val="auto"/>
        </w:rPr>
      </w:pPr>
    </w:p>
    <w:p w14:paraId="33671A4A" w14:textId="2306FA33" w:rsidR="005B2D69" w:rsidRPr="005B2D69" w:rsidRDefault="005B2D69" w:rsidP="00085104">
      <w:pPr>
        <w:spacing w:line="240" w:lineRule="auto"/>
        <w:ind w:left="1083" w:hanging="227"/>
        <w:jc w:val="both"/>
        <w:rPr>
          <w:color w:val="auto"/>
        </w:rPr>
      </w:pPr>
      <w:r w:rsidRPr="48C4AA5A">
        <w:rPr>
          <w:color w:val="auto"/>
        </w:rPr>
        <w:lastRenderedPageBreak/>
        <w:t>•</w:t>
      </w:r>
      <w:r>
        <w:tab/>
      </w:r>
      <w:r w:rsidRPr="48C4AA5A">
        <w:rPr>
          <w:color w:val="auto"/>
        </w:rPr>
        <w:t xml:space="preserve">At home </w:t>
      </w:r>
      <w:r w:rsidR="00526BB3" w:rsidRPr="48C4AA5A">
        <w:rPr>
          <w:color w:val="auto"/>
        </w:rPr>
        <w:t>staff will not</w:t>
      </w:r>
      <w:r w:rsidRPr="48C4AA5A">
        <w:rPr>
          <w:color w:val="auto"/>
        </w:rPr>
        <w:t xml:space="preserve"> have the facility of confidential waste bins.</w:t>
      </w:r>
      <w:r w:rsidR="00526BB3" w:rsidRPr="48C4AA5A">
        <w:rPr>
          <w:color w:val="auto"/>
        </w:rPr>
        <w:t xml:space="preserve"> </w:t>
      </w:r>
      <w:r w:rsidRPr="48C4AA5A">
        <w:rPr>
          <w:color w:val="auto"/>
        </w:rPr>
        <w:t xml:space="preserve">Therefore, </w:t>
      </w:r>
      <w:r w:rsidR="00526BB3" w:rsidRPr="48C4AA5A">
        <w:rPr>
          <w:color w:val="auto"/>
        </w:rPr>
        <w:t xml:space="preserve">printed material should be </w:t>
      </w:r>
      <w:r w:rsidRPr="48C4AA5A">
        <w:rPr>
          <w:color w:val="auto"/>
        </w:rPr>
        <w:t>safely store</w:t>
      </w:r>
      <w:r w:rsidR="00526BB3" w:rsidRPr="48C4AA5A">
        <w:rPr>
          <w:color w:val="auto"/>
        </w:rPr>
        <w:t xml:space="preserve">d </w:t>
      </w:r>
      <w:r w:rsidR="008C010E" w:rsidRPr="48C4AA5A">
        <w:rPr>
          <w:color w:val="auto"/>
        </w:rPr>
        <w:t>e.g.,</w:t>
      </w:r>
      <w:r w:rsidRPr="48C4AA5A">
        <w:rPr>
          <w:color w:val="auto"/>
        </w:rPr>
        <w:t xml:space="preserve"> in a locked drawer or safe, until </w:t>
      </w:r>
      <w:r w:rsidR="00526BB3" w:rsidRPr="48C4AA5A">
        <w:rPr>
          <w:color w:val="auto"/>
        </w:rPr>
        <w:t xml:space="preserve">they </w:t>
      </w:r>
      <w:r w:rsidRPr="48C4AA5A">
        <w:rPr>
          <w:color w:val="auto"/>
        </w:rPr>
        <w:t xml:space="preserve">can </w:t>
      </w:r>
      <w:r w:rsidR="00526BB3" w:rsidRPr="48C4AA5A">
        <w:rPr>
          <w:color w:val="auto"/>
        </w:rPr>
        <w:t xml:space="preserve">be </w:t>
      </w:r>
      <w:r w:rsidRPr="48C4AA5A">
        <w:rPr>
          <w:color w:val="auto"/>
        </w:rPr>
        <w:t>take</w:t>
      </w:r>
      <w:r w:rsidR="00526BB3" w:rsidRPr="48C4AA5A">
        <w:rPr>
          <w:color w:val="auto"/>
        </w:rPr>
        <w:t>n</w:t>
      </w:r>
      <w:r w:rsidRPr="48C4AA5A">
        <w:rPr>
          <w:color w:val="auto"/>
        </w:rPr>
        <w:t xml:space="preserve"> into the office and dispose</w:t>
      </w:r>
      <w:r w:rsidR="4EF05EEE" w:rsidRPr="48C4AA5A">
        <w:rPr>
          <w:color w:val="auto"/>
        </w:rPr>
        <w:t>d</w:t>
      </w:r>
      <w:r w:rsidRPr="48C4AA5A">
        <w:rPr>
          <w:color w:val="auto"/>
        </w:rPr>
        <w:t xml:space="preserve"> of </w:t>
      </w:r>
      <w:r w:rsidR="00526BB3" w:rsidRPr="48C4AA5A">
        <w:rPr>
          <w:color w:val="auto"/>
        </w:rPr>
        <w:t>s</w:t>
      </w:r>
      <w:r w:rsidRPr="48C4AA5A">
        <w:rPr>
          <w:color w:val="auto"/>
        </w:rPr>
        <w:t>ecurely.</w:t>
      </w:r>
    </w:p>
    <w:p w14:paraId="156863C6" w14:textId="77777777" w:rsidR="005B2D69" w:rsidRPr="005B2D69" w:rsidRDefault="005B2D69" w:rsidP="00085104">
      <w:pPr>
        <w:spacing w:line="240" w:lineRule="auto"/>
        <w:ind w:left="1083" w:hanging="227"/>
        <w:jc w:val="both"/>
        <w:rPr>
          <w:color w:val="auto"/>
        </w:rPr>
      </w:pPr>
    </w:p>
    <w:p w14:paraId="60C86311" w14:textId="0933DD53" w:rsidR="005B2D69" w:rsidRPr="005B2D69" w:rsidRDefault="005B2D69" w:rsidP="00085104">
      <w:pPr>
        <w:spacing w:line="240" w:lineRule="auto"/>
        <w:ind w:left="1083" w:hanging="227"/>
        <w:jc w:val="both"/>
        <w:rPr>
          <w:color w:val="auto"/>
        </w:rPr>
      </w:pPr>
      <w:r w:rsidRPr="005B2D69">
        <w:rPr>
          <w:color w:val="auto"/>
        </w:rPr>
        <w:t>•</w:t>
      </w:r>
      <w:r w:rsidRPr="005B2D69">
        <w:rPr>
          <w:color w:val="auto"/>
        </w:rPr>
        <w:tab/>
      </w:r>
      <w:r w:rsidR="00526BB3">
        <w:rPr>
          <w:color w:val="auto"/>
        </w:rPr>
        <w:t>Staff should b</w:t>
      </w:r>
      <w:r w:rsidRPr="005B2D69">
        <w:rPr>
          <w:color w:val="auto"/>
        </w:rPr>
        <w:t>e extra vigilant about opening web links and attachments in emails or other messages</w:t>
      </w:r>
      <w:r w:rsidR="00526BB3">
        <w:rPr>
          <w:color w:val="auto"/>
        </w:rPr>
        <w:t xml:space="preserve"> and should not </w:t>
      </w:r>
      <w:r w:rsidRPr="005B2D69">
        <w:rPr>
          <w:color w:val="auto"/>
        </w:rPr>
        <w:t xml:space="preserve">click on unfamiliar web links or </w:t>
      </w:r>
      <w:r w:rsidR="000C337B" w:rsidRPr="005B2D69">
        <w:rPr>
          <w:color w:val="auto"/>
        </w:rPr>
        <w:t>attachments.</w:t>
      </w:r>
    </w:p>
    <w:p w14:paraId="028D6F9A" w14:textId="77777777" w:rsidR="005B2D69" w:rsidRPr="005B2D69" w:rsidRDefault="005B2D69" w:rsidP="00085104">
      <w:pPr>
        <w:spacing w:line="240" w:lineRule="auto"/>
        <w:ind w:left="1083" w:hanging="227"/>
        <w:jc w:val="both"/>
        <w:rPr>
          <w:color w:val="auto"/>
        </w:rPr>
      </w:pPr>
    </w:p>
    <w:p w14:paraId="06FF140E" w14:textId="33E30495" w:rsidR="005B2D69" w:rsidRPr="005B2D69" w:rsidRDefault="005B2D69" w:rsidP="00085104">
      <w:pPr>
        <w:spacing w:line="240" w:lineRule="auto"/>
        <w:ind w:left="1083" w:hanging="227"/>
        <w:jc w:val="both"/>
        <w:rPr>
          <w:color w:val="auto"/>
        </w:rPr>
      </w:pPr>
      <w:r w:rsidRPr="005B2D69">
        <w:rPr>
          <w:color w:val="auto"/>
        </w:rPr>
        <w:t>•</w:t>
      </w:r>
      <w:r w:rsidRPr="005B2D69">
        <w:rPr>
          <w:color w:val="auto"/>
        </w:rPr>
        <w:tab/>
        <w:t xml:space="preserve">Data Security Awareness training is </w:t>
      </w:r>
      <w:r w:rsidR="00526BB3">
        <w:rPr>
          <w:color w:val="auto"/>
        </w:rPr>
        <w:t xml:space="preserve">mandatory, and all staff should ensure </w:t>
      </w:r>
      <w:r w:rsidRPr="005B2D69">
        <w:rPr>
          <w:color w:val="auto"/>
        </w:rPr>
        <w:t>IT equipment has been updated when prompted to do so.</w:t>
      </w:r>
    </w:p>
    <w:p w14:paraId="02B11DE8" w14:textId="77777777" w:rsidR="005B2D69" w:rsidRPr="005B2D69" w:rsidRDefault="005B2D69" w:rsidP="00085104">
      <w:pPr>
        <w:spacing w:line="240" w:lineRule="auto"/>
        <w:ind w:left="1083" w:hanging="227"/>
        <w:jc w:val="both"/>
        <w:rPr>
          <w:color w:val="auto"/>
        </w:rPr>
      </w:pPr>
    </w:p>
    <w:p w14:paraId="50B9ED66" w14:textId="27338E7D" w:rsidR="001A6D52" w:rsidRDefault="005B2D69" w:rsidP="00085104">
      <w:pPr>
        <w:spacing w:line="240" w:lineRule="auto"/>
        <w:ind w:left="1083" w:hanging="227"/>
        <w:jc w:val="both"/>
        <w:rPr>
          <w:color w:val="auto"/>
        </w:rPr>
      </w:pPr>
      <w:r w:rsidRPr="005B2D69">
        <w:rPr>
          <w:color w:val="auto"/>
        </w:rPr>
        <w:t>•</w:t>
      </w:r>
      <w:r w:rsidRPr="005B2D69">
        <w:rPr>
          <w:color w:val="auto"/>
        </w:rPr>
        <w:tab/>
      </w:r>
      <w:r w:rsidR="00526BB3">
        <w:rPr>
          <w:color w:val="auto"/>
        </w:rPr>
        <w:t xml:space="preserve">The </w:t>
      </w:r>
      <w:r w:rsidRPr="005B2D69">
        <w:rPr>
          <w:color w:val="auto"/>
        </w:rPr>
        <w:t>Contract of Employment includes a commitment to confidentiality. Breaches of confidentiality could be regarded as gross misconduct and may result in serious disciplinary action up to and including dismissal.</w:t>
      </w:r>
    </w:p>
    <w:p w14:paraId="78E91D3A" w14:textId="22133C00" w:rsidR="000C337B" w:rsidRPr="00DD408D" w:rsidRDefault="000C337B" w:rsidP="00085104">
      <w:pPr>
        <w:spacing w:line="240" w:lineRule="auto"/>
        <w:ind w:left="1083" w:hanging="227"/>
        <w:jc w:val="both"/>
        <w:rPr>
          <w:b/>
          <w:bCs/>
          <w:color w:val="auto"/>
        </w:rPr>
      </w:pPr>
    </w:p>
    <w:p w14:paraId="74234523" w14:textId="3448D828" w:rsidR="007B4AAC" w:rsidRPr="00DD408D" w:rsidRDefault="00DD408D" w:rsidP="00DD408D">
      <w:pPr>
        <w:tabs>
          <w:tab w:val="left" w:pos="993"/>
        </w:tabs>
        <w:ind w:firstLine="426"/>
        <w:rPr>
          <w:b/>
          <w:bCs/>
          <w:color w:val="auto"/>
        </w:rPr>
      </w:pPr>
      <w:r w:rsidRPr="00DD408D">
        <w:rPr>
          <w:b/>
          <w:bCs/>
          <w:color w:val="auto"/>
        </w:rPr>
        <w:t xml:space="preserve">6.3 </w:t>
      </w:r>
      <w:r w:rsidRPr="00DD408D">
        <w:rPr>
          <w:b/>
          <w:bCs/>
          <w:color w:val="auto"/>
        </w:rPr>
        <w:tab/>
      </w:r>
      <w:r w:rsidR="007B4AAC" w:rsidRPr="00DD408D">
        <w:rPr>
          <w:b/>
          <w:bCs/>
          <w:color w:val="auto"/>
        </w:rPr>
        <w:t>Data Protection Principles</w:t>
      </w:r>
    </w:p>
    <w:p w14:paraId="08204BA6" w14:textId="7FEE1A63" w:rsidR="007B4AAC" w:rsidRDefault="007B4AAC" w:rsidP="00C56850">
      <w:pPr>
        <w:spacing w:line="240" w:lineRule="auto"/>
        <w:ind w:left="993"/>
        <w:jc w:val="both"/>
        <w:rPr>
          <w:color w:val="auto"/>
        </w:rPr>
      </w:pPr>
      <w:r w:rsidRPr="007B4AAC">
        <w:rPr>
          <w:color w:val="auto"/>
        </w:rPr>
        <w:t xml:space="preserve">The Data Protection Act applies GDPR Data Protection </w:t>
      </w:r>
      <w:r w:rsidR="00526BB3">
        <w:rPr>
          <w:color w:val="auto"/>
        </w:rPr>
        <w:t>p</w:t>
      </w:r>
      <w:r w:rsidRPr="007B4AAC">
        <w:rPr>
          <w:color w:val="auto"/>
        </w:rPr>
        <w:t xml:space="preserve">rinciples to support good practice and fairness in processing personal information.  Compliance with these key principles is therefore a fundamental for good data protection practice. </w:t>
      </w:r>
    </w:p>
    <w:p w14:paraId="52AFAA33" w14:textId="77777777" w:rsidR="00447B54" w:rsidRPr="007B4AAC" w:rsidRDefault="00447B54" w:rsidP="00C56850">
      <w:pPr>
        <w:spacing w:line="240" w:lineRule="auto"/>
        <w:ind w:left="856"/>
        <w:jc w:val="both"/>
        <w:rPr>
          <w:color w:val="auto"/>
        </w:rPr>
      </w:pPr>
    </w:p>
    <w:p w14:paraId="5A02E390" w14:textId="382143BD" w:rsidR="007B4AAC" w:rsidRDefault="007B4AAC" w:rsidP="00C56850">
      <w:pPr>
        <w:spacing w:line="240" w:lineRule="auto"/>
        <w:ind w:left="993"/>
        <w:jc w:val="both"/>
        <w:rPr>
          <w:color w:val="auto"/>
        </w:rPr>
      </w:pPr>
      <w:r w:rsidRPr="007B4AAC">
        <w:rPr>
          <w:color w:val="auto"/>
        </w:rPr>
        <w:t>Employees must be aware of these requirements and ensure that any use of personal data satisfies the requirements of the principles.</w:t>
      </w:r>
    </w:p>
    <w:p w14:paraId="6F308200" w14:textId="77777777" w:rsidR="00447B54" w:rsidRPr="007B4AAC" w:rsidRDefault="00447B54" w:rsidP="00C56850">
      <w:pPr>
        <w:spacing w:line="240" w:lineRule="auto"/>
        <w:ind w:left="993"/>
        <w:jc w:val="both"/>
        <w:rPr>
          <w:color w:val="auto"/>
        </w:rPr>
      </w:pPr>
    </w:p>
    <w:p w14:paraId="56F17E47" w14:textId="424C59D1" w:rsidR="000C337B" w:rsidRDefault="007B4AAC" w:rsidP="00C56850">
      <w:pPr>
        <w:spacing w:line="240" w:lineRule="auto"/>
        <w:ind w:left="993"/>
        <w:jc w:val="both"/>
        <w:rPr>
          <w:rStyle w:val="Hyperlink"/>
        </w:rPr>
      </w:pPr>
      <w:r w:rsidRPr="007B4AAC">
        <w:rPr>
          <w:color w:val="auto"/>
        </w:rPr>
        <w:t xml:space="preserve">Where applicable the Caldicott Principles as well as the Data Protection Principles will be complied with.  Further details on these principles can be found </w:t>
      </w:r>
      <w:r w:rsidR="000E2544">
        <w:rPr>
          <w:color w:val="auto"/>
        </w:rPr>
        <w:t xml:space="preserve">at </w:t>
      </w:r>
      <w:hyperlink r:id="rId13" w:history="1">
        <w:r w:rsidR="000E2544">
          <w:rPr>
            <w:rStyle w:val="Hyperlink"/>
          </w:rPr>
          <w:t>data protection principles</w:t>
        </w:r>
      </w:hyperlink>
      <w:r w:rsidR="000E2544">
        <w:rPr>
          <w:rStyle w:val="Hyperlink"/>
        </w:rPr>
        <w:t xml:space="preserve"> </w:t>
      </w:r>
      <w:r w:rsidRPr="007B4AAC">
        <w:rPr>
          <w:color w:val="auto"/>
        </w:rPr>
        <w:t xml:space="preserve">and </w:t>
      </w:r>
      <w:hyperlink r:id="rId14" w:history="1">
        <w:r w:rsidR="008219BE" w:rsidRPr="00BD4A40">
          <w:rPr>
            <w:rStyle w:val="Hyperlink"/>
          </w:rPr>
          <w:t>Caldicott Principles</w:t>
        </w:r>
      </w:hyperlink>
    </w:p>
    <w:p w14:paraId="061E6DE3" w14:textId="77777777" w:rsidR="009C3CC3" w:rsidRPr="00694ABB" w:rsidRDefault="009C3CC3" w:rsidP="00DD408D">
      <w:pPr>
        <w:spacing w:line="240" w:lineRule="auto"/>
        <w:ind w:left="993"/>
        <w:rPr>
          <w:color w:val="auto"/>
        </w:rPr>
      </w:pPr>
    </w:p>
    <w:p w14:paraId="171183CD" w14:textId="2EC84B30" w:rsidR="00223919" w:rsidRDefault="00223919" w:rsidP="00E5474B">
      <w:pPr>
        <w:pStyle w:val="Heading2"/>
        <w:numPr>
          <w:ilvl w:val="1"/>
          <w:numId w:val="40"/>
        </w:numPr>
        <w:spacing w:before="120" w:after="120"/>
        <w:ind w:left="993"/>
      </w:pPr>
      <w:r>
        <w:t>Disclosing Information</w:t>
      </w:r>
    </w:p>
    <w:p w14:paraId="15F9FFA8" w14:textId="59C1C751" w:rsidR="00223919" w:rsidRPr="002B0CFF" w:rsidRDefault="00223919" w:rsidP="00C56850">
      <w:pPr>
        <w:spacing w:line="240" w:lineRule="auto"/>
        <w:ind w:left="993"/>
        <w:jc w:val="both"/>
        <w:rPr>
          <w:color w:val="auto"/>
        </w:rPr>
      </w:pPr>
      <w:r w:rsidRPr="002B0CFF">
        <w:rPr>
          <w:color w:val="auto"/>
        </w:rPr>
        <w:t xml:space="preserve">Whether personal information can be disclosed to others is dependent on </w:t>
      </w:r>
      <w:proofErr w:type="gramStart"/>
      <w:r w:rsidRPr="002B0CFF">
        <w:rPr>
          <w:color w:val="auto"/>
        </w:rPr>
        <w:t>a number of</w:t>
      </w:r>
      <w:proofErr w:type="gramEnd"/>
      <w:r w:rsidRPr="002B0CFF">
        <w:rPr>
          <w:color w:val="auto"/>
        </w:rPr>
        <w:t xml:space="preserve"> factors, including, whether the individual has consented to the information being shared, to whom the information is being disclosed and the reason for its disclosure. The approach may vary according to the individual circumstances surrounding the disclosure. </w:t>
      </w:r>
    </w:p>
    <w:p w14:paraId="6BE3FEE6" w14:textId="77777777" w:rsidR="008C010E" w:rsidRDefault="008C010E" w:rsidP="00C56850">
      <w:pPr>
        <w:spacing w:line="240" w:lineRule="auto"/>
        <w:ind w:left="993"/>
        <w:jc w:val="both"/>
        <w:rPr>
          <w:color w:val="auto"/>
        </w:rPr>
      </w:pPr>
    </w:p>
    <w:p w14:paraId="2981117B" w14:textId="25DE3C73" w:rsidR="00223919" w:rsidRPr="002B0CFF" w:rsidRDefault="00C8787E" w:rsidP="00C56850">
      <w:pPr>
        <w:spacing w:line="240" w:lineRule="auto"/>
        <w:ind w:left="993"/>
        <w:jc w:val="both"/>
        <w:rPr>
          <w:color w:val="auto"/>
        </w:rPr>
      </w:pPr>
      <w:r>
        <w:rPr>
          <w:color w:val="000000" w:themeColor="text1"/>
        </w:rPr>
        <w:t>HNY ICB</w:t>
      </w:r>
      <w:r w:rsidR="00223919" w:rsidRPr="002B0CFF">
        <w:rPr>
          <w:color w:val="auto"/>
        </w:rPr>
        <w:t xml:space="preserve"> will inform the data subject why, how and for what purpose personal information is collected, recorded, and processed by means of a privacy notice published on the </w:t>
      </w:r>
      <w:r>
        <w:rPr>
          <w:color w:val="000000" w:themeColor="text1"/>
        </w:rPr>
        <w:t>HNY ICB</w:t>
      </w:r>
      <w:r w:rsidR="00223919" w:rsidRPr="002B0CFF">
        <w:rPr>
          <w:color w:val="auto"/>
        </w:rPr>
        <w:t xml:space="preserve"> </w:t>
      </w:r>
      <w:hyperlink r:id="rId15" w:history="1">
        <w:r w:rsidR="00B45DAA">
          <w:rPr>
            <w:color w:val="0000FF"/>
            <w:u w:val="single"/>
          </w:rPr>
          <w:t>website</w:t>
        </w:r>
      </w:hyperlink>
      <w:r w:rsidR="00B45DAA">
        <w:t xml:space="preserve"> </w:t>
      </w:r>
      <w:r w:rsidR="00223919" w:rsidRPr="002B0CFF">
        <w:rPr>
          <w:color w:val="auto"/>
        </w:rPr>
        <w:t xml:space="preserve">and where necessary information </w:t>
      </w:r>
      <w:r w:rsidR="008C010E" w:rsidRPr="002B0CFF">
        <w:rPr>
          <w:color w:val="auto"/>
        </w:rPr>
        <w:t>leaflets.</w:t>
      </w:r>
    </w:p>
    <w:p w14:paraId="10475C7D" w14:textId="77777777" w:rsidR="008C010E" w:rsidRDefault="008C010E" w:rsidP="00C56850">
      <w:pPr>
        <w:spacing w:line="240" w:lineRule="auto"/>
        <w:ind w:left="993"/>
        <w:jc w:val="both"/>
        <w:rPr>
          <w:color w:val="auto"/>
        </w:rPr>
      </w:pPr>
    </w:p>
    <w:p w14:paraId="24DB77DA" w14:textId="1243B8F5" w:rsidR="00223919" w:rsidRDefault="00223919" w:rsidP="00C56850">
      <w:pPr>
        <w:spacing w:line="240" w:lineRule="auto"/>
        <w:ind w:left="993"/>
        <w:jc w:val="both"/>
        <w:rPr>
          <w:color w:val="auto"/>
        </w:rPr>
      </w:pPr>
      <w:r w:rsidRPr="002B0CFF">
        <w:rPr>
          <w:color w:val="auto"/>
        </w:rPr>
        <w:t>To process personal data, Health and Social care organisations must comply with one of the lawful bases for processing data.   There are number of lawful bases for processing personal or special category data as set out in the GDPR articles 6 &amp; 9. The most appropriate basis for lawful processing available to health and social care organisations in the delivery of their functions are:</w:t>
      </w:r>
    </w:p>
    <w:p w14:paraId="6F441883" w14:textId="77777777" w:rsidR="00D25A17" w:rsidRPr="002B0CFF" w:rsidRDefault="00D25A17" w:rsidP="00C56850">
      <w:pPr>
        <w:spacing w:line="240" w:lineRule="auto"/>
        <w:ind w:left="993"/>
        <w:jc w:val="both"/>
        <w:rPr>
          <w:color w:val="auto"/>
        </w:rPr>
      </w:pPr>
    </w:p>
    <w:p w14:paraId="1291A417" w14:textId="6533857F" w:rsidR="00223919" w:rsidRDefault="00223919" w:rsidP="00C56850">
      <w:pPr>
        <w:pStyle w:val="ListParagraph"/>
        <w:numPr>
          <w:ilvl w:val="0"/>
          <w:numId w:val="41"/>
        </w:numPr>
        <w:spacing w:line="240" w:lineRule="auto"/>
        <w:jc w:val="both"/>
        <w:rPr>
          <w:color w:val="auto"/>
        </w:rPr>
      </w:pPr>
      <w:r w:rsidRPr="00E5474B">
        <w:rPr>
          <w:color w:val="auto"/>
        </w:rPr>
        <w:t>6(1)(e) ‘…for the performance of a task carried out in the public interest or in the exercise of official authority…’</w:t>
      </w:r>
    </w:p>
    <w:p w14:paraId="049535FA" w14:textId="77777777" w:rsidR="00E5474B" w:rsidRPr="00E5474B" w:rsidRDefault="00E5474B" w:rsidP="00C56850">
      <w:pPr>
        <w:pStyle w:val="ListParagraph"/>
        <w:spacing w:line="240" w:lineRule="auto"/>
        <w:ind w:left="1486"/>
        <w:jc w:val="both"/>
        <w:rPr>
          <w:color w:val="auto"/>
        </w:rPr>
      </w:pPr>
    </w:p>
    <w:p w14:paraId="4C29AFB9" w14:textId="6DA40D37" w:rsidR="00223919" w:rsidRPr="00E5474B" w:rsidRDefault="00223919" w:rsidP="00C56850">
      <w:pPr>
        <w:pStyle w:val="ListParagraph"/>
        <w:numPr>
          <w:ilvl w:val="0"/>
          <w:numId w:val="41"/>
        </w:numPr>
        <w:spacing w:line="240" w:lineRule="auto"/>
        <w:jc w:val="both"/>
        <w:rPr>
          <w:color w:val="auto"/>
        </w:rPr>
      </w:pPr>
      <w:r w:rsidRPr="00E5474B">
        <w:rPr>
          <w:color w:val="auto"/>
        </w:rPr>
        <w:t>9(2)(h) ‘…for the purposes of preventive or occupational medicine, for the assessment of the working capacity of the employee, medical diagnosis, the provision of health or social care or treatment or the management of health or social care systems and services</w:t>
      </w:r>
    </w:p>
    <w:p w14:paraId="6413AD55" w14:textId="77777777" w:rsidR="00D25A17" w:rsidRPr="00D25A17" w:rsidRDefault="00D25A17" w:rsidP="00E5474B">
      <w:pPr>
        <w:spacing w:line="240" w:lineRule="auto"/>
        <w:ind w:left="993" w:hanging="227"/>
        <w:rPr>
          <w:color w:val="auto"/>
        </w:rPr>
      </w:pPr>
    </w:p>
    <w:p w14:paraId="76472824" w14:textId="77777777" w:rsidR="00223919" w:rsidRPr="00D25A17" w:rsidRDefault="00223919" w:rsidP="00C56850">
      <w:pPr>
        <w:spacing w:line="240" w:lineRule="auto"/>
        <w:ind w:left="993"/>
        <w:jc w:val="both"/>
        <w:rPr>
          <w:color w:val="auto"/>
        </w:rPr>
      </w:pPr>
      <w:r w:rsidRPr="00D25A17">
        <w:rPr>
          <w:color w:val="auto"/>
        </w:rPr>
        <w:lastRenderedPageBreak/>
        <w:t xml:space="preserve">To note consent is not a lawful basis for processing where the disclosure is necessary for healthcare purposes. </w:t>
      </w:r>
    </w:p>
    <w:p w14:paraId="22DBE86A" w14:textId="77777777" w:rsidR="00223919" w:rsidRPr="00D25A17" w:rsidRDefault="00223919" w:rsidP="00C56850">
      <w:pPr>
        <w:spacing w:line="240" w:lineRule="auto"/>
        <w:ind w:left="993"/>
        <w:jc w:val="both"/>
        <w:rPr>
          <w:color w:val="auto"/>
        </w:rPr>
      </w:pPr>
    </w:p>
    <w:p w14:paraId="696FDD62" w14:textId="324449E0" w:rsidR="00223919" w:rsidRDefault="00223919" w:rsidP="00E5474B">
      <w:pPr>
        <w:spacing w:line="240" w:lineRule="auto"/>
        <w:ind w:left="993"/>
        <w:rPr>
          <w:color w:val="auto"/>
        </w:rPr>
      </w:pPr>
      <w:r w:rsidRPr="00D25A17">
        <w:rPr>
          <w:color w:val="auto"/>
        </w:rPr>
        <w:t>All individuals must:</w:t>
      </w:r>
    </w:p>
    <w:p w14:paraId="038CDF42" w14:textId="7812F08E" w:rsidR="00223919" w:rsidRPr="00E5474B" w:rsidRDefault="00223919" w:rsidP="00C56850">
      <w:pPr>
        <w:pStyle w:val="ListParagraph"/>
        <w:numPr>
          <w:ilvl w:val="0"/>
          <w:numId w:val="42"/>
        </w:numPr>
        <w:spacing w:line="240" w:lineRule="auto"/>
        <w:jc w:val="both"/>
        <w:rPr>
          <w:color w:val="auto"/>
        </w:rPr>
      </w:pPr>
      <w:r w:rsidRPr="00E5474B">
        <w:rPr>
          <w:color w:val="auto"/>
        </w:rPr>
        <w:t>exercise all due care and diligence to prevent unauthorised disclosure of confidential information.</w:t>
      </w:r>
    </w:p>
    <w:p w14:paraId="4E5D949B" w14:textId="5F8AAE4D" w:rsidR="00223919" w:rsidRPr="00E5474B" w:rsidRDefault="00223919" w:rsidP="00C56850">
      <w:pPr>
        <w:pStyle w:val="ListParagraph"/>
        <w:numPr>
          <w:ilvl w:val="0"/>
          <w:numId w:val="42"/>
        </w:numPr>
        <w:spacing w:line="240" w:lineRule="auto"/>
        <w:jc w:val="both"/>
        <w:rPr>
          <w:color w:val="auto"/>
        </w:rPr>
      </w:pPr>
      <w:r w:rsidRPr="00E5474B">
        <w:rPr>
          <w:color w:val="auto"/>
        </w:rPr>
        <w:t>ensure the physical security of all confidential documents, including storage of files on corporate devices.</w:t>
      </w:r>
    </w:p>
    <w:p w14:paraId="771AEFE6" w14:textId="7B7DEB42" w:rsidR="00223919" w:rsidRDefault="00223919" w:rsidP="00C56850">
      <w:pPr>
        <w:pStyle w:val="ListParagraph"/>
        <w:numPr>
          <w:ilvl w:val="0"/>
          <w:numId w:val="42"/>
        </w:numPr>
        <w:spacing w:line="240" w:lineRule="auto"/>
        <w:jc w:val="both"/>
        <w:rPr>
          <w:color w:val="auto"/>
        </w:rPr>
      </w:pPr>
      <w:r w:rsidRPr="00E5474B">
        <w:rPr>
          <w:color w:val="auto"/>
        </w:rPr>
        <w:t xml:space="preserve">exercise care in transferring information to ensure that the method used is as secure as it can be. In most instances a Data Sharing, Data Re-Use or Data Transfer Agreement will have been completed before any information is transferred. The Agreement will set out any conditions for use and identify the mode of </w:t>
      </w:r>
      <w:r w:rsidR="008C010E" w:rsidRPr="00E5474B">
        <w:rPr>
          <w:color w:val="auto"/>
        </w:rPr>
        <w:t>transfer.</w:t>
      </w:r>
    </w:p>
    <w:p w14:paraId="28B73FCF" w14:textId="77777777" w:rsidR="00E5474B" w:rsidRPr="00E5474B" w:rsidRDefault="00E5474B" w:rsidP="00C56850">
      <w:pPr>
        <w:pStyle w:val="ListParagraph"/>
        <w:spacing w:line="240" w:lineRule="auto"/>
        <w:ind w:left="1576"/>
        <w:jc w:val="both"/>
        <w:rPr>
          <w:color w:val="auto"/>
        </w:rPr>
      </w:pPr>
    </w:p>
    <w:p w14:paraId="3B077020" w14:textId="5666E3B5" w:rsidR="00223919" w:rsidRPr="00D25A17" w:rsidRDefault="00223919" w:rsidP="00C56850">
      <w:pPr>
        <w:spacing w:line="240" w:lineRule="auto"/>
        <w:ind w:left="993"/>
        <w:jc w:val="both"/>
        <w:rPr>
          <w:color w:val="auto"/>
        </w:rPr>
      </w:pPr>
      <w:r w:rsidRPr="00D25A17">
        <w:rPr>
          <w:color w:val="auto"/>
        </w:rPr>
        <w:t xml:space="preserve">Transferring any personal data by email to anyone outside the </w:t>
      </w:r>
      <w:r w:rsidR="00C8787E">
        <w:rPr>
          <w:color w:val="000000" w:themeColor="text1"/>
        </w:rPr>
        <w:t>HNY ICB</w:t>
      </w:r>
      <w:r w:rsidRPr="00D25A17">
        <w:rPr>
          <w:color w:val="auto"/>
        </w:rPr>
        <w:t xml:space="preserve"> network may only be undertaken through the NHS Mail system (</w:t>
      </w:r>
      <w:r w:rsidR="008C010E" w:rsidRPr="00D25A17">
        <w:rPr>
          <w:color w:val="auto"/>
        </w:rPr>
        <w:t>i.e.,</w:t>
      </w:r>
      <w:r w:rsidRPr="00D25A17">
        <w:rPr>
          <w:color w:val="auto"/>
        </w:rPr>
        <w:t xml:space="preserve"> from one </w:t>
      </w:r>
      <w:proofErr w:type="spellStart"/>
      <w:r w:rsidRPr="00D25A17">
        <w:rPr>
          <w:color w:val="auto"/>
        </w:rPr>
        <w:t>NHSnet</w:t>
      </w:r>
      <w:proofErr w:type="spellEnd"/>
      <w:r w:rsidRPr="00D25A17">
        <w:rPr>
          <w:color w:val="auto"/>
        </w:rPr>
        <w:t xml:space="preserve"> account to another </w:t>
      </w:r>
      <w:proofErr w:type="spellStart"/>
      <w:r w:rsidRPr="00D25A17">
        <w:rPr>
          <w:color w:val="auto"/>
        </w:rPr>
        <w:t>NHSnet</w:t>
      </w:r>
      <w:proofErr w:type="spellEnd"/>
      <w:r w:rsidRPr="00D25A17">
        <w:rPr>
          <w:color w:val="auto"/>
        </w:rPr>
        <w:t xml:space="preserve"> account or to a secure government domain </w:t>
      </w:r>
      <w:r w:rsidR="008C010E" w:rsidRPr="00D25A17">
        <w:rPr>
          <w:color w:val="auto"/>
        </w:rPr>
        <w:t>e.g.,</w:t>
      </w:r>
      <w:r w:rsidRPr="00D25A17">
        <w:rPr>
          <w:color w:val="auto"/>
        </w:rPr>
        <w:t xml:space="preserve"> gsi.gov.uk), since this ensures that mandatory government standards on encryption are met</w:t>
      </w:r>
      <w:r w:rsidR="008C010E">
        <w:rPr>
          <w:color w:val="auto"/>
        </w:rPr>
        <w:t xml:space="preserve">, as </w:t>
      </w:r>
      <w:r w:rsidRPr="00D25A17">
        <w:rPr>
          <w:color w:val="auto"/>
        </w:rPr>
        <w:t>set out in NHS mail good practice guidance.</w:t>
      </w:r>
    </w:p>
    <w:p w14:paraId="2765547E" w14:textId="77777777" w:rsidR="00223919" w:rsidRDefault="00223919" w:rsidP="00C56850">
      <w:pPr>
        <w:ind w:left="432"/>
        <w:jc w:val="both"/>
      </w:pPr>
    </w:p>
    <w:p w14:paraId="2CDFD44A" w14:textId="5DE59BA6" w:rsidR="008C010E" w:rsidRDefault="00223919" w:rsidP="00C56850">
      <w:pPr>
        <w:spacing w:line="240" w:lineRule="auto"/>
        <w:ind w:left="993"/>
        <w:jc w:val="both"/>
        <w:rPr>
          <w:color w:val="auto"/>
        </w:rPr>
      </w:pPr>
      <w:r w:rsidRPr="48C4AA5A">
        <w:rPr>
          <w:color w:val="auto"/>
        </w:rPr>
        <w:t xml:space="preserve">The NHS Mail secure facility must always be used when corresponding with non-NHS Mail account holders where confidential information needs to be sent. This allows personal confidential information to be sent securely to non-NHS Mail addresses and allows the recipient to respond in a secure </w:t>
      </w:r>
      <w:r w:rsidR="008C010E" w:rsidRPr="48C4AA5A">
        <w:rPr>
          <w:color w:val="auto"/>
        </w:rPr>
        <w:t>manner.</w:t>
      </w:r>
      <w:r w:rsidRPr="48C4AA5A">
        <w:rPr>
          <w:color w:val="auto"/>
        </w:rPr>
        <w:t xml:space="preserve"> </w:t>
      </w:r>
      <w:hyperlink r:id="rId16" w:history="1">
        <w:r w:rsidR="00B666BA" w:rsidRPr="00F14EAE">
          <w:rPr>
            <w:rStyle w:val="Hyperlink"/>
          </w:rPr>
          <w:t>https://digital.nhs.uk/services/nhsmail/guidance-for-sending-secure-email</w:t>
        </w:r>
      </w:hyperlink>
    </w:p>
    <w:p w14:paraId="2E6EE923" w14:textId="77777777" w:rsidR="00B666BA" w:rsidRDefault="00B666BA" w:rsidP="00C56850">
      <w:pPr>
        <w:spacing w:line="240" w:lineRule="auto"/>
        <w:ind w:left="993"/>
        <w:jc w:val="both"/>
        <w:rPr>
          <w:color w:val="auto"/>
        </w:rPr>
      </w:pPr>
    </w:p>
    <w:p w14:paraId="2021CC4A" w14:textId="56DB7859" w:rsidR="00223919" w:rsidRDefault="00223919" w:rsidP="00C56850">
      <w:pPr>
        <w:spacing w:line="240" w:lineRule="auto"/>
        <w:ind w:left="992"/>
        <w:contextualSpacing/>
        <w:jc w:val="both"/>
        <w:rPr>
          <w:color w:val="auto"/>
        </w:rPr>
      </w:pPr>
      <w:r w:rsidRPr="00FA6DED">
        <w:rPr>
          <w:color w:val="auto"/>
        </w:rPr>
        <w:t xml:space="preserve">If staff have any concerns about disclosing information, they must discuss this with their Line Manager or the </w:t>
      </w:r>
      <w:r w:rsidR="00C8787E">
        <w:rPr>
          <w:color w:val="000000" w:themeColor="text1"/>
        </w:rPr>
        <w:t>HNY ICB</w:t>
      </w:r>
      <w:r w:rsidRPr="00FA6DED">
        <w:rPr>
          <w:color w:val="auto"/>
        </w:rPr>
        <w:t>’s Data Protection Officer.</w:t>
      </w:r>
    </w:p>
    <w:p w14:paraId="3CA4E2B2" w14:textId="77777777" w:rsidR="009C3CC3" w:rsidRPr="00FA6DED" w:rsidRDefault="009C3CC3" w:rsidP="009C3CC3">
      <w:pPr>
        <w:spacing w:line="240" w:lineRule="auto"/>
        <w:ind w:left="992"/>
        <w:contextualSpacing/>
        <w:rPr>
          <w:color w:val="auto"/>
        </w:rPr>
      </w:pPr>
    </w:p>
    <w:p w14:paraId="61A01263" w14:textId="0E62B040" w:rsidR="00223919" w:rsidRDefault="00223919" w:rsidP="00FA6DED">
      <w:pPr>
        <w:pStyle w:val="Heading2"/>
        <w:spacing w:before="120" w:after="120"/>
        <w:ind w:left="975" w:hanging="578"/>
      </w:pPr>
      <w:r>
        <w:t xml:space="preserve">Disclosure of Personal Data and Transfers outside the UK </w:t>
      </w:r>
    </w:p>
    <w:p w14:paraId="54EE4EDC" w14:textId="6DCC9359" w:rsidR="00223919" w:rsidRDefault="00223919" w:rsidP="00C56850">
      <w:pPr>
        <w:spacing w:line="240" w:lineRule="auto"/>
        <w:ind w:left="993"/>
        <w:jc w:val="both"/>
        <w:rPr>
          <w:color w:val="auto"/>
        </w:rPr>
      </w:pPr>
      <w:r w:rsidRPr="00FA6DED">
        <w:rPr>
          <w:color w:val="auto"/>
        </w:rPr>
        <w:t xml:space="preserve">Personal data will not be transferred (including hosting) outside of the UK without the consent of the data subject, unless the following circumstances apply: </w:t>
      </w:r>
    </w:p>
    <w:p w14:paraId="5C3D9D50" w14:textId="77777777" w:rsidR="00FA6DED" w:rsidRPr="00FA6DED" w:rsidRDefault="00FA6DED" w:rsidP="00C56850">
      <w:pPr>
        <w:spacing w:line="240" w:lineRule="auto"/>
        <w:ind w:left="856"/>
        <w:jc w:val="both"/>
        <w:rPr>
          <w:color w:val="auto"/>
        </w:rPr>
      </w:pPr>
    </w:p>
    <w:p w14:paraId="5554212B" w14:textId="420B0DB5" w:rsidR="00223919" w:rsidRPr="007A1CBE" w:rsidRDefault="00223919" w:rsidP="00C56850">
      <w:pPr>
        <w:pStyle w:val="ListParagraph"/>
        <w:numPr>
          <w:ilvl w:val="0"/>
          <w:numId w:val="43"/>
        </w:numPr>
        <w:spacing w:line="240" w:lineRule="auto"/>
        <w:jc w:val="both"/>
        <w:rPr>
          <w:color w:val="auto"/>
        </w:rPr>
      </w:pPr>
      <w:r w:rsidRPr="007A1CBE">
        <w:rPr>
          <w:color w:val="auto"/>
        </w:rPr>
        <w:t xml:space="preserve">It supports the </w:t>
      </w:r>
      <w:r w:rsidR="00C8787E" w:rsidRPr="007A1CBE">
        <w:rPr>
          <w:color w:val="000000" w:themeColor="text1"/>
        </w:rPr>
        <w:t>HNY ICB</w:t>
      </w:r>
      <w:r w:rsidRPr="007A1CBE">
        <w:rPr>
          <w:color w:val="auto"/>
        </w:rPr>
        <w:t xml:space="preserve">’s statutory functions and provides significant benefit to the </w:t>
      </w:r>
      <w:r w:rsidR="00C8787E" w:rsidRPr="007A1CBE">
        <w:rPr>
          <w:color w:val="000000" w:themeColor="text1"/>
        </w:rPr>
        <w:t>HNY ICB</w:t>
      </w:r>
      <w:r w:rsidRPr="007A1CBE">
        <w:rPr>
          <w:color w:val="auto"/>
        </w:rPr>
        <w:t xml:space="preserve"> or patients. </w:t>
      </w:r>
    </w:p>
    <w:p w14:paraId="178940E5" w14:textId="1C38F62A" w:rsidR="00223919" w:rsidRPr="007A1CBE" w:rsidRDefault="00223919" w:rsidP="00C56850">
      <w:pPr>
        <w:pStyle w:val="ListParagraph"/>
        <w:numPr>
          <w:ilvl w:val="0"/>
          <w:numId w:val="43"/>
        </w:numPr>
        <w:spacing w:line="240" w:lineRule="auto"/>
        <w:jc w:val="both"/>
        <w:rPr>
          <w:color w:val="auto"/>
        </w:rPr>
      </w:pPr>
      <w:r w:rsidRPr="007A1CBE">
        <w:rPr>
          <w:color w:val="auto"/>
        </w:rPr>
        <w:t xml:space="preserve">Adequate safeguards, such as contractual clauses, have been included within any agreement with the third party receiving the personal data. </w:t>
      </w:r>
    </w:p>
    <w:p w14:paraId="078B559B" w14:textId="0311CA5C" w:rsidR="00223919" w:rsidRPr="007A1CBE" w:rsidRDefault="00223919" w:rsidP="00C56850">
      <w:pPr>
        <w:pStyle w:val="ListParagraph"/>
        <w:numPr>
          <w:ilvl w:val="0"/>
          <w:numId w:val="43"/>
        </w:numPr>
        <w:spacing w:line="240" w:lineRule="auto"/>
        <w:jc w:val="both"/>
        <w:rPr>
          <w:color w:val="auto"/>
        </w:rPr>
      </w:pPr>
      <w:r w:rsidRPr="007A1CBE">
        <w:rPr>
          <w:color w:val="auto"/>
        </w:rPr>
        <w:t xml:space="preserve">Appropriate assessment of the security standards of the recipient of the data. </w:t>
      </w:r>
    </w:p>
    <w:p w14:paraId="075FC892" w14:textId="2518FAAB" w:rsidR="00223919" w:rsidRPr="007A1CBE" w:rsidRDefault="00223919" w:rsidP="00C56850">
      <w:pPr>
        <w:pStyle w:val="ListParagraph"/>
        <w:numPr>
          <w:ilvl w:val="0"/>
          <w:numId w:val="43"/>
        </w:numPr>
        <w:spacing w:line="240" w:lineRule="auto"/>
        <w:jc w:val="both"/>
        <w:rPr>
          <w:color w:val="auto"/>
        </w:rPr>
      </w:pPr>
      <w:r w:rsidRPr="007A1CBE">
        <w:rPr>
          <w:color w:val="auto"/>
        </w:rPr>
        <w:t xml:space="preserve">The transfer has been approved by the Data Protection Officer. </w:t>
      </w:r>
    </w:p>
    <w:p w14:paraId="2F392702" w14:textId="77777777" w:rsidR="00FA6DED" w:rsidRPr="00FA6DED" w:rsidRDefault="00FA6DED" w:rsidP="00C56850">
      <w:pPr>
        <w:spacing w:line="240" w:lineRule="auto"/>
        <w:ind w:left="1083" w:hanging="227"/>
        <w:jc w:val="both"/>
        <w:rPr>
          <w:color w:val="auto"/>
        </w:rPr>
      </w:pPr>
    </w:p>
    <w:p w14:paraId="009E316E" w14:textId="461391AF" w:rsidR="00223919" w:rsidRDefault="00223919" w:rsidP="00C56850">
      <w:pPr>
        <w:pStyle w:val="Heading2"/>
        <w:spacing w:before="120" w:after="120"/>
        <w:ind w:left="975" w:hanging="578"/>
        <w:jc w:val="both"/>
      </w:pPr>
      <w:r>
        <w:t>National Data Opt-Out</w:t>
      </w:r>
    </w:p>
    <w:p w14:paraId="4FDAF8C4" w14:textId="7C236D7A" w:rsidR="00223919" w:rsidRDefault="00223919" w:rsidP="00C56850">
      <w:pPr>
        <w:spacing w:line="240" w:lineRule="auto"/>
        <w:ind w:left="993"/>
        <w:jc w:val="both"/>
        <w:rPr>
          <w:color w:val="auto"/>
        </w:rPr>
      </w:pPr>
      <w:r w:rsidRPr="48C4AA5A">
        <w:rPr>
          <w:color w:val="auto"/>
        </w:rPr>
        <w:t xml:space="preserve">The National Data Opt-Out Programme allows patients to opt-out of uses of their data, for purposes other than direct care. The </w:t>
      </w:r>
      <w:r w:rsidR="00C8787E" w:rsidRPr="48C4AA5A">
        <w:rPr>
          <w:color w:val="000000" w:themeColor="text1"/>
        </w:rPr>
        <w:t>HNY ICB</w:t>
      </w:r>
      <w:r w:rsidRPr="48C4AA5A">
        <w:rPr>
          <w:color w:val="auto"/>
        </w:rPr>
        <w:t xml:space="preserve"> will notify patients of this right via the privacy notice. </w:t>
      </w:r>
    </w:p>
    <w:p w14:paraId="762BD827" w14:textId="77777777" w:rsidR="007A1CBE" w:rsidRPr="00FA6DED" w:rsidRDefault="007A1CBE" w:rsidP="00C56850">
      <w:pPr>
        <w:spacing w:line="240" w:lineRule="auto"/>
        <w:ind w:left="993"/>
        <w:jc w:val="both"/>
        <w:rPr>
          <w:color w:val="auto"/>
        </w:rPr>
      </w:pPr>
    </w:p>
    <w:p w14:paraId="1E864CB3" w14:textId="312BEEE7" w:rsidR="00223919" w:rsidRDefault="00223919" w:rsidP="00C56850">
      <w:pPr>
        <w:spacing w:line="240" w:lineRule="auto"/>
        <w:ind w:left="993"/>
        <w:jc w:val="both"/>
        <w:rPr>
          <w:color w:val="auto"/>
        </w:rPr>
      </w:pPr>
      <w:r w:rsidRPr="48C4AA5A">
        <w:rPr>
          <w:color w:val="auto"/>
        </w:rPr>
        <w:t xml:space="preserve">The National Data Opt-Out is applied by NHS Digital at source and will therefore be applied prior to receipt of data processed for the </w:t>
      </w:r>
      <w:r w:rsidR="00C8787E" w:rsidRPr="48C4AA5A">
        <w:rPr>
          <w:color w:val="000000" w:themeColor="text1"/>
        </w:rPr>
        <w:t>HNY ICB</w:t>
      </w:r>
      <w:r w:rsidRPr="48C4AA5A">
        <w:rPr>
          <w:color w:val="auto"/>
        </w:rPr>
        <w:t xml:space="preserve">’s </w:t>
      </w:r>
      <w:r w:rsidR="008C010E" w:rsidRPr="48C4AA5A">
        <w:rPr>
          <w:color w:val="auto"/>
        </w:rPr>
        <w:t>functions.</w:t>
      </w:r>
      <w:r w:rsidR="21C9FF95" w:rsidRPr="48C4AA5A">
        <w:rPr>
          <w:color w:val="auto"/>
        </w:rPr>
        <w:t xml:space="preserve"> The ICB’s National Data Opt-Out Policy is available on our </w:t>
      </w:r>
      <w:hyperlink r:id="rId17">
        <w:r w:rsidR="21C9FF95" w:rsidRPr="48C4AA5A">
          <w:rPr>
            <w:rStyle w:val="Hyperlink"/>
          </w:rPr>
          <w:t>website</w:t>
        </w:r>
      </w:hyperlink>
      <w:r w:rsidR="21C9FF95" w:rsidRPr="48C4AA5A">
        <w:rPr>
          <w:color w:val="auto"/>
        </w:rPr>
        <w:t xml:space="preserve">. </w:t>
      </w:r>
    </w:p>
    <w:p w14:paraId="2776F01E" w14:textId="77777777" w:rsidR="00FA6DED" w:rsidRPr="00FA6DED" w:rsidRDefault="00FA6DED" w:rsidP="00C56850">
      <w:pPr>
        <w:spacing w:line="240" w:lineRule="auto"/>
        <w:ind w:left="856"/>
        <w:jc w:val="both"/>
        <w:rPr>
          <w:color w:val="auto"/>
        </w:rPr>
      </w:pPr>
    </w:p>
    <w:p w14:paraId="213937A3" w14:textId="5FB01C48" w:rsidR="00223919" w:rsidRDefault="00223919" w:rsidP="00FA6DED">
      <w:pPr>
        <w:pStyle w:val="Heading2"/>
        <w:spacing w:before="120" w:after="120"/>
        <w:ind w:left="975" w:hanging="578"/>
      </w:pPr>
      <w:r>
        <w:lastRenderedPageBreak/>
        <w:t>Abuse of Privilege</w:t>
      </w:r>
    </w:p>
    <w:p w14:paraId="2B181C11" w14:textId="77777777" w:rsidR="00223919" w:rsidRPr="00FA6DED" w:rsidRDefault="00223919" w:rsidP="00C56850">
      <w:pPr>
        <w:spacing w:line="240" w:lineRule="auto"/>
        <w:ind w:left="993"/>
        <w:jc w:val="both"/>
        <w:rPr>
          <w:color w:val="auto"/>
        </w:rPr>
      </w:pPr>
      <w:r w:rsidRPr="00FA6DED">
        <w:rPr>
          <w:color w:val="auto"/>
        </w:rPr>
        <w:t>It is strictly forbidden for employees to knowingly browse, search for or look at any information relating to themselves, their own family, friends, or other persons, without a legitimate purpose. Action of this kind will be viewed as a breach of confidentiality and of the current Data Protection Act and the United Kingdom General Data Protection Regulation.</w:t>
      </w:r>
    </w:p>
    <w:p w14:paraId="56F98653" w14:textId="77777777" w:rsidR="00223919" w:rsidRPr="00FA6DED" w:rsidRDefault="00223919" w:rsidP="00C56850">
      <w:pPr>
        <w:spacing w:line="240" w:lineRule="auto"/>
        <w:ind w:left="993"/>
        <w:jc w:val="both"/>
        <w:rPr>
          <w:color w:val="auto"/>
        </w:rPr>
      </w:pPr>
    </w:p>
    <w:p w14:paraId="3DA3094D" w14:textId="5506F782" w:rsidR="00223919" w:rsidRPr="00FA6DED" w:rsidRDefault="00223919" w:rsidP="00C56850">
      <w:pPr>
        <w:spacing w:line="240" w:lineRule="auto"/>
        <w:ind w:left="993"/>
        <w:jc w:val="both"/>
        <w:rPr>
          <w:color w:val="auto"/>
        </w:rPr>
      </w:pPr>
      <w:r w:rsidRPr="00FA6DED">
        <w:rPr>
          <w:color w:val="auto"/>
        </w:rPr>
        <w:t xml:space="preserve">When dealing with personal confidential information or corporately confidential information of any nature, staff must be aware of their personal responsibility, contractual obligations and undertake to abide by the policies and procedures of the </w:t>
      </w:r>
      <w:r w:rsidR="00C8787E">
        <w:rPr>
          <w:color w:val="000000" w:themeColor="text1"/>
        </w:rPr>
        <w:t>HNY ICB</w:t>
      </w:r>
      <w:r w:rsidRPr="00FA6DED">
        <w:rPr>
          <w:color w:val="auto"/>
        </w:rPr>
        <w:t>.</w:t>
      </w:r>
    </w:p>
    <w:p w14:paraId="32A89F12" w14:textId="77777777" w:rsidR="00223919" w:rsidRPr="00FA6DED" w:rsidRDefault="00223919" w:rsidP="00C56850">
      <w:pPr>
        <w:spacing w:line="240" w:lineRule="auto"/>
        <w:ind w:left="993"/>
        <w:jc w:val="both"/>
        <w:rPr>
          <w:color w:val="auto"/>
        </w:rPr>
      </w:pPr>
    </w:p>
    <w:p w14:paraId="09EB560D" w14:textId="0ED85DC7" w:rsidR="00223919" w:rsidRDefault="00223919" w:rsidP="00C56850">
      <w:pPr>
        <w:spacing w:line="240" w:lineRule="auto"/>
        <w:ind w:left="993"/>
        <w:jc w:val="both"/>
        <w:rPr>
          <w:color w:val="auto"/>
        </w:rPr>
      </w:pPr>
      <w:r w:rsidRPr="00FA6DED">
        <w:rPr>
          <w:color w:val="auto"/>
        </w:rPr>
        <w:t>If staff have concerns about this issue, they should discuss it with their Line Manager</w:t>
      </w:r>
      <w:r w:rsidR="00873847">
        <w:rPr>
          <w:color w:val="auto"/>
        </w:rPr>
        <w:t>.</w:t>
      </w:r>
      <w:r w:rsidRPr="00FA6DED">
        <w:rPr>
          <w:color w:val="auto"/>
        </w:rPr>
        <w:t xml:space="preserve"> </w:t>
      </w:r>
    </w:p>
    <w:p w14:paraId="270E8289" w14:textId="77777777" w:rsidR="009C3CC3" w:rsidRPr="00FA6DED" w:rsidRDefault="009C3CC3" w:rsidP="007A1CBE">
      <w:pPr>
        <w:spacing w:line="240" w:lineRule="auto"/>
        <w:ind w:left="993"/>
        <w:rPr>
          <w:color w:val="auto"/>
        </w:rPr>
      </w:pPr>
    </w:p>
    <w:p w14:paraId="7C44728A" w14:textId="336BDFA4" w:rsidR="00223919" w:rsidRDefault="00223919" w:rsidP="00FA6DED">
      <w:pPr>
        <w:pStyle w:val="Heading2"/>
        <w:spacing w:before="120" w:after="120"/>
        <w:ind w:left="975" w:hanging="578"/>
      </w:pPr>
      <w:r>
        <w:t>Data Protection Breaches</w:t>
      </w:r>
    </w:p>
    <w:p w14:paraId="68EB03BA" w14:textId="230D42FF" w:rsidR="00223919" w:rsidRPr="00FA6DED" w:rsidRDefault="00223919" w:rsidP="00C56850">
      <w:pPr>
        <w:tabs>
          <w:tab w:val="left" w:pos="993"/>
        </w:tabs>
        <w:spacing w:line="240" w:lineRule="auto"/>
        <w:ind w:left="992"/>
        <w:jc w:val="both"/>
        <w:rPr>
          <w:color w:val="auto"/>
        </w:rPr>
      </w:pPr>
      <w:r w:rsidRPr="48C4AA5A">
        <w:rPr>
          <w:color w:val="auto"/>
        </w:rPr>
        <w:t xml:space="preserve">Where it is identified that personal data is disclosed to, or accessed by, any person or organisation not entitled to see it, this must be reported on the </w:t>
      </w:r>
      <w:r w:rsidR="00C8787E" w:rsidRPr="48C4AA5A">
        <w:rPr>
          <w:color w:val="000000" w:themeColor="text1"/>
        </w:rPr>
        <w:t>HNY ICB</w:t>
      </w:r>
      <w:r w:rsidRPr="48C4AA5A">
        <w:rPr>
          <w:color w:val="auto"/>
        </w:rPr>
        <w:t xml:space="preserve"> incident app and to their Line Manager.  The breach will be managed in accordance with the </w:t>
      </w:r>
      <w:r w:rsidR="00C8787E" w:rsidRPr="48C4AA5A">
        <w:rPr>
          <w:color w:val="000000" w:themeColor="text1"/>
        </w:rPr>
        <w:t>HNY ICB</w:t>
      </w:r>
      <w:r w:rsidRPr="48C4AA5A">
        <w:rPr>
          <w:color w:val="auto"/>
        </w:rPr>
        <w:t>’s incident policy.</w:t>
      </w:r>
    </w:p>
    <w:p w14:paraId="19AFBD86" w14:textId="18ED7885" w:rsidR="00223919" w:rsidRDefault="004E46D6" w:rsidP="004E46D6">
      <w:pPr>
        <w:pStyle w:val="Heading2"/>
        <w:spacing w:before="120" w:after="120"/>
        <w:ind w:left="975" w:hanging="578"/>
      </w:pPr>
      <w:r>
        <w:t>T</w:t>
      </w:r>
      <w:r w:rsidR="00223919">
        <w:t xml:space="preserve">ermination or expiry of a contract with the </w:t>
      </w:r>
      <w:r w:rsidR="00C8787E">
        <w:rPr>
          <w:color w:val="000000" w:themeColor="text1"/>
        </w:rPr>
        <w:t>HNY ICB</w:t>
      </w:r>
    </w:p>
    <w:p w14:paraId="22ED11EA" w14:textId="39F1D539" w:rsidR="00223919" w:rsidRDefault="00223919" w:rsidP="00C56850">
      <w:pPr>
        <w:spacing w:line="240" w:lineRule="auto"/>
        <w:ind w:left="993"/>
        <w:jc w:val="both"/>
        <w:rPr>
          <w:color w:val="auto"/>
        </w:rPr>
      </w:pPr>
      <w:r w:rsidRPr="004E46D6">
        <w:rPr>
          <w:color w:val="auto"/>
        </w:rPr>
        <w:t xml:space="preserve">On leaving or termination of a contract with the </w:t>
      </w:r>
      <w:r w:rsidR="00C8787E">
        <w:rPr>
          <w:color w:val="000000" w:themeColor="text1"/>
        </w:rPr>
        <w:t>HNY ICB</w:t>
      </w:r>
      <w:r w:rsidRPr="004E46D6">
        <w:rPr>
          <w:color w:val="auto"/>
        </w:rPr>
        <w:t xml:space="preserve"> any copies of software, documents or correspondence, diaries, documents, plans, specifications, or any other information relevant to the </w:t>
      </w:r>
      <w:r w:rsidR="00C8787E">
        <w:rPr>
          <w:color w:val="000000" w:themeColor="text1"/>
        </w:rPr>
        <w:t>HNY ICB</w:t>
      </w:r>
      <w:r w:rsidRPr="004E46D6">
        <w:rPr>
          <w:color w:val="auto"/>
        </w:rPr>
        <w:t xml:space="preserve"> (</w:t>
      </w:r>
      <w:proofErr w:type="gramStart"/>
      <w:r w:rsidRPr="004E46D6">
        <w:rPr>
          <w:color w:val="auto"/>
        </w:rPr>
        <w:t>whether or not</w:t>
      </w:r>
      <w:proofErr w:type="gramEnd"/>
      <w:r w:rsidRPr="004E46D6">
        <w:rPr>
          <w:color w:val="auto"/>
        </w:rPr>
        <w:t xml:space="preserve"> prepared or produced by the individual) must be returned to the </w:t>
      </w:r>
      <w:r w:rsidR="00C8787E">
        <w:rPr>
          <w:color w:val="000000" w:themeColor="text1"/>
        </w:rPr>
        <w:t>HNY ICB</w:t>
      </w:r>
      <w:r w:rsidRPr="004E46D6">
        <w:rPr>
          <w:color w:val="auto"/>
        </w:rPr>
        <w:t xml:space="preserve">’s possession and under no circumstances must the leaver take this information with them. All individuals that have left the </w:t>
      </w:r>
      <w:r w:rsidR="00C8787E">
        <w:rPr>
          <w:color w:val="000000" w:themeColor="text1"/>
        </w:rPr>
        <w:t>HNY ICB</w:t>
      </w:r>
      <w:r w:rsidRPr="004E46D6">
        <w:rPr>
          <w:color w:val="auto"/>
        </w:rPr>
        <w:t xml:space="preserve"> are bound by this policy that was in publication at the time of their departure.</w:t>
      </w:r>
    </w:p>
    <w:p w14:paraId="3003970B" w14:textId="47EDFB3B" w:rsidR="003734C0" w:rsidRDefault="003734C0" w:rsidP="004E46D6">
      <w:pPr>
        <w:spacing w:line="240" w:lineRule="auto"/>
        <w:ind w:left="856"/>
        <w:rPr>
          <w:color w:val="auto"/>
        </w:rPr>
      </w:pPr>
    </w:p>
    <w:p w14:paraId="6D60E814" w14:textId="16AAF04E" w:rsidR="0081378D" w:rsidRPr="0081378D" w:rsidRDefault="003C6C17" w:rsidP="0081378D">
      <w:pPr>
        <w:pStyle w:val="Heading2"/>
        <w:spacing w:before="120" w:after="120"/>
        <w:ind w:left="975" w:hanging="578"/>
      </w:pPr>
      <w:r>
        <w:t xml:space="preserve">Confidentiality Audit </w:t>
      </w:r>
    </w:p>
    <w:p w14:paraId="0FCBD21D" w14:textId="4B1B5091" w:rsidR="003734C0" w:rsidRDefault="0081378D" w:rsidP="00C56850">
      <w:pPr>
        <w:spacing w:line="240" w:lineRule="auto"/>
        <w:ind w:left="993"/>
        <w:jc w:val="both"/>
        <w:rPr>
          <w:color w:val="auto"/>
        </w:rPr>
      </w:pPr>
      <w:r w:rsidRPr="0081378D">
        <w:rPr>
          <w:color w:val="auto"/>
        </w:rPr>
        <w:t xml:space="preserve">Appropriate systems must be implemented to ensure that personal confidential information and commercially sensitive information is held and processed in a confidential and secure manner. </w:t>
      </w:r>
      <w:r w:rsidR="00873847" w:rsidRPr="0081378D">
        <w:rPr>
          <w:color w:val="auto"/>
        </w:rPr>
        <w:t>To</w:t>
      </w:r>
      <w:r w:rsidRPr="0081378D">
        <w:rPr>
          <w:color w:val="auto"/>
        </w:rPr>
        <w:t xml:space="preserve"> ensure that appropriate controls are maintained the </w:t>
      </w:r>
      <w:r w:rsidR="00C8787E">
        <w:rPr>
          <w:color w:val="000000" w:themeColor="text1"/>
        </w:rPr>
        <w:t>HNY ICB</w:t>
      </w:r>
      <w:r w:rsidRPr="0081378D">
        <w:rPr>
          <w:color w:val="auto"/>
        </w:rPr>
        <w:t xml:space="preserve"> have implement</w:t>
      </w:r>
      <w:r w:rsidR="00873847">
        <w:rPr>
          <w:color w:val="auto"/>
        </w:rPr>
        <w:t>ed</w:t>
      </w:r>
      <w:r w:rsidRPr="0081378D">
        <w:rPr>
          <w:color w:val="auto"/>
        </w:rPr>
        <w:t xml:space="preserve"> a regular system of reviews and audits to assess controls in place and compliance to these controls. Mechanisms to achieve this are detailed at Appendix A.</w:t>
      </w:r>
    </w:p>
    <w:p w14:paraId="5688CE09" w14:textId="59550510" w:rsidR="0081378D" w:rsidRDefault="0081378D" w:rsidP="00C56850">
      <w:pPr>
        <w:spacing w:line="240" w:lineRule="auto"/>
        <w:ind w:left="856"/>
        <w:jc w:val="both"/>
        <w:rPr>
          <w:color w:val="auto"/>
        </w:rPr>
      </w:pPr>
    </w:p>
    <w:p w14:paraId="6F8C073B" w14:textId="7A2CCDC8" w:rsidR="006A3331" w:rsidRPr="006A3331" w:rsidRDefault="003C6C17" w:rsidP="006A3331">
      <w:pPr>
        <w:pStyle w:val="Heading2"/>
        <w:spacing w:before="120" w:after="120"/>
        <w:ind w:left="975" w:hanging="578"/>
      </w:pPr>
      <w:r>
        <w:t>Secure Handling of Information (Safe Haven)</w:t>
      </w:r>
    </w:p>
    <w:p w14:paraId="5F6E3522" w14:textId="5A7D05D8" w:rsidR="006A3331" w:rsidRPr="006A3331" w:rsidRDefault="006A3331" w:rsidP="00567EEA">
      <w:pPr>
        <w:spacing w:line="240" w:lineRule="auto"/>
        <w:ind w:left="993"/>
        <w:jc w:val="both"/>
        <w:rPr>
          <w:color w:val="auto"/>
        </w:rPr>
      </w:pPr>
      <w:r w:rsidRPr="006A3331">
        <w:rPr>
          <w:color w:val="auto"/>
        </w:rPr>
        <w:t xml:space="preserve">Secure and appropriate handling of information is essential to maintain confidentiality of both personal identifiable information and commercially sensitive information.  Appropriate controls must be in place to ensure the secure transfer, receipt, </w:t>
      </w:r>
      <w:r w:rsidR="008C010E" w:rsidRPr="006A3331">
        <w:rPr>
          <w:color w:val="auto"/>
        </w:rPr>
        <w:t>storage,</w:t>
      </w:r>
      <w:r w:rsidRPr="006A3331">
        <w:rPr>
          <w:color w:val="auto"/>
        </w:rPr>
        <w:t xml:space="preserve"> and disposal of personal confidential information, to protect it from loss, </w:t>
      </w:r>
      <w:r w:rsidR="00C8300A" w:rsidRPr="006A3331">
        <w:rPr>
          <w:color w:val="auto"/>
        </w:rPr>
        <w:t>damage,</w:t>
      </w:r>
      <w:r w:rsidRPr="006A3331">
        <w:rPr>
          <w:color w:val="auto"/>
        </w:rPr>
        <w:t xml:space="preserve"> or unauthorised access. </w:t>
      </w:r>
    </w:p>
    <w:p w14:paraId="21F954B0" w14:textId="77777777" w:rsidR="006A3331" w:rsidRPr="006A3331" w:rsidRDefault="006A3331" w:rsidP="00567EEA">
      <w:pPr>
        <w:spacing w:line="240" w:lineRule="auto"/>
        <w:ind w:left="993"/>
        <w:jc w:val="both"/>
        <w:rPr>
          <w:color w:val="auto"/>
        </w:rPr>
      </w:pPr>
    </w:p>
    <w:p w14:paraId="753296A9" w14:textId="77777777" w:rsidR="006A3331" w:rsidRPr="006A3331" w:rsidRDefault="006A3331" w:rsidP="00567EEA">
      <w:pPr>
        <w:spacing w:line="240" w:lineRule="auto"/>
        <w:ind w:left="993"/>
        <w:jc w:val="both"/>
        <w:rPr>
          <w:color w:val="auto"/>
        </w:rPr>
      </w:pPr>
      <w:r w:rsidRPr="006A3331">
        <w:rPr>
          <w:color w:val="auto"/>
        </w:rPr>
        <w:t xml:space="preserve">It is essential all staff members must be made aware of their own responsibility for ensuring the protection of personal information received. </w:t>
      </w:r>
    </w:p>
    <w:p w14:paraId="30CAD079" w14:textId="77777777" w:rsidR="006A3331" w:rsidRPr="006A3331" w:rsidRDefault="006A3331" w:rsidP="00567EEA">
      <w:pPr>
        <w:spacing w:line="240" w:lineRule="auto"/>
        <w:ind w:left="856"/>
        <w:jc w:val="both"/>
        <w:rPr>
          <w:color w:val="auto"/>
        </w:rPr>
      </w:pPr>
    </w:p>
    <w:p w14:paraId="6FAC8E31" w14:textId="77777777" w:rsidR="006A3331" w:rsidRPr="006A3331" w:rsidRDefault="006A3331" w:rsidP="00567EEA">
      <w:pPr>
        <w:spacing w:line="240" w:lineRule="auto"/>
        <w:ind w:left="993"/>
        <w:jc w:val="both"/>
        <w:rPr>
          <w:color w:val="auto"/>
        </w:rPr>
      </w:pPr>
      <w:r w:rsidRPr="006A3331">
        <w:rPr>
          <w:color w:val="auto"/>
        </w:rPr>
        <w:t>Organisations should ensure that all information transfers are subject to agreed management and information security controls which comply with NHS information governance standards, including the Caldicott Principles.</w:t>
      </w:r>
    </w:p>
    <w:p w14:paraId="49D7DEA4" w14:textId="77777777" w:rsidR="006A3331" w:rsidRPr="006A3331" w:rsidRDefault="006A3331" w:rsidP="00567EEA">
      <w:pPr>
        <w:spacing w:line="240" w:lineRule="auto"/>
        <w:ind w:left="856"/>
        <w:jc w:val="both"/>
        <w:rPr>
          <w:color w:val="auto"/>
        </w:rPr>
      </w:pPr>
    </w:p>
    <w:p w14:paraId="2DB00FD4" w14:textId="71FD7A35" w:rsidR="0081378D" w:rsidRDefault="006A3331" w:rsidP="00567EEA">
      <w:pPr>
        <w:spacing w:line="240" w:lineRule="auto"/>
        <w:ind w:left="993"/>
        <w:jc w:val="both"/>
        <w:rPr>
          <w:color w:val="auto"/>
        </w:rPr>
      </w:pPr>
      <w:r w:rsidRPr="006A3331">
        <w:rPr>
          <w:color w:val="auto"/>
        </w:rPr>
        <w:lastRenderedPageBreak/>
        <w:t xml:space="preserve">A checklist for appropriate methods of handling, </w:t>
      </w:r>
      <w:r w:rsidR="00C8300A" w:rsidRPr="006A3331">
        <w:rPr>
          <w:color w:val="auto"/>
        </w:rPr>
        <w:t>processing,</w:t>
      </w:r>
      <w:r w:rsidRPr="006A3331">
        <w:rPr>
          <w:color w:val="auto"/>
        </w:rPr>
        <w:t xml:space="preserve"> and transferring information has been developed to guide staff. See Appendix B</w:t>
      </w:r>
    </w:p>
    <w:p w14:paraId="7004D671" w14:textId="77777777" w:rsidR="004E46D6" w:rsidRPr="004E46D6" w:rsidRDefault="004E46D6" w:rsidP="00567EEA">
      <w:pPr>
        <w:spacing w:line="240" w:lineRule="auto"/>
        <w:ind w:left="856"/>
        <w:jc w:val="both"/>
        <w:rPr>
          <w:color w:val="auto"/>
        </w:rPr>
      </w:pPr>
    </w:p>
    <w:p w14:paraId="41D76D86" w14:textId="2357677D" w:rsidR="00AE286E" w:rsidRDefault="00F12FE9" w:rsidP="007A1CBE">
      <w:pPr>
        <w:pStyle w:val="Heading1"/>
        <w:ind w:left="993" w:hanging="426"/>
      </w:pPr>
      <w:bookmarkStart w:id="8" w:name="_Toc130985147"/>
      <w:bookmarkStart w:id="9" w:name="_Toc430791106"/>
      <w:r>
        <w:t>Consultation</w:t>
      </w:r>
      <w:bookmarkEnd w:id="8"/>
      <w:r>
        <w:t xml:space="preserve"> </w:t>
      </w:r>
      <w:bookmarkEnd w:id="9"/>
    </w:p>
    <w:p w14:paraId="0B142847" w14:textId="1B66AC56" w:rsidR="00F12FE9" w:rsidRDefault="00C8300A" w:rsidP="00567EEA">
      <w:pPr>
        <w:spacing w:line="240" w:lineRule="auto"/>
        <w:ind w:left="993"/>
        <w:jc w:val="both"/>
        <w:rPr>
          <w:color w:val="auto"/>
        </w:rPr>
      </w:pPr>
      <w:r w:rsidRPr="00C8300A">
        <w:rPr>
          <w:color w:val="auto"/>
        </w:rPr>
        <w:t xml:space="preserve">All stakeholders such as ICB SIRO/DPO and Executive lead and IG leads involved in developing, implementing, managing, and monitoring </w:t>
      </w:r>
      <w:r>
        <w:rPr>
          <w:color w:val="auto"/>
        </w:rPr>
        <w:t xml:space="preserve">Data Protection and Confidentiality </w:t>
      </w:r>
      <w:r w:rsidRPr="00C8300A">
        <w:rPr>
          <w:color w:val="auto"/>
        </w:rPr>
        <w:t>have been engaged in the development of this policy.</w:t>
      </w:r>
    </w:p>
    <w:p w14:paraId="7460D8C4" w14:textId="77777777" w:rsidR="00C8300A" w:rsidRPr="00F12FE9" w:rsidRDefault="00C8300A" w:rsidP="00567EEA">
      <w:pPr>
        <w:spacing w:line="240" w:lineRule="auto"/>
        <w:ind w:left="856"/>
        <w:jc w:val="both"/>
        <w:rPr>
          <w:color w:val="auto"/>
        </w:rPr>
      </w:pPr>
    </w:p>
    <w:p w14:paraId="6C13F373" w14:textId="531468FD" w:rsidR="00AE286E" w:rsidRDefault="00F12FE9" w:rsidP="00567EEA">
      <w:pPr>
        <w:pStyle w:val="Heading1"/>
        <w:ind w:left="993"/>
        <w:jc w:val="both"/>
      </w:pPr>
      <w:bookmarkStart w:id="10" w:name="_Toc430791107"/>
      <w:bookmarkStart w:id="11" w:name="_Toc130985148"/>
      <w:r>
        <w:t>Training</w:t>
      </w:r>
      <w:bookmarkEnd w:id="10"/>
      <w:bookmarkEnd w:id="11"/>
    </w:p>
    <w:p w14:paraId="7F1EA9D1" w14:textId="4E2CADA4" w:rsidR="00E40F12" w:rsidRDefault="00E40F12" w:rsidP="00567EEA">
      <w:pPr>
        <w:spacing w:line="240" w:lineRule="auto"/>
        <w:ind w:left="993"/>
        <w:jc w:val="both"/>
        <w:rPr>
          <w:color w:val="auto"/>
        </w:rPr>
      </w:pPr>
      <w:r w:rsidRPr="00E40F12">
        <w:rPr>
          <w:color w:val="auto"/>
        </w:rPr>
        <w:t xml:space="preserve">All </w:t>
      </w:r>
      <w:r w:rsidR="00873847">
        <w:rPr>
          <w:color w:val="auto"/>
        </w:rPr>
        <w:t xml:space="preserve">ICB </w:t>
      </w:r>
      <w:r w:rsidRPr="00E40F12">
        <w:rPr>
          <w:color w:val="auto"/>
        </w:rPr>
        <w:t>employees and Board Members (including temporary or contractors) are required to undertake Data Security Awareness training on an annual basis.</w:t>
      </w:r>
    </w:p>
    <w:p w14:paraId="2DA0731C" w14:textId="77777777" w:rsidR="008C010E" w:rsidRPr="00E40F12" w:rsidRDefault="008C010E" w:rsidP="00567EEA">
      <w:pPr>
        <w:spacing w:line="240" w:lineRule="auto"/>
        <w:ind w:left="993"/>
        <w:jc w:val="both"/>
        <w:rPr>
          <w:color w:val="auto"/>
        </w:rPr>
      </w:pPr>
    </w:p>
    <w:p w14:paraId="5665C00B" w14:textId="5F4D17EB" w:rsidR="00E40F12" w:rsidRPr="00E40F12" w:rsidRDefault="00E40F12" w:rsidP="00567EEA">
      <w:pPr>
        <w:spacing w:line="240" w:lineRule="auto"/>
        <w:ind w:left="993"/>
        <w:jc w:val="both"/>
        <w:rPr>
          <w:color w:val="auto"/>
        </w:rPr>
      </w:pPr>
      <w:r w:rsidRPr="00E40F12">
        <w:rPr>
          <w:color w:val="auto"/>
        </w:rPr>
        <w:t>Where relevant further specialist training is required, staff will be informed by the Training Needs Analysis.</w:t>
      </w:r>
    </w:p>
    <w:p w14:paraId="546F6D67" w14:textId="77777777" w:rsidR="00DD443C" w:rsidRPr="00DD443C" w:rsidRDefault="00DD443C" w:rsidP="00567EEA">
      <w:pPr>
        <w:ind w:left="432"/>
        <w:jc w:val="both"/>
      </w:pPr>
    </w:p>
    <w:p w14:paraId="51C4D9B7" w14:textId="26E80DFC" w:rsidR="00AE286E" w:rsidRDefault="00F12FE9" w:rsidP="00567EEA">
      <w:pPr>
        <w:pStyle w:val="Heading1"/>
        <w:ind w:left="993" w:hanging="426"/>
        <w:jc w:val="both"/>
      </w:pPr>
      <w:bookmarkStart w:id="12" w:name="_Toc430791108"/>
      <w:bookmarkStart w:id="13" w:name="_Toc130985149"/>
      <w:r>
        <w:t>Monitoring Compliance</w:t>
      </w:r>
      <w:bookmarkEnd w:id="12"/>
      <w:bookmarkEnd w:id="13"/>
    </w:p>
    <w:p w14:paraId="07E11E65" w14:textId="501D20D9" w:rsidR="00DD443C" w:rsidRDefault="00CF18CE" w:rsidP="00567EEA">
      <w:pPr>
        <w:spacing w:line="240" w:lineRule="auto"/>
        <w:ind w:left="993"/>
        <w:jc w:val="both"/>
        <w:rPr>
          <w:color w:val="auto"/>
        </w:rPr>
      </w:pPr>
      <w:r w:rsidRPr="00CF18CE">
        <w:rPr>
          <w:color w:val="auto"/>
        </w:rPr>
        <w:t>Adherence to this policy will be monitored through staff awareness and supporting evidence as part of the Data Security Protection Toolkit compliance.</w:t>
      </w:r>
    </w:p>
    <w:p w14:paraId="088206FE" w14:textId="77777777" w:rsidR="0076798C" w:rsidRPr="0076798C" w:rsidRDefault="0076798C" w:rsidP="00567EEA">
      <w:pPr>
        <w:spacing w:line="240" w:lineRule="auto"/>
        <w:ind w:left="993"/>
        <w:jc w:val="both"/>
        <w:rPr>
          <w:color w:val="auto"/>
        </w:rPr>
      </w:pPr>
    </w:p>
    <w:p w14:paraId="6257C528" w14:textId="4FF555A3" w:rsidR="00AE286E" w:rsidRDefault="00F12FE9" w:rsidP="00567EEA">
      <w:pPr>
        <w:pStyle w:val="Heading1"/>
        <w:ind w:left="993"/>
        <w:jc w:val="both"/>
      </w:pPr>
      <w:bookmarkStart w:id="14" w:name="_Toc430791109"/>
      <w:bookmarkStart w:id="15" w:name="_Toc130985150"/>
      <w:r>
        <w:t>Arrangements for Re</w:t>
      </w:r>
      <w:bookmarkEnd w:id="14"/>
      <w:r>
        <w:t>view</w:t>
      </w:r>
      <w:bookmarkEnd w:id="15"/>
    </w:p>
    <w:p w14:paraId="5C337FC6" w14:textId="25D30CE2" w:rsidR="00DD443C" w:rsidRDefault="00C35F13" w:rsidP="00567EEA">
      <w:pPr>
        <w:spacing w:line="240" w:lineRule="auto"/>
        <w:ind w:left="993"/>
        <w:jc w:val="both"/>
        <w:rPr>
          <w:color w:val="auto"/>
        </w:rPr>
      </w:pPr>
      <w:r w:rsidRPr="48C4AA5A">
        <w:rPr>
          <w:color w:val="auto"/>
        </w:rPr>
        <w:t xml:space="preserve">This policy will be formally approved by the </w:t>
      </w:r>
      <w:r w:rsidR="008C010E" w:rsidRPr="48C4AA5A">
        <w:rPr>
          <w:color w:val="auto"/>
        </w:rPr>
        <w:t xml:space="preserve">ICB </w:t>
      </w:r>
      <w:r w:rsidR="00CC491E" w:rsidRPr="48C4AA5A">
        <w:rPr>
          <w:color w:val="auto"/>
        </w:rPr>
        <w:t>Board</w:t>
      </w:r>
      <w:r w:rsidR="008C010E" w:rsidRPr="48C4AA5A">
        <w:rPr>
          <w:color w:val="auto"/>
        </w:rPr>
        <w:t xml:space="preserve"> </w:t>
      </w:r>
      <w:r w:rsidRPr="48C4AA5A">
        <w:rPr>
          <w:color w:val="auto"/>
        </w:rPr>
        <w:t xml:space="preserve">and will be reviewed every </w:t>
      </w:r>
      <w:r w:rsidR="00F3399D" w:rsidRPr="48C4AA5A">
        <w:rPr>
          <w:color w:val="auto"/>
        </w:rPr>
        <w:t xml:space="preserve">3 </w:t>
      </w:r>
      <w:r w:rsidRPr="48C4AA5A">
        <w:rPr>
          <w:color w:val="auto"/>
        </w:rPr>
        <w:t xml:space="preserve">years.  Earlier review may be required in response to exceptional circumstances, organisational change, or relevant changes in legislation/guidance, as instructed by the </w:t>
      </w:r>
      <w:r w:rsidR="007C763D" w:rsidRPr="48C4AA5A">
        <w:rPr>
          <w:color w:val="auto"/>
        </w:rPr>
        <w:t>Executive Director</w:t>
      </w:r>
      <w:r w:rsidRPr="48C4AA5A">
        <w:rPr>
          <w:color w:val="auto"/>
        </w:rPr>
        <w:t xml:space="preserve"> responsible for this policy.</w:t>
      </w:r>
    </w:p>
    <w:p w14:paraId="6BF6C74D" w14:textId="7548CA3C" w:rsidR="00F550B6" w:rsidRDefault="00F550B6" w:rsidP="00567EEA">
      <w:pPr>
        <w:spacing w:line="240" w:lineRule="auto"/>
        <w:ind w:left="993"/>
        <w:jc w:val="both"/>
        <w:rPr>
          <w:color w:val="auto"/>
        </w:rPr>
      </w:pPr>
    </w:p>
    <w:p w14:paraId="3EB9AC84" w14:textId="0FD3C9DE" w:rsidR="00AE286E" w:rsidRDefault="00F12FE9" w:rsidP="0076798C">
      <w:pPr>
        <w:pStyle w:val="Heading1"/>
        <w:ind w:left="993"/>
      </w:pPr>
      <w:bookmarkStart w:id="16" w:name="_Toc430791110"/>
      <w:bookmarkStart w:id="17" w:name="_Toc130985151"/>
      <w:r>
        <w:t>Disseminatio</w:t>
      </w:r>
      <w:bookmarkEnd w:id="16"/>
      <w:r>
        <w:t>n</w:t>
      </w:r>
      <w:bookmarkEnd w:id="17"/>
    </w:p>
    <w:p w14:paraId="2C31BF63" w14:textId="0EA95721" w:rsidR="008640C8" w:rsidRDefault="008640C8" w:rsidP="00567EEA">
      <w:pPr>
        <w:spacing w:line="240" w:lineRule="auto"/>
        <w:ind w:left="993"/>
        <w:jc w:val="both"/>
        <w:rPr>
          <w:color w:val="auto"/>
        </w:rPr>
      </w:pPr>
      <w:r w:rsidRPr="48C4AA5A">
        <w:rPr>
          <w:color w:val="auto"/>
        </w:rPr>
        <w:t xml:space="preserve">The policy will be disseminated by being made available on the </w:t>
      </w:r>
      <w:r w:rsidR="008C010E" w:rsidRPr="48C4AA5A">
        <w:rPr>
          <w:color w:val="auto"/>
        </w:rPr>
        <w:t>ICB website</w:t>
      </w:r>
      <w:r w:rsidRPr="48C4AA5A">
        <w:rPr>
          <w:color w:val="auto"/>
        </w:rPr>
        <w:t xml:space="preserve"> and highlighted to staff through staff communications, and by managers.</w:t>
      </w:r>
    </w:p>
    <w:p w14:paraId="11804E54" w14:textId="77777777" w:rsidR="008C010E" w:rsidRPr="008640C8" w:rsidRDefault="008C010E" w:rsidP="00567EEA">
      <w:pPr>
        <w:spacing w:line="240" w:lineRule="auto"/>
        <w:ind w:left="993"/>
        <w:jc w:val="both"/>
        <w:rPr>
          <w:color w:val="auto"/>
        </w:rPr>
      </w:pPr>
    </w:p>
    <w:p w14:paraId="6F193115" w14:textId="79DE750B" w:rsidR="008640C8" w:rsidRPr="008640C8" w:rsidRDefault="008640C8" w:rsidP="00567EEA">
      <w:pPr>
        <w:spacing w:line="240" w:lineRule="auto"/>
        <w:ind w:left="993"/>
        <w:jc w:val="both"/>
        <w:rPr>
          <w:b/>
          <w:bCs/>
          <w:color w:val="auto"/>
        </w:rPr>
      </w:pPr>
      <w:r w:rsidRPr="008640C8">
        <w:rPr>
          <w:b/>
          <w:bCs/>
          <w:color w:val="auto"/>
        </w:rPr>
        <w:t xml:space="preserve">Breaches of this policy may be investigated and may result in the matter being treated as a disciplinary offence under the </w:t>
      </w:r>
      <w:r w:rsidR="00C8787E" w:rsidRPr="00C8787E">
        <w:rPr>
          <w:b/>
          <w:bCs/>
          <w:color w:val="000000" w:themeColor="text1"/>
        </w:rPr>
        <w:t>HNY ICB</w:t>
      </w:r>
      <w:r w:rsidRPr="00C8787E">
        <w:rPr>
          <w:b/>
          <w:bCs/>
          <w:color w:val="auto"/>
        </w:rPr>
        <w:t>’s</w:t>
      </w:r>
      <w:r w:rsidRPr="008640C8">
        <w:rPr>
          <w:b/>
          <w:bCs/>
          <w:color w:val="auto"/>
        </w:rPr>
        <w:t xml:space="preserve"> disciplinary procedure.</w:t>
      </w:r>
    </w:p>
    <w:p w14:paraId="741C18C5" w14:textId="77777777" w:rsidR="00DD443C" w:rsidRPr="00DD443C" w:rsidRDefault="00DD443C" w:rsidP="00DD443C">
      <w:pPr>
        <w:ind w:left="432"/>
      </w:pPr>
    </w:p>
    <w:p w14:paraId="74EF2F14" w14:textId="67D97EA7" w:rsidR="00DD443C" w:rsidRDefault="000E3813" w:rsidP="0076798C">
      <w:pPr>
        <w:pStyle w:val="Heading1"/>
        <w:ind w:left="993" w:hanging="426"/>
      </w:pPr>
      <w:bookmarkStart w:id="18" w:name="_Toc430791111"/>
      <w:bookmarkStart w:id="19" w:name="_Toc130985152"/>
      <w:r>
        <w:t>Associated Document</w:t>
      </w:r>
      <w:bookmarkEnd w:id="18"/>
      <w:r>
        <w:t>ation</w:t>
      </w:r>
      <w:bookmarkEnd w:id="19"/>
    </w:p>
    <w:p w14:paraId="4AF2F0B8" w14:textId="77777777" w:rsidR="00842AD3" w:rsidRPr="00842AD3" w:rsidRDefault="00842AD3" w:rsidP="00842AD3">
      <w:pPr>
        <w:pStyle w:val="ListParagraph"/>
        <w:numPr>
          <w:ilvl w:val="0"/>
          <w:numId w:val="23"/>
        </w:numPr>
        <w:spacing w:line="240" w:lineRule="auto"/>
        <w:rPr>
          <w:color w:val="auto"/>
        </w:rPr>
      </w:pPr>
      <w:r w:rsidRPr="00842AD3">
        <w:rPr>
          <w:color w:val="auto"/>
        </w:rPr>
        <w:t xml:space="preserve">Information Governance Framework &amp; Strategy </w:t>
      </w:r>
    </w:p>
    <w:p w14:paraId="650996D6" w14:textId="1521F545" w:rsidR="00842AD3" w:rsidRPr="00842AD3" w:rsidRDefault="00842AD3" w:rsidP="00842AD3">
      <w:pPr>
        <w:pStyle w:val="ListParagraph"/>
        <w:numPr>
          <w:ilvl w:val="0"/>
          <w:numId w:val="23"/>
        </w:numPr>
        <w:spacing w:line="240" w:lineRule="auto"/>
        <w:rPr>
          <w:color w:val="auto"/>
        </w:rPr>
      </w:pPr>
      <w:r w:rsidRPr="00842AD3">
        <w:rPr>
          <w:color w:val="auto"/>
        </w:rPr>
        <w:t>IT &amp; Information Security Polic</w:t>
      </w:r>
      <w:r w:rsidR="00C20FB9">
        <w:rPr>
          <w:color w:val="auto"/>
        </w:rPr>
        <w:t>ies</w:t>
      </w:r>
    </w:p>
    <w:p w14:paraId="3BEC8156" w14:textId="4F9AB3AC" w:rsidR="00842AD3" w:rsidRPr="00842AD3" w:rsidRDefault="00842AD3" w:rsidP="00842AD3">
      <w:pPr>
        <w:pStyle w:val="ListParagraph"/>
        <w:numPr>
          <w:ilvl w:val="0"/>
          <w:numId w:val="23"/>
        </w:numPr>
        <w:spacing w:line="240" w:lineRule="auto"/>
        <w:rPr>
          <w:color w:val="auto"/>
        </w:rPr>
      </w:pPr>
      <w:r w:rsidRPr="00842AD3">
        <w:rPr>
          <w:color w:val="auto"/>
        </w:rPr>
        <w:t>Privacy by Design</w:t>
      </w:r>
    </w:p>
    <w:p w14:paraId="7B2A81CD" w14:textId="7A928963" w:rsidR="00842AD3" w:rsidRPr="00842AD3" w:rsidRDefault="00842AD3" w:rsidP="00842AD3">
      <w:pPr>
        <w:pStyle w:val="ListParagraph"/>
        <w:numPr>
          <w:ilvl w:val="0"/>
          <w:numId w:val="23"/>
        </w:numPr>
        <w:spacing w:line="240" w:lineRule="auto"/>
        <w:rPr>
          <w:color w:val="auto"/>
        </w:rPr>
      </w:pPr>
      <w:r w:rsidRPr="00842AD3">
        <w:rPr>
          <w:color w:val="auto"/>
        </w:rPr>
        <w:t>Subject Access Request</w:t>
      </w:r>
    </w:p>
    <w:p w14:paraId="28C29334" w14:textId="36972FDB" w:rsidR="00842AD3" w:rsidRPr="00842AD3" w:rsidRDefault="00842AD3" w:rsidP="00842AD3">
      <w:pPr>
        <w:pStyle w:val="ListParagraph"/>
        <w:numPr>
          <w:ilvl w:val="0"/>
          <w:numId w:val="23"/>
        </w:numPr>
        <w:spacing w:line="240" w:lineRule="auto"/>
        <w:rPr>
          <w:color w:val="auto"/>
        </w:rPr>
      </w:pPr>
      <w:r w:rsidRPr="00842AD3">
        <w:rPr>
          <w:color w:val="auto"/>
        </w:rPr>
        <w:t>Information Governance Staff Handbook</w:t>
      </w:r>
    </w:p>
    <w:p w14:paraId="5521E40E" w14:textId="78E220F3" w:rsidR="00842AD3" w:rsidRPr="0076798C" w:rsidRDefault="00842AD3" w:rsidP="0076798C">
      <w:pPr>
        <w:pStyle w:val="ListParagraph"/>
        <w:numPr>
          <w:ilvl w:val="0"/>
          <w:numId w:val="23"/>
        </w:numPr>
        <w:spacing w:line="240" w:lineRule="auto"/>
        <w:rPr>
          <w:color w:val="auto"/>
        </w:rPr>
      </w:pPr>
      <w:r w:rsidRPr="00842AD3">
        <w:rPr>
          <w:color w:val="auto"/>
        </w:rPr>
        <w:t xml:space="preserve">Incident Policy </w:t>
      </w:r>
    </w:p>
    <w:p w14:paraId="32EE1F3E" w14:textId="77777777" w:rsidR="00567EEA" w:rsidRDefault="00567EEA" w:rsidP="00842AD3">
      <w:pPr>
        <w:spacing w:line="240" w:lineRule="auto"/>
        <w:ind w:left="856"/>
        <w:rPr>
          <w:color w:val="auto"/>
        </w:rPr>
      </w:pPr>
    </w:p>
    <w:p w14:paraId="00019F71" w14:textId="3C30B074" w:rsidR="000E3813" w:rsidRDefault="00842AD3" w:rsidP="00842AD3">
      <w:pPr>
        <w:spacing w:line="240" w:lineRule="auto"/>
        <w:ind w:left="856"/>
        <w:rPr>
          <w:color w:val="auto"/>
        </w:rPr>
      </w:pPr>
      <w:r w:rsidRPr="00842AD3">
        <w:rPr>
          <w:color w:val="auto"/>
        </w:rPr>
        <w:t xml:space="preserve">This list is not </w:t>
      </w:r>
      <w:r w:rsidR="008C010E" w:rsidRPr="00842AD3">
        <w:rPr>
          <w:color w:val="auto"/>
        </w:rPr>
        <w:t>exhaustive.</w:t>
      </w:r>
    </w:p>
    <w:p w14:paraId="23CF7084" w14:textId="77777777" w:rsidR="00842AD3" w:rsidRPr="000E3813" w:rsidRDefault="00842AD3" w:rsidP="00842AD3">
      <w:pPr>
        <w:spacing w:line="240" w:lineRule="auto"/>
        <w:ind w:left="856"/>
        <w:rPr>
          <w:color w:val="auto"/>
        </w:rPr>
      </w:pPr>
    </w:p>
    <w:p w14:paraId="5151D7A9" w14:textId="4512BCB3" w:rsidR="000E3813" w:rsidRDefault="000E3813" w:rsidP="0076798C">
      <w:pPr>
        <w:pStyle w:val="Heading1"/>
        <w:ind w:left="993"/>
      </w:pPr>
      <w:bookmarkStart w:id="20" w:name="_Toc130985153"/>
      <w:r>
        <w:t>References</w:t>
      </w:r>
      <w:bookmarkEnd w:id="20"/>
    </w:p>
    <w:p w14:paraId="7F3F32EE" w14:textId="1DAC77CD" w:rsidR="008B5FCE" w:rsidRPr="008B5FCE" w:rsidRDefault="008B5FCE" w:rsidP="0076798C">
      <w:pPr>
        <w:spacing w:line="240" w:lineRule="auto"/>
        <w:ind w:left="993"/>
        <w:rPr>
          <w:color w:val="auto"/>
        </w:rPr>
      </w:pPr>
      <w:r w:rsidRPr="008B5FCE">
        <w:rPr>
          <w:color w:val="auto"/>
        </w:rPr>
        <w:t xml:space="preserve">This policy is designed to reflect the following legislation and mandatory NHS </w:t>
      </w:r>
      <w:r w:rsidR="008C010E" w:rsidRPr="008B5FCE">
        <w:rPr>
          <w:color w:val="auto"/>
        </w:rPr>
        <w:t>standards.</w:t>
      </w:r>
      <w:r w:rsidRPr="008B5FCE">
        <w:rPr>
          <w:color w:val="auto"/>
        </w:rPr>
        <w:t xml:space="preserve"> </w:t>
      </w:r>
    </w:p>
    <w:p w14:paraId="3691D364" w14:textId="77777777" w:rsidR="008B5FCE" w:rsidRPr="008B5FCE" w:rsidRDefault="008B5FCE" w:rsidP="008B5FCE">
      <w:pPr>
        <w:spacing w:line="240" w:lineRule="auto"/>
        <w:ind w:left="856"/>
        <w:rPr>
          <w:color w:val="auto"/>
        </w:rPr>
      </w:pPr>
    </w:p>
    <w:p w14:paraId="136771C8" w14:textId="1AC75B48" w:rsidR="008B5FCE" w:rsidRPr="008B5FCE" w:rsidRDefault="008B5FCE" w:rsidP="008B5FCE">
      <w:pPr>
        <w:pStyle w:val="ListParagraph"/>
        <w:numPr>
          <w:ilvl w:val="0"/>
          <w:numId w:val="23"/>
        </w:numPr>
        <w:spacing w:line="240" w:lineRule="auto"/>
        <w:rPr>
          <w:color w:val="auto"/>
        </w:rPr>
      </w:pPr>
      <w:r w:rsidRPr="008B5FCE">
        <w:rPr>
          <w:color w:val="auto"/>
        </w:rPr>
        <w:t>UK General Data Protection Regulation</w:t>
      </w:r>
    </w:p>
    <w:p w14:paraId="0284BFF4" w14:textId="0834F445" w:rsidR="008B5FCE" w:rsidRPr="008B5FCE" w:rsidRDefault="008B5FCE" w:rsidP="008B5FCE">
      <w:pPr>
        <w:pStyle w:val="ListParagraph"/>
        <w:numPr>
          <w:ilvl w:val="0"/>
          <w:numId w:val="23"/>
        </w:numPr>
        <w:spacing w:line="240" w:lineRule="auto"/>
        <w:rPr>
          <w:color w:val="auto"/>
        </w:rPr>
      </w:pPr>
      <w:r w:rsidRPr="48C4AA5A">
        <w:rPr>
          <w:color w:val="auto"/>
        </w:rPr>
        <w:lastRenderedPageBreak/>
        <w:t xml:space="preserve">Data Protection Act </w:t>
      </w:r>
      <w:r w:rsidR="3E955DB1" w:rsidRPr="48C4AA5A">
        <w:rPr>
          <w:color w:val="auto"/>
        </w:rPr>
        <w:t>2018</w:t>
      </w:r>
    </w:p>
    <w:p w14:paraId="39C4B341" w14:textId="76E464F9" w:rsidR="008B5FCE" w:rsidRPr="008B5FCE" w:rsidRDefault="008B5FCE" w:rsidP="008B5FCE">
      <w:pPr>
        <w:pStyle w:val="ListParagraph"/>
        <w:numPr>
          <w:ilvl w:val="0"/>
          <w:numId w:val="23"/>
        </w:numPr>
        <w:spacing w:line="240" w:lineRule="auto"/>
        <w:rPr>
          <w:color w:val="auto"/>
        </w:rPr>
      </w:pPr>
      <w:r w:rsidRPr="008B5FCE">
        <w:rPr>
          <w:color w:val="auto"/>
        </w:rPr>
        <w:t>The Common Law Duty of Confidentiality</w:t>
      </w:r>
    </w:p>
    <w:p w14:paraId="4A1DA69F" w14:textId="068DC37E" w:rsidR="008B5FCE" w:rsidRPr="008B5FCE" w:rsidRDefault="008B5FCE" w:rsidP="008B5FCE">
      <w:pPr>
        <w:pStyle w:val="ListParagraph"/>
        <w:numPr>
          <w:ilvl w:val="0"/>
          <w:numId w:val="23"/>
        </w:numPr>
        <w:spacing w:line="240" w:lineRule="auto"/>
        <w:rPr>
          <w:color w:val="auto"/>
        </w:rPr>
      </w:pPr>
      <w:r w:rsidRPr="008B5FCE">
        <w:rPr>
          <w:color w:val="auto"/>
        </w:rPr>
        <w:t xml:space="preserve">Privacy and Electronic Communications Regulations </w:t>
      </w:r>
    </w:p>
    <w:p w14:paraId="6E8E02B7" w14:textId="6F96D491" w:rsidR="008B5FCE" w:rsidRPr="008B5FCE" w:rsidRDefault="008B5FCE" w:rsidP="008B5FCE">
      <w:pPr>
        <w:pStyle w:val="ListParagraph"/>
        <w:numPr>
          <w:ilvl w:val="0"/>
          <w:numId w:val="23"/>
        </w:numPr>
        <w:spacing w:line="240" w:lineRule="auto"/>
        <w:rPr>
          <w:color w:val="auto"/>
        </w:rPr>
      </w:pPr>
      <w:r w:rsidRPr="008B5FCE">
        <w:rPr>
          <w:color w:val="auto"/>
        </w:rPr>
        <w:t>Confidentiality: NHS Code of Practice (Department of Health)</w:t>
      </w:r>
    </w:p>
    <w:p w14:paraId="590B2854" w14:textId="17D26CA1" w:rsidR="008B5FCE" w:rsidRPr="008B5FCE" w:rsidRDefault="008B5FCE" w:rsidP="008B5FCE">
      <w:pPr>
        <w:pStyle w:val="ListParagraph"/>
        <w:numPr>
          <w:ilvl w:val="0"/>
          <w:numId w:val="23"/>
        </w:numPr>
        <w:spacing w:line="240" w:lineRule="auto"/>
        <w:rPr>
          <w:color w:val="auto"/>
        </w:rPr>
      </w:pPr>
      <w:r w:rsidRPr="008B5FCE">
        <w:rPr>
          <w:color w:val="auto"/>
        </w:rPr>
        <w:t>Health and Social Care (Safety and Quality) Act 2015</w:t>
      </w:r>
    </w:p>
    <w:p w14:paraId="1C17167A" w14:textId="155514AD" w:rsidR="008B5FCE" w:rsidRPr="008B5FCE" w:rsidRDefault="008B5FCE" w:rsidP="008B5FCE">
      <w:pPr>
        <w:pStyle w:val="ListParagraph"/>
        <w:numPr>
          <w:ilvl w:val="0"/>
          <w:numId w:val="23"/>
        </w:numPr>
        <w:spacing w:line="240" w:lineRule="auto"/>
        <w:rPr>
          <w:color w:val="auto"/>
        </w:rPr>
      </w:pPr>
      <w:r w:rsidRPr="008B5FCE">
        <w:rPr>
          <w:color w:val="auto"/>
        </w:rPr>
        <w:t xml:space="preserve">Caldicott Principles </w:t>
      </w:r>
    </w:p>
    <w:p w14:paraId="3CC618BE" w14:textId="2F949446" w:rsidR="008B5FCE" w:rsidRPr="008B5FCE" w:rsidRDefault="008B5FCE" w:rsidP="008B5FCE">
      <w:pPr>
        <w:pStyle w:val="ListParagraph"/>
        <w:numPr>
          <w:ilvl w:val="0"/>
          <w:numId w:val="23"/>
        </w:numPr>
        <w:spacing w:line="240" w:lineRule="auto"/>
        <w:rPr>
          <w:color w:val="auto"/>
        </w:rPr>
      </w:pPr>
      <w:r w:rsidRPr="008B5FCE">
        <w:rPr>
          <w:color w:val="auto"/>
        </w:rPr>
        <w:t>The Public Interest Disclosure Act 1998</w:t>
      </w:r>
    </w:p>
    <w:p w14:paraId="16B0035F" w14:textId="60B30B65" w:rsidR="008B5FCE" w:rsidRPr="008B5FCE" w:rsidRDefault="008B5FCE" w:rsidP="008B5FCE">
      <w:pPr>
        <w:pStyle w:val="ListParagraph"/>
        <w:numPr>
          <w:ilvl w:val="0"/>
          <w:numId w:val="23"/>
        </w:numPr>
        <w:spacing w:line="240" w:lineRule="auto"/>
        <w:rPr>
          <w:color w:val="auto"/>
        </w:rPr>
      </w:pPr>
      <w:r w:rsidRPr="008B5FCE">
        <w:rPr>
          <w:color w:val="auto"/>
        </w:rPr>
        <w:t>Human Rights Act 2000</w:t>
      </w:r>
    </w:p>
    <w:p w14:paraId="5C7E0FCB" w14:textId="53E948B9" w:rsidR="000E3813" w:rsidRDefault="008B5FCE" w:rsidP="008B5FCE">
      <w:pPr>
        <w:pStyle w:val="ListParagraph"/>
        <w:numPr>
          <w:ilvl w:val="0"/>
          <w:numId w:val="23"/>
        </w:numPr>
        <w:spacing w:line="240" w:lineRule="auto"/>
        <w:rPr>
          <w:color w:val="auto"/>
        </w:rPr>
      </w:pPr>
      <w:r w:rsidRPr="008B5FCE">
        <w:rPr>
          <w:color w:val="auto"/>
        </w:rPr>
        <w:t>Public Records Act 1958</w:t>
      </w:r>
    </w:p>
    <w:p w14:paraId="3797C696" w14:textId="77777777" w:rsidR="00B32E6F" w:rsidRPr="000E3813" w:rsidRDefault="00B32E6F" w:rsidP="00B32E6F">
      <w:pPr>
        <w:pStyle w:val="ListParagraph"/>
        <w:spacing w:line="240" w:lineRule="auto"/>
        <w:ind w:left="1440"/>
        <w:rPr>
          <w:color w:val="auto"/>
        </w:rPr>
      </w:pPr>
    </w:p>
    <w:p w14:paraId="16EE19AA" w14:textId="1D4A57FF" w:rsidR="009A3AAE" w:rsidRDefault="000E3813" w:rsidP="0076798C">
      <w:pPr>
        <w:pStyle w:val="Heading1"/>
        <w:ind w:left="993" w:hanging="426"/>
      </w:pPr>
      <w:bookmarkStart w:id="21" w:name="_Toc130985154"/>
      <w:r>
        <w:t>Appendices</w:t>
      </w:r>
      <w:bookmarkEnd w:id="21"/>
    </w:p>
    <w:p w14:paraId="465F31CF" w14:textId="60CCACBC" w:rsidR="001D37BC" w:rsidRDefault="001D37BC" w:rsidP="0076798C">
      <w:pPr>
        <w:spacing w:line="240" w:lineRule="auto"/>
        <w:ind w:left="993"/>
        <w:rPr>
          <w:color w:val="auto"/>
        </w:rPr>
      </w:pPr>
      <w:r>
        <w:rPr>
          <w:color w:val="auto"/>
        </w:rPr>
        <w:t xml:space="preserve">Appendix 1 – Anti fraud, </w:t>
      </w:r>
      <w:r w:rsidR="008C010E">
        <w:rPr>
          <w:color w:val="auto"/>
        </w:rPr>
        <w:t>bribery,</w:t>
      </w:r>
      <w:r>
        <w:rPr>
          <w:color w:val="auto"/>
        </w:rPr>
        <w:t xml:space="preserve"> and corruption</w:t>
      </w:r>
    </w:p>
    <w:p w14:paraId="2E889204" w14:textId="64B09070" w:rsidR="009F2C13" w:rsidRDefault="00B54DDF" w:rsidP="0076798C">
      <w:pPr>
        <w:spacing w:line="240" w:lineRule="auto"/>
        <w:ind w:left="993"/>
        <w:rPr>
          <w:color w:val="auto"/>
        </w:rPr>
      </w:pPr>
      <w:r>
        <w:rPr>
          <w:color w:val="auto"/>
        </w:rPr>
        <w:t xml:space="preserve">Appendix </w:t>
      </w:r>
      <w:r w:rsidR="001D37BC">
        <w:rPr>
          <w:color w:val="auto"/>
        </w:rPr>
        <w:t>2</w:t>
      </w:r>
      <w:r>
        <w:rPr>
          <w:color w:val="auto"/>
        </w:rPr>
        <w:t xml:space="preserve"> - </w:t>
      </w:r>
      <w:r w:rsidRPr="00B54DDF">
        <w:rPr>
          <w:color w:val="auto"/>
        </w:rPr>
        <w:t>Mechanisms for Auditing Information Security Control</w:t>
      </w:r>
    </w:p>
    <w:p w14:paraId="7059E239" w14:textId="39797650" w:rsidR="009F2C13" w:rsidRPr="000E3813" w:rsidRDefault="009F2C13" w:rsidP="0076798C">
      <w:pPr>
        <w:spacing w:line="240" w:lineRule="auto"/>
        <w:ind w:left="993"/>
        <w:rPr>
          <w:color w:val="auto"/>
        </w:rPr>
      </w:pPr>
      <w:r>
        <w:rPr>
          <w:color w:val="auto"/>
        </w:rPr>
        <w:t xml:space="preserve">Appendix </w:t>
      </w:r>
      <w:r w:rsidR="001D37BC">
        <w:rPr>
          <w:color w:val="auto"/>
        </w:rPr>
        <w:t>3</w:t>
      </w:r>
      <w:r>
        <w:rPr>
          <w:color w:val="auto"/>
        </w:rPr>
        <w:t xml:space="preserve"> </w:t>
      </w:r>
      <w:r w:rsidR="00B54DDF">
        <w:rPr>
          <w:color w:val="auto"/>
        </w:rPr>
        <w:t>–</w:t>
      </w:r>
      <w:r>
        <w:rPr>
          <w:color w:val="auto"/>
        </w:rPr>
        <w:t xml:space="preserve"> </w:t>
      </w:r>
      <w:r w:rsidR="00B54DDF">
        <w:rPr>
          <w:color w:val="auto"/>
        </w:rPr>
        <w:t>Safe Haven checklist</w:t>
      </w:r>
    </w:p>
    <w:p w14:paraId="78CB65CB" w14:textId="77777777" w:rsidR="000E3813" w:rsidRPr="000E3813" w:rsidRDefault="000E3813" w:rsidP="000E3813"/>
    <w:p w14:paraId="7B1B829F" w14:textId="58A60CD2" w:rsidR="00FF21F9" w:rsidRPr="00FF21F9" w:rsidRDefault="000E3813" w:rsidP="0076798C">
      <w:pPr>
        <w:pStyle w:val="Heading1"/>
        <w:ind w:left="993" w:hanging="426"/>
      </w:pPr>
      <w:bookmarkStart w:id="22" w:name="_Toc130985155"/>
      <w:r>
        <w:t>Impact Assessments</w:t>
      </w:r>
      <w:bookmarkEnd w:id="22"/>
    </w:p>
    <w:p w14:paraId="57CF769B" w14:textId="2A563E49" w:rsidR="000E3813" w:rsidRDefault="000E3813" w:rsidP="0076798C">
      <w:pPr>
        <w:pStyle w:val="Heading2"/>
        <w:ind w:left="993" w:hanging="567"/>
      </w:pPr>
      <w:r>
        <w:t xml:space="preserve">Equality </w:t>
      </w:r>
    </w:p>
    <w:p w14:paraId="1FDD1C7D" w14:textId="11BAB304" w:rsidR="00DD443C" w:rsidRPr="007C763D" w:rsidRDefault="007C763D" w:rsidP="00567EEA">
      <w:pPr>
        <w:spacing w:line="240" w:lineRule="auto"/>
        <w:ind w:left="993"/>
        <w:jc w:val="both"/>
        <w:rPr>
          <w:color w:val="auto"/>
        </w:rPr>
      </w:pPr>
      <w:r w:rsidRPr="007C763D">
        <w:rPr>
          <w:color w:val="auto"/>
        </w:rPr>
        <w:t>In developing this policy an Equality Impact Analysis (EIA) has been undertaken.  As a result of performing the analysis, the policy does not appear to have any adverse effects on people who share Protected Characteristics, and no further actions are recommended at this stage</w:t>
      </w:r>
      <w:r>
        <w:rPr>
          <w:color w:val="auto"/>
        </w:rPr>
        <w:t>.</w:t>
      </w:r>
    </w:p>
    <w:p w14:paraId="671A407C" w14:textId="116CF5BF" w:rsidR="000E3813" w:rsidRDefault="000E3813" w:rsidP="00567EEA">
      <w:pPr>
        <w:pStyle w:val="Heading2"/>
        <w:ind w:left="993"/>
        <w:jc w:val="both"/>
      </w:pPr>
      <w:r>
        <w:t>Bribery Act 2010</w:t>
      </w:r>
    </w:p>
    <w:p w14:paraId="0C8DF753" w14:textId="021AEF73" w:rsidR="000E3813" w:rsidRDefault="000E3813" w:rsidP="00567EEA">
      <w:pPr>
        <w:spacing w:line="240" w:lineRule="auto"/>
        <w:ind w:left="993"/>
        <w:jc w:val="both"/>
        <w:rPr>
          <w:color w:val="auto"/>
        </w:rPr>
      </w:pPr>
      <w:r w:rsidRPr="000E3813">
        <w:rPr>
          <w:color w:val="auto"/>
        </w:rPr>
        <w:t>Due consideration has been given to the Bribery Act 2010 in the development (or review, as appropriate) of this policy document, further details can be found in appendix 1.</w:t>
      </w:r>
    </w:p>
    <w:p w14:paraId="70589BBA" w14:textId="019380BE" w:rsidR="009F2C13" w:rsidRPr="009F2C13" w:rsidRDefault="008F16A6" w:rsidP="008C1FCC">
      <w:pPr>
        <w:pStyle w:val="Heading2"/>
        <w:ind w:left="993" w:hanging="567"/>
      </w:pPr>
      <w:r>
        <w:t>G</w:t>
      </w:r>
      <w:r w:rsidR="000E3813">
        <w:t xml:space="preserve">eneral </w:t>
      </w:r>
      <w:r>
        <w:t>D</w:t>
      </w:r>
      <w:r w:rsidR="000E3813">
        <w:t>ata Protection</w:t>
      </w:r>
      <w:r>
        <w:t xml:space="preserve"> R</w:t>
      </w:r>
      <w:r w:rsidR="000E3813">
        <w:t>egulations</w:t>
      </w:r>
      <w:r>
        <w:t xml:space="preserve"> (GDPR)</w:t>
      </w:r>
    </w:p>
    <w:p w14:paraId="398F15DA" w14:textId="26694914" w:rsidR="00C8300A" w:rsidRDefault="00C8300A" w:rsidP="00567EEA">
      <w:pPr>
        <w:pStyle w:val="ListParagraph"/>
        <w:spacing w:line="240" w:lineRule="auto"/>
        <w:ind w:left="993"/>
        <w:jc w:val="both"/>
        <w:rPr>
          <w:color w:val="000000" w:themeColor="text1"/>
        </w:rPr>
      </w:pPr>
      <w:r w:rsidRPr="00C8300A">
        <w:rPr>
          <w:color w:val="000000" w:themeColor="text1"/>
        </w:rPr>
        <w:t xml:space="preserve">The General Data Protection Regulation (GDPR)/ Data Protection Act 2018 includes the requirement to complete a Data Protection Impact Assessment for any processing that is likely to result in a high risk to individuals. </w:t>
      </w:r>
    </w:p>
    <w:p w14:paraId="30254455" w14:textId="77777777" w:rsidR="00C8300A" w:rsidRPr="00C8300A" w:rsidRDefault="00C8300A" w:rsidP="00567EEA">
      <w:pPr>
        <w:pStyle w:val="ListParagraph"/>
        <w:spacing w:line="240" w:lineRule="auto"/>
        <w:ind w:left="993"/>
        <w:jc w:val="both"/>
        <w:rPr>
          <w:color w:val="000000" w:themeColor="text1"/>
        </w:rPr>
      </w:pPr>
    </w:p>
    <w:p w14:paraId="414628BB" w14:textId="687198CE" w:rsidR="00C8300A" w:rsidRDefault="00C8300A" w:rsidP="00567EEA">
      <w:pPr>
        <w:pStyle w:val="ListParagraph"/>
        <w:spacing w:line="240" w:lineRule="auto"/>
        <w:ind w:left="993"/>
        <w:jc w:val="both"/>
        <w:rPr>
          <w:color w:val="000000" w:themeColor="text1"/>
        </w:rPr>
      </w:pPr>
      <w:r w:rsidRPr="00C8300A">
        <w:rPr>
          <w:color w:val="000000" w:themeColor="text1"/>
        </w:rPr>
        <w:t>Consideration should be given to any impact the policy may have on individual privacy; please consult NHS Humber and North Yorkshire ICB Data Protection Impact Assessment Policy</w:t>
      </w:r>
    </w:p>
    <w:p w14:paraId="482C14AF" w14:textId="77777777" w:rsidR="00C8300A" w:rsidRPr="00C8300A" w:rsidRDefault="00C8300A" w:rsidP="00567EEA">
      <w:pPr>
        <w:pStyle w:val="ListParagraph"/>
        <w:spacing w:line="240" w:lineRule="auto"/>
        <w:ind w:left="993"/>
        <w:jc w:val="both"/>
        <w:rPr>
          <w:color w:val="000000" w:themeColor="text1"/>
        </w:rPr>
      </w:pPr>
    </w:p>
    <w:p w14:paraId="3B957449" w14:textId="3404AF14" w:rsidR="00C8300A" w:rsidRDefault="00C8300A" w:rsidP="00567EEA">
      <w:pPr>
        <w:pStyle w:val="ListParagraph"/>
        <w:spacing w:line="240" w:lineRule="auto"/>
        <w:ind w:left="993"/>
        <w:jc w:val="both"/>
        <w:rPr>
          <w:color w:val="000000" w:themeColor="text1"/>
        </w:rPr>
      </w:pPr>
      <w:r w:rsidRPr="00C8300A">
        <w:rPr>
          <w:color w:val="000000" w:themeColor="text1"/>
        </w:rPr>
        <w:t>The ICB is committed to ensuring that all personal information is managed in accordance with current data protection legislation, professional codes of practice and records management and confidentiality guidance</w:t>
      </w:r>
      <w:r w:rsidR="00EF50DC">
        <w:rPr>
          <w:color w:val="000000" w:themeColor="text1"/>
        </w:rPr>
        <w:t xml:space="preserve"> </w:t>
      </w:r>
      <w:r>
        <w:rPr>
          <w:color w:val="000000" w:themeColor="text1"/>
        </w:rPr>
        <w:t>as detailed within this policy</w:t>
      </w:r>
      <w:r w:rsidR="00EF50DC">
        <w:rPr>
          <w:color w:val="000000" w:themeColor="text1"/>
        </w:rPr>
        <w:t xml:space="preserve"> </w:t>
      </w:r>
      <w:r w:rsidRPr="00C8300A">
        <w:rPr>
          <w:color w:val="000000" w:themeColor="text1"/>
        </w:rPr>
        <w:t xml:space="preserve">and related policies and procedures.  </w:t>
      </w:r>
    </w:p>
    <w:p w14:paraId="2B32E646" w14:textId="77777777" w:rsidR="00C8300A" w:rsidRPr="00C8300A" w:rsidRDefault="00C8300A" w:rsidP="00567EEA">
      <w:pPr>
        <w:pStyle w:val="ListParagraph"/>
        <w:spacing w:line="240" w:lineRule="auto"/>
        <w:ind w:left="993"/>
        <w:jc w:val="both"/>
        <w:rPr>
          <w:color w:val="000000" w:themeColor="text1"/>
        </w:rPr>
      </w:pPr>
    </w:p>
    <w:p w14:paraId="1AAB6AE8" w14:textId="6F9AF300" w:rsidR="00A130F1" w:rsidRDefault="00C8300A" w:rsidP="00567EEA">
      <w:pPr>
        <w:pStyle w:val="ListParagraph"/>
        <w:spacing w:line="240" w:lineRule="auto"/>
        <w:ind w:left="993"/>
        <w:jc w:val="both"/>
        <w:rPr>
          <w:color w:val="000000" w:themeColor="text1"/>
        </w:rPr>
      </w:pPr>
      <w:r w:rsidRPr="00C8300A">
        <w:rPr>
          <w:color w:val="000000" w:themeColor="text1"/>
        </w:rPr>
        <w:t>If you are commissioning a project or undertaking work that requires the processing of personal data, you must complete a Data Protection Impact Assessment</w:t>
      </w:r>
    </w:p>
    <w:p w14:paraId="3369C080" w14:textId="77777777" w:rsidR="00EF50DC" w:rsidRDefault="00EF50DC">
      <w:pPr>
        <w:spacing w:line="240" w:lineRule="auto"/>
        <w:rPr>
          <w:b/>
          <w:color w:val="auto"/>
          <w:sz w:val="28"/>
          <w:szCs w:val="22"/>
        </w:rPr>
      </w:pPr>
      <w:bookmarkStart w:id="23" w:name="_Toc130985156"/>
      <w:r>
        <w:br w:type="page"/>
      </w:r>
    </w:p>
    <w:p w14:paraId="017BE499" w14:textId="109EB3F0" w:rsidR="008F16A6" w:rsidRDefault="008F16A6" w:rsidP="008C1FCC">
      <w:pPr>
        <w:pStyle w:val="Heading1"/>
        <w:numPr>
          <w:ilvl w:val="0"/>
          <w:numId w:val="0"/>
        </w:numPr>
        <w:ind w:left="993"/>
      </w:pPr>
      <w:r w:rsidRPr="008F16A6">
        <w:lastRenderedPageBreak/>
        <w:t xml:space="preserve">Appendix 1 </w:t>
      </w:r>
      <w:r w:rsidR="009F2C13">
        <w:t xml:space="preserve">- </w:t>
      </w:r>
      <w:r w:rsidR="009F2C13" w:rsidRPr="009F2C13">
        <w:t>Anti-Fraud, Bribery and Corruption</w:t>
      </w:r>
      <w:bookmarkEnd w:id="23"/>
    </w:p>
    <w:p w14:paraId="308A5B33" w14:textId="77777777" w:rsidR="00710480" w:rsidRDefault="00710480" w:rsidP="00710480">
      <w:pPr>
        <w:autoSpaceDE w:val="0"/>
        <w:autoSpaceDN w:val="0"/>
        <w:spacing w:line="240" w:lineRule="auto"/>
        <w:ind w:left="720"/>
        <w:jc w:val="both"/>
        <w:rPr>
          <w:rFonts w:eastAsia="Calibri"/>
          <w:color w:val="auto"/>
          <w:sz w:val="22"/>
          <w:szCs w:val="22"/>
        </w:rPr>
      </w:pPr>
    </w:p>
    <w:p w14:paraId="1E713BA0" w14:textId="13DA21C3" w:rsidR="00710480" w:rsidRPr="0032084D" w:rsidRDefault="00710480" w:rsidP="008C1FCC">
      <w:pPr>
        <w:autoSpaceDE w:val="0"/>
        <w:autoSpaceDN w:val="0"/>
        <w:spacing w:line="240" w:lineRule="auto"/>
        <w:ind w:left="993"/>
        <w:jc w:val="both"/>
        <w:rPr>
          <w:rFonts w:eastAsia="Calibri"/>
          <w:color w:val="auto"/>
        </w:rPr>
      </w:pPr>
      <w:r w:rsidRPr="0032084D">
        <w:rPr>
          <w:rFonts w:eastAsia="Calibri"/>
          <w:color w:val="auto"/>
        </w:rPr>
        <w:t xml:space="preserve">The </w:t>
      </w:r>
      <w:r w:rsidR="009F2C13" w:rsidRPr="0032084D">
        <w:rPr>
          <w:rFonts w:eastAsia="Calibri"/>
          <w:color w:val="auto"/>
        </w:rPr>
        <w:t xml:space="preserve">ICB </w:t>
      </w:r>
      <w:r w:rsidRPr="0032084D">
        <w:rPr>
          <w:rFonts w:eastAsia="Calibri"/>
          <w:color w:val="auto"/>
        </w:rPr>
        <w:t>has a responsibility to ensure that all staff are made aware of their duties and responsibilities arising from the Bribery Act 2010.  Under the Bribery Act 2010 there are four criminal offences:</w:t>
      </w:r>
    </w:p>
    <w:p w14:paraId="790925E4" w14:textId="77777777" w:rsidR="00710480" w:rsidRPr="0032084D" w:rsidRDefault="00710480" w:rsidP="008C1FCC">
      <w:pPr>
        <w:autoSpaceDE w:val="0"/>
        <w:autoSpaceDN w:val="0"/>
        <w:spacing w:line="240" w:lineRule="auto"/>
        <w:ind w:left="993"/>
        <w:jc w:val="both"/>
        <w:rPr>
          <w:rFonts w:eastAsia="Calibri"/>
          <w:color w:val="auto"/>
        </w:rPr>
      </w:pPr>
    </w:p>
    <w:p w14:paraId="6EFF8194" w14:textId="77777777" w:rsidR="00710480" w:rsidRPr="0032084D" w:rsidRDefault="00710480" w:rsidP="008C1FCC">
      <w:pPr>
        <w:autoSpaceDE w:val="0"/>
        <w:autoSpaceDN w:val="0"/>
        <w:spacing w:line="240" w:lineRule="auto"/>
        <w:ind w:left="993"/>
        <w:jc w:val="both"/>
        <w:rPr>
          <w:rFonts w:eastAsia="Calibri"/>
          <w:color w:val="auto"/>
        </w:rPr>
      </w:pPr>
      <w:r w:rsidRPr="0032084D">
        <w:rPr>
          <w:rFonts w:eastAsia="Calibri"/>
          <w:color w:val="auto"/>
        </w:rPr>
        <w:t xml:space="preserve">•           Bribing or offering to bribe another person (Section 1) </w:t>
      </w:r>
    </w:p>
    <w:p w14:paraId="5B1AFE61" w14:textId="77777777" w:rsidR="00710480" w:rsidRPr="0032084D" w:rsidRDefault="00710480" w:rsidP="008C1FCC">
      <w:pPr>
        <w:autoSpaceDE w:val="0"/>
        <w:autoSpaceDN w:val="0"/>
        <w:spacing w:line="240" w:lineRule="auto"/>
        <w:ind w:left="993"/>
        <w:jc w:val="both"/>
        <w:rPr>
          <w:rFonts w:eastAsia="Calibri"/>
          <w:color w:val="auto"/>
        </w:rPr>
      </w:pPr>
      <w:r w:rsidRPr="0032084D">
        <w:rPr>
          <w:rFonts w:eastAsia="Calibri"/>
          <w:color w:val="auto"/>
        </w:rPr>
        <w:t>•           Requesting, agreeing to receive or accepting a bribe (Section 2</w:t>
      </w:r>
      <w:proofErr w:type="gramStart"/>
      <w:r w:rsidRPr="0032084D">
        <w:rPr>
          <w:rFonts w:eastAsia="Calibri"/>
          <w:color w:val="auto"/>
        </w:rPr>
        <w:t>);</w:t>
      </w:r>
      <w:proofErr w:type="gramEnd"/>
    </w:p>
    <w:p w14:paraId="359DB391" w14:textId="77777777" w:rsidR="00710480" w:rsidRPr="0032084D" w:rsidRDefault="00710480" w:rsidP="008C1FCC">
      <w:pPr>
        <w:autoSpaceDE w:val="0"/>
        <w:autoSpaceDN w:val="0"/>
        <w:spacing w:line="240" w:lineRule="auto"/>
        <w:ind w:left="993"/>
        <w:jc w:val="both"/>
        <w:rPr>
          <w:rFonts w:eastAsia="Calibri"/>
          <w:color w:val="auto"/>
        </w:rPr>
      </w:pPr>
      <w:r w:rsidRPr="0032084D">
        <w:rPr>
          <w:rFonts w:eastAsia="Calibri"/>
          <w:color w:val="auto"/>
        </w:rPr>
        <w:t>•           Bribing, or offering to bribe, a foreign public official (Section 6</w:t>
      </w:r>
      <w:proofErr w:type="gramStart"/>
      <w:r w:rsidRPr="0032084D">
        <w:rPr>
          <w:rFonts w:eastAsia="Calibri"/>
          <w:color w:val="auto"/>
        </w:rPr>
        <w:t>);</w:t>
      </w:r>
      <w:proofErr w:type="gramEnd"/>
    </w:p>
    <w:p w14:paraId="7DFEA3D4" w14:textId="77777777" w:rsidR="00710480" w:rsidRPr="0032084D" w:rsidRDefault="00710480" w:rsidP="008C1FCC">
      <w:pPr>
        <w:autoSpaceDE w:val="0"/>
        <w:autoSpaceDN w:val="0"/>
        <w:spacing w:line="240" w:lineRule="auto"/>
        <w:ind w:left="993"/>
        <w:jc w:val="both"/>
        <w:rPr>
          <w:rFonts w:eastAsia="Calibri"/>
          <w:color w:val="auto"/>
        </w:rPr>
      </w:pPr>
      <w:r w:rsidRPr="0032084D">
        <w:rPr>
          <w:rFonts w:eastAsia="Calibri"/>
          <w:color w:val="auto"/>
        </w:rPr>
        <w:t>•           Failing to prevent bribery (Section 7).</w:t>
      </w:r>
    </w:p>
    <w:p w14:paraId="2CDFFA45" w14:textId="77777777" w:rsidR="00710480" w:rsidRPr="0032084D" w:rsidRDefault="00710480" w:rsidP="008C1FCC">
      <w:pPr>
        <w:autoSpaceDE w:val="0"/>
        <w:autoSpaceDN w:val="0"/>
        <w:spacing w:line="240" w:lineRule="auto"/>
        <w:ind w:left="993"/>
        <w:jc w:val="both"/>
        <w:rPr>
          <w:rFonts w:eastAsia="Calibri"/>
          <w:color w:val="auto"/>
        </w:rPr>
      </w:pPr>
    </w:p>
    <w:p w14:paraId="27910574" w14:textId="77777777" w:rsidR="00710480" w:rsidRPr="0032084D" w:rsidRDefault="00710480" w:rsidP="008C1FCC">
      <w:pPr>
        <w:autoSpaceDE w:val="0"/>
        <w:autoSpaceDN w:val="0"/>
        <w:spacing w:line="240" w:lineRule="auto"/>
        <w:ind w:left="993"/>
        <w:jc w:val="both"/>
        <w:rPr>
          <w:rFonts w:eastAsia="Calibri"/>
          <w:color w:val="auto"/>
        </w:rPr>
      </w:pPr>
      <w:r w:rsidRPr="0032084D">
        <w:rPr>
          <w:rFonts w:eastAsia="Calibri"/>
          <w:color w:val="auto"/>
        </w:rPr>
        <w:t>These offences can be committed directly or by and through a third person and, in many cases, it does not matter whether the person knows or believes that the performance of the function or activity is improper.</w:t>
      </w:r>
    </w:p>
    <w:p w14:paraId="018B0B8F" w14:textId="77777777" w:rsidR="00710480" w:rsidRPr="0032084D" w:rsidRDefault="00710480" w:rsidP="008C1FCC">
      <w:pPr>
        <w:autoSpaceDE w:val="0"/>
        <w:autoSpaceDN w:val="0"/>
        <w:spacing w:line="240" w:lineRule="auto"/>
        <w:ind w:left="993"/>
        <w:jc w:val="both"/>
        <w:rPr>
          <w:rFonts w:eastAsia="Calibri"/>
          <w:color w:val="auto"/>
        </w:rPr>
      </w:pPr>
    </w:p>
    <w:p w14:paraId="4E472D50" w14:textId="77777777" w:rsidR="00710480" w:rsidRPr="0032084D" w:rsidRDefault="00710480" w:rsidP="008C1FCC">
      <w:pPr>
        <w:autoSpaceDE w:val="0"/>
        <w:autoSpaceDN w:val="0"/>
        <w:spacing w:line="240" w:lineRule="auto"/>
        <w:ind w:left="993"/>
        <w:jc w:val="both"/>
        <w:rPr>
          <w:rFonts w:eastAsia="Calibri"/>
          <w:color w:val="auto"/>
        </w:rPr>
      </w:pPr>
      <w:r w:rsidRPr="0032084D">
        <w:rPr>
          <w:rFonts w:eastAsia="Calibri"/>
          <w:color w:val="auto"/>
        </w:rPr>
        <w:t>It should be noted that there need not be any actual giving and receiving for financial or other advantage to be gained, to commit an offence.</w:t>
      </w:r>
    </w:p>
    <w:p w14:paraId="1BA23107" w14:textId="77777777" w:rsidR="00710480" w:rsidRPr="0032084D" w:rsidRDefault="00710480" w:rsidP="008C1FCC">
      <w:pPr>
        <w:autoSpaceDE w:val="0"/>
        <w:autoSpaceDN w:val="0"/>
        <w:spacing w:line="240" w:lineRule="auto"/>
        <w:ind w:left="993"/>
        <w:jc w:val="both"/>
        <w:rPr>
          <w:rFonts w:eastAsia="Calibri"/>
          <w:color w:val="auto"/>
        </w:rPr>
      </w:pPr>
    </w:p>
    <w:p w14:paraId="383FAC1D" w14:textId="77777777" w:rsidR="00710480" w:rsidRPr="0032084D" w:rsidRDefault="00710480" w:rsidP="008C1FCC">
      <w:pPr>
        <w:autoSpaceDE w:val="0"/>
        <w:autoSpaceDN w:val="0"/>
        <w:spacing w:line="240" w:lineRule="auto"/>
        <w:ind w:left="993"/>
        <w:jc w:val="both"/>
        <w:rPr>
          <w:rFonts w:eastAsia="Calibri"/>
          <w:color w:val="000000" w:themeColor="text1"/>
        </w:rPr>
      </w:pPr>
      <w:r w:rsidRPr="0032084D">
        <w:rPr>
          <w:rFonts w:eastAsia="Calibri"/>
          <w:color w:val="auto"/>
        </w:rPr>
        <w:t xml:space="preserve">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w:t>
      </w:r>
      <w:r w:rsidRPr="0032084D">
        <w:rPr>
          <w:rFonts w:eastAsia="Calibri"/>
          <w:color w:val="000000" w:themeColor="text1"/>
        </w:rPr>
        <w:t>associated with it commits an act of bribery.</w:t>
      </w:r>
    </w:p>
    <w:p w14:paraId="7DBAB4D1" w14:textId="77777777" w:rsidR="00710480" w:rsidRPr="0032084D" w:rsidRDefault="00710480" w:rsidP="008C1FCC">
      <w:pPr>
        <w:autoSpaceDE w:val="0"/>
        <w:autoSpaceDN w:val="0"/>
        <w:spacing w:line="240" w:lineRule="auto"/>
        <w:ind w:left="993"/>
        <w:jc w:val="both"/>
        <w:rPr>
          <w:rFonts w:eastAsia="Calibri"/>
          <w:color w:val="000000" w:themeColor="text1"/>
        </w:rPr>
      </w:pPr>
    </w:p>
    <w:p w14:paraId="7EB79F6C" w14:textId="0FE9B082" w:rsidR="00710480" w:rsidRPr="0032084D" w:rsidRDefault="00710480" w:rsidP="008C1FCC">
      <w:pPr>
        <w:autoSpaceDE w:val="0"/>
        <w:autoSpaceDN w:val="0"/>
        <w:spacing w:line="240" w:lineRule="auto"/>
        <w:ind w:left="993"/>
        <w:jc w:val="both"/>
        <w:rPr>
          <w:rFonts w:eastAsia="Calibri"/>
          <w:color w:val="000000" w:themeColor="text1"/>
        </w:rPr>
      </w:pPr>
      <w:r w:rsidRPr="0032084D">
        <w:rPr>
          <w:rFonts w:eastAsia="Calibri"/>
          <w:color w:val="000000" w:themeColor="text1"/>
        </w:rPr>
        <w:t>Individuals should also be aware that a breach of this Act renders them liable to disciplinary action by the</w:t>
      </w:r>
      <w:r w:rsidR="009F2C13" w:rsidRPr="0032084D">
        <w:rPr>
          <w:rFonts w:eastAsia="Calibri"/>
          <w:color w:val="000000" w:themeColor="text1"/>
        </w:rPr>
        <w:t xml:space="preserve"> ICB</w:t>
      </w:r>
      <w:r w:rsidRPr="0032084D">
        <w:rPr>
          <w:rFonts w:eastAsia="Calibri"/>
          <w:color w:val="000000" w:themeColor="text1"/>
        </w:rPr>
        <w:t xml:space="preserve">, </w:t>
      </w:r>
      <w:proofErr w:type="gramStart"/>
      <w:r w:rsidRPr="0032084D">
        <w:rPr>
          <w:rFonts w:eastAsia="Calibri"/>
          <w:color w:val="000000" w:themeColor="text1"/>
        </w:rPr>
        <w:t>whether or not</w:t>
      </w:r>
      <w:proofErr w:type="gramEnd"/>
      <w:r w:rsidRPr="0032084D">
        <w:rPr>
          <w:rFonts w:eastAsia="Calibri"/>
          <w:color w:val="000000" w:themeColor="text1"/>
        </w:rPr>
        <w:t xml:space="preserve"> the breach leads to prosecution.  Where a material breach is found to have occurred, the likely sanction will be loss of employment and pension rights.</w:t>
      </w:r>
    </w:p>
    <w:p w14:paraId="656BE8D8" w14:textId="77777777" w:rsidR="00710480" w:rsidRPr="0032084D" w:rsidRDefault="00710480" w:rsidP="008C1FCC">
      <w:pPr>
        <w:autoSpaceDE w:val="0"/>
        <w:autoSpaceDN w:val="0"/>
        <w:spacing w:line="240" w:lineRule="auto"/>
        <w:ind w:left="993"/>
        <w:jc w:val="both"/>
        <w:rPr>
          <w:rFonts w:eastAsia="Calibri"/>
          <w:color w:val="000000" w:themeColor="text1"/>
        </w:rPr>
      </w:pPr>
    </w:p>
    <w:p w14:paraId="77D094FC" w14:textId="0C0BD357" w:rsidR="00710480" w:rsidRPr="0032084D" w:rsidRDefault="00710480" w:rsidP="008C1FCC">
      <w:pPr>
        <w:autoSpaceDE w:val="0"/>
        <w:autoSpaceDN w:val="0"/>
        <w:spacing w:line="240" w:lineRule="auto"/>
        <w:ind w:left="993"/>
        <w:jc w:val="both"/>
        <w:rPr>
          <w:rFonts w:eastAsia="Calibri"/>
          <w:color w:val="1F497D"/>
        </w:rPr>
      </w:pPr>
      <w:r w:rsidRPr="0032084D">
        <w:rPr>
          <w:rFonts w:eastAsia="Calibri"/>
          <w:color w:val="000000" w:themeColor="text1"/>
        </w:rPr>
        <w:t xml:space="preserve">To raise any suspicions of bribery and/or </w:t>
      </w:r>
      <w:r w:rsidRPr="0032084D">
        <w:rPr>
          <w:rFonts w:eastAsia="Calibri"/>
          <w:color w:val="auto"/>
        </w:rPr>
        <w:t xml:space="preserve">corruption please contact the </w:t>
      </w:r>
      <w:r w:rsidR="00DC226C">
        <w:rPr>
          <w:rFonts w:eastAsia="Calibri"/>
          <w:color w:val="auto"/>
        </w:rPr>
        <w:t>Executive Director of Finance and Investment</w:t>
      </w:r>
      <w:r w:rsidRPr="0032084D">
        <w:rPr>
          <w:rFonts w:eastAsia="Calibri"/>
          <w:color w:val="000000" w:themeColor="text1"/>
        </w:rPr>
        <w:t xml:space="preserve">.  Staff may also contact the Local Counter Fraud Specialist (LCFS) at – Audit Yorkshire, </w:t>
      </w:r>
      <w:r w:rsidRPr="0032084D">
        <w:rPr>
          <w:rFonts w:eastAsia="Calibri"/>
          <w:color w:val="auto"/>
        </w:rPr>
        <w:t xml:space="preserve">email:  </w:t>
      </w:r>
      <w:hyperlink r:id="rId18" w:history="1">
        <w:r w:rsidR="00937230" w:rsidRPr="004763A4">
          <w:rPr>
            <w:rStyle w:val="Hyperlink"/>
            <w:rFonts w:eastAsia="Calibri"/>
          </w:rPr>
          <w:t>nikki.cooper1@nhs.net</w:t>
        </w:r>
      </w:hyperlink>
      <w:r w:rsidRPr="0032084D">
        <w:rPr>
          <w:rFonts w:eastAsia="Calibri"/>
          <w:color w:val="auto"/>
        </w:rPr>
        <w:t xml:space="preserve">  </w:t>
      </w:r>
      <w:r w:rsidRPr="0032084D">
        <w:rPr>
          <w:rFonts w:eastAsia="Calibri"/>
          <w:color w:val="1F497D"/>
        </w:rPr>
        <w:t xml:space="preserve">or </w:t>
      </w:r>
      <w:r w:rsidRPr="0032084D">
        <w:rPr>
          <w:rFonts w:eastAsia="Calibri"/>
          <w:color w:val="000000" w:themeColor="text1"/>
          <w:lang w:eastAsia="en-US"/>
        </w:rPr>
        <w:t>mobile 07872 988939</w:t>
      </w:r>
      <w:r w:rsidRPr="0032084D">
        <w:rPr>
          <w:rFonts w:eastAsia="Calibri"/>
          <w:color w:val="000000" w:themeColor="text1"/>
        </w:rPr>
        <w:t>. </w:t>
      </w:r>
    </w:p>
    <w:p w14:paraId="17F084AE" w14:textId="77777777" w:rsidR="00710480" w:rsidRPr="0032084D" w:rsidRDefault="00710480" w:rsidP="008C1FCC">
      <w:pPr>
        <w:autoSpaceDE w:val="0"/>
        <w:autoSpaceDN w:val="0"/>
        <w:spacing w:line="240" w:lineRule="auto"/>
        <w:ind w:left="993"/>
        <w:jc w:val="both"/>
        <w:rPr>
          <w:rFonts w:eastAsia="Calibri"/>
          <w:color w:val="1F497D"/>
        </w:rPr>
      </w:pPr>
    </w:p>
    <w:p w14:paraId="011EC7E1" w14:textId="51296824" w:rsidR="00710480" w:rsidRPr="0032084D" w:rsidRDefault="00710480" w:rsidP="008C1FCC">
      <w:pPr>
        <w:autoSpaceDE w:val="0"/>
        <w:autoSpaceDN w:val="0"/>
        <w:spacing w:line="240" w:lineRule="auto"/>
        <w:ind w:left="993"/>
        <w:jc w:val="both"/>
        <w:rPr>
          <w:rFonts w:eastAsia="Calibri"/>
          <w:color w:val="auto"/>
        </w:rPr>
      </w:pPr>
      <w:r w:rsidRPr="0032084D">
        <w:rPr>
          <w:rFonts w:eastAsia="Calibri"/>
          <w:color w:val="000000" w:themeColor="text1"/>
        </w:rPr>
        <w:t xml:space="preserve">The LCFS or </w:t>
      </w:r>
      <w:r w:rsidR="00DC226C">
        <w:rPr>
          <w:rFonts w:eastAsia="Calibri"/>
          <w:color w:val="000000" w:themeColor="text1"/>
        </w:rPr>
        <w:t>Executive Director of Finance and Investment</w:t>
      </w:r>
      <w:r w:rsidRPr="0032084D">
        <w:rPr>
          <w:rFonts w:eastAsia="Calibri"/>
          <w:color w:val="000000" w:themeColor="text1"/>
        </w:rPr>
        <w:t xml:space="preserve"> should be the contact for any su</w:t>
      </w:r>
      <w:r w:rsidRPr="0032084D">
        <w:rPr>
          <w:rFonts w:eastAsia="Calibri"/>
          <w:color w:val="auto"/>
        </w:rPr>
        <w:t xml:space="preserve">spicions of fraud. The LCFS will inform the </w:t>
      </w:r>
      <w:r w:rsidR="00DC226C">
        <w:rPr>
          <w:rFonts w:eastAsia="Calibri"/>
          <w:color w:val="auto"/>
        </w:rPr>
        <w:t>Executive Director of Finance and Investment</w:t>
      </w:r>
      <w:r w:rsidRPr="0032084D">
        <w:rPr>
          <w:rFonts w:eastAsia="Calibri"/>
          <w:color w:val="auto"/>
        </w:rPr>
        <w:t xml:space="preserve"> if the suspicion seems well founded and will conduct a thorough investigation.  Concerns may also be discussed with the </w:t>
      </w:r>
      <w:r w:rsidR="00DC226C">
        <w:rPr>
          <w:rFonts w:eastAsia="Calibri"/>
          <w:color w:val="auto"/>
        </w:rPr>
        <w:t>Executive Director of Finance and Investment</w:t>
      </w:r>
      <w:r w:rsidRPr="0032084D">
        <w:rPr>
          <w:rFonts w:eastAsia="Calibri"/>
          <w:color w:val="auto"/>
        </w:rPr>
        <w:t xml:space="preserve"> or the </w:t>
      </w:r>
      <w:r w:rsidR="00DC226C">
        <w:rPr>
          <w:rFonts w:eastAsia="Calibri"/>
          <w:color w:val="auto"/>
        </w:rPr>
        <w:t>Audit</w:t>
      </w:r>
      <w:r w:rsidRPr="0032084D">
        <w:rPr>
          <w:rFonts w:eastAsia="Calibri"/>
          <w:color w:val="auto"/>
        </w:rPr>
        <w:t xml:space="preserve"> Committee Chair.</w:t>
      </w:r>
    </w:p>
    <w:p w14:paraId="14E6ACDA" w14:textId="77777777" w:rsidR="00710480" w:rsidRPr="0032084D" w:rsidRDefault="00710480" w:rsidP="008C1FCC">
      <w:pPr>
        <w:autoSpaceDE w:val="0"/>
        <w:autoSpaceDN w:val="0"/>
        <w:spacing w:line="240" w:lineRule="auto"/>
        <w:ind w:left="993"/>
        <w:jc w:val="both"/>
        <w:rPr>
          <w:rFonts w:eastAsia="Calibri"/>
          <w:color w:val="auto"/>
        </w:rPr>
      </w:pPr>
    </w:p>
    <w:p w14:paraId="7081DDD1" w14:textId="6B687A4C" w:rsidR="00710480" w:rsidRPr="0032084D" w:rsidRDefault="00710480" w:rsidP="008C1FCC">
      <w:pPr>
        <w:autoSpaceDE w:val="0"/>
        <w:autoSpaceDN w:val="0"/>
        <w:spacing w:line="240" w:lineRule="auto"/>
        <w:ind w:left="993"/>
        <w:jc w:val="both"/>
        <w:rPr>
          <w:rFonts w:eastAsia="Calibri"/>
          <w:color w:val="auto"/>
        </w:rPr>
      </w:pPr>
      <w:r w:rsidRPr="0032084D">
        <w:rPr>
          <w:rFonts w:eastAsia="Calibri"/>
          <w:color w:val="auto"/>
        </w:rPr>
        <w:t xml:space="preserve">If staff prefer, they may call the NHS </w:t>
      </w:r>
      <w:r w:rsidR="00B9792A">
        <w:rPr>
          <w:rFonts w:eastAsia="Calibri"/>
          <w:color w:val="auto"/>
        </w:rPr>
        <w:t>Counter Fraud r</w:t>
      </w:r>
      <w:r w:rsidRPr="0032084D">
        <w:rPr>
          <w:rFonts w:eastAsia="Calibri"/>
          <w:color w:val="auto"/>
        </w:rPr>
        <w:t xml:space="preserve">eporting </w:t>
      </w:r>
      <w:r w:rsidR="00B9792A">
        <w:rPr>
          <w:rFonts w:eastAsia="Calibri"/>
          <w:color w:val="auto"/>
        </w:rPr>
        <w:t>l</w:t>
      </w:r>
      <w:r w:rsidRPr="0032084D">
        <w:rPr>
          <w:rFonts w:eastAsia="Calibri"/>
          <w:color w:val="auto"/>
        </w:rPr>
        <w:t xml:space="preserve">ine on 0800 028 40 60 between 8am-6pm Monday-Friday or report online at </w:t>
      </w:r>
      <w:hyperlink r:id="rId19" w:history="1">
        <w:r w:rsidRPr="0032084D">
          <w:rPr>
            <w:rFonts w:eastAsia="Calibri"/>
            <w:color w:val="0000FF"/>
            <w:u w:val="single"/>
          </w:rPr>
          <w:t>www.reportnhsfraud.nhs.uk</w:t>
        </w:r>
      </w:hyperlink>
      <w:r w:rsidRPr="0032084D">
        <w:rPr>
          <w:rFonts w:eastAsia="Calibri"/>
          <w:color w:val="auto"/>
        </w:rPr>
        <w:t xml:space="preserve">.  This would be the suggested contact if there is a concern that the LCFS or the </w:t>
      </w:r>
      <w:r w:rsidR="00DC226C">
        <w:rPr>
          <w:rFonts w:eastAsia="Calibri"/>
          <w:color w:val="auto"/>
        </w:rPr>
        <w:t>Executive Director of Finance and Investment</w:t>
      </w:r>
      <w:r w:rsidRPr="0032084D">
        <w:rPr>
          <w:rFonts w:eastAsia="Calibri"/>
          <w:color w:val="auto"/>
        </w:rPr>
        <w:t xml:space="preserve"> themselves may be implicated in suspected fraud, </w:t>
      </w:r>
      <w:r w:rsidR="00937230" w:rsidRPr="0032084D">
        <w:rPr>
          <w:rFonts w:eastAsia="Calibri"/>
          <w:color w:val="auto"/>
        </w:rPr>
        <w:t>bribery,</w:t>
      </w:r>
      <w:r w:rsidRPr="0032084D">
        <w:rPr>
          <w:rFonts w:eastAsia="Calibri"/>
          <w:color w:val="auto"/>
        </w:rPr>
        <w:t xml:space="preserve"> or corruption. </w:t>
      </w:r>
    </w:p>
    <w:p w14:paraId="6121A8EF" w14:textId="2801FB2C" w:rsidR="00107C6E" w:rsidRDefault="00107C6E" w:rsidP="008C1FCC">
      <w:pPr>
        <w:spacing w:line="240" w:lineRule="auto"/>
        <w:ind w:left="993"/>
        <w:rPr>
          <w:b/>
        </w:rPr>
      </w:pPr>
    </w:p>
    <w:p w14:paraId="6F0D888B" w14:textId="77777777" w:rsidR="00107C6E" w:rsidRDefault="00107C6E">
      <w:pPr>
        <w:spacing w:line="240" w:lineRule="auto"/>
        <w:rPr>
          <w:b/>
        </w:rPr>
      </w:pPr>
      <w:r>
        <w:rPr>
          <w:b/>
        </w:rPr>
        <w:br w:type="page"/>
      </w:r>
    </w:p>
    <w:p w14:paraId="7F9DF4A5" w14:textId="20346123" w:rsidR="00E33004" w:rsidRPr="004D4F46" w:rsidRDefault="00E33004" w:rsidP="002E5CD6">
      <w:pPr>
        <w:pStyle w:val="Heading1"/>
        <w:numPr>
          <w:ilvl w:val="0"/>
          <w:numId w:val="0"/>
        </w:numPr>
        <w:spacing w:line="240" w:lineRule="auto"/>
        <w:ind w:left="856" w:firstLine="136"/>
        <w:contextualSpacing/>
      </w:pPr>
      <w:bookmarkStart w:id="24" w:name="_Toc130985157"/>
      <w:r w:rsidRPr="004D4F46">
        <w:lastRenderedPageBreak/>
        <w:t>A</w:t>
      </w:r>
      <w:r w:rsidR="004D4F46" w:rsidRPr="004D4F46">
        <w:t>ppendix 2</w:t>
      </w:r>
      <w:r w:rsidRPr="004D4F46">
        <w:t xml:space="preserve"> - Mechanisms for Auditing Information Security Control</w:t>
      </w:r>
      <w:bookmarkEnd w:id="24"/>
    </w:p>
    <w:p w14:paraId="69BF6915" w14:textId="77777777" w:rsidR="00E33004" w:rsidRPr="004D4F46" w:rsidRDefault="00E33004" w:rsidP="007C3D91">
      <w:pPr>
        <w:spacing w:line="120" w:lineRule="auto"/>
        <w:rPr>
          <w:bCs/>
          <w:color w:val="auto"/>
        </w:rPr>
      </w:pPr>
    </w:p>
    <w:p w14:paraId="6F2F304E" w14:textId="3B1F36F6" w:rsidR="00E33004" w:rsidRPr="004D4F46" w:rsidRDefault="00E33004" w:rsidP="48C4AA5A">
      <w:pPr>
        <w:spacing w:line="240" w:lineRule="auto"/>
        <w:ind w:left="993"/>
        <w:rPr>
          <w:color w:val="auto"/>
        </w:rPr>
      </w:pPr>
      <w:r w:rsidRPr="48C4AA5A">
        <w:rPr>
          <w:color w:val="auto"/>
        </w:rPr>
        <w:t xml:space="preserve">The </w:t>
      </w:r>
      <w:r w:rsidR="009E202A">
        <w:rPr>
          <w:color w:val="auto"/>
        </w:rPr>
        <w:t xml:space="preserve">Data Security Protection Toolkit (DSPT) requires the ICB to undertake regular </w:t>
      </w:r>
      <w:proofErr w:type="gramStart"/>
      <w:r w:rsidR="009E202A">
        <w:rPr>
          <w:color w:val="auto"/>
        </w:rPr>
        <w:t>audits</w:t>
      </w:r>
      <w:r w:rsidR="00A14798">
        <w:rPr>
          <w:color w:val="auto"/>
        </w:rPr>
        <w:t xml:space="preserve"> </w:t>
      </w:r>
      <w:r w:rsidRPr="48C4AA5A">
        <w:rPr>
          <w:color w:val="auto"/>
        </w:rPr>
        <w:t xml:space="preserve"> as</w:t>
      </w:r>
      <w:proofErr w:type="gramEnd"/>
      <w:r w:rsidRPr="48C4AA5A">
        <w:rPr>
          <w:color w:val="auto"/>
        </w:rPr>
        <w:t xml:space="preserve"> appropriate to ensure the following </w:t>
      </w:r>
      <w:r w:rsidR="004C08EA">
        <w:rPr>
          <w:color w:val="auto"/>
        </w:rPr>
        <w:t>reviewed as necessary</w:t>
      </w:r>
      <w:r w:rsidRPr="48C4AA5A">
        <w:rPr>
          <w:color w:val="auto"/>
        </w:rPr>
        <w:t>.</w:t>
      </w:r>
    </w:p>
    <w:p w14:paraId="005D0CD6" w14:textId="77777777" w:rsidR="00E33004" w:rsidRPr="004D4F46" w:rsidRDefault="00E33004" w:rsidP="008C1FCC">
      <w:pPr>
        <w:spacing w:line="240" w:lineRule="auto"/>
        <w:ind w:left="993"/>
        <w:rPr>
          <w:bCs/>
          <w:color w:val="auto"/>
        </w:rPr>
      </w:pPr>
    </w:p>
    <w:p w14:paraId="0CC221D2" w14:textId="59E019EF" w:rsidR="00E33004" w:rsidRPr="002E4F0C" w:rsidRDefault="00E33004" w:rsidP="008C1FCC">
      <w:pPr>
        <w:pStyle w:val="ListParagraph"/>
        <w:numPr>
          <w:ilvl w:val="0"/>
          <w:numId w:val="37"/>
        </w:numPr>
        <w:spacing w:line="240" w:lineRule="auto"/>
        <w:ind w:left="993" w:firstLine="0"/>
        <w:rPr>
          <w:bCs/>
          <w:color w:val="auto"/>
          <w:u w:val="single"/>
        </w:rPr>
      </w:pPr>
      <w:r w:rsidRPr="002E4F0C">
        <w:rPr>
          <w:bCs/>
          <w:color w:val="auto"/>
          <w:u w:val="single"/>
        </w:rPr>
        <w:t xml:space="preserve">General Information Security/ </w:t>
      </w:r>
      <w:proofErr w:type="gramStart"/>
      <w:r w:rsidRPr="002E4F0C">
        <w:rPr>
          <w:bCs/>
          <w:color w:val="auto"/>
          <w:u w:val="single"/>
        </w:rPr>
        <w:t>Safe Haven</w:t>
      </w:r>
      <w:proofErr w:type="gramEnd"/>
      <w:r w:rsidRPr="002E4F0C">
        <w:rPr>
          <w:bCs/>
          <w:color w:val="auto"/>
          <w:u w:val="single"/>
        </w:rPr>
        <w:t xml:space="preserve"> Procedures (Appendix </w:t>
      </w:r>
      <w:r w:rsidR="00447F18" w:rsidRPr="002E4F0C">
        <w:rPr>
          <w:bCs/>
          <w:color w:val="auto"/>
          <w:u w:val="single"/>
        </w:rPr>
        <w:t>3</w:t>
      </w:r>
      <w:r w:rsidRPr="002E4F0C">
        <w:rPr>
          <w:bCs/>
          <w:color w:val="auto"/>
          <w:u w:val="single"/>
        </w:rPr>
        <w:t>)</w:t>
      </w:r>
    </w:p>
    <w:p w14:paraId="0E9831FC" w14:textId="77777777" w:rsidR="00E33004" w:rsidRPr="004D4F46" w:rsidRDefault="00E33004" w:rsidP="48C4AA5A">
      <w:pPr>
        <w:spacing w:line="240" w:lineRule="auto"/>
        <w:ind w:left="1418"/>
        <w:jc w:val="both"/>
        <w:rPr>
          <w:color w:val="auto"/>
        </w:rPr>
      </w:pPr>
      <w:r w:rsidRPr="48C4AA5A">
        <w:rPr>
          <w:color w:val="auto"/>
        </w:rPr>
        <w:t>It is essential that all departments have appropriate information security controls in place to always protect personal/sensitive confidential data. The security and transmission of confidential information/</w:t>
      </w:r>
      <w:proofErr w:type="gramStart"/>
      <w:r w:rsidRPr="48C4AA5A">
        <w:rPr>
          <w:color w:val="auto"/>
        </w:rPr>
        <w:t>safe haven</w:t>
      </w:r>
      <w:proofErr w:type="gramEnd"/>
      <w:r w:rsidRPr="48C4AA5A">
        <w:rPr>
          <w:color w:val="auto"/>
        </w:rPr>
        <w:t xml:space="preserve"> standard includes an audit checklist to enable IAOs and senior leadership to record the assessment of controls in place.</w:t>
      </w:r>
    </w:p>
    <w:p w14:paraId="7FC25757" w14:textId="77777777" w:rsidR="00E33004" w:rsidRPr="004D4F46" w:rsidRDefault="00E33004" w:rsidP="008C1FCC">
      <w:pPr>
        <w:spacing w:line="240" w:lineRule="auto"/>
        <w:ind w:left="993"/>
        <w:rPr>
          <w:bCs/>
          <w:color w:val="auto"/>
        </w:rPr>
      </w:pPr>
    </w:p>
    <w:p w14:paraId="5D9DAE82" w14:textId="70FF7155" w:rsidR="00E33004" w:rsidRPr="002E4F0C" w:rsidRDefault="00E33004" w:rsidP="008C1FCC">
      <w:pPr>
        <w:pStyle w:val="ListParagraph"/>
        <w:numPr>
          <w:ilvl w:val="0"/>
          <w:numId w:val="37"/>
        </w:numPr>
        <w:spacing w:line="240" w:lineRule="auto"/>
        <w:ind w:left="993" w:firstLine="0"/>
        <w:rPr>
          <w:bCs/>
          <w:color w:val="auto"/>
          <w:u w:val="single"/>
        </w:rPr>
      </w:pPr>
      <w:r w:rsidRPr="002E4F0C">
        <w:rPr>
          <w:bCs/>
          <w:color w:val="auto"/>
          <w:u w:val="single"/>
        </w:rPr>
        <w:t>Review of Information Asset Register and associated Data Flow Maps</w:t>
      </w:r>
    </w:p>
    <w:p w14:paraId="053CAA3D" w14:textId="77777777" w:rsidR="00E33004" w:rsidRPr="004D4F46" w:rsidRDefault="00E33004" w:rsidP="004100D8">
      <w:pPr>
        <w:spacing w:line="240" w:lineRule="auto"/>
        <w:ind w:left="1418"/>
        <w:jc w:val="both"/>
        <w:rPr>
          <w:bCs/>
          <w:color w:val="auto"/>
        </w:rPr>
      </w:pPr>
      <w:r w:rsidRPr="004D4F46">
        <w:rPr>
          <w:bCs/>
          <w:color w:val="auto"/>
        </w:rPr>
        <w:t>Information asset owners must on a regular basis review their information asset register to ensure that all information assets are recorded, and the associated information flow maps have been documented and risk assessed.</w:t>
      </w:r>
    </w:p>
    <w:p w14:paraId="035BA70D" w14:textId="77777777" w:rsidR="00E33004" w:rsidRPr="004D4F46" w:rsidRDefault="00E33004" w:rsidP="008C1FCC">
      <w:pPr>
        <w:spacing w:line="240" w:lineRule="auto"/>
        <w:ind w:left="993"/>
        <w:rPr>
          <w:bCs/>
          <w:color w:val="auto"/>
        </w:rPr>
      </w:pPr>
    </w:p>
    <w:p w14:paraId="6E245CBC" w14:textId="141DC1A0" w:rsidR="00E33004" w:rsidRPr="002E4F0C" w:rsidRDefault="00E33004" w:rsidP="008C1FCC">
      <w:pPr>
        <w:pStyle w:val="ListParagraph"/>
        <w:numPr>
          <w:ilvl w:val="0"/>
          <w:numId w:val="37"/>
        </w:numPr>
        <w:spacing w:line="240" w:lineRule="auto"/>
        <w:ind w:left="993" w:firstLine="0"/>
        <w:rPr>
          <w:bCs/>
          <w:color w:val="auto"/>
          <w:u w:val="single"/>
        </w:rPr>
      </w:pPr>
      <w:r w:rsidRPr="002E4F0C">
        <w:rPr>
          <w:bCs/>
          <w:color w:val="auto"/>
          <w:u w:val="single"/>
        </w:rPr>
        <w:t>Review of Network Folders and individual systems access</w:t>
      </w:r>
    </w:p>
    <w:p w14:paraId="04068F49" w14:textId="330D97E8" w:rsidR="00E33004" w:rsidRPr="004D4F46" w:rsidRDefault="00E33004" w:rsidP="004100D8">
      <w:pPr>
        <w:spacing w:line="240" w:lineRule="auto"/>
        <w:ind w:left="1418"/>
        <w:jc w:val="both"/>
        <w:rPr>
          <w:bCs/>
          <w:color w:val="auto"/>
        </w:rPr>
      </w:pPr>
      <w:r w:rsidRPr="004D4F46">
        <w:rPr>
          <w:bCs/>
          <w:color w:val="auto"/>
        </w:rPr>
        <w:t xml:space="preserve">Access of staff to network folders should be reviewed on a regular basis, to ensure that leavers have been removed and access allocated is appropriate to the job role. This will require reports of access levels to be produced via the </w:t>
      </w:r>
      <w:r w:rsidR="00937230">
        <w:rPr>
          <w:bCs/>
          <w:color w:val="auto"/>
        </w:rPr>
        <w:t>IT</w:t>
      </w:r>
      <w:r w:rsidRPr="004D4F46">
        <w:rPr>
          <w:bCs/>
          <w:color w:val="auto"/>
        </w:rPr>
        <w:t xml:space="preserve"> department and senior leadership/team levels to review access levels set.</w:t>
      </w:r>
    </w:p>
    <w:p w14:paraId="0AB3A815" w14:textId="77777777" w:rsidR="00E33004" w:rsidRPr="004D4F46" w:rsidRDefault="00E33004" w:rsidP="004100D8">
      <w:pPr>
        <w:spacing w:line="240" w:lineRule="auto"/>
        <w:ind w:left="993"/>
        <w:jc w:val="both"/>
        <w:rPr>
          <w:bCs/>
          <w:color w:val="auto"/>
        </w:rPr>
      </w:pPr>
    </w:p>
    <w:p w14:paraId="2943E8D3" w14:textId="77777777" w:rsidR="00E33004" w:rsidRPr="004D4F46" w:rsidRDefault="00E33004" w:rsidP="004100D8">
      <w:pPr>
        <w:spacing w:line="240" w:lineRule="auto"/>
        <w:ind w:left="1418"/>
        <w:jc w:val="both"/>
        <w:rPr>
          <w:bCs/>
          <w:color w:val="auto"/>
        </w:rPr>
      </w:pPr>
      <w:r w:rsidRPr="004D4F46">
        <w:rPr>
          <w:bCs/>
          <w:color w:val="auto"/>
        </w:rPr>
        <w:t>This process also needs to be undertaken for specific systems, to ensure that access is allocated to staff on a need-to-know basis and that all live users are current employees.</w:t>
      </w:r>
    </w:p>
    <w:p w14:paraId="2D47AD29" w14:textId="77777777" w:rsidR="00E33004" w:rsidRPr="004D4F46" w:rsidRDefault="00E33004" w:rsidP="004100D8">
      <w:pPr>
        <w:spacing w:line="240" w:lineRule="auto"/>
        <w:ind w:left="993"/>
        <w:jc w:val="both"/>
        <w:rPr>
          <w:bCs/>
          <w:color w:val="auto"/>
        </w:rPr>
      </w:pPr>
      <w:r w:rsidRPr="004D4F46">
        <w:rPr>
          <w:bCs/>
          <w:color w:val="auto"/>
        </w:rPr>
        <w:t xml:space="preserve"> </w:t>
      </w:r>
    </w:p>
    <w:p w14:paraId="31CAD4D0" w14:textId="0375ED02" w:rsidR="00E33004" w:rsidRPr="002E4F0C" w:rsidRDefault="00E33004" w:rsidP="008C1FCC">
      <w:pPr>
        <w:pStyle w:val="ListParagraph"/>
        <w:numPr>
          <w:ilvl w:val="0"/>
          <w:numId w:val="37"/>
        </w:numPr>
        <w:spacing w:line="240" w:lineRule="auto"/>
        <w:ind w:left="993" w:firstLine="0"/>
        <w:rPr>
          <w:bCs/>
          <w:color w:val="auto"/>
          <w:u w:val="single"/>
        </w:rPr>
      </w:pPr>
      <w:r w:rsidRPr="002E4F0C">
        <w:rPr>
          <w:bCs/>
          <w:color w:val="auto"/>
          <w:u w:val="single"/>
        </w:rPr>
        <w:t>Failed Logins</w:t>
      </w:r>
    </w:p>
    <w:p w14:paraId="4D52FE03" w14:textId="77777777" w:rsidR="00E33004" w:rsidRPr="004D4F46" w:rsidRDefault="00E33004" w:rsidP="002E5CD6">
      <w:pPr>
        <w:spacing w:line="240" w:lineRule="auto"/>
        <w:ind w:left="1418"/>
        <w:jc w:val="both"/>
        <w:rPr>
          <w:bCs/>
          <w:color w:val="auto"/>
        </w:rPr>
      </w:pPr>
      <w:r w:rsidRPr="004D4F46">
        <w:rPr>
          <w:bCs/>
          <w:color w:val="auto"/>
        </w:rPr>
        <w:t>Periodically and upon the suspicion of attempted unauthorised access to network folders or an individual system, checks should be made to assess whether unauthorised access has been attempted or obtained. The IT Department would need to assist in the production of reports enable these assessments to be undertaken.</w:t>
      </w:r>
    </w:p>
    <w:p w14:paraId="03E799C0" w14:textId="77777777" w:rsidR="00E33004" w:rsidRPr="004D4F46" w:rsidRDefault="00E33004" w:rsidP="008C1FCC">
      <w:pPr>
        <w:spacing w:line="240" w:lineRule="auto"/>
        <w:ind w:left="993"/>
        <w:rPr>
          <w:bCs/>
          <w:color w:val="auto"/>
        </w:rPr>
      </w:pPr>
    </w:p>
    <w:p w14:paraId="67021A5D" w14:textId="3B7501BE" w:rsidR="00E33004" w:rsidRPr="002E4F0C" w:rsidRDefault="00E33004" w:rsidP="008C1FCC">
      <w:pPr>
        <w:pStyle w:val="ListParagraph"/>
        <w:numPr>
          <w:ilvl w:val="0"/>
          <w:numId w:val="37"/>
        </w:numPr>
        <w:spacing w:line="240" w:lineRule="auto"/>
        <w:ind w:left="993" w:firstLine="0"/>
        <w:rPr>
          <w:bCs/>
          <w:color w:val="auto"/>
          <w:u w:val="single"/>
        </w:rPr>
      </w:pPr>
      <w:r w:rsidRPr="002E4F0C">
        <w:rPr>
          <w:bCs/>
          <w:color w:val="auto"/>
          <w:u w:val="single"/>
        </w:rPr>
        <w:t xml:space="preserve">Monitoring Incidents </w:t>
      </w:r>
    </w:p>
    <w:p w14:paraId="56BA43CA" w14:textId="1E76DAE0" w:rsidR="00E33004" w:rsidRPr="004D4F46" w:rsidRDefault="00E33004" w:rsidP="48C4AA5A">
      <w:pPr>
        <w:spacing w:line="240" w:lineRule="auto"/>
        <w:ind w:left="1418"/>
        <w:jc w:val="both"/>
        <w:rPr>
          <w:color w:val="auto"/>
        </w:rPr>
      </w:pPr>
      <w:r w:rsidRPr="48C4AA5A">
        <w:rPr>
          <w:color w:val="auto"/>
        </w:rPr>
        <w:t>All Information Security and Confidentiality incidents reported must be monitored and investigated and reported to the Information Governance Steering Group</w:t>
      </w:r>
      <w:r w:rsidR="004C08EA">
        <w:rPr>
          <w:color w:val="auto"/>
        </w:rPr>
        <w:t>s</w:t>
      </w:r>
      <w:r w:rsidRPr="48C4AA5A">
        <w:rPr>
          <w:color w:val="auto"/>
        </w:rPr>
        <w:t xml:space="preserve"> this includes potential and actual incidents identified </w:t>
      </w:r>
      <w:proofErr w:type="gramStart"/>
      <w:r w:rsidRPr="48C4AA5A">
        <w:rPr>
          <w:color w:val="auto"/>
        </w:rPr>
        <w:t>as a result of</w:t>
      </w:r>
      <w:proofErr w:type="gramEnd"/>
      <w:r w:rsidRPr="48C4AA5A">
        <w:rPr>
          <w:color w:val="auto"/>
        </w:rPr>
        <w:t xml:space="preserve"> any audit work undertaken.</w:t>
      </w:r>
    </w:p>
    <w:p w14:paraId="42C78CB3" w14:textId="77777777" w:rsidR="00E33004" w:rsidRPr="004D4F46" w:rsidRDefault="00E33004" w:rsidP="008C1FCC">
      <w:pPr>
        <w:spacing w:line="240" w:lineRule="auto"/>
        <w:ind w:left="993"/>
        <w:rPr>
          <w:bCs/>
          <w:color w:val="auto"/>
        </w:rPr>
      </w:pPr>
    </w:p>
    <w:p w14:paraId="7C6D9394" w14:textId="78DA2F22" w:rsidR="00E33004" w:rsidRDefault="00E33004" w:rsidP="008C1FCC">
      <w:pPr>
        <w:spacing w:line="240" w:lineRule="auto"/>
        <w:ind w:left="993"/>
        <w:rPr>
          <w:b/>
          <w:color w:val="auto"/>
        </w:rPr>
      </w:pPr>
      <w:r w:rsidRPr="002E4F0C">
        <w:rPr>
          <w:b/>
          <w:color w:val="auto"/>
        </w:rPr>
        <w:t>Audit Reporting and Follow-up</w:t>
      </w:r>
    </w:p>
    <w:p w14:paraId="12C38BD4" w14:textId="4290BE33" w:rsidR="00E33004" w:rsidRDefault="00E33004" w:rsidP="002E5CD6">
      <w:pPr>
        <w:spacing w:line="240" w:lineRule="auto"/>
        <w:ind w:left="993"/>
        <w:jc w:val="both"/>
        <w:rPr>
          <w:bCs/>
          <w:color w:val="auto"/>
        </w:rPr>
      </w:pPr>
      <w:r w:rsidRPr="004D4F46">
        <w:rPr>
          <w:bCs/>
          <w:color w:val="auto"/>
        </w:rPr>
        <w:t xml:space="preserve">A formal report will be produced detailing the outcome of the audit, recommendations, corrective </w:t>
      </w:r>
      <w:r w:rsidR="00937230" w:rsidRPr="004D4F46">
        <w:rPr>
          <w:bCs/>
          <w:color w:val="auto"/>
        </w:rPr>
        <w:t>action,</w:t>
      </w:r>
      <w:r w:rsidRPr="004D4F46">
        <w:rPr>
          <w:bCs/>
          <w:color w:val="auto"/>
        </w:rPr>
        <w:t xml:space="preserve"> and completion timescales agreed.   These reports will be provided to the SIRO for approval and reported as part of the Data Security Protection Toolkit.</w:t>
      </w:r>
    </w:p>
    <w:p w14:paraId="0335BFAF" w14:textId="77777777" w:rsidR="002E4F0C" w:rsidRPr="004D4F46" w:rsidRDefault="002E4F0C" w:rsidP="002E5CD6">
      <w:pPr>
        <w:spacing w:line="240" w:lineRule="auto"/>
        <w:ind w:left="993"/>
        <w:jc w:val="both"/>
        <w:rPr>
          <w:bCs/>
          <w:color w:val="auto"/>
        </w:rPr>
      </w:pPr>
    </w:p>
    <w:p w14:paraId="72D80F9E" w14:textId="40074868" w:rsidR="00E33004" w:rsidRDefault="00E33004" w:rsidP="002E5CD6">
      <w:pPr>
        <w:spacing w:line="240" w:lineRule="auto"/>
        <w:ind w:left="993"/>
        <w:jc w:val="both"/>
        <w:rPr>
          <w:bCs/>
          <w:color w:val="auto"/>
        </w:rPr>
      </w:pPr>
      <w:r w:rsidRPr="004D4F46">
        <w:rPr>
          <w:bCs/>
          <w:color w:val="auto"/>
        </w:rPr>
        <w:t>Arrangements should be made to follow-up corrective action agreed to ensure appropriate implementation and that where necessary system documentation and procedures are amended accordingly.</w:t>
      </w:r>
    </w:p>
    <w:p w14:paraId="7271A196" w14:textId="77777777" w:rsidR="002E4F0C" w:rsidRPr="004D4F46" w:rsidRDefault="002E4F0C" w:rsidP="002E5CD6">
      <w:pPr>
        <w:spacing w:line="240" w:lineRule="auto"/>
        <w:ind w:left="993"/>
        <w:jc w:val="both"/>
        <w:rPr>
          <w:bCs/>
          <w:color w:val="auto"/>
        </w:rPr>
      </w:pPr>
    </w:p>
    <w:p w14:paraId="3112F69D" w14:textId="77777777" w:rsidR="002E4F0C" w:rsidRDefault="00E33004" w:rsidP="002E5CD6">
      <w:pPr>
        <w:spacing w:line="240" w:lineRule="auto"/>
        <w:ind w:left="993"/>
        <w:jc w:val="both"/>
        <w:rPr>
          <w:bCs/>
          <w:color w:val="auto"/>
        </w:rPr>
      </w:pPr>
      <w:r w:rsidRPr="004D4F46">
        <w:rPr>
          <w:bCs/>
          <w:color w:val="auto"/>
        </w:rPr>
        <w:t>All risks identified must be reported as appropriate on the corporate risk register until such a time as appropriate corrective action is complete. All residual risks must remain on the corporate risk register for management consideration.</w:t>
      </w:r>
    </w:p>
    <w:p w14:paraId="1A624116" w14:textId="77777777" w:rsidR="00EF50DC" w:rsidRDefault="00EF50DC" w:rsidP="002E5CD6">
      <w:pPr>
        <w:spacing w:line="240" w:lineRule="auto"/>
        <w:ind w:left="992"/>
        <w:contextualSpacing/>
        <w:rPr>
          <w:b/>
          <w:color w:val="auto"/>
        </w:rPr>
      </w:pPr>
    </w:p>
    <w:p w14:paraId="44B11599" w14:textId="7BFFAB79" w:rsidR="00E33004" w:rsidRDefault="00E33004" w:rsidP="002E5CD6">
      <w:pPr>
        <w:spacing w:line="240" w:lineRule="auto"/>
        <w:ind w:left="992"/>
        <w:contextualSpacing/>
        <w:rPr>
          <w:b/>
          <w:color w:val="auto"/>
        </w:rPr>
      </w:pPr>
      <w:r w:rsidRPr="002E4F0C">
        <w:rPr>
          <w:b/>
          <w:color w:val="auto"/>
        </w:rPr>
        <w:t>Audit Closure</w:t>
      </w:r>
    </w:p>
    <w:p w14:paraId="56DAEEA4" w14:textId="353B0FC5" w:rsidR="002E4F0C" w:rsidRDefault="00E33004" w:rsidP="008C1FCC">
      <w:pPr>
        <w:spacing w:line="240" w:lineRule="auto"/>
        <w:ind w:left="993"/>
        <w:rPr>
          <w:bCs/>
          <w:color w:val="auto"/>
        </w:rPr>
      </w:pPr>
      <w:r w:rsidRPr="004D4F46">
        <w:rPr>
          <w:bCs/>
          <w:color w:val="auto"/>
        </w:rPr>
        <w:lastRenderedPageBreak/>
        <w:t>Once the corrective action has been implemented and checked the audit can be formally closed.</w:t>
      </w:r>
    </w:p>
    <w:p w14:paraId="3793D13D" w14:textId="77777777" w:rsidR="007A1120" w:rsidRDefault="007A1120">
      <w:pPr>
        <w:spacing w:line="240" w:lineRule="auto"/>
        <w:rPr>
          <w:bCs/>
          <w:color w:val="auto"/>
        </w:rPr>
        <w:sectPr w:rsidR="007A1120" w:rsidSect="004F3CD4">
          <w:headerReference w:type="even" r:id="rId20"/>
          <w:headerReference w:type="default" r:id="rId21"/>
          <w:footerReference w:type="default" r:id="rId22"/>
          <w:headerReference w:type="first" r:id="rId23"/>
          <w:footerReference w:type="first" r:id="rId24"/>
          <w:pgSz w:w="11906" w:h="16838"/>
          <w:pgMar w:top="720" w:right="720" w:bottom="720" w:left="720" w:header="709" w:footer="709" w:gutter="0"/>
          <w:cols w:space="708"/>
          <w:titlePg/>
          <w:docGrid w:linePitch="360"/>
        </w:sectPr>
      </w:pPr>
    </w:p>
    <w:p w14:paraId="365A7E5B" w14:textId="75419975" w:rsidR="00DD4278" w:rsidRDefault="00DD4278" w:rsidP="00EA5B4C">
      <w:pPr>
        <w:pStyle w:val="Heading1"/>
        <w:numPr>
          <w:ilvl w:val="0"/>
          <w:numId w:val="0"/>
        </w:numPr>
        <w:ind w:left="858" w:hanging="432"/>
      </w:pPr>
      <w:bookmarkStart w:id="25" w:name="_Toc103588901"/>
      <w:bookmarkStart w:id="26" w:name="_Toc130985158"/>
      <w:r w:rsidRPr="001C6E6F">
        <w:lastRenderedPageBreak/>
        <w:t>A</w:t>
      </w:r>
      <w:r w:rsidR="00DB268D">
        <w:t>ppendix 3</w:t>
      </w:r>
      <w:r w:rsidRPr="001C6E6F">
        <w:t xml:space="preserve"> – </w:t>
      </w:r>
      <w:bookmarkEnd w:id="25"/>
      <w:r w:rsidR="005F338D">
        <w:t>Safe Haven Checklist</w:t>
      </w:r>
      <w:bookmarkEnd w:id="26"/>
    </w:p>
    <w:tbl>
      <w:tblPr>
        <w:tblStyle w:val="TableGrid2"/>
        <w:tblW w:w="15593" w:type="dxa"/>
        <w:tblInd w:w="-459" w:type="dxa"/>
        <w:tblLayout w:type="fixed"/>
        <w:tblLook w:val="01E0" w:firstRow="1" w:lastRow="1" w:firstColumn="1" w:lastColumn="1" w:noHBand="0" w:noVBand="0"/>
      </w:tblPr>
      <w:tblGrid>
        <w:gridCol w:w="1237"/>
        <w:gridCol w:w="4008"/>
        <w:gridCol w:w="3544"/>
        <w:gridCol w:w="1276"/>
        <w:gridCol w:w="3969"/>
        <w:gridCol w:w="1559"/>
      </w:tblGrid>
      <w:tr w:rsidR="00C81349" w:rsidRPr="00C81349" w14:paraId="60C84830" w14:textId="77777777" w:rsidTr="48C4AA5A">
        <w:trPr>
          <w:tblHeader/>
        </w:trPr>
        <w:tc>
          <w:tcPr>
            <w:tcW w:w="1237" w:type="dxa"/>
            <w:tcBorders>
              <w:top w:val="single" w:sz="4" w:space="0" w:color="auto"/>
              <w:left w:val="single" w:sz="4" w:space="0" w:color="auto"/>
              <w:bottom w:val="single" w:sz="4" w:space="0" w:color="auto"/>
              <w:right w:val="single" w:sz="4" w:space="0" w:color="auto"/>
            </w:tcBorders>
            <w:hideMark/>
          </w:tcPr>
          <w:p w14:paraId="3AD3C3CB"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No.</w:t>
            </w:r>
          </w:p>
        </w:tc>
        <w:tc>
          <w:tcPr>
            <w:tcW w:w="4008" w:type="dxa"/>
            <w:tcBorders>
              <w:top w:val="single" w:sz="4" w:space="0" w:color="auto"/>
              <w:left w:val="single" w:sz="4" w:space="0" w:color="auto"/>
              <w:bottom w:val="single" w:sz="4" w:space="0" w:color="auto"/>
              <w:right w:val="single" w:sz="4" w:space="0" w:color="auto"/>
            </w:tcBorders>
            <w:hideMark/>
          </w:tcPr>
          <w:p w14:paraId="690B1DEF" w14:textId="77777777" w:rsidR="00C81349" w:rsidRPr="00C81349" w:rsidRDefault="00C81349" w:rsidP="00C81349">
            <w:pPr>
              <w:spacing w:after="160" w:line="259" w:lineRule="auto"/>
              <w:ind w:left="-69" w:right="26"/>
              <w:jc w:val="center"/>
              <w:rPr>
                <w:rFonts w:ascii="Arial" w:hAnsi="Arial" w:cs="Arial"/>
                <w:b/>
                <w:sz w:val="24"/>
                <w:szCs w:val="24"/>
              </w:rPr>
            </w:pPr>
            <w:r w:rsidRPr="00C81349">
              <w:rPr>
                <w:rFonts w:ascii="Arial" w:hAnsi="Arial" w:cs="Arial"/>
                <w:b/>
                <w:sz w:val="24"/>
                <w:szCs w:val="24"/>
              </w:rPr>
              <w:t>Guidance</w:t>
            </w:r>
          </w:p>
        </w:tc>
        <w:tc>
          <w:tcPr>
            <w:tcW w:w="3544" w:type="dxa"/>
            <w:tcBorders>
              <w:top w:val="single" w:sz="4" w:space="0" w:color="auto"/>
              <w:left w:val="single" w:sz="4" w:space="0" w:color="auto"/>
              <w:bottom w:val="single" w:sz="4" w:space="0" w:color="auto"/>
              <w:right w:val="single" w:sz="4" w:space="0" w:color="auto"/>
            </w:tcBorders>
          </w:tcPr>
          <w:p w14:paraId="6A8835D5" w14:textId="77777777" w:rsidR="00C81349" w:rsidRPr="00C81349" w:rsidRDefault="00C81349" w:rsidP="00C81349">
            <w:pPr>
              <w:spacing w:after="160" w:line="259" w:lineRule="auto"/>
              <w:ind w:left="-108" w:right="26"/>
              <w:jc w:val="center"/>
              <w:rPr>
                <w:rFonts w:ascii="Arial" w:hAnsi="Arial" w:cs="Arial"/>
                <w:b/>
                <w:i/>
                <w:sz w:val="24"/>
                <w:szCs w:val="24"/>
              </w:rPr>
            </w:pPr>
            <w:r w:rsidRPr="00C81349">
              <w:rPr>
                <w:rFonts w:ascii="Arial" w:hAnsi="Arial" w:cs="Arial"/>
                <w:b/>
                <w:i/>
                <w:sz w:val="24"/>
                <w:szCs w:val="24"/>
              </w:rPr>
              <w:t>Current departmental process</w:t>
            </w:r>
          </w:p>
        </w:tc>
        <w:tc>
          <w:tcPr>
            <w:tcW w:w="1276" w:type="dxa"/>
            <w:tcBorders>
              <w:top w:val="single" w:sz="4" w:space="0" w:color="auto"/>
              <w:left w:val="single" w:sz="4" w:space="0" w:color="auto"/>
              <w:bottom w:val="single" w:sz="4" w:space="0" w:color="auto"/>
              <w:right w:val="single" w:sz="4" w:space="0" w:color="auto"/>
            </w:tcBorders>
            <w:hideMark/>
          </w:tcPr>
          <w:p w14:paraId="06862EAF" w14:textId="77777777" w:rsidR="00C81349" w:rsidRPr="00C81349" w:rsidRDefault="00C81349" w:rsidP="00C81349">
            <w:pPr>
              <w:spacing w:after="160" w:line="259" w:lineRule="auto"/>
              <w:ind w:left="-108" w:right="26"/>
              <w:jc w:val="center"/>
              <w:rPr>
                <w:rFonts w:ascii="Arial" w:hAnsi="Arial" w:cs="Arial"/>
                <w:b/>
                <w:sz w:val="24"/>
                <w:szCs w:val="24"/>
              </w:rPr>
            </w:pPr>
            <w:r w:rsidRPr="00C81349">
              <w:rPr>
                <w:rFonts w:ascii="Arial" w:hAnsi="Arial" w:cs="Arial"/>
                <w:b/>
                <w:sz w:val="24"/>
                <w:szCs w:val="24"/>
              </w:rPr>
              <w:t>Adequate YES/NO</w:t>
            </w:r>
          </w:p>
        </w:tc>
        <w:tc>
          <w:tcPr>
            <w:tcW w:w="3969" w:type="dxa"/>
            <w:tcBorders>
              <w:top w:val="single" w:sz="4" w:space="0" w:color="auto"/>
              <w:left w:val="single" w:sz="4" w:space="0" w:color="auto"/>
              <w:bottom w:val="single" w:sz="4" w:space="0" w:color="auto"/>
              <w:right w:val="single" w:sz="4" w:space="0" w:color="auto"/>
            </w:tcBorders>
            <w:hideMark/>
          </w:tcPr>
          <w:p w14:paraId="64B99E2D" w14:textId="77777777" w:rsidR="00C81349" w:rsidRPr="00C81349" w:rsidRDefault="00C81349" w:rsidP="00C81349">
            <w:pPr>
              <w:spacing w:after="160" w:line="259" w:lineRule="auto"/>
              <w:ind w:left="-108" w:right="26"/>
              <w:jc w:val="center"/>
              <w:rPr>
                <w:rFonts w:ascii="Arial" w:hAnsi="Arial" w:cs="Arial"/>
                <w:b/>
                <w:sz w:val="24"/>
                <w:szCs w:val="24"/>
              </w:rPr>
            </w:pPr>
            <w:r w:rsidRPr="00C81349">
              <w:rPr>
                <w:rFonts w:ascii="Arial" w:hAnsi="Arial" w:cs="Arial"/>
                <w:b/>
                <w:sz w:val="24"/>
                <w:szCs w:val="24"/>
              </w:rPr>
              <w:t>Corrective action identified (Where Applicable)</w:t>
            </w:r>
          </w:p>
        </w:tc>
        <w:tc>
          <w:tcPr>
            <w:tcW w:w="1559" w:type="dxa"/>
            <w:tcBorders>
              <w:top w:val="single" w:sz="4" w:space="0" w:color="auto"/>
              <w:left w:val="single" w:sz="4" w:space="0" w:color="auto"/>
              <w:bottom w:val="single" w:sz="4" w:space="0" w:color="auto"/>
              <w:right w:val="single" w:sz="4" w:space="0" w:color="auto"/>
            </w:tcBorders>
            <w:hideMark/>
          </w:tcPr>
          <w:p w14:paraId="3FF623CD" w14:textId="77777777" w:rsidR="00C81349" w:rsidRPr="00C81349" w:rsidRDefault="00C81349" w:rsidP="00C81349">
            <w:pPr>
              <w:spacing w:after="160" w:line="259" w:lineRule="auto"/>
              <w:ind w:left="33" w:right="26"/>
              <w:jc w:val="center"/>
              <w:rPr>
                <w:rFonts w:ascii="Arial" w:hAnsi="Arial" w:cs="Arial"/>
                <w:b/>
                <w:sz w:val="24"/>
                <w:szCs w:val="24"/>
              </w:rPr>
            </w:pPr>
            <w:r w:rsidRPr="00C81349">
              <w:rPr>
                <w:rFonts w:ascii="Arial" w:hAnsi="Arial" w:cs="Arial"/>
                <w:b/>
                <w:sz w:val="24"/>
                <w:szCs w:val="24"/>
              </w:rPr>
              <w:t>Action Date and officer nominated</w:t>
            </w:r>
          </w:p>
        </w:tc>
      </w:tr>
      <w:tr w:rsidR="00C81349" w:rsidRPr="00C81349" w14:paraId="7DC5F853"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635AC"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General Security</w:t>
            </w:r>
          </w:p>
        </w:tc>
      </w:tr>
      <w:tr w:rsidR="00C81349" w:rsidRPr="00C81349" w14:paraId="29122F8F" w14:textId="77777777" w:rsidTr="48C4AA5A">
        <w:tc>
          <w:tcPr>
            <w:tcW w:w="1237" w:type="dxa"/>
            <w:tcBorders>
              <w:top w:val="single" w:sz="4" w:space="0" w:color="auto"/>
              <w:left w:val="single" w:sz="4" w:space="0" w:color="auto"/>
              <w:bottom w:val="single" w:sz="4" w:space="0" w:color="auto"/>
              <w:right w:val="single" w:sz="4" w:space="0" w:color="auto"/>
            </w:tcBorders>
            <w:hideMark/>
          </w:tcPr>
          <w:p w14:paraId="2ED47746"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27F07A4B"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The area should be separated from the public and unauthorised personnel by appropriate access controls when unmanned, e.g., locked doors and all personal and corporate confidential information should be locked away.</w:t>
            </w:r>
          </w:p>
          <w:p w14:paraId="4F905C1F"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In the event visitors require access to office areas they should be requested to sign in, and then be met and escorted as appropriate.</w:t>
            </w:r>
          </w:p>
        </w:tc>
        <w:tc>
          <w:tcPr>
            <w:tcW w:w="3544" w:type="dxa"/>
            <w:tcBorders>
              <w:top w:val="single" w:sz="4" w:space="0" w:color="auto"/>
              <w:left w:val="single" w:sz="4" w:space="0" w:color="auto"/>
              <w:bottom w:val="single" w:sz="4" w:space="0" w:color="auto"/>
              <w:right w:val="single" w:sz="4" w:space="0" w:color="auto"/>
            </w:tcBorders>
          </w:tcPr>
          <w:p w14:paraId="702AF909" w14:textId="77777777" w:rsidR="00C81349" w:rsidRPr="00C81349" w:rsidRDefault="00C81349" w:rsidP="00C81349">
            <w:pPr>
              <w:spacing w:after="160" w:line="259" w:lineRule="auto"/>
              <w:ind w:left="426" w:right="26"/>
              <w:jc w:val="both"/>
              <w:rPr>
                <w:rFonts w:ascii="Arial" w:hAnsi="Arial" w:cs="Arial"/>
                <w:b/>
                <w:i/>
                <w:color w:val="0070C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A0BE10" w14:textId="77777777" w:rsidR="00C81349" w:rsidRPr="00C81349" w:rsidRDefault="00C81349" w:rsidP="00C81349">
            <w:pPr>
              <w:spacing w:after="160" w:line="259" w:lineRule="auto"/>
              <w:ind w:left="426" w:right="26"/>
              <w:jc w:val="center"/>
              <w:rPr>
                <w:rFonts w:ascii="Arial" w:hAnsi="Arial" w:cs="Arial"/>
                <w:b/>
                <w:color w:val="0070C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0A845F4" w14:textId="77777777" w:rsidR="00C81349" w:rsidRPr="00C81349" w:rsidRDefault="00C81349" w:rsidP="00C81349">
            <w:pPr>
              <w:spacing w:after="160" w:line="259" w:lineRule="auto"/>
              <w:ind w:left="426" w:right="26"/>
              <w:jc w:val="both"/>
              <w:rPr>
                <w:rFonts w:ascii="Arial" w:hAnsi="Arial" w:cs="Arial"/>
                <w:b/>
                <w:color w:val="0070C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9068D2" w14:textId="77777777" w:rsidR="00C81349" w:rsidRPr="00C81349" w:rsidRDefault="00C81349" w:rsidP="00C81349">
            <w:pPr>
              <w:spacing w:after="160" w:line="259" w:lineRule="auto"/>
              <w:ind w:left="426" w:right="26"/>
              <w:jc w:val="center"/>
              <w:rPr>
                <w:rFonts w:ascii="Arial" w:hAnsi="Arial" w:cs="Arial"/>
                <w:b/>
                <w:color w:val="0070C0"/>
                <w:sz w:val="24"/>
                <w:szCs w:val="24"/>
              </w:rPr>
            </w:pPr>
          </w:p>
        </w:tc>
      </w:tr>
      <w:tr w:rsidR="00C81349" w:rsidRPr="00C81349" w14:paraId="5B21450E" w14:textId="77777777" w:rsidTr="48C4AA5A">
        <w:tc>
          <w:tcPr>
            <w:tcW w:w="1237" w:type="dxa"/>
            <w:tcBorders>
              <w:top w:val="single" w:sz="4" w:space="0" w:color="auto"/>
              <w:left w:val="single" w:sz="4" w:space="0" w:color="auto"/>
              <w:bottom w:val="single" w:sz="4" w:space="0" w:color="auto"/>
              <w:right w:val="single" w:sz="4" w:space="0" w:color="auto"/>
            </w:tcBorders>
          </w:tcPr>
          <w:p w14:paraId="39B750C0"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48A19A62"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The area should be protected by appropriate alarm and security systems </w:t>
            </w:r>
          </w:p>
        </w:tc>
        <w:tc>
          <w:tcPr>
            <w:tcW w:w="3544" w:type="dxa"/>
            <w:tcBorders>
              <w:top w:val="single" w:sz="4" w:space="0" w:color="auto"/>
              <w:left w:val="single" w:sz="4" w:space="0" w:color="auto"/>
              <w:bottom w:val="single" w:sz="4" w:space="0" w:color="auto"/>
              <w:right w:val="single" w:sz="4" w:space="0" w:color="auto"/>
            </w:tcBorders>
          </w:tcPr>
          <w:p w14:paraId="7AAC8A20" w14:textId="77777777" w:rsidR="00C81349" w:rsidRPr="00C81349" w:rsidRDefault="00C81349" w:rsidP="00C81349">
            <w:pPr>
              <w:spacing w:after="160" w:line="259" w:lineRule="auto"/>
              <w:ind w:left="426" w:right="26"/>
              <w:jc w:val="both"/>
              <w:rPr>
                <w:rFonts w:ascii="Arial" w:hAnsi="Arial" w:cs="Arial"/>
                <w:b/>
                <w:i/>
                <w:color w:val="0070C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3BD660" w14:textId="77777777" w:rsidR="00C81349" w:rsidRPr="00C81349" w:rsidRDefault="00C81349" w:rsidP="00C81349">
            <w:pPr>
              <w:spacing w:after="160" w:line="259" w:lineRule="auto"/>
              <w:ind w:left="426" w:right="26"/>
              <w:jc w:val="center"/>
              <w:rPr>
                <w:rFonts w:ascii="Arial" w:hAnsi="Arial" w:cs="Arial"/>
                <w:b/>
                <w:color w:val="0070C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A9BF851" w14:textId="77777777" w:rsidR="00C81349" w:rsidRPr="00C81349" w:rsidRDefault="00C81349" w:rsidP="00C81349">
            <w:pPr>
              <w:spacing w:after="160" w:line="259" w:lineRule="auto"/>
              <w:ind w:left="426" w:right="26"/>
              <w:jc w:val="both"/>
              <w:rPr>
                <w:rFonts w:ascii="Arial" w:hAnsi="Arial" w:cs="Arial"/>
                <w:b/>
                <w:color w:val="0070C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92144B" w14:textId="77777777" w:rsidR="00C81349" w:rsidRPr="00C81349" w:rsidRDefault="00C81349" w:rsidP="00C81349">
            <w:pPr>
              <w:spacing w:after="160" w:line="259" w:lineRule="auto"/>
              <w:ind w:left="426" w:right="26"/>
              <w:jc w:val="center"/>
              <w:rPr>
                <w:rFonts w:ascii="Arial" w:hAnsi="Arial" w:cs="Arial"/>
                <w:b/>
                <w:color w:val="0070C0"/>
                <w:sz w:val="24"/>
                <w:szCs w:val="24"/>
              </w:rPr>
            </w:pPr>
          </w:p>
        </w:tc>
      </w:tr>
      <w:tr w:rsidR="00C81349" w:rsidRPr="00C81349" w14:paraId="6A0E42B5" w14:textId="77777777" w:rsidTr="48C4AA5A">
        <w:tc>
          <w:tcPr>
            <w:tcW w:w="1237" w:type="dxa"/>
            <w:tcBorders>
              <w:top w:val="single" w:sz="4" w:space="0" w:color="auto"/>
              <w:left w:val="single" w:sz="4" w:space="0" w:color="auto"/>
              <w:bottom w:val="single" w:sz="4" w:space="0" w:color="auto"/>
              <w:right w:val="single" w:sz="4" w:space="0" w:color="auto"/>
            </w:tcBorders>
          </w:tcPr>
          <w:p w14:paraId="266312B0" w14:textId="77777777" w:rsidR="00C81349" w:rsidRPr="00C81349" w:rsidRDefault="00C81349" w:rsidP="00C81349">
            <w:pPr>
              <w:spacing w:after="160" w:line="259" w:lineRule="auto"/>
              <w:ind w:left="426" w:right="26"/>
              <w:jc w:val="center"/>
              <w:rPr>
                <w:rFonts w:ascii="Arial" w:hAnsi="Arial" w:cs="Arial"/>
                <w:b/>
                <w:color w:val="0070C0"/>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41D0B34B"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Personal Confidential Data (PCD) and Corporate Confidential Information should be secured away when not in use, in a formal secure filing system i.e., Clear desk policy</w:t>
            </w:r>
          </w:p>
        </w:tc>
        <w:tc>
          <w:tcPr>
            <w:tcW w:w="3544" w:type="dxa"/>
            <w:tcBorders>
              <w:top w:val="single" w:sz="4" w:space="0" w:color="auto"/>
              <w:left w:val="single" w:sz="4" w:space="0" w:color="auto"/>
              <w:bottom w:val="single" w:sz="4" w:space="0" w:color="auto"/>
              <w:right w:val="single" w:sz="4" w:space="0" w:color="auto"/>
            </w:tcBorders>
          </w:tcPr>
          <w:p w14:paraId="7E7B176A" w14:textId="77777777" w:rsidR="00C81349" w:rsidRPr="00C81349" w:rsidRDefault="00C81349" w:rsidP="00C81349">
            <w:pPr>
              <w:spacing w:after="160" w:line="259" w:lineRule="auto"/>
              <w:ind w:left="426" w:right="26"/>
              <w:jc w:val="both"/>
              <w:rPr>
                <w:rFonts w:ascii="Arial" w:hAnsi="Arial" w:cs="Arial"/>
                <w:b/>
                <w:i/>
                <w:color w:val="0070C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3E2F2C" w14:textId="77777777" w:rsidR="00C81349" w:rsidRPr="00C81349" w:rsidRDefault="00C81349" w:rsidP="00C81349">
            <w:pPr>
              <w:spacing w:after="160" w:line="259" w:lineRule="auto"/>
              <w:ind w:left="426" w:right="26"/>
              <w:jc w:val="center"/>
              <w:rPr>
                <w:rFonts w:ascii="Arial" w:hAnsi="Arial" w:cs="Arial"/>
                <w:b/>
                <w:color w:val="0070C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3A499F5" w14:textId="77777777" w:rsidR="00C81349" w:rsidRPr="00C81349" w:rsidRDefault="00C81349" w:rsidP="00C81349">
            <w:pPr>
              <w:spacing w:after="160" w:line="259" w:lineRule="auto"/>
              <w:ind w:left="426" w:right="26"/>
              <w:jc w:val="both"/>
              <w:rPr>
                <w:rFonts w:ascii="Arial" w:hAnsi="Arial" w:cs="Arial"/>
                <w:b/>
                <w:color w:val="0070C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B2FFDB" w14:textId="77777777" w:rsidR="00C81349" w:rsidRPr="00C81349" w:rsidRDefault="00C81349" w:rsidP="00C81349">
            <w:pPr>
              <w:spacing w:after="160" w:line="259" w:lineRule="auto"/>
              <w:ind w:left="426" w:right="26"/>
              <w:jc w:val="center"/>
              <w:rPr>
                <w:rFonts w:ascii="Arial" w:hAnsi="Arial" w:cs="Arial"/>
                <w:b/>
                <w:color w:val="0070C0"/>
                <w:sz w:val="24"/>
                <w:szCs w:val="24"/>
              </w:rPr>
            </w:pPr>
          </w:p>
        </w:tc>
      </w:tr>
      <w:tr w:rsidR="00C81349" w:rsidRPr="00C81349" w14:paraId="3109FF88" w14:textId="77777777" w:rsidTr="48C4AA5A">
        <w:tc>
          <w:tcPr>
            <w:tcW w:w="1237" w:type="dxa"/>
            <w:tcBorders>
              <w:top w:val="single" w:sz="4" w:space="0" w:color="auto"/>
              <w:left w:val="single" w:sz="4" w:space="0" w:color="auto"/>
              <w:bottom w:val="single" w:sz="4" w:space="0" w:color="auto"/>
              <w:right w:val="single" w:sz="4" w:space="0" w:color="auto"/>
            </w:tcBorders>
          </w:tcPr>
          <w:p w14:paraId="402204E7" w14:textId="77777777" w:rsidR="00C81349" w:rsidRPr="00C81349" w:rsidRDefault="00C81349" w:rsidP="00C81349">
            <w:pPr>
              <w:spacing w:after="160" w:line="259" w:lineRule="auto"/>
              <w:ind w:left="426" w:right="26"/>
              <w:jc w:val="center"/>
              <w:rPr>
                <w:rFonts w:ascii="Arial" w:hAnsi="Arial" w:cs="Arial"/>
                <w:b/>
                <w:color w:val="0070C0"/>
                <w:sz w:val="24"/>
                <w:szCs w:val="24"/>
              </w:rPr>
            </w:pPr>
            <w:r w:rsidRPr="00C81349">
              <w:rPr>
                <w:rFonts w:ascii="Arial" w:hAnsi="Arial" w:cs="Arial"/>
                <w:b/>
                <w:sz w:val="24"/>
                <w:szCs w:val="24"/>
              </w:rPr>
              <w:lastRenderedPageBreak/>
              <w:t>4</w:t>
            </w:r>
          </w:p>
        </w:tc>
        <w:tc>
          <w:tcPr>
            <w:tcW w:w="4008" w:type="dxa"/>
            <w:tcBorders>
              <w:top w:val="single" w:sz="4" w:space="0" w:color="auto"/>
              <w:left w:val="single" w:sz="4" w:space="0" w:color="auto"/>
              <w:bottom w:val="single" w:sz="4" w:space="0" w:color="auto"/>
              <w:right w:val="single" w:sz="4" w:space="0" w:color="auto"/>
            </w:tcBorders>
            <w:hideMark/>
          </w:tcPr>
          <w:p w14:paraId="7422E203"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Staff should be aware that the area must be secured if it is to be left unattended. </w:t>
            </w:r>
          </w:p>
        </w:tc>
        <w:tc>
          <w:tcPr>
            <w:tcW w:w="3544" w:type="dxa"/>
            <w:tcBorders>
              <w:top w:val="single" w:sz="4" w:space="0" w:color="auto"/>
              <w:left w:val="single" w:sz="4" w:space="0" w:color="auto"/>
              <w:bottom w:val="single" w:sz="4" w:space="0" w:color="auto"/>
              <w:right w:val="single" w:sz="4" w:space="0" w:color="auto"/>
            </w:tcBorders>
          </w:tcPr>
          <w:p w14:paraId="794593F5" w14:textId="77777777" w:rsidR="00C81349" w:rsidRPr="00C81349" w:rsidRDefault="00C81349" w:rsidP="00C81349">
            <w:pPr>
              <w:spacing w:after="160" w:line="259" w:lineRule="auto"/>
              <w:ind w:left="426" w:right="26"/>
              <w:jc w:val="both"/>
              <w:rPr>
                <w:rFonts w:ascii="Arial" w:hAnsi="Arial" w:cs="Arial"/>
                <w:b/>
                <w:i/>
                <w:color w:val="0070C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4A1C68" w14:textId="77777777" w:rsidR="00C81349" w:rsidRPr="00C81349" w:rsidRDefault="00C81349" w:rsidP="00C81349">
            <w:pPr>
              <w:spacing w:after="160" w:line="259" w:lineRule="auto"/>
              <w:ind w:left="426" w:right="26"/>
              <w:jc w:val="center"/>
              <w:rPr>
                <w:rFonts w:ascii="Arial" w:hAnsi="Arial" w:cs="Arial"/>
                <w:b/>
                <w:color w:val="0070C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F30AC1B" w14:textId="77777777" w:rsidR="00C81349" w:rsidRPr="00C81349" w:rsidRDefault="00C81349" w:rsidP="00C81349">
            <w:pPr>
              <w:spacing w:after="160" w:line="259" w:lineRule="auto"/>
              <w:ind w:left="426" w:right="26"/>
              <w:jc w:val="both"/>
              <w:rPr>
                <w:rFonts w:ascii="Arial" w:hAnsi="Arial" w:cs="Arial"/>
                <w:b/>
                <w:color w:val="0070C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47580F" w14:textId="77777777" w:rsidR="00C81349" w:rsidRPr="00C81349" w:rsidRDefault="00C81349" w:rsidP="00C81349">
            <w:pPr>
              <w:spacing w:after="160" w:line="259" w:lineRule="auto"/>
              <w:ind w:left="426" w:right="26"/>
              <w:jc w:val="center"/>
              <w:rPr>
                <w:rFonts w:ascii="Arial" w:hAnsi="Arial" w:cs="Arial"/>
                <w:b/>
                <w:color w:val="0070C0"/>
                <w:sz w:val="24"/>
                <w:szCs w:val="24"/>
              </w:rPr>
            </w:pPr>
          </w:p>
        </w:tc>
      </w:tr>
      <w:tr w:rsidR="00C81349" w:rsidRPr="00C81349" w14:paraId="7C9657B3" w14:textId="77777777" w:rsidTr="48C4AA5A">
        <w:tc>
          <w:tcPr>
            <w:tcW w:w="1237" w:type="dxa"/>
            <w:tcBorders>
              <w:top w:val="single" w:sz="4" w:space="0" w:color="auto"/>
              <w:left w:val="single" w:sz="4" w:space="0" w:color="auto"/>
              <w:bottom w:val="single" w:sz="4" w:space="0" w:color="auto"/>
              <w:right w:val="single" w:sz="4" w:space="0" w:color="auto"/>
            </w:tcBorders>
          </w:tcPr>
          <w:p w14:paraId="679CD434"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5</w:t>
            </w:r>
          </w:p>
        </w:tc>
        <w:tc>
          <w:tcPr>
            <w:tcW w:w="4008" w:type="dxa"/>
            <w:tcBorders>
              <w:top w:val="single" w:sz="4" w:space="0" w:color="auto"/>
              <w:left w:val="single" w:sz="4" w:space="0" w:color="auto"/>
              <w:bottom w:val="single" w:sz="4" w:space="0" w:color="auto"/>
              <w:right w:val="single" w:sz="4" w:space="0" w:color="auto"/>
            </w:tcBorders>
            <w:hideMark/>
          </w:tcPr>
          <w:p w14:paraId="0685B9E4"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Where keypad locks are in place the codes should be changed on a regular basis, e.g., quarterly.</w:t>
            </w:r>
          </w:p>
        </w:tc>
        <w:tc>
          <w:tcPr>
            <w:tcW w:w="3544" w:type="dxa"/>
            <w:tcBorders>
              <w:top w:val="single" w:sz="4" w:space="0" w:color="auto"/>
              <w:left w:val="single" w:sz="4" w:space="0" w:color="auto"/>
              <w:bottom w:val="single" w:sz="4" w:space="0" w:color="auto"/>
              <w:right w:val="single" w:sz="4" w:space="0" w:color="auto"/>
            </w:tcBorders>
          </w:tcPr>
          <w:p w14:paraId="533921FD"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D9CFA9" w14:textId="77777777" w:rsidR="00C81349" w:rsidRPr="00C81349" w:rsidRDefault="00C81349" w:rsidP="00C81349">
            <w:pPr>
              <w:spacing w:after="160" w:line="259" w:lineRule="auto"/>
              <w:ind w:left="426" w:right="26"/>
              <w:jc w:val="center"/>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C005DB0"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516F3DE"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177E694A"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F55E1"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 xml:space="preserve">Security of Manual Records </w:t>
            </w:r>
          </w:p>
        </w:tc>
      </w:tr>
      <w:tr w:rsidR="00C81349" w:rsidRPr="00C81349" w14:paraId="6F193CD2" w14:textId="77777777" w:rsidTr="48C4AA5A">
        <w:tc>
          <w:tcPr>
            <w:tcW w:w="1237" w:type="dxa"/>
            <w:tcBorders>
              <w:top w:val="single" w:sz="4" w:space="0" w:color="auto"/>
              <w:left w:val="single" w:sz="4" w:space="0" w:color="auto"/>
              <w:bottom w:val="single" w:sz="4" w:space="0" w:color="auto"/>
              <w:right w:val="single" w:sz="4" w:space="0" w:color="auto"/>
            </w:tcBorders>
          </w:tcPr>
          <w:p w14:paraId="6799F979"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19047CA3"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Access to information must be restricted on a need-to-know basis appropriate to the staff members job role, this applies to all formats e.g., written records, photos, etc. </w:t>
            </w:r>
          </w:p>
        </w:tc>
        <w:tc>
          <w:tcPr>
            <w:tcW w:w="3544" w:type="dxa"/>
            <w:tcBorders>
              <w:top w:val="single" w:sz="4" w:space="0" w:color="auto"/>
              <w:left w:val="single" w:sz="4" w:space="0" w:color="auto"/>
              <w:bottom w:val="single" w:sz="4" w:space="0" w:color="auto"/>
              <w:right w:val="single" w:sz="4" w:space="0" w:color="auto"/>
            </w:tcBorders>
          </w:tcPr>
          <w:p w14:paraId="5C2E3F59"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4113C4" w14:textId="77777777" w:rsidR="00C81349" w:rsidRPr="00C81349" w:rsidRDefault="00C81349" w:rsidP="00C81349">
            <w:pPr>
              <w:spacing w:after="160" w:line="259" w:lineRule="auto"/>
              <w:ind w:left="426" w:right="26"/>
              <w:jc w:val="center"/>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CA04F9F"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1B65B3"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4261C26F" w14:textId="77777777" w:rsidTr="48C4AA5A">
        <w:tc>
          <w:tcPr>
            <w:tcW w:w="1237" w:type="dxa"/>
            <w:tcBorders>
              <w:top w:val="single" w:sz="4" w:space="0" w:color="auto"/>
              <w:left w:val="single" w:sz="4" w:space="0" w:color="auto"/>
              <w:bottom w:val="single" w:sz="4" w:space="0" w:color="auto"/>
              <w:right w:val="single" w:sz="4" w:space="0" w:color="auto"/>
            </w:tcBorders>
          </w:tcPr>
          <w:p w14:paraId="363F385B"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3261BC79"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All types of files containing (PCD) should be held securely when not in use, e.g., filing cabinets / drawers and computers are locked.</w:t>
            </w:r>
          </w:p>
        </w:tc>
        <w:tc>
          <w:tcPr>
            <w:tcW w:w="3544" w:type="dxa"/>
            <w:tcBorders>
              <w:top w:val="single" w:sz="4" w:space="0" w:color="auto"/>
              <w:left w:val="single" w:sz="4" w:space="0" w:color="auto"/>
              <w:bottom w:val="single" w:sz="4" w:space="0" w:color="auto"/>
              <w:right w:val="single" w:sz="4" w:space="0" w:color="auto"/>
            </w:tcBorders>
          </w:tcPr>
          <w:p w14:paraId="6A883762"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C1AB1B" w14:textId="77777777" w:rsidR="00C81349" w:rsidRPr="00C81349" w:rsidRDefault="00C81349" w:rsidP="00C81349">
            <w:pPr>
              <w:spacing w:after="160" w:line="259" w:lineRule="auto"/>
              <w:ind w:left="426" w:right="26"/>
              <w:jc w:val="center"/>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ECDF1FD"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C9662E"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71407BA9" w14:textId="77777777" w:rsidTr="48C4AA5A">
        <w:tc>
          <w:tcPr>
            <w:tcW w:w="1237" w:type="dxa"/>
            <w:tcBorders>
              <w:top w:val="single" w:sz="4" w:space="0" w:color="auto"/>
              <w:left w:val="single" w:sz="4" w:space="0" w:color="auto"/>
              <w:bottom w:val="single" w:sz="4" w:space="0" w:color="auto"/>
              <w:right w:val="single" w:sz="4" w:space="0" w:color="auto"/>
            </w:tcBorders>
          </w:tcPr>
          <w:p w14:paraId="3B6D005B"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5FB3695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Records should be filed in a structured manner. </w:t>
            </w:r>
          </w:p>
          <w:p w14:paraId="00DD16FC"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In addition, manual records placed in a file should be secured within that file to prevent accidental loss of pages.</w:t>
            </w:r>
          </w:p>
        </w:tc>
        <w:tc>
          <w:tcPr>
            <w:tcW w:w="3544" w:type="dxa"/>
            <w:tcBorders>
              <w:top w:val="single" w:sz="4" w:space="0" w:color="auto"/>
              <w:left w:val="single" w:sz="4" w:space="0" w:color="auto"/>
              <w:bottom w:val="single" w:sz="4" w:space="0" w:color="auto"/>
              <w:right w:val="single" w:sz="4" w:space="0" w:color="auto"/>
            </w:tcBorders>
          </w:tcPr>
          <w:p w14:paraId="3CC775FF"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06972C" w14:textId="77777777" w:rsidR="00C81349" w:rsidRPr="00C81349" w:rsidRDefault="00C81349" w:rsidP="00C81349">
            <w:pPr>
              <w:spacing w:after="160" w:line="259" w:lineRule="auto"/>
              <w:ind w:left="426" w:right="26"/>
              <w:jc w:val="center"/>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6E248A0"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091391"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7B566F60" w14:textId="77777777" w:rsidTr="48C4AA5A">
        <w:tc>
          <w:tcPr>
            <w:tcW w:w="1237" w:type="dxa"/>
            <w:tcBorders>
              <w:top w:val="single" w:sz="4" w:space="0" w:color="auto"/>
              <w:left w:val="single" w:sz="4" w:space="0" w:color="auto"/>
              <w:bottom w:val="single" w:sz="4" w:space="0" w:color="auto"/>
              <w:right w:val="single" w:sz="4" w:space="0" w:color="auto"/>
            </w:tcBorders>
          </w:tcPr>
          <w:p w14:paraId="51D5085E"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lastRenderedPageBreak/>
              <w:t>4</w:t>
            </w:r>
          </w:p>
        </w:tc>
        <w:tc>
          <w:tcPr>
            <w:tcW w:w="4008" w:type="dxa"/>
            <w:tcBorders>
              <w:top w:val="single" w:sz="4" w:space="0" w:color="auto"/>
              <w:left w:val="single" w:sz="4" w:space="0" w:color="auto"/>
              <w:bottom w:val="single" w:sz="4" w:space="0" w:color="auto"/>
              <w:right w:val="single" w:sz="4" w:space="0" w:color="auto"/>
            </w:tcBorders>
            <w:hideMark/>
          </w:tcPr>
          <w:p w14:paraId="74AECF4B"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A comprehensive tracking / tracing and monitoring system for all records and files should be place. This applies to all stages of transit, including where handovers during transit have taken place.</w:t>
            </w:r>
          </w:p>
        </w:tc>
        <w:tc>
          <w:tcPr>
            <w:tcW w:w="3544" w:type="dxa"/>
            <w:tcBorders>
              <w:top w:val="single" w:sz="4" w:space="0" w:color="auto"/>
              <w:left w:val="single" w:sz="4" w:space="0" w:color="auto"/>
              <w:bottom w:val="single" w:sz="4" w:space="0" w:color="auto"/>
              <w:right w:val="single" w:sz="4" w:space="0" w:color="auto"/>
            </w:tcBorders>
          </w:tcPr>
          <w:p w14:paraId="71536595"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6CF05A" w14:textId="77777777" w:rsidR="00C81349" w:rsidRPr="00C81349" w:rsidRDefault="00C81349" w:rsidP="00C81349">
            <w:pPr>
              <w:spacing w:after="160" w:line="259" w:lineRule="auto"/>
              <w:ind w:left="426" w:right="26"/>
              <w:jc w:val="center"/>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94D83D7"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C78C19"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3C2D3CDD" w14:textId="77777777" w:rsidTr="48C4AA5A">
        <w:tc>
          <w:tcPr>
            <w:tcW w:w="1237" w:type="dxa"/>
            <w:tcBorders>
              <w:top w:val="single" w:sz="4" w:space="0" w:color="auto"/>
              <w:left w:val="single" w:sz="4" w:space="0" w:color="auto"/>
              <w:bottom w:val="single" w:sz="4" w:space="0" w:color="auto"/>
              <w:right w:val="single" w:sz="4" w:space="0" w:color="auto"/>
            </w:tcBorders>
          </w:tcPr>
          <w:p w14:paraId="3DFB9CFA"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5</w:t>
            </w:r>
          </w:p>
        </w:tc>
        <w:tc>
          <w:tcPr>
            <w:tcW w:w="4008" w:type="dxa"/>
            <w:tcBorders>
              <w:top w:val="single" w:sz="4" w:space="0" w:color="auto"/>
              <w:left w:val="single" w:sz="4" w:space="0" w:color="auto"/>
              <w:bottom w:val="single" w:sz="4" w:space="0" w:color="auto"/>
              <w:right w:val="single" w:sz="4" w:space="0" w:color="auto"/>
            </w:tcBorders>
            <w:hideMark/>
          </w:tcPr>
          <w:p w14:paraId="78C1FA42"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As far as possible PCD should not be visible through any file covers.</w:t>
            </w:r>
          </w:p>
        </w:tc>
        <w:tc>
          <w:tcPr>
            <w:tcW w:w="3544" w:type="dxa"/>
            <w:tcBorders>
              <w:top w:val="single" w:sz="4" w:space="0" w:color="auto"/>
              <w:left w:val="single" w:sz="4" w:space="0" w:color="auto"/>
              <w:bottom w:val="single" w:sz="4" w:space="0" w:color="auto"/>
              <w:right w:val="single" w:sz="4" w:space="0" w:color="auto"/>
            </w:tcBorders>
          </w:tcPr>
          <w:p w14:paraId="44AAB534"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F67636" w14:textId="77777777" w:rsidR="00C81349" w:rsidRPr="00C81349" w:rsidRDefault="00C81349" w:rsidP="00C81349">
            <w:pPr>
              <w:spacing w:after="160" w:line="259" w:lineRule="auto"/>
              <w:ind w:left="426" w:right="26"/>
              <w:jc w:val="center"/>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121EC28"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6D7BA6"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34E232BB"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4BA0C"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 xml:space="preserve">Security of Electronic Records </w:t>
            </w:r>
          </w:p>
        </w:tc>
      </w:tr>
      <w:tr w:rsidR="00C81349" w:rsidRPr="00C81349" w14:paraId="5CDE3734" w14:textId="77777777" w:rsidTr="48C4AA5A">
        <w:tc>
          <w:tcPr>
            <w:tcW w:w="1237" w:type="dxa"/>
            <w:tcBorders>
              <w:top w:val="single" w:sz="4" w:space="0" w:color="auto"/>
              <w:left w:val="single" w:sz="4" w:space="0" w:color="auto"/>
              <w:bottom w:val="single" w:sz="4" w:space="0" w:color="auto"/>
              <w:right w:val="single" w:sz="4" w:space="0" w:color="auto"/>
            </w:tcBorders>
          </w:tcPr>
          <w:p w14:paraId="64C0F7A3"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59E921E6"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Monitors and other screens should be placed in such a manner as to avoid the information displayed on them being overlooked, </w:t>
            </w:r>
            <w:proofErr w:type="gramStart"/>
            <w:r w:rsidRPr="00C81349">
              <w:rPr>
                <w:rFonts w:ascii="Arial" w:hAnsi="Arial" w:cs="Arial"/>
                <w:sz w:val="24"/>
                <w:szCs w:val="24"/>
              </w:rPr>
              <w:t>e.g.</w:t>
            </w:r>
            <w:proofErr w:type="gramEnd"/>
            <w:r w:rsidRPr="00C81349">
              <w:rPr>
                <w:rFonts w:ascii="Arial" w:hAnsi="Arial" w:cs="Arial"/>
                <w:sz w:val="24"/>
                <w:szCs w:val="24"/>
              </w:rPr>
              <w:t xml:space="preserve"> through a window or in an open reception area</w:t>
            </w:r>
          </w:p>
        </w:tc>
        <w:tc>
          <w:tcPr>
            <w:tcW w:w="3544" w:type="dxa"/>
            <w:tcBorders>
              <w:top w:val="single" w:sz="4" w:space="0" w:color="auto"/>
              <w:left w:val="single" w:sz="4" w:space="0" w:color="auto"/>
              <w:bottom w:val="single" w:sz="4" w:space="0" w:color="auto"/>
              <w:right w:val="single" w:sz="4" w:space="0" w:color="auto"/>
            </w:tcBorders>
          </w:tcPr>
          <w:p w14:paraId="5FC64DCB"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A34B66" w14:textId="77777777" w:rsidR="00C81349" w:rsidRPr="00C81349" w:rsidRDefault="00C81349" w:rsidP="00C81349">
            <w:pPr>
              <w:spacing w:after="160" w:line="259" w:lineRule="auto"/>
              <w:ind w:left="426" w:right="26"/>
              <w:jc w:val="center"/>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4905C0C"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12829F3"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71A3364C" w14:textId="77777777" w:rsidTr="48C4AA5A">
        <w:tc>
          <w:tcPr>
            <w:tcW w:w="1237" w:type="dxa"/>
            <w:tcBorders>
              <w:top w:val="single" w:sz="4" w:space="0" w:color="auto"/>
              <w:left w:val="single" w:sz="4" w:space="0" w:color="auto"/>
              <w:bottom w:val="single" w:sz="4" w:space="0" w:color="auto"/>
              <w:right w:val="single" w:sz="4" w:space="0" w:color="auto"/>
            </w:tcBorders>
          </w:tcPr>
          <w:p w14:paraId="53F89D42"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03B5BEE1"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Electronic information should only be stored on the main server and not a local computer.</w:t>
            </w:r>
          </w:p>
        </w:tc>
        <w:tc>
          <w:tcPr>
            <w:tcW w:w="3544" w:type="dxa"/>
            <w:tcBorders>
              <w:top w:val="single" w:sz="4" w:space="0" w:color="auto"/>
              <w:left w:val="single" w:sz="4" w:space="0" w:color="auto"/>
              <w:bottom w:val="single" w:sz="4" w:space="0" w:color="auto"/>
              <w:right w:val="single" w:sz="4" w:space="0" w:color="auto"/>
            </w:tcBorders>
          </w:tcPr>
          <w:p w14:paraId="6E685F4E"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1D1B90"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8B73044"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C36915"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688277A5" w14:textId="77777777" w:rsidTr="48C4AA5A">
        <w:tc>
          <w:tcPr>
            <w:tcW w:w="1237" w:type="dxa"/>
            <w:tcBorders>
              <w:top w:val="single" w:sz="4" w:space="0" w:color="auto"/>
              <w:left w:val="single" w:sz="4" w:space="0" w:color="auto"/>
              <w:bottom w:val="single" w:sz="4" w:space="0" w:color="auto"/>
              <w:right w:val="single" w:sz="4" w:space="0" w:color="auto"/>
            </w:tcBorders>
          </w:tcPr>
          <w:p w14:paraId="1D67027D"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13D73913"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Proper system access controls should be in place i.e., passwords and access levels for each user.</w:t>
            </w:r>
          </w:p>
          <w:p w14:paraId="42B54234"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Staff should be made aware of their responsibilities in respect the management and security of </w:t>
            </w:r>
            <w:r w:rsidRPr="00C81349">
              <w:rPr>
                <w:rFonts w:ascii="Arial" w:hAnsi="Arial" w:cs="Arial"/>
                <w:sz w:val="24"/>
                <w:szCs w:val="24"/>
              </w:rPr>
              <w:lastRenderedPageBreak/>
              <w:t>passwords and smartcards, e.g., passwords and smartcards must not be shared or left unattended.</w:t>
            </w:r>
          </w:p>
        </w:tc>
        <w:tc>
          <w:tcPr>
            <w:tcW w:w="3544" w:type="dxa"/>
            <w:tcBorders>
              <w:top w:val="single" w:sz="4" w:space="0" w:color="auto"/>
              <w:left w:val="single" w:sz="4" w:space="0" w:color="auto"/>
              <w:bottom w:val="single" w:sz="4" w:space="0" w:color="auto"/>
              <w:right w:val="single" w:sz="4" w:space="0" w:color="auto"/>
            </w:tcBorders>
          </w:tcPr>
          <w:p w14:paraId="3EB9967D"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CF0BD4"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205BCB9"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25F706"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4E596A47" w14:textId="77777777" w:rsidTr="48C4AA5A">
        <w:tc>
          <w:tcPr>
            <w:tcW w:w="1237" w:type="dxa"/>
            <w:tcBorders>
              <w:top w:val="single" w:sz="4" w:space="0" w:color="auto"/>
              <w:left w:val="single" w:sz="4" w:space="0" w:color="auto"/>
              <w:bottom w:val="single" w:sz="4" w:space="0" w:color="auto"/>
              <w:right w:val="single" w:sz="4" w:space="0" w:color="auto"/>
            </w:tcBorders>
          </w:tcPr>
          <w:p w14:paraId="7034E64E"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4</w:t>
            </w:r>
          </w:p>
        </w:tc>
        <w:tc>
          <w:tcPr>
            <w:tcW w:w="4008" w:type="dxa"/>
            <w:tcBorders>
              <w:top w:val="single" w:sz="4" w:space="0" w:color="auto"/>
              <w:left w:val="single" w:sz="4" w:space="0" w:color="auto"/>
              <w:bottom w:val="single" w:sz="4" w:space="0" w:color="auto"/>
              <w:right w:val="single" w:sz="4" w:space="0" w:color="auto"/>
            </w:tcBorders>
            <w:hideMark/>
          </w:tcPr>
          <w:p w14:paraId="387437B8"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that PC’s, laptops etc, should be locked or switched off when leaving it unattended</w:t>
            </w:r>
          </w:p>
        </w:tc>
        <w:tc>
          <w:tcPr>
            <w:tcW w:w="3544" w:type="dxa"/>
            <w:tcBorders>
              <w:top w:val="single" w:sz="4" w:space="0" w:color="auto"/>
              <w:left w:val="single" w:sz="4" w:space="0" w:color="auto"/>
              <w:bottom w:val="single" w:sz="4" w:space="0" w:color="auto"/>
              <w:right w:val="single" w:sz="4" w:space="0" w:color="auto"/>
            </w:tcBorders>
          </w:tcPr>
          <w:p w14:paraId="5D8A7192"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33E52D"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8EBC1D9"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77854C9"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579FCA86" w14:textId="77777777" w:rsidTr="48C4AA5A">
        <w:tc>
          <w:tcPr>
            <w:tcW w:w="1237" w:type="dxa"/>
            <w:tcBorders>
              <w:top w:val="single" w:sz="4" w:space="0" w:color="auto"/>
              <w:left w:val="single" w:sz="4" w:space="0" w:color="auto"/>
              <w:bottom w:val="single" w:sz="4" w:space="0" w:color="auto"/>
              <w:right w:val="single" w:sz="4" w:space="0" w:color="auto"/>
            </w:tcBorders>
          </w:tcPr>
          <w:p w14:paraId="574EF5AA"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5</w:t>
            </w:r>
          </w:p>
        </w:tc>
        <w:tc>
          <w:tcPr>
            <w:tcW w:w="4008" w:type="dxa"/>
            <w:tcBorders>
              <w:top w:val="single" w:sz="4" w:space="0" w:color="auto"/>
              <w:left w:val="single" w:sz="4" w:space="0" w:color="auto"/>
              <w:bottom w:val="single" w:sz="4" w:space="0" w:color="auto"/>
              <w:right w:val="single" w:sz="4" w:space="0" w:color="auto"/>
            </w:tcBorders>
          </w:tcPr>
          <w:p w14:paraId="0B336CBA"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PCD or other confidential information should not be copied to any personal PC or media that do not belong to the organisation or is not approved by the organisation.</w:t>
            </w:r>
          </w:p>
        </w:tc>
        <w:tc>
          <w:tcPr>
            <w:tcW w:w="3544" w:type="dxa"/>
            <w:tcBorders>
              <w:top w:val="single" w:sz="4" w:space="0" w:color="auto"/>
              <w:left w:val="single" w:sz="4" w:space="0" w:color="auto"/>
              <w:bottom w:val="single" w:sz="4" w:space="0" w:color="auto"/>
              <w:right w:val="single" w:sz="4" w:space="0" w:color="auto"/>
            </w:tcBorders>
          </w:tcPr>
          <w:p w14:paraId="4EDED99C"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4F1ECC"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45D4BE1"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34D36C"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5378D632"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94CED"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Working from Home via VPN</w:t>
            </w:r>
          </w:p>
        </w:tc>
      </w:tr>
      <w:tr w:rsidR="00C81349" w:rsidRPr="00C81349" w14:paraId="0F5A46CD" w14:textId="77777777" w:rsidTr="48C4AA5A">
        <w:tc>
          <w:tcPr>
            <w:tcW w:w="1237" w:type="dxa"/>
            <w:tcBorders>
              <w:top w:val="single" w:sz="4" w:space="0" w:color="auto"/>
              <w:left w:val="single" w:sz="4" w:space="0" w:color="auto"/>
              <w:bottom w:val="single" w:sz="4" w:space="0" w:color="auto"/>
              <w:right w:val="single" w:sz="4" w:space="0" w:color="auto"/>
            </w:tcBorders>
          </w:tcPr>
          <w:p w14:paraId="5DBE1B8C"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tcPr>
          <w:p w14:paraId="6133AC7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The organisation allows authorised access via a VPN, </w:t>
            </w:r>
            <w:proofErr w:type="gramStart"/>
            <w:r w:rsidRPr="00C81349">
              <w:rPr>
                <w:rFonts w:ascii="Arial" w:hAnsi="Arial" w:cs="Arial"/>
                <w:sz w:val="24"/>
                <w:szCs w:val="24"/>
              </w:rPr>
              <w:t>in order to</w:t>
            </w:r>
            <w:proofErr w:type="gramEnd"/>
            <w:r w:rsidRPr="00C81349">
              <w:rPr>
                <w:rFonts w:ascii="Arial" w:hAnsi="Arial" w:cs="Arial"/>
                <w:sz w:val="24"/>
                <w:szCs w:val="24"/>
              </w:rPr>
              <w:t xml:space="preserve"> provide those members of staff with a legitimate business need to have access to their authorised section of the organisation network, when working away from organisational premises.</w:t>
            </w:r>
          </w:p>
          <w:p w14:paraId="166C2C92" w14:textId="6186E150" w:rsidR="00C81349" w:rsidRPr="00C81349" w:rsidRDefault="2F4A75A2" w:rsidP="00C81349">
            <w:pPr>
              <w:spacing w:after="160" w:line="259" w:lineRule="auto"/>
              <w:ind w:right="26"/>
              <w:jc w:val="both"/>
              <w:rPr>
                <w:rFonts w:ascii="Arial" w:hAnsi="Arial" w:cs="Arial"/>
                <w:sz w:val="24"/>
                <w:szCs w:val="24"/>
              </w:rPr>
            </w:pPr>
            <w:r w:rsidRPr="48C4AA5A">
              <w:rPr>
                <w:rFonts w:ascii="Arial" w:hAnsi="Arial" w:cs="Arial"/>
                <w:sz w:val="24"/>
                <w:szCs w:val="24"/>
              </w:rPr>
              <w:t xml:space="preserve">VPN access should only be used in association with equipment that has </w:t>
            </w:r>
            <w:r w:rsidRPr="48C4AA5A">
              <w:rPr>
                <w:rFonts w:ascii="Arial" w:hAnsi="Arial" w:cs="Arial"/>
                <w:sz w:val="24"/>
                <w:szCs w:val="24"/>
              </w:rPr>
              <w:lastRenderedPageBreak/>
              <w:t>been encrypted and issued by the IT department for work purposes.</w:t>
            </w:r>
          </w:p>
        </w:tc>
        <w:tc>
          <w:tcPr>
            <w:tcW w:w="3544" w:type="dxa"/>
            <w:tcBorders>
              <w:top w:val="single" w:sz="4" w:space="0" w:color="auto"/>
              <w:left w:val="single" w:sz="4" w:space="0" w:color="auto"/>
              <w:bottom w:val="single" w:sz="4" w:space="0" w:color="auto"/>
              <w:right w:val="single" w:sz="4" w:space="0" w:color="auto"/>
            </w:tcBorders>
          </w:tcPr>
          <w:p w14:paraId="4EF6A0A0"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7CEDD1"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1BC6701"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3C889C7"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132B6F09" w14:textId="77777777" w:rsidTr="48C4AA5A">
        <w:tc>
          <w:tcPr>
            <w:tcW w:w="1237" w:type="dxa"/>
            <w:tcBorders>
              <w:top w:val="single" w:sz="4" w:space="0" w:color="auto"/>
              <w:left w:val="single" w:sz="4" w:space="0" w:color="auto"/>
              <w:bottom w:val="single" w:sz="4" w:space="0" w:color="auto"/>
              <w:right w:val="single" w:sz="4" w:space="0" w:color="auto"/>
            </w:tcBorders>
          </w:tcPr>
          <w:p w14:paraId="155AE018"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tcPr>
          <w:p w14:paraId="5A53C658"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Staff should be aware that </w:t>
            </w:r>
            <w:proofErr w:type="gramStart"/>
            <w:r w:rsidRPr="00C81349">
              <w:rPr>
                <w:rFonts w:ascii="Arial" w:hAnsi="Arial" w:cs="Arial"/>
                <w:sz w:val="24"/>
                <w:szCs w:val="24"/>
              </w:rPr>
              <w:t>all of</w:t>
            </w:r>
            <w:proofErr w:type="gramEnd"/>
            <w:r w:rsidRPr="00C81349">
              <w:rPr>
                <w:rFonts w:ascii="Arial" w:hAnsi="Arial" w:cs="Arial"/>
                <w:sz w:val="24"/>
                <w:szCs w:val="24"/>
              </w:rPr>
              <w:t xml:space="preserve"> the guidance set out in this document must also be applied when working from home.</w:t>
            </w:r>
          </w:p>
          <w:p w14:paraId="5AECFEB3" w14:textId="77777777" w:rsidR="00C81349" w:rsidRPr="00C81349" w:rsidRDefault="00C81349" w:rsidP="00C81349">
            <w:pPr>
              <w:spacing w:after="160" w:line="259" w:lineRule="auto"/>
              <w:ind w:right="26"/>
              <w:jc w:val="both"/>
              <w:rPr>
                <w:rFonts w:ascii="Arial" w:hAnsi="Arial" w:cs="Arial"/>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F405F9"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95FF58"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1719D4C"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EAC4DA4"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77FB874F"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F79AD"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Portable Media and Encryption</w:t>
            </w:r>
          </w:p>
        </w:tc>
      </w:tr>
      <w:tr w:rsidR="00C81349" w:rsidRPr="00C81349" w14:paraId="3D1B07F7" w14:textId="77777777" w:rsidTr="48C4AA5A">
        <w:tc>
          <w:tcPr>
            <w:tcW w:w="1237" w:type="dxa"/>
            <w:tcBorders>
              <w:top w:val="single" w:sz="4" w:space="0" w:color="auto"/>
              <w:left w:val="single" w:sz="4" w:space="0" w:color="auto"/>
              <w:bottom w:val="single" w:sz="4" w:space="0" w:color="auto"/>
              <w:right w:val="single" w:sz="4" w:space="0" w:color="auto"/>
            </w:tcBorders>
          </w:tcPr>
          <w:p w14:paraId="0782DB03"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4218B890" w14:textId="4B073A60" w:rsidR="00C81349" w:rsidRPr="00C81349" w:rsidRDefault="2F4A75A2" w:rsidP="00C81349">
            <w:pPr>
              <w:spacing w:after="160" w:line="259" w:lineRule="auto"/>
              <w:ind w:right="26"/>
              <w:jc w:val="both"/>
              <w:rPr>
                <w:rFonts w:ascii="Arial" w:hAnsi="Arial" w:cs="Arial"/>
                <w:sz w:val="24"/>
                <w:szCs w:val="24"/>
              </w:rPr>
            </w:pPr>
            <w:r w:rsidRPr="48C4AA5A">
              <w:rPr>
                <w:rFonts w:ascii="Arial" w:hAnsi="Arial" w:cs="Arial"/>
                <w:sz w:val="24"/>
                <w:szCs w:val="24"/>
              </w:rPr>
              <w:t>Only equipment that has been encrypted and issued by the IT department should be used for work purposes.</w:t>
            </w:r>
          </w:p>
        </w:tc>
        <w:tc>
          <w:tcPr>
            <w:tcW w:w="3544" w:type="dxa"/>
            <w:tcBorders>
              <w:top w:val="single" w:sz="4" w:space="0" w:color="auto"/>
              <w:left w:val="single" w:sz="4" w:space="0" w:color="auto"/>
              <w:bottom w:val="single" w:sz="4" w:space="0" w:color="auto"/>
              <w:right w:val="single" w:sz="4" w:space="0" w:color="auto"/>
            </w:tcBorders>
          </w:tcPr>
          <w:p w14:paraId="496D482D"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76B45A"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4F1978A"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4F87D7"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A071F80"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D65CC"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Transferring Information</w:t>
            </w:r>
          </w:p>
        </w:tc>
      </w:tr>
      <w:tr w:rsidR="00C81349" w:rsidRPr="00C81349" w14:paraId="41A7E1DF" w14:textId="77777777" w:rsidTr="48C4AA5A">
        <w:tc>
          <w:tcPr>
            <w:tcW w:w="1237" w:type="dxa"/>
            <w:tcBorders>
              <w:top w:val="single" w:sz="4" w:space="0" w:color="auto"/>
              <w:left w:val="single" w:sz="4" w:space="0" w:color="auto"/>
              <w:bottom w:val="single" w:sz="4" w:space="0" w:color="auto"/>
              <w:right w:val="single" w:sz="4" w:space="0" w:color="auto"/>
            </w:tcBorders>
          </w:tcPr>
          <w:p w14:paraId="4E50238D"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7370BEF2"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of and have access to the NHS Confidentiality, Code of Practice, and HSCIC Code of Practice on Confidential Information and HSCIC: A Guide to Confidentiality in Health and Social Care and Data Protection Policy &amp; Standard.</w:t>
            </w:r>
          </w:p>
        </w:tc>
        <w:tc>
          <w:tcPr>
            <w:tcW w:w="3544" w:type="dxa"/>
            <w:tcBorders>
              <w:top w:val="single" w:sz="4" w:space="0" w:color="auto"/>
              <w:left w:val="single" w:sz="4" w:space="0" w:color="auto"/>
              <w:bottom w:val="single" w:sz="4" w:space="0" w:color="auto"/>
              <w:right w:val="single" w:sz="4" w:space="0" w:color="auto"/>
            </w:tcBorders>
          </w:tcPr>
          <w:p w14:paraId="475A4B3D"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0550C7"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CF8D887"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97A528"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2FF8FBB" w14:textId="77777777" w:rsidTr="48C4AA5A">
        <w:tc>
          <w:tcPr>
            <w:tcW w:w="1237" w:type="dxa"/>
            <w:tcBorders>
              <w:top w:val="single" w:sz="4" w:space="0" w:color="auto"/>
              <w:left w:val="single" w:sz="4" w:space="0" w:color="auto"/>
              <w:bottom w:val="single" w:sz="4" w:space="0" w:color="auto"/>
              <w:right w:val="single" w:sz="4" w:space="0" w:color="auto"/>
            </w:tcBorders>
          </w:tcPr>
          <w:p w14:paraId="609108E4"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370F0DB6"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Transfers and receipt of PCD should only be undertaken by </w:t>
            </w:r>
            <w:r w:rsidRPr="00C81349">
              <w:rPr>
                <w:rFonts w:ascii="Arial" w:hAnsi="Arial" w:cs="Arial"/>
                <w:sz w:val="24"/>
                <w:szCs w:val="24"/>
              </w:rPr>
              <w:lastRenderedPageBreak/>
              <w:t>appropriately trained and authorised personnel.</w:t>
            </w:r>
          </w:p>
          <w:p w14:paraId="578DD4C2"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Where PCD is sent in password protected documents via NHS Mail the password to the document must be communicated separately preferably via a phone call directly to the person authorised to receive that information.</w:t>
            </w:r>
          </w:p>
          <w:p w14:paraId="772807EA"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Staff must also be aware of Sending an encrypted email from </w:t>
            </w:r>
            <w:proofErr w:type="spellStart"/>
            <w:r w:rsidRPr="00C81349">
              <w:rPr>
                <w:rFonts w:ascii="Arial" w:hAnsi="Arial" w:cs="Arial"/>
                <w:sz w:val="24"/>
                <w:szCs w:val="24"/>
              </w:rPr>
              <w:t>NHSmail</w:t>
            </w:r>
            <w:proofErr w:type="spellEnd"/>
            <w:r w:rsidRPr="00C81349">
              <w:rPr>
                <w:rFonts w:ascii="Arial" w:hAnsi="Arial" w:cs="Arial"/>
                <w:sz w:val="24"/>
                <w:szCs w:val="24"/>
              </w:rPr>
              <w:t xml:space="preserve"> to a non-secure email address  </w:t>
            </w:r>
          </w:p>
        </w:tc>
        <w:tc>
          <w:tcPr>
            <w:tcW w:w="3544" w:type="dxa"/>
            <w:tcBorders>
              <w:top w:val="single" w:sz="4" w:space="0" w:color="auto"/>
              <w:left w:val="single" w:sz="4" w:space="0" w:color="auto"/>
              <w:bottom w:val="single" w:sz="4" w:space="0" w:color="auto"/>
              <w:right w:val="single" w:sz="4" w:space="0" w:color="auto"/>
            </w:tcBorders>
          </w:tcPr>
          <w:p w14:paraId="55C49C5C"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AF551A"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B60C4ED"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6F82F3"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D799436" w14:textId="77777777" w:rsidTr="48C4AA5A">
        <w:tc>
          <w:tcPr>
            <w:tcW w:w="1237" w:type="dxa"/>
            <w:tcBorders>
              <w:top w:val="single" w:sz="4" w:space="0" w:color="auto"/>
              <w:left w:val="single" w:sz="4" w:space="0" w:color="auto"/>
              <w:bottom w:val="single" w:sz="4" w:space="0" w:color="auto"/>
              <w:right w:val="single" w:sz="4" w:space="0" w:color="auto"/>
            </w:tcBorders>
          </w:tcPr>
          <w:p w14:paraId="2139982E"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398FECBD"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Where necessary consent is obtained from the data subject for any transfers of PCD in line with the documented information sharing agreement for that service</w:t>
            </w:r>
          </w:p>
          <w:p w14:paraId="6179D8D6"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Where consent is not the basis for the transfer, then a legal justification must be identified and documented.</w:t>
            </w:r>
          </w:p>
        </w:tc>
        <w:tc>
          <w:tcPr>
            <w:tcW w:w="3544" w:type="dxa"/>
            <w:tcBorders>
              <w:top w:val="single" w:sz="4" w:space="0" w:color="auto"/>
              <w:left w:val="single" w:sz="4" w:space="0" w:color="auto"/>
              <w:bottom w:val="single" w:sz="4" w:space="0" w:color="auto"/>
              <w:right w:val="single" w:sz="4" w:space="0" w:color="auto"/>
            </w:tcBorders>
          </w:tcPr>
          <w:p w14:paraId="1A808334"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36263A"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B654BB8"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16CB14"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1C2ADC9F" w14:textId="77777777" w:rsidTr="48C4AA5A">
        <w:tc>
          <w:tcPr>
            <w:tcW w:w="1237" w:type="dxa"/>
            <w:tcBorders>
              <w:top w:val="single" w:sz="4" w:space="0" w:color="auto"/>
              <w:left w:val="single" w:sz="4" w:space="0" w:color="auto"/>
              <w:bottom w:val="single" w:sz="4" w:space="0" w:color="auto"/>
              <w:right w:val="single" w:sz="4" w:space="0" w:color="auto"/>
            </w:tcBorders>
          </w:tcPr>
          <w:p w14:paraId="0C379C35"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4</w:t>
            </w:r>
          </w:p>
        </w:tc>
        <w:tc>
          <w:tcPr>
            <w:tcW w:w="4008" w:type="dxa"/>
            <w:tcBorders>
              <w:top w:val="single" w:sz="4" w:space="0" w:color="auto"/>
              <w:left w:val="single" w:sz="4" w:space="0" w:color="auto"/>
              <w:bottom w:val="single" w:sz="4" w:space="0" w:color="auto"/>
              <w:right w:val="single" w:sz="4" w:space="0" w:color="auto"/>
            </w:tcBorders>
            <w:hideMark/>
          </w:tcPr>
          <w:p w14:paraId="4C7066C2"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Secure methods of transfer appropriate to the information being transferred have been determined and implemented.</w:t>
            </w:r>
          </w:p>
        </w:tc>
        <w:tc>
          <w:tcPr>
            <w:tcW w:w="3544" w:type="dxa"/>
            <w:tcBorders>
              <w:top w:val="single" w:sz="4" w:space="0" w:color="auto"/>
              <w:left w:val="single" w:sz="4" w:space="0" w:color="auto"/>
              <w:bottom w:val="single" w:sz="4" w:space="0" w:color="auto"/>
              <w:right w:val="single" w:sz="4" w:space="0" w:color="auto"/>
            </w:tcBorders>
          </w:tcPr>
          <w:p w14:paraId="0F230196"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009A8D"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B3602DE"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218CADA"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6ABA2EE" w14:textId="77777777" w:rsidTr="48C4AA5A">
        <w:tc>
          <w:tcPr>
            <w:tcW w:w="1237" w:type="dxa"/>
            <w:tcBorders>
              <w:top w:val="single" w:sz="4" w:space="0" w:color="auto"/>
              <w:left w:val="single" w:sz="4" w:space="0" w:color="auto"/>
              <w:bottom w:val="single" w:sz="4" w:space="0" w:color="auto"/>
              <w:right w:val="single" w:sz="4" w:space="0" w:color="auto"/>
            </w:tcBorders>
          </w:tcPr>
          <w:p w14:paraId="335E87EB"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lastRenderedPageBreak/>
              <w:t>5</w:t>
            </w:r>
          </w:p>
        </w:tc>
        <w:tc>
          <w:tcPr>
            <w:tcW w:w="4008" w:type="dxa"/>
            <w:tcBorders>
              <w:top w:val="single" w:sz="4" w:space="0" w:color="auto"/>
              <w:left w:val="single" w:sz="4" w:space="0" w:color="auto"/>
              <w:bottom w:val="single" w:sz="4" w:space="0" w:color="auto"/>
              <w:right w:val="single" w:sz="4" w:space="0" w:color="auto"/>
            </w:tcBorders>
          </w:tcPr>
          <w:p w14:paraId="4C911923"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Routine transfers of PCD, to and from the organisation, by whatever method, should be recorded on a data mapping spreadsheet, to </w:t>
            </w:r>
            <w:proofErr w:type="gramStart"/>
            <w:r w:rsidRPr="00C81349">
              <w:rPr>
                <w:rFonts w:ascii="Arial" w:hAnsi="Arial" w:cs="Arial"/>
                <w:sz w:val="24"/>
                <w:szCs w:val="24"/>
              </w:rPr>
              <w:t>ensure appropriate controls of the data at all times</w:t>
            </w:r>
            <w:proofErr w:type="gramEnd"/>
            <w:r w:rsidRPr="00C81349">
              <w:rPr>
                <w:rFonts w:ascii="Arial" w:hAnsi="Arial" w:cs="Arial"/>
                <w:sz w:val="24"/>
                <w:szCs w:val="24"/>
              </w:rPr>
              <w:t>.</w:t>
            </w:r>
          </w:p>
          <w:p w14:paraId="757E3A9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An Information sharing agreement should be documented and agreed by all parties to the information sharing</w:t>
            </w:r>
          </w:p>
        </w:tc>
        <w:tc>
          <w:tcPr>
            <w:tcW w:w="3544" w:type="dxa"/>
            <w:tcBorders>
              <w:top w:val="single" w:sz="4" w:space="0" w:color="auto"/>
              <w:left w:val="single" w:sz="4" w:space="0" w:color="auto"/>
              <w:bottom w:val="single" w:sz="4" w:space="0" w:color="auto"/>
              <w:right w:val="single" w:sz="4" w:space="0" w:color="auto"/>
            </w:tcBorders>
          </w:tcPr>
          <w:p w14:paraId="069A9BC2"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562057"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72392A8"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ABE03FC"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7D98E514"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649C6"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Removing Information from secure storage point, including sending to archiving</w:t>
            </w:r>
          </w:p>
        </w:tc>
      </w:tr>
      <w:tr w:rsidR="00C81349" w:rsidRPr="00C81349" w14:paraId="154CD8DC" w14:textId="77777777" w:rsidTr="48C4AA5A">
        <w:tc>
          <w:tcPr>
            <w:tcW w:w="1237" w:type="dxa"/>
            <w:tcBorders>
              <w:top w:val="single" w:sz="4" w:space="0" w:color="auto"/>
              <w:left w:val="single" w:sz="4" w:space="0" w:color="auto"/>
              <w:bottom w:val="single" w:sz="4" w:space="0" w:color="auto"/>
              <w:right w:val="single" w:sz="4" w:space="0" w:color="auto"/>
            </w:tcBorders>
          </w:tcPr>
          <w:p w14:paraId="6D991A4A"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25926F29"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who are required to remove PCD from organisational premises should be approved to do so and the approval recorded.</w:t>
            </w:r>
          </w:p>
          <w:p w14:paraId="7DBF4F7B"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All staff approved should have signed to say they have read and understand the associated policies.</w:t>
            </w:r>
          </w:p>
        </w:tc>
        <w:tc>
          <w:tcPr>
            <w:tcW w:w="3544" w:type="dxa"/>
            <w:tcBorders>
              <w:top w:val="single" w:sz="4" w:space="0" w:color="auto"/>
              <w:left w:val="single" w:sz="4" w:space="0" w:color="auto"/>
              <w:bottom w:val="single" w:sz="4" w:space="0" w:color="auto"/>
              <w:right w:val="single" w:sz="4" w:space="0" w:color="auto"/>
            </w:tcBorders>
          </w:tcPr>
          <w:p w14:paraId="2F592EDA"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671CC4"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DC74E31"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20F701D"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53276D2C" w14:textId="77777777" w:rsidTr="48C4AA5A">
        <w:tc>
          <w:tcPr>
            <w:tcW w:w="1237" w:type="dxa"/>
            <w:tcBorders>
              <w:top w:val="single" w:sz="4" w:space="0" w:color="auto"/>
              <w:left w:val="single" w:sz="4" w:space="0" w:color="auto"/>
              <w:bottom w:val="single" w:sz="4" w:space="0" w:color="auto"/>
              <w:right w:val="single" w:sz="4" w:space="0" w:color="auto"/>
            </w:tcBorders>
          </w:tcPr>
          <w:p w14:paraId="40283EF9"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6304A222"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A record made of information to be taken from its storage point should be made in the tracking systems in place. NB/ This tracking system should be completed every time information is removed from its </w:t>
            </w:r>
            <w:r w:rsidRPr="00C81349">
              <w:rPr>
                <w:rFonts w:ascii="Arial" w:hAnsi="Arial" w:cs="Arial"/>
                <w:sz w:val="24"/>
                <w:szCs w:val="24"/>
              </w:rPr>
              <w:lastRenderedPageBreak/>
              <w:t>storage point, even if it remains in the office.</w:t>
            </w:r>
          </w:p>
          <w:p w14:paraId="43CCDDB9"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Should records be transferred between members of staff both inside and outside the office a record of this must be made within the tracking </w:t>
            </w:r>
            <w:proofErr w:type="gramStart"/>
            <w:r w:rsidRPr="00C81349">
              <w:rPr>
                <w:rFonts w:ascii="Arial" w:hAnsi="Arial" w:cs="Arial"/>
                <w:sz w:val="24"/>
                <w:szCs w:val="24"/>
              </w:rPr>
              <w:t>system</w:t>
            </w:r>
            <w:proofErr w:type="gramEnd"/>
          </w:p>
          <w:p w14:paraId="2562E736"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This should be monitored to ensure records are returned.</w:t>
            </w:r>
          </w:p>
        </w:tc>
        <w:tc>
          <w:tcPr>
            <w:tcW w:w="3544" w:type="dxa"/>
            <w:tcBorders>
              <w:top w:val="single" w:sz="4" w:space="0" w:color="auto"/>
              <w:left w:val="single" w:sz="4" w:space="0" w:color="auto"/>
              <w:bottom w:val="single" w:sz="4" w:space="0" w:color="auto"/>
              <w:right w:val="single" w:sz="4" w:space="0" w:color="auto"/>
            </w:tcBorders>
          </w:tcPr>
          <w:p w14:paraId="5E4CD6C3" w14:textId="77777777" w:rsidR="00C81349" w:rsidRPr="00C81349" w:rsidRDefault="00C81349" w:rsidP="00C81349">
            <w:pPr>
              <w:spacing w:after="160" w:line="259" w:lineRule="auto"/>
              <w:ind w:left="426" w:right="26"/>
              <w:jc w:val="both"/>
              <w:rPr>
                <w:rFonts w:ascii="Arial" w:hAnsi="Arial" w:cs="Arial"/>
                <w:b/>
                <w:i/>
                <w:color w:val="0070C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D7D001" w14:textId="77777777" w:rsidR="00C81349" w:rsidRPr="00C81349" w:rsidRDefault="00C81349" w:rsidP="00C81349">
            <w:pPr>
              <w:spacing w:after="160" w:line="259" w:lineRule="auto"/>
              <w:ind w:left="426" w:right="26"/>
              <w:jc w:val="both"/>
              <w:rPr>
                <w:rFonts w:ascii="Arial" w:hAnsi="Arial" w:cs="Arial"/>
                <w:b/>
                <w:color w:val="0070C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653960C" w14:textId="77777777" w:rsidR="00C81349" w:rsidRPr="00C81349" w:rsidRDefault="00C81349" w:rsidP="00C81349">
            <w:pPr>
              <w:spacing w:after="160" w:line="259" w:lineRule="auto"/>
              <w:ind w:left="426" w:right="26"/>
              <w:jc w:val="both"/>
              <w:rPr>
                <w:rFonts w:ascii="Arial" w:hAnsi="Arial" w:cs="Arial"/>
                <w:b/>
                <w:color w:val="0070C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02279" w14:textId="77777777" w:rsidR="00C81349" w:rsidRPr="00C81349" w:rsidRDefault="00C81349" w:rsidP="00C81349">
            <w:pPr>
              <w:spacing w:after="160" w:line="259" w:lineRule="auto"/>
              <w:ind w:left="426" w:right="26"/>
              <w:jc w:val="center"/>
              <w:rPr>
                <w:rFonts w:ascii="Arial" w:hAnsi="Arial" w:cs="Arial"/>
                <w:b/>
                <w:color w:val="0070C0"/>
                <w:sz w:val="24"/>
                <w:szCs w:val="24"/>
              </w:rPr>
            </w:pPr>
          </w:p>
        </w:tc>
      </w:tr>
      <w:tr w:rsidR="00C81349" w:rsidRPr="00C81349" w14:paraId="6E5F9790" w14:textId="77777777" w:rsidTr="48C4AA5A">
        <w:tc>
          <w:tcPr>
            <w:tcW w:w="1237" w:type="dxa"/>
            <w:tcBorders>
              <w:top w:val="single" w:sz="4" w:space="0" w:color="auto"/>
              <w:left w:val="single" w:sz="4" w:space="0" w:color="auto"/>
              <w:bottom w:val="single" w:sz="4" w:space="0" w:color="auto"/>
              <w:right w:val="single" w:sz="4" w:space="0" w:color="auto"/>
            </w:tcBorders>
          </w:tcPr>
          <w:p w14:paraId="2A941C82"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0F1673CE"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Only the minimum PCD required for the purpose should be taken when taking records off site.</w:t>
            </w:r>
          </w:p>
          <w:p w14:paraId="6B6571BC"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These records should never be left unattended.</w:t>
            </w:r>
          </w:p>
        </w:tc>
        <w:tc>
          <w:tcPr>
            <w:tcW w:w="3544" w:type="dxa"/>
            <w:tcBorders>
              <w:top w:val="single" w:sz="4" w:space="0" w:color="auto"/>
              <w:left w:val="single" w:sz="4" w:space="0" w:color="auto"/>
              <w:bottom w:val="single" w:sz="4" w:space="0" w:color="auto"/>
              <w:right w:val="single" w:sz="4" w:space="0" w:color="auto"/>
            </w:tcBorders>
          </w:tcPr>
          <w:p w14:paraId="2DC93993"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B2950C"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D0C9C44"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7D3AB4D"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2019177B" w14:textId="77777777" w:rsidTr="48C4AA5A">
        <w:tc>
          <w:tcPr>
            <w:tcW w:w="1237" w:type="dxa"/>
            <w:tcBorders>
              <w:top w:val="single" w:sz="4" w:space="0" w:color="auto"/>
              <w:left w:val="single" w:sz="4" w:space="0" w:color="auto"/>
              <w:bottom w:val="single" w:sz="4" w:space="0" w:color="auto"/>
              <w:right w:val="single" w:sz="4" w:space="0" w:color="auto"/>
            </w:tcBorders>
          </w:tcPr>
          <w:p w14:paraId="64467369"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4</w:t>
            </w:r>
          </w:p>
        </w:tc>
        <w:tc>
          <w:tcPr>
            <w:tcW w:w="4008" w:type="dxa"/>
            <w:tcBorders>
              <w:top w:val="single" w:sz="4" w:space="0" w:color="auto"/>
              <w:left w:val="single" w:sz="4" w:space="0" w:color="auto"/>
              <w:bottom w:val="single" w:sz="4" w:space="0" w:color="auto"/>
              <w:right w:val="single" w:sz="4" w:space="0" w:color="auto"/>
            </w:tcBorders>
            <w:hideMark/>
          </w:tcPr>
          <w:p w14:paraId="7DC665F9"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Appropriate transportation methods should be implemented, e.g., carried in a locked container or via encrypted electronic methodology.</w:t>
            </w:r>
          </w:p>
        </w:tc>
        <w:tc>
          <w:tcPr>
            <w:tcW w:w="3544" w:type="dxa"/>
            <w:tcBorders>
              <w:top w:val="single" w:sz="4" w:space="0" w:color="auto"/>
              <w:left w:val="single" w:sz="4" w:space="0" w:color="auto"/>
              <w:bottom w:val="single" w:sz="4" w:space="0" w:color="auto"/>
              <w:right w:val="single" w:sz="4" w:space="0" w:color="auto"/>
            </w:tcBorders>
          </w:tcPr>
          <w:p w14:paraId="3F42F1B3"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3F3DC4"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3314498"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21647E"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54BD428" w14:textId="77777777" w:rsidTr="48C4AA5A">
        <w:tc>
          <w:tcPr>
            <w:tcW w:w="1237" w:type="dxa"/>
            <w:tcBorders>
              <w:top w:val="single" w:sz="4" w:space="0" w:color="auto"/>
              <w:left w:val="single" w:sz="4" w:space="0" w:color="auto"/>
              <w:bottom w:val="single" w:sz="4" w:space="0" w:color="auto"/>
              <w:right w:val="single" w:sz="4" w:space="0" w:color="auto"/>
            </w:tcBorders>
          </w:tcPr>
          <w:p w14:paraId="7DA69E20"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5</w:t>
            </w:r>
          </w:p>
        </w:tc>
        <w:tc>
          <w:tcPr>
            <w:tcW w:w="4008" w:type="dxa"/>
            <w:tcBorders>
              <w:top w:val="single" w:sz="4" w:space="0" w:color="auto"/>
              <w:left w:val="single" w:sz="4" w:space="0" w:color="auto"/>
              <w:bottom w:val="single" w:sz="4" w:space="0" w:color="auto"/>
              <w:right w:val="single" w:sz="4" w:space="0" w:color="auto"/>
            </w:tcBorders>
          </w:tcPr>
          <w:p w14:paraId="7C0D26A9"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Staff should be aware that when records are to be transported this must be out of sight </w:t>
            </w:r>
            <w:proofErr w:type="gramStart"/>
            <w:r w:rsidRPr="00C81349">
              <w:rPr>
                <w:rFonts w:ascii="Arial" w:hAnsi="Arial" w:cs="Arial"/>
                <w:sz w:val="24"/>
                <w:szCs w:val="24"/>
              </w:rPr>
              <w:t>i.e.</w:t>
            </w:r>
            <w:proofErr w:type="gramEnd"/>
            <w:r w:rsidRPr="00C81349">
              <w:rPr>
                <w:rFonts w:ascii="Arial" w:hAnsi="Arial" w:cs="Arial"/>
                <w:sz w:val="24"/>
                <w:szCs w:val="24"/>
              </w:rPr>
              <w:t xml:space="preserve"> in the boot of the car and that they should not be left in vehicles for long periods, e.g. over night. Where records are </w:t>
            </w:r>
            <w:r w:rsidRPr="00C81349">
              <w:rPr>
                <w:rFonts w:ascii="Arial" w:hAnsi="Arial" w:cs="Arial"/>
                <w:sz w:val="24"/>
                <w:szCs w:val="24"/>
              </w:rPr>
              <w:lastRenderedPageBreak/>
              <w:t>to be left in car boots for necessary operational reasons then this should be signed off as agreed by the appropriate governing body.</w:t>
            </w:r>
          </w:p>
        </w:tc>
        <w:tc>
          <w:tcPr>
            <w:tcW w:w="3544" w:type="dxa"/>
            <w:tcBorders>
              <w:top w:val="single" w:sz="4" w:space="0" w:color="auto"/>
              <w:left w:val="single" w:sz="4" w:space="0" w:color="auto"/>
              <w:bottom w:val="single" w:sz="4" w:space="0" w:color="auto"/>
              <w:right w:val="single" w:sz="4" w:space="0" w:color="auto"/>
            </w:tcBorders>
          </w:tcPr>
          <w:p w14:paraId="1F91171C"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304E70"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43DDA2F"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3E7F917"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73435A33" w14:textId="77777777" w:rsidTr="48C4AA5A">
        <w:tc>
          <w:tcPr>
            <w:tcW w:w="1237" w:type="dxa"/>
            <w:tcBorders>
              <w:top w:val="single" w:sz="4" w:space="0" w:color="auto"/>
              <w:left w:val="single" w:sz="4" w:space="0" w:color="auto"/>
              <w:bottom w:val="single" w:sz="4" w:space="0" w:color="auto"/>
              <w:right w:val="single" w:sz="4" w:space="0" w:color="auto"/>
            </w:tcBorders>
          </w:tcPr>
          <w:p w14:paraId="4916AC1E"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6</w:t>
            </w:r>
          </w:p>
        </w:tc>
        <w:tc>
          <w:tcPr>
            <w:tcW w:w="4008" w:type="dxa"/>
            <w:tcBorders>
              <w:top w:val="single" w:sz="4" w:space="0" w:color="auto"/>
              <w:left w:val="single" w:sz="4" w:space="0" w:color="auto"/>
              <w:bottom w:val="single" w:sz="4" w:space="0" w:color="auto"/>
              <w:right w:val="single" w:sz="4" w:space="0" w:color="auto"/>
            </w:tcBorders>
            <w:hideMark/>
          </w:tcPr>
          <w:p w14:paraId="05D5CD79"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In situations where staff have been authorised to take records home it must be evidenced that they are aware that the records must be kept securely and not accessible to other members of the household or visitors and records must be returned to their secure storage point ASAP.</w:t>
            </w:r>
          </w:p>
        </w:tc>
        <w:tc>
          <w:tcPr>
            <w:tcW w:w="3544" w:type="dxa"/>
            <w:tcBorders>
              <w:top w:val="single" w:sz="4" w:space="0" w:color="auto"/>
              <w:left w:val="single" w:sz="4" w:space="0" w:color="auto"/>
              <w:bottom w:val="single" w:sz="4" w:space="0" w:color="auto"/>
              <w:right w:val="single" w:sz="4" w:space="0" w:color="auto"/>
            </w:tcBorders>
          </w:tcPr>
          <w:p w14:paraId="763854E0"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1CFEDF"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56AA79F"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7AD6D35"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603D424C" w14:textId="77777777" w:rsidTr="48C4AA5A">
        <w:tc>
          <w:tcPr>
            <w:tcW w:w="15593" w:type="dxa"/>
            <w:gridSpan w:val="6"/>
            <w:tcBorders>
              <w:top w:val="single" w:sz="4" w:space="0" w:color="auto"/>
              <w:left w:val="single" w:sz="4" w:space="0" w:color="auto"/>
              <w:bottom w:val="single" w:sz="4" w:space="0" w:color="auto"/>
              <w:right w:val="single" w:sz="4" w:space="0" w:color="auto"/>
            </w:tcBorders>
          </w:tcPr>
          <w:p w14:paraId="79E84F75" w14:textId="77777777" w:rsidR="00C81349" w:rsidRPr="00C81349" w:rsidRDefault="00C81349" w:rsidP="00C81349">
            <w:pPr>
              <w:spacing w:after="160" w:line="259" w:lineRule="auto"/>
              <w:ind w:left="426" w:right="26"/>
              <w:jc w:val="both"/>
              <w:rPr>
                <w:rFonts w:ascii="Arial" w:hAnsi="Arial" w:cs="Arial"/>
                <w:b/>
                <w:i/>
                <w:sz w:val="24"/>
                <w:szCs w:val="24"/>
              </w:rPr>
            </w:pPr>
            <w:r w:rsidRPr="00C81349">
              <w:rPr>
                <w:rFonts w:ascii="Arial" w:hAnsi="Arial" w:cs="Arial"/>
                <w:b/>
                <w:i/>
                <w:sz w:val="24"/>
                <w:szCs w:val="24"/>
              </w:rPr>
              <w:t xml:space="preserve">Incoming Mail </w:t>
            </w:r>
          </w:p>
        </w:tc>
      </w:tr>
      <w:tr w:rsidR="00C81349" w:rsidRPr="00C81349" w14:paraId="445B1FA4" w14:textId="77777777" w:rsidTr="48C4AA5A">
        <w:tc>
          <w:tcPr>
            <w:tcW w:w="1237" w:type="dxa"/>
            <w:tcBorders>
              <w:top w:val="single" w:sz="4" w:space="0" w:color="auto"/>
              <w:left w:val="single" w:sz="4" w:space="0" w:color="auto"/>
              <w:bottom w:val="single" w:sz="4" w:space="0" w:color="auto"/>
              <w:right w:val="single" w:sz="4" w:space="0" w:color="auto"/>
            </w:tcBorders>
          </w:tcPr>
          <w:p w14:paraId="2925551F"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183F553D"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that letters marked private and confidential should opened by the addressee or appropriate nominee only and opened away from public areas</w:t>
            </w:r>
          </w:p>
        </w:tc>
        <w:tc>
          <w:tcPr>
            <w:tcW w:w="3544" w:type="dxa"/>
            <w:tcBorders>
              <w:top w:val="single" w:sz="4" w:space="0" w:color="auto"/>
              <w:left w:val="single" w:sz="4" w:space="0" w:color="auto"/>
              <w:bottom w:val="single" w:sz="4" w:space="0" w:color="auto"/>
              <w:right w:val="single" w:sz="4" w:space="0" w:color="auto"/>
            </w:tcBorders>
          </w:tcPr>
          <w:p w14:paraId="50B5C9DE"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0E3924"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1B2FEB5"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AE23D6C"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18EA23B1"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9B463"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Outgoing Mail</w:t>
            </w:r>
          </w:p>
        </w:tc>
      </w:tr>
      <w:tr w:rsidR="00C81349" w:rsidRPr="00C81349" w14:paraId="5269DFFF" w14:textId="77777777" w:rsidTr="48C4AA5A">
        <w:tc>
          <w:tcPr>
            <w:tcW w:w="1237" w:type="dxa"/>
            <w:tcBorders>
              <w:top w:val="single" w:sz="4" w:space="0" w:color="auto"/>
              <w:left w:val="single" w:sz="4" w:space="0" w:color="auto"/>
              <w:bottom w:val="single" w:sz="4" w:space="0" w:color="auto"/>
              <w:right w:val="single" w:sz="4" w:space="0" w:color="auto"/>
            </w:tcBorders>
          </w:tcPr>
          <w:p w14:paraId="6967FC2A"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tcPr>
          <w:p w14:paraId="5541C04E"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Confirm from verifiable records the correct name, department, and address are being used, for the </w:t>
            </w:r>
            <w:r w:rsidRPr="00C81349">
              <w:rPr>
                <w:rFonts w:ascii="Arial" w:hAnsi="Arial" w:cs="Arial"/>
                <w:sz w:val="24"/>
                <w:szCs w:val="24"/>
              </w:rPr>
              <w:lastRenderedPageBreak/>
              <w:t>intended recipient of the correspondence.</w:t>
            </w:r>
          </w:p>
          <w:p w14:paraId="567B6380"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A record of information being sent should be maintained on the project or patient file, including when, to whom and by what </w:t>
            </w:r>
            <w:proofErr w:type="gramStart"/>
            <w:r w:rsidRPr="00C81349">
              <w:rPr>
                <w:rFonts w:ascii="Arial" w:hAnsi="Arial" w:cs="Arial"/>
                <w:sz w:val="24"/>
                <w:szCs w:val="24"/>
              </w:rPr>
              <w:t>method</w:t>
            </w:r>
            <w:proofErr w:type="gramEnd"/>
          </w:p>
          <w:p w14:paraId="56A5064E"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When necessary, ask the recipient to confirm the receipt of the package. </w:t>
            </w:r>
          </w:p>
          <w:p w14:paraId="13EFD241"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If acknowledgment is not received, then it must be followed up as this may be the first indication of a potential breach.</w:t>
            </w:r>
          </w:p>
        </w:tc>
        <w:tc>
          <w:tcPr>
            <w:tcW w:w="3544" w:type="dxa"/>
            <w:tcBorders>
              <w:top w:val="single" w:sz="4" w:space="0" w:color="auto"/>
              <w:left w:val="single" w:sz="4" w:space="0" w:color="auto"/>
              <w:bottom w:val="single" w:sz="4" w:space="0" w:color="auto"/>
              <w:right w:val="single" w:sz="4" w:space="0" w:color="auto"/>
            </w:tcBorders>
          </w:tcPr>
          <w:p w14:paraId="7261BB03"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505329"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693031D"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EB6AB8"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28C4981D" w14:textId="77777777" w:rsidTr="48C4AA5A">
        <w:tc>
          <w:tcPr>
            <w:tcW w:w="1237" w:type="dxa"/>
            <w:tcBorders>
              <w:top w:val="single" w:sz="4" w:space="0" w:color="auto"/>
              <w:left w:val="single" w:sz="4" w:space="0" w:color="auto"/>
              <w:bottom w:val="single" w:sz="4" w:space="0" w:color="auto"/>
              <w:right w:val="single" w:sz="4" w:space="0" w:color="auto"/>
            </w:tcBorders>
          </w:tcPr>
          <w:p w14:paraId="42C31A98"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51E014B5"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Staff should ensure packages are addressed correctly, and marked appropriately e.g., </w:t>
            </w:r>
            <w:proofErr w:type="gramStart"/>
            <w:r w:rsidRPr="00C81349">
              <w:rPr>
                <w:rFonts w:ascii="Arial" w:hAnsi="Arial" w:cs="Arial"/>
                <w:b/>
                <w:sz w:val="24"/>
                <w:szCs w:val="24"/>
              </w:rPr>
              <w:t>private</w:t>
            </w:r>
            <w:proofErr w:type="gramEnd"/>
            <w:r w:rsidRPr="00C81349">
              <w:rPr>
                <w:rFonts w:ascii="Arial" w:hAnsi="Arial" w:cs="Arial"/>
                <w:b/>
                <w:sz w:val="24"/>
                <w:szCs w:val="24"/>
              </w:rPr>
              <w:t xml:space="preserve"> and confidential </w:t>
            </w:r>
            <w:r w:rsidRPr="00C81349">
              <w:rPr>
                <w:rFonts w:ascii="Arial" w:hAnsi="Arial" w:cs="Arial"/>
                <w:sz w:val="24"/>
                <w:szCs w:val="24"/>
              </w:rPr>
              <w:t>where necessary.</w:t>
            </w:r>
          </w:p>
          <w:p w14:paraId="1C87354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Return addresses should be annotated on all outgoing mail, to enable recipients to return incorrectly received correspondence without opening it.</w:t>
            </w:r>
          </w:p>
        </w:tc>
        <w:tc>
          <w:tcPr>
            <w:tcW w:w="3544" w:type="dxa"/>
            <w:tcBorders>
              <w:top w:val="single" w:sz="4" w:space="0" w:color="auto"/>
              <w:left w:val="single" w:sz="4" w:space="0" w:color="auto"/>
              <w:bottom w:val="single" w:sz="4" w:space="0" w:color="auto"/>
              <w:right w:val="single" w:sz="4" w:space="0" w:color="auto"/>
            </w:tcBorders>
          </w:tcPr>
          <w:p w14:paraId="0A13B040"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5D375B"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3216911"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3C85DD6"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1877988E" w14:textId="77777777" w:rsidTr="48C4AA5A">
        <w:tc>
          <w:tcPr>
            <w:tcW w:w="1237" w:type="dxa"/>
            <w:tcBorders>
              <w:top w:val="single" w:sz="4" w:space="0" w:color="auto"/>
              <w:left w:val="single" w:sz="4" w:space="0" w:color="auto"/>
              <w:bottom w:val="single" w:sz="4" w:space="0" w:color="auto"/>
              <w:right w:val="single" w:sz="4" w:space="0" w:color="auto"/>
            </w:tcBorders>
          </w:tcPr>
          <w:p w14:paraId="190C51F3"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08B0A0B6"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Staff should be aware of the correct packaging methods for PCD being </w:t>
            </w:r>
            <w:r w:rsidRPr="00C81349">
              <w:rPr>
                <w:rFonts w:ascii="Arial" w:hAnsi="Arial" w:cs="Arial"/>
                <w:sz w:val="24"/>
                <w:szCs w:val="24"/>
              </w:rPr>
              <w:lastRenderedPageBreak/>
              <w:t>sent out and a standard procedure should include a check that the contents being placed in the package are for the addressee of the package.</w:t>
            </w:r>
          </w:p>
        </w:tc>
        <w:tc>
          <w:tcPr>
            <w:tcW w:w="3544" w:type="dxa"/>
            <w:tcBorders>
              <w:top w:val="single" w:sz="4" w:space="0" w:color="auto"/>
              <w:left w:val="single" w:sz="4" w:space="0" w:color="auto"/>
              <w:bottom w:val="single" w:sz="4" w:space="0" w:color="auto"/>
              <w:right w:val="single" w:sz="4" w:space="0" w:color="auto"/>
            </w:tcBorders>
          </w:tcPr>
          <w:p w14:paraId="7B1219E4"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782D61"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D7184EF"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7057C20"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69FA51CF" w14:textId="77777777" w:rsidTr="48C4AA5A">
        <w:tc>
          <w:tcPr>
            <w:tcW w:w="1237" w:type="dxa"/>
            <w:tcBorders>
              <w:top w:val="single" w:sz="4" w:space="0" w:color="auto"/>
              <w:left w:val="single" w:sz="4" w:space="0" w:color="auto"/>
              <w:bottom w:val="single" w:sz="4" w:space="0" w:color="auto"/>
              <w:right w:val="single" w:sz="4" w:space="0" w:color="auto"/>
            </w:tcBorders>
          </w:tcPr>
          <w:p w14:paraId="3F242EE7"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4</w:t>
            </w:r>
          </w:p>
        </w:tc>
        <w:tc>
          <w:tcPr>
            <w:tcW w:w="4008" w:type="dxa"/>
            <w:tcBorders>
              <w:top w:val="single" w:sz="4" w:space="0" w:color="auto"/>
              <w:left w:val="single" w:sz="4" w:space="0" w:color="auto"/>
              <w:bottom w:val="single" w:sz="4" w:space="0" w:color="auto"/>
              <w:right w:val="single" w:sz="4" w:space="0" w:color="auto"/>
            </w:tcBorders>
            <w:hideMark/>
          </w:tcPr>
          <w:p w14:paraId="6A2835A9" w14:textId="676AB0EC" w:rsid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of the correct method for sending PCD e.g., courier, post, tracked /special delivery, etc.</w:t>
            </w:r>
          </w:p>
          <w:p w14:paraId="03124A46" w14:textId="60877D96" w:rsidR="009202A7" w:rsidRPr="00C81349" w:rsidRDefault="009202A7" w:rsidP="00C81349">
            <w:pPr>
              <w:spacing w:after="160" w:line="259" w:lineRule="auto"/>
              <w:ind w:right="26"/>
              <w:jc w:val="both"/>
              <w:rPr>
                <w:rFonts w:ascii="Arial" w:hAnsi="Arial" w:cs="Arial"/>
                <w:sz w:val="24"/>
                <w:szCs w:val="24"/>
              </w:rPr>
            </w:pPr>
            <w:r>
              <w:rPr>
                <w:rFonts w:ascii="Arial" w:hAnsi="Arial" w:cs="Arial"/>
                <w:sz w:val="24"/>
                <w:szCs w:val="24"/>
              </w:rPr>
              <w:t xml:space="preserve">Use of </w:t>
            </w:r>
            <w:r w:rsidR="00EC1BA6">
              <w:rPr>
                <w:rFonts w:ascii="Arial" w:hAnsi="Arial" w:cs="Arial"/>
                <w:sz w:val="24"/>
                <w:szCs w:val="24"/>
              </w:rPr>
              <w:t>Tamper proof envelopes</w:t>
            </w:r>
          </w:p>
          <w:p w14:paraId="239F7F8B"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b/>
                <w:sz w:val="24"/>
                <w:szCs w:val="24"/>
              </w:rPr>
              <w:t>NB/</w:t>
            </w:r>
            <w:r w:rsidRPr="00C81349">
              <w:rPr>
                <w:rFonts w:ascii="Arial" w:hAnsi="Arial" w:cs="Arial"/>
                <w:sz w:val="24"/>
                <w:szCs w:val="24"/>
              </w:rPr>
              <w:t xml:space="preserve"> Sending an item via special delivery needs to be balanced against the risk of any confidentiality breach and practical and cost issues of using special delivery</w:t>
            </w:r>
          </w:p>
        </w:tc>
        <w:tc>
          <w:tcPr>
            <w:tcW w:w="3544" w:type="dxa"/>
            <w:tcBorders>
              <w:top w:val="single" w:sz="4" w:space="0" w:color="auto"/>
              <w:left w:val="single" w:sz="4" w:space="0" w:color="auto"/>
              <w:bottom w:val="single" w:sz="4" w:space="0" w:color="auto"/>
              <w:right w:val="single" w:sz="4" w:space="0" w:color="auto"/>
            </w:tcBorders>
          </w:tcPr>
          <w:p w14:paraId="38ECC798"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B1F2B9"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BB9A19D"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B79C7FE"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13AA172E"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42DB4"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 xml:space="preserve">Secure Email </w:t>
            </w:r>
          </w:p>
        </w:tc>
      </w:tr>
      <w:tr w:rsidR="00C81349" w:rsidRPr="00C81349" w14:paraId="26D733DB" w14:textId="77777777" w:rsidTr="48C4AA5A">
        <w:trPr>
          <w:trHeight w:val="2224"/>
        </w:trPr>
        <w:tc>
          <w:tcPr>
            <w:tcW w:w="1237" w:type="dxa"/>
            <w:tcBorders>
              <w:top w:val="single" w:sz="4" w:space="0" w:color="auto"/>
              <w:left w:val="single" w:sz="4" w:space="0" w:color="auto"/>
              <w:bottom w:val="single" w:sz="4" w:space="0" w:color="auto"/>
              <w:right w:val="single" w:sz="4" w:space="0" w:color="auto"/>
            </w:tcBorders>
          </w:tcPr>
          <w:p w14:paraId="7F47E971"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04D39AED"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Staff should be aware that only NHS Mail and associated secure government email systems are to be used for the transmission of PCD. Also, that only the minimum PCD required for the purpose should be communicated. </w:t>
            </w:r>
          </w:p>
        </w:tc>
        <w:tc>
          <w:tcPr>
            <w:tcW w:w="3544" w:type="dxa"/>
            <w:tcBorders>
              <w:top w:val="single" w:sz="4" w:space="0" w:color="auto"/>
              <w:left w:val="single" w:sz="4" w:space="0" w:color="auto"/>
              <w:bottom w:val="single" w:sz="4" w:space="0" w:color="auto"/>
              <w:right w:val="single" w:sz="4" w:space="0" w:color="auto"/>
            </w:tcBorders>
          </w:tcPr>
          <w:p w14:paraId="44EB27C6"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61C12E"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D3CCAEB"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0415E9B"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4730FF4E" w14:textId="77777777" w:rsidTr="48C4AA5A">
        <w:trPr>
          <w:trHeight w:val="1113"/>
        </w:trPr>
        <w:tc>
          <w:tcPr>
            <w:tcW w:w="1237" w:type="dxa"/>
            <w:tcBorders>
              <w:top w:val="single" w:sz="4" w:space="0" w:color="auto"/>
              <w:left w:val="single" w:sz="4" w:space="0" w:color="auto"/>
              <w:bottom w:val="single" w:sz="4" w:space="0" w:color="auto"/>
              <w:right w:val="single" w:sz="4" w:space="0" w:color="auto"/>
            </w:tcBorders>
          </w:tcPr>
          <w:p w14:paraId="28ED2057"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lastRenderedPageBreak/>
              <w:t>2</w:t>
            </w:r>
          </w:p>
        </w:tc>
        <w:tc>
          <w:tcPr>
            <w:tcW w:w="4008" w:type="dxa"/>
            <w:tcBorders>
              <w:top w:val="single" w:sz="4" w:space="0" w:color="auto"/>
              <w:left w:val="single" w:sz="4" w:space="0" w:color="auto"/>
              <w:bottom w:val="single" w:sz="4" w:space="0" w:color="auto"/>
              <w:right w:val="single" w:sz="4" w:space="0" w:color="auto"/>
            </w:tcBorders>
          </w:tcPr>
          <w:p w14:paraId="2BFE83E5"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All secure email addresses should be checked to ensure the correct email recipient has been selected. </w:t>
            </w:r>
          </w:p>
          <w:p w14:paraId="5E16BD4F"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Delivery and read receipt options should be selected to verify the message has been successfully sent and the recipient has read it.</w:t>
            </w:r>
          </w:p>
        </w:tc>
        <w:tc>
          <w:tcPr>
            <w:tcW w:w="3544" w:type="dxa"/>
            <w:tcBorders>
              <w:top w:val="single" w:sz="4" w:space="0" w:color="auto"/>
              <w:left w:val="single" w:sz="4" w:space="0" w:color="auto"/>
              <w:bottom w:val="single" w:sz="4" w:space="0" w:color="auto"/>
              <w:right w:val="single" w:sz="4" w:space="0" w:color="auto"/>
            </w:tcBorders>
          </w:tcPr>
          <w:p w14:paraId="296966BA"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96BE0B"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10588FB"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C64EEFB"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271E7029" w14:textId="77777777" w:rsidTr="48C4AA5A">
        <w:tc>
          <w:tcPr>
            <w:tcW w:w="1237" w:type="dxa"/>
            <w:tcBorders>
              <w:top w:val="single" w:sz="4" w:space="0" w:color="auto"/>
              <w:left w:val="single" w:sz="4" w:space="0" w:color="auto"/>
              <w:bottom w:val="single" w:sz="4" w:space="0" w:color="auto"/>
              <w:right w:val="single" w:sz="4" w:space="0" w:color="auto"/>
            </w:tcBorders>
          </w:tcPr>
          <w:p w14:paraId="3DBF315F"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6AD5E1C6"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Recipients of email correspondence should be checked to ensure that it is appropriate for them to receive the PCD for the intended purpose(s)</w:t>
            </w:r>
          </w:p>
          <w:p w14:paraId="2A436816"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b/>
                <w:sz w:val="24"/>
                <w:szCs w:val="24"/>
              </w:rPr>
              <w:t>NB</w:t>
            </w:r>
            <w:r w:rsidRPr="00C81349">
              <w:rPr>
                <w:rFonts w:ascii="Arial" w:hAnsi="Arial" w:cs="Arial"/>
                <w:sz w:val="24"/>
                <w:szCs w:val="24"/>
              </w:rPr>
              <w:t>/ Only recipients with a genuine need to know should receive the PCD this includes CC’s and BCC’s</w:t>
            </w:r>
          </w:p>
        </w:tc>
        <w:tc>
          <w:tcPr>
            <w:tcW w:w="3544" w:type="dxa"/>
            <w:tcBorders>
              <w:top w:val="single" w:sz="4" w:space="0" w:color="auto"/>
              <w:left w:val="single" w:sz="4" w:space="0" w:color="auto"/>
              <w:bottom w:val="single" w:sz="4" w:space="0" w:color="auto"/>
              <w:right w:val="single" w:sz="4" w:space="0" w:color="auto"/>
            </w:tcBorders>
          </w:tcPr>
          <w:p w14:paraId="76FCD0E8"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E747F8"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2C0E051"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6A5A7E"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F7EB0EB" w14:textId="77777777" w:rsidTr="48C4AA5A">
        <w:tc>
          <w:tcPr>
            <w:tcW w:w="1237" w:type="dxa"/>
            <w:tcBorders>
              <w:top w:val="single" w:sz="4" w:space="0" w:color="auto"/>
              <w:left w:val="single" w:sz="4" w:space="0" w:color="auto"/>
              <w:bottom w:val="single" w:sz="4" w:space="0" w:color="auto"/>
              <w:right w:val="single" w:sz="4" w:space="0" w:color="auto"/>
            </w:tcBorders>
          </w:tcPr>
          <w:p w14:paraId="55C1AD4F"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4</w:t>
            </w:r>
          </w:p>
        </w:tc>
        <w:tc>
          <w:tcPr>
            <w:tcW w:w="4008" w:type="dxa"/>
            <w:tcBorders>
              <w:top w:val="single" w:sz="4" w:space="0" w:color="auto"/>
              <w:left w:val="single" w:sz="4" w:space="0" w:color="auto"/>
              <w:bottom w:val="single" w:sz="4" w:space="0" w:color="auto"/>
              <w:right w:val="single" w:sz="4" w:space="0" w:color="auto"/>
            </w:tcBorders>
            <w:hideMark/>
          </w:tcPr>
          <w:p w14:paraId="0222966E"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Secure emails containing PCD should be marked confidential.</w:t>
            </w:r>
          </w:p>
        </w:tc>
        <w:tc>
          <w:tcPr>
            <w:tcW w:w="3544" w:type="dxa"/>
            <w:tcBorders>
              <w:top w:val="single" w:sz="4" w:space="0" w:color="auto"/>
              <w:left w:val="single" w:sz="4" w:space="0" w:color="auto"/>
              <w:bottom w:val="single" w:sz="4" w:space="0" w:color="auto"/>
              <w:right w:val="single" w:sz="4" w:space="0" w:color="auto"/>
            </w:tcBorders>
          </w:tcPr>
          <w:p w14:paraId="03F1AE91"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C2916B"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851B52A"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9FEE1E"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D81FDC1" w14:textId="77777777" w:rsidTr="48C4AA5A">
        <w:tc>
          <w:tcPr>
            <w:tcW w:w="1237" w:type="dxa"/>
            <w:tcBorders>
              <w:top w:val="single" w:sz="4" w:space="0" w:color="auto"/>
              <w:left w:val="single" w:sz="4" w:space="0" w:color="auto"/>
              <w:bottom w:val="single" w:sz="4" w:space="0" w:color="auto"/>
              <w:right w:val="single" w:sz="4" w:space="0" w:color="auto"/>
            </w:tcBorders>
          </w:tcPr>
          <w:p w14:paraId="0A55EDCF"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5</w:t>
            </w:r>
          </w:p>
        </w:tc>
        <w:tc>
          <w:tcPr>
            <w:tcW w:w="4008" w:type="dxa"/>
            <w:tcBorders>
              <w:top w:val="single" w:sz="4" w:space="0" w:color="auto"/>
              <w:left w:val="single" w:sz="4" w:space="0" w:color="auto"/>
              <w:bottom w:val="single" w:sz="4" w:space="0" w:color="auto"/>
              <w:right w:val="single" w:sz="4" w:space="0" w:color="auto"/>
            </w:tcBorders>
            <w:hideMark/>
          </w:tcPr>
          <w:p w14:paraId="1D90C7C9" w14:textId="668EDCC6"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The organisational standard disclaimer has been placed on all emails </w:t>
            </w:r>
            <w:r w:rsidR="00886A91" w:rsidRPr="00C81349">
              <w:rPr>
                <w:rFonts w:ascii="Arial" w:hAnsi="Arial" w:cs="Arial"/>
                <w:sz w:val="24"/>
                <w:szCs w:val="24"/>
              </w:rPr>
              <w:t>stating.</w:t>
            </w:r>
            <w:r w:rsidRPr="00C81349">
              <w:rPr>
                <w:rFonts w:ascii="Arial" w:hAnsi="Arial" w:cs="Arial"/>
                <w:sz w:val="24"/>
                <w:szCs w:val="24"/>
              </w:rPr>
              <w:t xml:space="preserve"> </w:t>
            </w:r>
          </w:p>
          <w:p w14:paraId="564D3C9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w:t>
            </w:r>
            <w:proofErr w:type="gramStart"/>
            <w:r w:rsidRPr="00C81349">
              <w:rPr>
                <w:rFonts w:ascii="Arial" w:hAnsi="Arial" w:cs="Arial"/>
                <w:sz w:val="24"/>
                <w:szCs w:val="24"/>
              </w:rPr>
              <w:t>this</w:t>
            </w:r>
            <w:proofErr w:type="gramEnd"/>
            <w:r w:rsidRPr="00C81349">
              <w:rPr>
                <w:rFonts w:ascii="Arial" w:hAnsi="Arial" w:cs="Arial"/>
                <w:sz w:val="24"/>
                <w:szCs w:val="24"/>
              </w:rPr>
              <w:t xml:space="preserve"> email is confidential and is intended for the named recipient(s) only. If you have received this email in </w:t>
            </w:r>
            <w:proofErr w:type="gramStart"/>
            <w:r w:rsidRPr="00C81349">
              <w:rPr>
                <w:rFonts w:ascii="Arial" w:hAnsi="Arial" w:cs="Arial"/>
                <w:sz w:val="24"/>
                <w:szCs w:val="24"/>
              </w:rPr>
              <w:t>error</w:t>
            </w:r>
            <w:proofErr w:type="gramEnd"/>
            <w:r w:rsidRPr="00C81349">
              <w:rPr>
                <w:rFonts w:ascii="Arial" w:hAnsi="Arial" w:cs="Arial"/>
                <w:sz w:val="24"/>
                <w:szCs w:val="24"/>
              </w:rPr>
              <w:t xml:space="preserve"> please delete it and notify </w:t>
            </w:r>
            <w:r w:rsidRPr="00C81349">
              <w:rPr>
                <w:rFonts w:ascii="Arial" w:hAnsi="Arial" w:cs="Arial"/>
                <w:sz w:val="24"/>
                <w:szCs w:val="24"/>
              </w:rPr>
              <w:lastRenderedPageBreak/>
              <w:t>the sender accordingly. Unauthorised copying and or use of this email if you are not the intended recipient may result in legal action being taken.’</w:t>
            </w:r>
          </w:p>
        </w:tc>
        <w:tc>
          <w:tcPr>
            <w:tcW w:w="3544" w:type="dxa"/>
            <w:tcBorders>
              <w:top w:val="single" w:sz="4" w:space="0" w:color="auto"/>
              <w:left w:val="single" w:sz="4" w:space="0" w:color="auto"/>
              <w:bottom w:val="single" w:sz="4" w:space="0" w:color="auto"/>
              <w:right w:val="single" w:sz="4" w:space="0" w:color="auto"/>
            </w:tcBorders>
          </w:tcPr>
          <w:p w14:paraId="6C1A4D23"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0E2137"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11D0B3A"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2449E84"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3AE692C5" w14:textId="77777777" w:rsidTr="48C4AA5A">
        <w:tc>
          <w:tcPr>
            <w:tcW w:w="1237" w:type="dxa"/>
            <w:tcBorders>
              <w:top w:val="single" w:sz="4" w:space="0" w:color="auto"/>
              <w:left w:val="single" w:sz="4" w:space="0" w:color="auto"/>
              <w:bottom w:val="single" w:sz="4" w:space="0" w:color="auto"/>
              <w:right w:val="single" w:sz="4" w:space="0" w:color="auto"/>
            </w:tcBorders>
          </w:tcPr>
          <w:p w14:paraId="4EF099BF"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6</w:t>
            </w:r>
          </w:p>
        </w:tc>
        <w:tc>
          <w:tcPr>
            <w:tcW w:w="4008" w:type="dxa"/>
            <w:tcBorders>
              <w:top w:val="single" w:sz="4" w:space="0" w:color="auto"/>
              <w:left w:val="single" w:sz="4" w:space="0" w:color="auto"/>
              <w:bottom w:val="single" w:sz="4" w:space="0" w:color="auto"/>
              <w:right w:val="single" w:sz="4" w:space="0" w:color="auto"/>
            </w:tcBorders>
          </w:tcPr>
          <w:p w14:paraId="7F471CE8"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PCD sent or received via email should be safely stored and archived, as well being incorporated into the appropriate record, including an audit trail of actions.</w:t>
            </w:r>
          </w:p>
        </w:tc>
        <w:tc>
          <w:tcPr>
            <w:tcW w:w="3544" w:type="dxa"/>
            <w:tcBorders>
              <w:top w:val="single" w:sz="4" w:space="0" w:color="auto"/>
              <w:left w:val="single" w:sz="4" w:space="0" w:color="auto"/>
              <w:bottom w:val="single" w:sz="4" w:space="0" w:color="auto"/>
              <w:right w:val="single" w:sz="4" w:space="0" w:color="auto"/>
            </w:tcBorders>
          </w:tcPr>
          <w:p w14:paraId="662CFF64" w14:textId="77777777" w:rsidR="00C81349" w:rsidRPr="00C81349" w:rsidRDefault="00C81349" w:rsidP="00C81349">
            <w:pPr>
              <w:spacing w:after="160" w:line="259" w:lineRule="auto"/>
              <w:ind w:left="426" w:right="26"/>
              <w:jc w:val="both"/>
              <w:rPr>
                <w:rFonts w:ascii="Arial" w:hAnsi="Arial" w:cs="Arial"/>
                <w:b/>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4E9D21" w14:textId="77777777" w:rsidR="00C81349" w:rsidRPr="00C81349" w:rsidRDefault="00C81349" w:rsidP="00C81349">
            <w:pPr>
              <w:spacing w:after="160" w:line="259" w:lineRule="auto"/>
              <w:ind w:left="426" w:right="26"/>
              <w:jc w:val="both"/>
              <w:rPr>
                <w:rFonts w:ascii="Arial" w:hAnsi="Arial" w:cs="Arial"/>
                <w:b/>
                <w:color w:val="FF000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DEEFA37" w14:textId="77777777" w:rsidR="00C81349" w:rsidRPr="00C81349" w:rsidRDefault="00C81349" w:rsidP="00C81349">
            <w:pPr>
              <w:spacing w:after="160" w:line="259" w:lineRule="auto"/>
              <w:ind w:left="426" w:right="26"/>
              <w:jc w:val="both"/>
              <w:rPr>
                <w:rFonts w:ascii="Arial" w:hAnsi="Arial" w:cs="Arial"/>
                <w:b/>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401FA27" w14:textId="77777777" w:rsidR="00C81349" w:rsidRPr="00C81349" w:rsidRDefault="00C81349" w:rsidP="00C81349">
            <w:pPr>
              <w:spacing w:after="160" w:line="259" w:lineRule="auto"/>
              <w:ind w:left="426" w:right="26"/>
              <w:jc w:val="center"/>
              <w:rPr>
                <w:rFonts w:ascii="Arial" w:hAnsi="Arial" w:cs="Arial"/>
                <w:b/>
                <w:color w:val="FF0000"/>
                <w:sz w:val="24"/>
                <w:szCs w:val="24"/>
              </w:rPr>
            </w:pPr>
          </w:p>
        </w:tc>
      </w:tr>
      <w:tr w:rsidR="00C81349" w:rsidRPr="00C81349" w14:paraId="27F528E8" w14:textId="77777777" w:rsidTr="48C4AA5A">
        <w:tc>
          <w:tcPr>
            <w:tcW w:w="15593" w:type="dxa"/>
            <w:gridSpan w:val="6"/>
            <w:tcBorders>
              <w:top w:val="single" w:sz="4" w:space="0" w:color="auto"/>
              <w:left w:val="single" w:sz="4" w:space="0" w:color="auto"/>
              <w:bottom w:val="single" w:sz="4" w:space="0" w:color="auto"/>
              <w:right w:val="single" w:sz="4" w:space="0" w:color="auto"/>
            </w:tcBorders>
          </w:tcPr>
          <w:p w14:paraId="3A9958EC" w14:textId="77777777" w:rsidR="00C81349" w:rsidRPr="00C81349" w:rsidRDefault="00C81349" w:rsidP="00C81349">
            <w:pPr>
              <w:spacing w:after="160" w:line="259" w:lineRule="auto"/>
              <w:ind w:left="426" w:right="26"/>
              <w:jc w:val="both"/>
              <w:rPr>
                <w:rFonts w:ascii="Arial" w:hAnsi="Arial" w:cs="Arial"/>
                <w:b/>
                <w:i/>
                <w:sz w:val="24"/>
                <w:szCs w:val="24"/>
              </w:rPr>
            </w:pPr>
            <w:r w:rsidRPr="00C81349">
              <w:rPr>
                <w:rFonts w:ascii="Arial" w:hAnsi="Arial" w:cs="Arial"/>
                <w:b/>
                <w:i/>
                <w:sz w:val="24"/>
                <w:szCs w:val="24"/>
              </w:rPr>
              <w:t>Telephone Conversations</w:t>
            </w:r>
          </w:p>
        </w:tc>
      </w:tr>
      <w:tr w:rsidR="00C81349" w:rsidRPr="00C81349" w14:paraId="7B4C81A1" w14:textId="77777777" w:rsidTr="48C4AA5A">
        <w:tc>
          <w:tcPr>
            <w:tcW w:w="1237" w:type="dxa"/>
            <w:tcBorders>
              <w:top w:val="single" w:sz="4" w:space="0" w:color="auto"/>
              <w:left w:val="single" w:sz="4" w:space="0" w:color="auto"/>
              <w:bottom w:val="single" w:sz="4" w:space="0" w:color="auto"/>
              <w:right w:val="single" w:sz="4" w:space="0" w:color="auto"/>
            </w:tcBorders>
          </w:tcPr>
          <w:p w14:paraId="032F1797"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40A89E06"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that all telephone conversations regarding PCD should be kept to a minimum and take place in a private area where they cannot be overheard by unauthorised personnel</w:t>
            </w:r>
          </w:p>
        </w:tc>
        <w:tc>
          <w:tcPr>
            <w:tcW w:w="3544" w:type="dxa"/>
            <w:tcBorders>
              <w:top w:val="single" w:sz="4" w:space="0" w:color="auto"/>
              <w:left w:val="single" w:sz="4" w:space="0" w:color="auto"/>
              <w:bottom w:val="single" w:sz="4" w:space="0" w:color="auto"/>
              <w:right w:val="single" w:sz="4" w:space="0" w:color="auto"/>
            </w:tcBorders>
          </w:tcPr>
          <w:p w14:paraId="1FC31F6E"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9981E0"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B1829B7"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054C4A"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6BAF4CC6" w14:textId="77777777" w:rsidTr="48C4AA5A">
        <w:tc>
          <w:tcPr>
            <w:tcW w:w="1237" w:type="dxa"/>
            <w:tcBorders>
              <w:top w:val="single" w:sz="4" w:space="0" w:color="auto"/>
              <w:left w:val="single" w:sz="4" w:space="0" w:color="auto"/>
              <w:bottom w:val="single" w:sz="4" w:space="0" w:color="auto"/>
              <w:right w:val="single" w:sz="4" w:space="0" w:color="auto"/>
            </w:tcBorders>
          </w:tcPr>
          <w:p w14:paraId="4115FA05"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0325677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When speaking to service users, carers and others, staff should confirm the caller’s identity and their authority to receive the information requested, if in doubt check with a manager. Where applicable job title, department and organisation of the caller should be taken, and then </w:t>
            </w:r>
            <w:r w:rsidRPr="00C81349">
              <w:rPr>
                <w:rFonts w:ascii="Arial" w:hAnsi="Arial" w:cs="Arial"/>
                <w:sz w:val="24"/>
                <w:szCs w:val="24"/>
              </w:rPr>
              <w:lastRenderedPageBreak/>
              <w:t>called back using a known verifiable number.</w:t>
            </w:r>
          </w:p>
          <w:p w14:paraId="4CFEE4F2"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It is important to guard against people seeking information by deception this is particularly risky when using mobile telephone numbers.</w:t>
            </w:r>
          </w:p>
          <w:p w14:paraId="69A1F1E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This can be waived where a caller is known to you. </w:t>
            </w:r>
          </w:p>
        </w:tc>
        <w:tc>
          <w:tcPr>
            <w:tcW w:w="3544" w:type="dxa"/>
            <w:tcBorders>
              <w:top w:val="single" w:sz="4" w:space="0" w:color="auto"/>
              <w:left w:val="single" w:sz="4" w:space="0" w:color="auto"/>
              <w:bottom w:val="single" w:sz="4" w:space="0" w:color="auto"/>
              <w:right w:val="single" w:sz="4" w:space="0" w:color="auto"/>
            </w:tcBorders>
          </w:tcPr>
          <w:p w14:paraId="04CA2189"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75267C"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E525935"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353141"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D64A92F" w14:textId="77777777" w:rsidTr="48C4AA5A">
        <w:tc>
          <w:tcPr>
            <w:tcW w:w="1237" w:type="dxa"/>
            <w:tcBorders>
              <w:top w:val="single" w:sz="4" w:space="0" w:color="auto"/>
              <w:left w:val="single" w:sz="4" w:space="0" w:color="auto"/>
              <w:bottom w:val="single" w:sz="4" w:space="0" w:color="auto"/>
              <w:right w:val="single" w:sz="4" w:space="0" w:color="auto"/>
            </w:tcBorders>
          </w:tcPr>
          <w:p w14:paraId="3F2130AE"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77555AA6"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to use the secrecy (mute) button when putting callers on hold.</w:t>
            </w:r>
          </w:p>
        </w:tc>
        <w:tc>
          <w:tcPr>
            <w:tcW w:w="3544" w:type="dxa"/>
            <w:tcBorders>
              <w:top w:val="single" w:sz="4" w:space="0" w:color="auto"/>
              <w:left w:val="single" w:sz="4" w:space="0" w:color="auto"/>
              <w:bottom w:val="single" w:sz="4" w:space="0" w:color="auto"/>
              <w:right w:val="single" w:sz="4" w:space="0" w:color="auto"/>
            </w:tcBorders>
          </w:tcPr>
          <w:p w14:paraId="20839189"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72F8BA"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FBCEE1B"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07696F"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2F7D827F" w14:textId="77777777" w:rsidTr="48C4AA5A">
        <w:tc>
          <w:tcPr>
            <w:tcW w:w="1237" w:type="dxa"/>
            <w:tcBorders>
              <w:top w:val="single" w:sz="4" w:space="0" w:color="auto"/>
              <w:left w:val="single" w:sz="4" w:space="0" w:color="auto"/>
              <w:bottom w:val="single" w:sz="4" w:space="0" w:color="auto"/>
              <w:right w:val="single" w:sz="4" w:space="0" w:color="auto"/>
            </w:tcBorders>
          </w:tcPr>
          <w:p w14:paraId="69BB2C17"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4</w:t>
            </w:r>
          </w:p>
        </w:tc>
        <w:tc>
          <w:tcPr>
            <w:tcW w:w="4008" w:type="dxa"/>
            <w:tcBorders>
              <w:top w:val="single" w:sz="4" w:space="0" w:color="auto"/>
              <w:left w:val="single" w:sz="4" w:space="0" w:color="auto"/>
              <w:bottom w:val="single" w:sz="4" w:space="0" w:color="auto"/>
              <w:right w:val="single" w:sz="4" w:space="0" w:color="auto"/>
            </w:tcBorders>
            <w:hideMark/>
          </w:tcPr>
          <w:p w14:paraId="4C975B27" w14:textId="2EE5734D"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Where telephone messages containing PCD are received, they should preferably be emailed via NHS Mail to the intended recipient. If this is not possible the message should be placed in an envelope, </w:t>
            </w:r>
            <w:r w:rsidR="008327C6" w:rsidRPr="00C81349">
              <w:rPr>
                <w:rFonts w:ascii="Arial" w:hAnsi="Arial" w:cs="Arial"/>
                <w:sz w:val="24"/>
                <w:szCs w:val="24"/>
              </w:rPr>
              <w:t>sealed,</w:t>
            </w:r>
            <w:r w:rsidRPr="00C81349">
              <w:rPr>
                <w:rFonts w:ascii="Arial" w:hAnsi="Arial" w:cs="Arial"/>
                <w:sz w:val="24"/>
                <w:szCs w:val="24"/>
              </w:rPr>
              <w:t xml:space="preserve"> and addressed to the intended recipient, marked private and confidential.</w:t>
            </w:r>
          </w:p>
        </w:tc>
        <w:tc>
          <w:tcPr>
            <w:tcW w:w="3544" w:type="dxa"/>
            <w:tcBorders>
              <w:top w:val="single" w:sz="4" w:space="0" w:color="auto"/>
              <w:left w:val="single" w:sz="4" w:space="0" w:color="auto"/>
              <w:bottom w:val="single" w:sz="4" w:space="0" w:color="auto"/>
              <w:right w:val="single" w:sz="4" w:space="0" w:color="auto"/>
            </w:tcBorders>
          </w:tcPr>
          <w:p w14:paraId="6590B71D"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CDCC77"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129F7E1"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21735F2"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6225C3BC" w14:textId="77777777" w:rsidTr="48C4AA5A">
        <w:tc>
          <w:tcPr>
            <w:tcW w:w="1237" w:type="dxa"/>
            <w:tcBorders>
              <w:top w:val="single" w:sz="4" w:space="0" w:color="auto"/>
              <w:left w:val="single" w:sz="4" w:space="0" w:color="auto"/>
              <w:bottom w:val="single" w:sz="4" w:space="0" w:color="auto"/>
              <w:right w:val="single" w:sz="4" w:space="0" w:color="auto"/>
            </w:tcBorders>
          </w:tcPr>
          <w:p w14:paraId="7D040618"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5</w:t>
            </w:r>
          </w:p>
        </w:tc>
        <w:tc>
          <w:tcPr>
            <w:tcW w:w="4008" w:type="dxa"/>
            <w:tcBorders>
              <w:top w:val="single" w:sz="4" w:space="0" w:color="auto"/>
              <w:left w:val="single" w:sz="4" w:space="0" w:color="auto"/>
              <w:bottom w:val="single" w:sz="4" w:space="0" w:color="auto"/>
              <w:right w:val="single" w:sz="4" w:space="0" w:color="auto"/>
            </w:tcBorders>
            <w:hideMark/>
          </w:tcPr>
          <w:p w14:paraId="1E6ABD42"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In the event of requests for information by telephone, staff should confirm the identity of the </w:t>
            </w:r>
            <w:r w:rsidRPr="00C81349">
              <w:rPr>
                <w:rFonts w:ascii="Arial" w:hAnsi="Arial" w:cs="Arial"/>
                <w:sz w:val="24"/>
                <w:szCs w:val="24"/>
              </w:rPr>
              <w:lastRenderedPageBreak/>
              <w:t>requestor and their authorisation to receive the information. If in doubt staff should be aware to check with a senior manager.</w:t>
            </w:r>
          </w:p>
          <w:p w14:paraId="7FEB4E3C"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This could mean calling the enquirer back via a main switch board. </w:t>
            </w:r>
            <w:r w:rsidRPr="00C81349">
              <w:rPr>
                <w:rFonts w:ascii="Arial" w:hAnsi="Arial" w:cs="Arial"/>
                <w:b/>
                <w:sz w:val="24"/>
                <w:szCs w:val="24"/>
              </w:rPr>
              <w:t>NB/</w:t>
            </w:r>
            <w:r w:rsidRPr="00C81349">
              <w:rPr>
                <w:rFonts w:ascii="Arial" w:hAnsi="Arial" w:cs="Arial"/>
                <w:sz w:val="24"/>
                <w:szCs w:val="24"/>
              </w:rPr>
              <w:t xml:space="preserve"> </w:t>
            </w:r>
            <w:r w:rsidRPr="00C81349">
              <w:rPr>
                <w:rFonts w:ascii="Arial" w:hAnsi="Arial" w:cs="Arial"/>
                <w:b/>
                <w:sz w:val="24"/>
                <w:szCs w:val="24"/>
              </w:rPr>
              <w:t>DO NOT</w:t>
            </w:r>
            <w:r w:rsidRPr="00C81349">
              <w:rPr>
                <w:rFonts w:ascii="Arial" w:hAnsi="Arial" w:cs="Arial"/>
                <w:sz w:val="24"/>
                <w:szCs w:val="24"/>
              </w:rPr>
              <w:t xml:space="preserve"> use direct lines for verification purpose as number given by callers may not be genuine.</w:t>
            </w:r>
          </w:p>
        </w:tc>
        <w:tc>
          <w:tcPr>
            <w:tcW w:w="3544" w:type="dxa"/>
            <w:tcBorders>
              <w:top w:val="single" w:sz="4" w:space="0" w:color="auto"/>
              <w:left w:val="single" w:sz="4" w:space="0" w:color="auto"/>
              <w:bottom w:val="single" w:sz="4" w:space="0" w:color="auto"/>
              <w:right w:val="single" w:sz="4" w:space="0" w:color="auto"/>
            </w:tcBorders>
          </w:tcPr>
          <w:p w14:paraId="01255C05"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47E7FD"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E9B82EC"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FA4493"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7D7499A4"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2DCFC"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 xml:space="preserve">Incoming Voicemail and Answerphone messages </w:t>
            </w:r>
          </w:p>
        </w:tc>
      </w:tr>
      <w:tr w:rsidR="00C81349" w:rsidRPr="00C81349" w14:paraId="186EEA4E" w14:textId="77777777" w:rsidTr="48C4AA5A">
        <w:tc>
          <w:tcPr>
            <w:tcW w:w="1237" w:type="dxa"/>
            <w:tcBorders>
              <w:top w:val="single" w:sz="4" w:space="0" w:color="auto"/>
              <w:left w:val="single" w:sz="4" w:space="0" w:color="auto"/>
              <w:bottom w:val="single" w:sz="4" w:space="0" w:color="auto"/>
              <w:right w:val="single" w:sz="4" w:space="0" w:color="auto"/>
            </w:tcBorders>
          </w:tcPr>
          <w:p w14:paraId="7D373092"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tcPr>
          <w:p w14:paraId="494F44F4" w14:textId="77777777" w:rsidR="00C81349" w:rsidRPr="00C81349" w:rsidRDefault="00C81349" w:rsidP="00C81349">
            <w:pPr>
              <w:spacing w:after="160" w:line="259" w:lineRule="auto"/>
              <w:ind w:right="26"/>
              <w:jc w:val="both"/>
              <w:rPr>
                <w:rFonts w:ascii="Arial" w:hAnsi="Arial" w:cs="Arial"/>
                <w:iCs/>
                <w:sz w:val="24"/>
                <w:szCs w:val="24"/>
              </w:rPr>
            </w:pPr>
            <w:r w:rsidRPr="00C81349">
              <w:rPr>
                <w:rFonts w:ascii="Arial" w:hAnsi="Arial" w:cs="Arial"/>
                <w:iCs/>
                <w:sz w:val="24"/>
                <w:szCs w:val="24"/>
              </w:rPr>
              <w:t>When checking messages on an answer phone staff should ensure they cannot be overheard by unauthorised personnel.</w:t>
            </w:r>
          </w:p>
        </w:tc>
        <w:tc>
          <w:tcPr>
            <w:tcW w:w="3544" w:type="dxa"/>
            <w:tcBorders>
              <w:top w:val="single" w:sz="4" w:space="0" w:color="auto"/>
              <w:left w:val="single" w:sz="4" w:space="0" w:color="auto"/>
              <w:bottom w:val="single" w:sz="4" w:space="0" w:color="auto"/>
              <w:right w:val="single" w:sz="4" w:space="0" w:color="auto"/>
            </w:tcBorders>
          </w:tcPr>
          <w:p w14:paraId="01151E7C" w14:textId="77777777" w:rsidR="00C81349" w:rsidRPr="00C81349" w:rsidRDefault="00C81349" w:rsidP="00C81349">
            <w:pPr>
              <w:spacing w:after="160" w:line="259" w:lineRule="auto"/>
              <w:ind w:left="426" w:right="26"/>
              <w:jc w:val="both"/>
              <w:rPr>
                <w:rFonts w:ascii="Arial" w:hAnsi="Arial" w:cs="Arial"/>
                <w:b/>
                <w:i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3F265C"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BAF4A72"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C7F781"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77DD0FEA" w14:textId="77777777" w:rsidTr="48C4AA5A">
        <w:tc>
          <w:tcPr>
            <w:tcW w:w="1237" w:type="dxa"/>
            <w:tcBorders>
              <w:top w:val="single" w:sz="4" w:space="0" w:color="auto"/>
              <w:left w:val="single" w:sz="4" w:space="0" w:color="auto"/>
              <w:bottom w:val="single" w:sz="4" w:space="0" w:color="auto"/>
              <w:right w:val="single" w:sz="4" w:space="0" w:color="auto"/>
            </w:tcBorders>
          </w:tcPr>
          <w:p w14:paraId="721F6F06"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3AF33E54"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Where message books are used is it essential that these are held securely and access to them is on a need-to-know basis, as appropriate to their staff member’s job role.</w:t>
            </w:r>
          </w:p>
          <w:p w14:paraId="20AAEDD1"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b/>
                <w:sz w:val="24"/>
                <w:szCs w:val="24"/>
              </w:rPr>
              <w:t>NB/</w:t>
            </w:r>
            <w:r w:rsidRPr="00C81349">
              <w:rPr>
                <w:rFonts w:ascii="Arial" w:hAnsi="Arial" w:cs="Arial"/>
                <w:sz w:val="24"/>
                <w:szCs w:val="24"/>
              </w:rPr>
              <w:t xml:space="preserve"> Messages should not contain PCD but should refer readers to proper records.</w:t>
            </w:r>
          </w:p>
        </w:tc>
        <w:tc>
          <w:tcPr>
            <w:tcW w:w="3544" w:type="dxa"/>
            <w:tcBorders>
              <w:top w:val="single" w:sz="4" w:space="0" w:color="auto"/>
              <w:left w:val="single" w:sz="4" w:space="0" w:color="auto"/>
              <w:bottom w:val="single" w:sz="4" w:space="0" w:color="auto"/>
              <w:right w:val="single" w:sz="4" w:space="0" w:color="auto"/>
            </w:tcBorders>
          </w:tcPr>
          <w:p w14:paraId="58722179"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7B01CA"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3006C43"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24623ED"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1D8176B7"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87585"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lastRenderedPageBreak/>
              <w:t>Answerphones Outwards</w:t>
            </w:r>
          </w:p>
        </w:tc>
      </w:tr>
      <w:tr w:rsidR="00C81349" w:rsidRPr="00C81349" w14:paraId="6EF64258" w14:textId="77777777" w:rsidTr="48C4AA5A">
        <w:trPr>
          <w:trHeight w:val="1810"/>
        </w:trPr>
        <w:tc>
          <w:tcPr>
            <w:tcW w:w="1237" w:type="dxa"/>
            <w:tcBorders>
              <w:top w:val="single" w:sz="4" w:space="0" w:color="auto"/>
              <w:left w:val="single" w:sz="4" w:space="0" w:color="auto"/>
              <w:bottom w:val="single" w:sz="4" w:space="0" w:color="auto"/>
              <w:right w:val="single" w:sz="4" w:space="0" w:color="auto"/>
            </w:tcBorders>
          </w:tcPr>
          <w:p w14:paraId="0AB406A7"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376FE2AD"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that should they need to leave an answer phone message that they should only leave a name and phone number for call back.</w:t>
            </w:r>
          </w:p>
          <w:p w14:paraId="5A57CE8E"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Do not indicate the reason for the call.</w:t>
            </w:r>
          </w:p>
        </w:tc>
        <w:tc>
          <w:tcPr>
            <w:tcW w:w="3544" w:type="dxa"/>
            <w:tcBorders>
              <w:top w:val="single" w:sz="4" w:space="0" w:color="auto"/>
              <w:left w:val="single" w:sz="4" w:space="0" w:color="auto"/>
              <w:bottom w:val="single" w:sz="4" w:space="0" w:color="auto"/>
              <w:right w:val="single" w:sz="4" w:space="0" w:color="auto"/>
            </w:tcBorders>
          </w:tcPr>
          <w:p w14:paraId="759BF0E7"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A75CD85"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45A4E0C"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770D708"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7E979C18"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C0E25"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Verbal Transfer of Information</w:t>
            </w:r>
          </w:p>
        </w:tc>
      </w:tr>
      <w:tr w:rsidR="00C81349" w:rsidRPr="00C81349" w14:paraId="57B578B2" w14:textId="77777777" w:rsidTr="48C4AA5A">
        <w:tc>
          <w:tcPr>
            <w:tcW w:w="1237" w:type="dxa"/>
            <w:tcBorders>
              <w:top w:val="single" w:sz="4" w:space="0" w:color="auto"/>
              <w:left w:val="single" w:sz="4" w:space="0" w:color="auto"/>
              <w:bottom w:val="single" w:sz="4" w:space="0" w:color="auto"/>
              <w:right w:val="single" w:sz="4" w:space="0" w:color="auto"/>
            </w:tcBorders>
          </w:tcPr>
          <w:p w14:paraId="194C5243"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1FFC8C7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that whenever they are transferring information verbally, they must ensure they cannot be overheard by unauthorised personnel.</w:t>
            </w:r>
          </w:p>
        </w:tc>
        <w:tc>
          <w:tcPr>
            <w:tcW w:w="3544" w:type="dxa"/>
            <w:tcBorders>
              <w:top w:val="single" w:sz="4" w:space="0" w:color="auto"/>
              <w:left w:val="single" w:sz="4" w:space="0" w:color="auto"/>
              <w:bottom w:val="single" w:sz="4" w:space="0" w:color="auto"/>
              <w:right w:val="single" w:sz="4" w:space="0" w:color="auto"/>
            </w:tcBorders>
          </w:tcPr>
          <w:p w14:paraId="36A56695"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5D2232"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9F59741"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B87034"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9EED0FE" w14:textId="77777777" w:rsidTr="48C4AA5A">
        <w:tc>
          <w:tcPr>
            <w:tcW w:w="1237" w:type="dxa"/>
            <w:tcBorders>
              <w:top w:val="single" w:sz="4" w:space="0" w:color="auto"/>
              <w:left w:val="single" w:sz="4" w:space="0" w:color="auto"/>
              <w:bottom w:val="single" w:sz="4" w:space="0" w:color="auto"/>
              <w:right w:val="single" w:sz="4" w:space="0" w:color="auto"/>
            </w:tcBorders>
          </w:tcPr>
          <w:p w14:paraId="67E41D9A"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35508E1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Where service users register at reception it should be ensured that any personal details they need to give cannot be overheard.</w:t>
            </w:r>
          </w:p>
        </w:tc>
        <w:tc>
          <w:tcPr>
            <w:tcW w:w="3544" w:type="dxa"/>
            <w:tcBorders>
              <w:top w:val="single" w:sz="4" w:space="0" w:color="auto"/>
              <w:left w:val="single" w:sz="4" w:space="0" w:color="auto"/>
              <w:bottom w:val="single" w:sz="4" w:space="0" w:color="auto"/>
              <w:right w:val="single" w:sz="4" w:space="0" w:color="auto"/>
            </w:tcBorders>
          </w:tcPr>
          <w:p w14:paraId="6E67C678"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35D9B0"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2ED0497"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D5CB8E"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26AD1344" w14:textId="77777777" w:rsidTr="48C4AA5A">
        <w:tc>
          <w:tcPr>
            <w:tcW w:w="1237" w:type="dxa"/>
            <w:tcBorders>
              <w:top w:val="single" w:sz="4" w:space="0" w:color="auto"/>
              <w:left w:val="single" w:sz="4" w:space="0" w:color="auto"/>
              <w:bottom w:val="single" w:sz="4" w:space="0" w:color="auto"/>
              <w:right w:val="single" w:sz="4" w:space="0" w:color="auto"/>
            </w:tcBorders>
          </w:tcPr>
          <w:p w14:paraId="29D461EA"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53BD05FA"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Where discussions include PCD they must not take place in a communal area, e.g., shared offices, or anywhere else where you </w:t>
            </w:r>
            <w:r w:rsidRPr="00C81349">
              <w:rPr>
                <w:rFonts w:ascii="Arial" w:hAnsi="Arial" w:cs="Arial"/>
                <w:sz w:val="24"/>
                <w:szCs w:val="24"/>
              </w:rPr>
              <w:lastRenderedPageBreak/>
              <w:t xml:space="preserve">can be overheard by unauthorised personnel. </w:t>
            </w:r>
          </w:p>
        </w:tc>
        <w:tc>
          <w:tcPr>
            <w:tcW w:w="3544" w:type="dxa"/>
            <w:tcBorders>
              <w:top w:val="single" w:sz="4" w:space="0" w:color="auto"/>
              <w:left w:val="single" w:sz="4" w:space="0" w:color="auto"/>
              <w:bottom w:val="single" w:sz="4" w:space="0" w:color="auto"/>
              <w:right w:val="single" w:sz="4" w:space="0" w:color="auto"/>
            </w:tcBorders>
          </w:tcPr>
          <w:p w14:paraId="159B3BF6"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5814AB"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11DEF2F"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46DE313"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57CD81DD" w14:textId="77777777" w:rsidTr="48C4AA5A">
        <w:tc>
          <w:tcPr>
            <w:tcW w:w="1237" w:type="dxa"/>
            <w:tcBorders>
              <w:top w:val="single" w:sz="4" w:space="0" w:color="auto"/>
              <w:left w:val="single" w:sz="4" w:space="0" w:color="auto"/>
              <w:bottom w:val="single" w:sz="4" w:space="0" w:color="auto"/>
              <w:right w:val="single" w:sz="4" w:space="0" w:color="auto"/>
            </w:tcBorders>
          </w:tcPr>
          <w:p w14:paraId="58C8D67E"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4</w:t>
            </w:r>
          </w:p>
        </w:tc>
        <w:tc>
          <w:tcPr>
            <w:tcW w:w="4008" w:type="dxa"/>
            <w:tcBorders>
              <w:top w:val="single" w:sz="4" w:space="0" w:color="auto"/>
              <w:left w:val="single" w:sz="4" w:space="0" w:color="auto"/>
              <w:bottom w:val="single" w:sz="4" w:space="0" w:color="auto"/>
              <w:right w:val="single" w:sz="4" w:space="0" w:color="auto"/>
            </w:tcBorders>
          </w:tcPr>
          <w:p w14:paraId="2BD981DB"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Where message books are used, they should be held securely, and access limited on a need-to-know basis. </w:t>
            </w:r>
          </w:p>
          <w:p w14:paraId="52577F7B"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b/>
                <w:sz w:val="24"/>
                <w:szCs w:val="24"/>
              </w:rPr>
              <w:t>NB</w:t>
            </w:r>
            <w:r w:rsidRPr="00C81349">
              <w:rPr>
                <w:rFonts w:ascii="Arial" w:hAnsi="Arial" w:cs="Arial"/>
                <w:sz w:val="24"/>
                <w:szCs w:val="24"/>
              </w:rPr>
              <w:t>/ Messages should not contain PCD but should refer readers to proper records.</w:t>
            </w:r>
          </w:p>
        </w:tc>
        <w:tc>
          <w:tcPr>
            <w:tcW w:w="3544" w:type="dxa"/>
            <w:tcBorders>
              <w:top w:val="single" w:sz="4" w:space="0" w:color="auto"/>
              <w:left w:val="single" w:sz="4" w:space="0" w:color="auto"/>
              <w:bottom w:val="single" w:sz="4" w:space="0" w:color="auto"/>
              <w:right w:val="single" w:sz="4" w:space="0" w:color="auto"/>
            </w:tcBorders>
          </w:tcPr>
          <w:p w14:paraId="01C2721F"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A0B9F9"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00B4D78"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A7AE10"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397BCCA3"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BF1E7"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 xml:space="preserve">Information Sharing </w:t>
            </w:r>
          </w:p>
        </w:tc>
      </w:tr>
      <w:tr w:rsidR="00C81349" w:rsidRPr="00C81349" w14:paraId="7F59BC30" w14:textId="77777777" w:rsidTr="48C4AA5A">
        <w:tc>
          <w:tcPr>
            <w:tcW w:w="1237" w:type="dxa"/>
            <w:tcBorders>
              <w:top w:val="single" w:sz="4" w:space="0" w:color="auto"/>
              <w:left w:val="single" w:sz="4" w:space="0" w:color="auto"/>
              <w:bottom w:val="single" w:sz="4" w:space="0" w:color="auto"/>
              <w:right w:val="single" w:sz="4" w:space="0" w:color="auto"/>
            </w:tcBorders>
          </w:tcPr>
          <w:p w14:paraId="5D665904"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3A71CA1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of their responsibilities in respect of information sharing and documented protocols put in place where information sharing forms a routine part of the service provision.</w:t>
            </w:r>
          </w:p>
        </w:tc>
        <w:tc>
          <w:tcPr>
            <w:tcW w:w="3544" w:type="dxa"/>
            <w:tcBorders>
              <w:top w:val="single" w:sz="4" w:space="0" w:color="auto"/>
              <w:left w:val="single" w:sz="4" w:space="0" w:color="auto"/>
              <w:bottom w:val="single" w:sz="4" w:space="0" w:color="auto"/>
              <w:right w:val="single" w:sz="4" w:space="0" w:color="auto"/>
            </w:tcBorders>
          </w:tcPr>
          <w:p w14:paraId="3A62B3D1"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991C22"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7D941EE"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C331C8"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1C9E8CFF" w14:textId="77777777" w:rsidTr="48C4AA5A">
        <w:tc>
          <w:tcPr>
            <w:tcW w:w="1237" w:type="dxa"/>
            <w:tcBorders>
              <w:top w:val="single" w:sz="4" w:space="0" w:color="auto"/>
              <w:left w:val="single" w:sz="4" w:space="0" w:color="auto"/>
              <w:bottom w:val="single" w:sz="4" w:space="0" w:color="auto"/>
              <w:right w:val="single" w:sz="4" w:space="0" w:color="auto"/>
            </w:tcBorders>
          </w:tcPr>
          <w:p w14:paraId="30958B6E"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7412B68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of guidance available e.g. The Confidentiality NHS Code of Practice.</w:t>
            </w:r>
          </w:p>
        </w:tc>
        <w:tc>
          <w:tcPr>
            <w:tcW w:w="3544" w:type="dxa"/>
            <w:tcBorders>
              <w:top w:val="single" w:sz="4" w:space="0" w:color="auto"/>
              <w:left w:val="single" w:sz="4" w:space="0" w:color="auto"/>
              <w:bottom w:val="single" w:sz="4" w:space="0" w:color="auto"/>
              <w:right w:val="single" w:sz="4" w:space="0" w:color="auto"/>
            </w:tcBorders>
          </w:tcPr>
          <w:p w14:paraId="0CF14265"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8CDF28"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D59B96E"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62B77C5"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4A5E694" w14:textId="77777777" w:rsidTr="48C4AA5A">
        <w:tc>
          <w:tcPr>
            <w:tcW w:w="1237" w:type="dxa"/>
            <w:tcBorders>
              <w:top w:val="single" w:sz="4" w:space="0" w:color="auto"/>
              <w:left w:val="single" w:sz="4" w:space="0" w:color="auto"/>
              <w:bottom w:val="single" w:sz="4" w:space="0" w:color="auto"/>
              <w:right w:val="single" w:sz="4" w:space="0" w:color="auto"/>
            </w:tcBorders>
          </w:tcPr>
          <w:p w14:paraId="0993D09B"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06B6861B"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Responsibility for making Information sharing decisions should be delegated to appropriate senior personnel.</w:t>
            </w:r>
          </w:p>
        </w:tc>
        <w:tc>
          <w:tcPr>
            <w:tcW w:w="3544" w:type="dxa"/>
            <w:tcBorders>
              <w:top w:val="single" w:sz="4" w:space="0" w:color="auto"/>
              <w:left w:val="single" w:sz="4" w:space="0" w:color="auto"/>
              <w:bottom w:val="single" w:sz="4" w:space="0" w:color="auto"/>
              <w:right w:val="single" w:sz="4" w:space="0" w:color="auto"/>
            </w:tcBorders>
          </w:tcPr>
          <w:p w14:paraId="23436B57"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799E8D"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0C47F09"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4A40D4"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5C51D08F"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B5BE8"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lastRenderedPageBreak/>
              <w:t xml:space="preserve">Subject Access Requests </w:t>
            </w:r>
          </w:p>
        </w:tc>
      </w:tr>
      <w:tr w:rsidR="00C81349" w:rsidRPr="00C81349" w14:paraId="57867293" w14:textId="77777777" w:rsidTr="48C4AA5A">
        <w:tc>
          <w:tcPr>
            <w:tcW w:w="1237" w:type="dxa"/>
            <w:tcBorders>
              <w:top w:val="single" w:sz="4" w:space="0" w:color="auto"/>
              <w:left w:val="single" w:sz="4" w:space="0" w:color="auto"/>
              <w:bottom w:val="single" w:sz="4" w:space="0" w:color="auto"/>
              <w:right w:val="single" w:sz="4" w:space="0" w:color="auto"/>
            </w:tcBorders>
          </w:tcPr>
          <w:p w14:paraId="49BAF2C3"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24000380"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made aware of their responsibilities in respect requests received and appropriate staff identified and trained to deal with these requests.</w:t>
            </w:r>
          </w:p>
        </w:tc>
        <w:tc>
          <w:tcPr>
            <w:tcW w:w="3544" w:type="dxa"/>
            <w:tcBorders>
              <w:top w:val="single" w:sz="4" w:space="0" w:color="auto"/>
              <w:left w:val="single" w:sz="4" w:space="0" w:color="auto"/>
              <w:bottom w:val="single" w:sz="4" w:space="0" w:color="auto"/>
              <w:right w:val="single" w:sz="4" w:space="0" w:color="auto"/>
            </w:tcBorders>
          </w:tcPr>
          <w:p w14:paraId="2F93051E"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380B8B"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F1F9D74"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AE82955"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16ADB2F5" w14:textId="77777777" w:rsidTr="48C4AA5A">
        <w:tc>
          <w:tcPr>
            <w:tcW w:w="1237" w:type="dxa"/>
            <w:tcBorders>
              <w:top w:val="single" w:sz="4" w:space="0" w:color="auto"/>
              <w:left w:val="single" w:sz="4" w:space="0" w:color="auto"/>
              <w:bottom w:val="single" w:sz="4" w:space="0" w:color="auto"/>
              <w:right w:val="single" w:sz="4" w:space="0" w:color="auto"/>
            </w:tcBorders>
          </w:tcPr>
          <w:p w14:paraId="5BE6634B"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14:paraId="307C11AF"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able to advise individuals on how to apply for a copy of their information.</w:t>
            </w:r>
          </w:p>
        </w:tc>
        <w:tc>
          <w:tcPr>
            <w:tcW w:w="3544" w:type="dxa"/>
            <w:tcBorders>
              <w:top w:val="single" w:sz="4" w:space="0" w:color="auto"/>
              <w:left w:val="single" w:sz="4" w:space="0" w:color="auto"/>
              <w:bottom w:val="single" w:sz="4" w:space="0" w:color="auto"/>
              <w:right w:val="single" w:sz="4" w:space="0" w:color="auto"/>
            </w:tcBorders>
          </w:tcPr>
          <w:p w14:paraId="22BF2D75"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3FB4E7"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60BBBC2"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2F0A5F"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4CAB7053" w14:textId="77777777" w:rsidTr="48C4AA5A">
        <w:tc>
          <w:tcPr>
            <w:tcW w:w="1237" w:type="dxa"/>
            <w:tcBorders>
              <w:top w:val="single" w:sz="4" w:space="0" w:color="auto"/>
              <w:left w:val="single" w:sz="4" w:space="0" w:color="auto"/>
              <w:bottom w:val="single" w:sz="4" w:space="0" w:color="auto"/>
              <w:right w:val="single" w:sz="4" w:space="0" w:color="auto"/>
            </w:tcBorders>
          </w:tcPr>
          <w:p w14:paraId="20B72FAE"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hideMark/>
          </w:tcPr>
          <w:p w14:paraId="2EACF569"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Records are reviewed by a clinician or senior manager as appropriate to ensure no exempt information is sent out and that the correct records are being sent to the correct recipient in response to the request.</w:t>
            </w:r>
          </w:p>
        </w:tc>
        <w:tc>
          <w:tcPr>
            <w:tcW w:w="3544" w:type="dxa"/>
            <w:tcBorders>
              <w:top w:val="single" w:sz="4" w:space="0" w:color="auto"/>
              <w:left w:val="single" w:sz="4" w:space="0" w:color="auto"/>
              <w:bottom w:val="single" w:sz="4" w:space="0" w:color="auto"/>
              <w:right w:val="single" w:sz="4" w:space="0" w:color="auto"/>
            </w:tcBorders>
          </w:tcPr>
          <w:p w14:paraId="3C4F96C2"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57739B"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9FAE710"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7F1DE9"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9F34665"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10394"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Disposal of Information</w:t>
            </w:r>
          </w:p>
        </w:tc>
      </w:tr>
      <w:tr w:rsidR="00C81349" w:rsidRPr="00C81349" w14:paraId="035A133D" w14:textId="77777777" w:rsidTr="48C4AA5A">
        <w:tc>
          <w:tcPr>
            <w:tcW w:w="1237" w:type="dxa"/>
            <w:tcBorders>
              <w:top w:val="single" w:sz="4" w:space="0" w:color="auto"/>
              <w:left w:val="single" w:sz="4" w:space="0" w:color="auto"/>
              <w:bottom w:val="single" w:sz="4" w:space="0" w:color="auto"/>
              <w:right w:val="single" w:sz="4" w:space="0" w:color="auto"/>
            </w:tcBorders>
          </w:tcPr>
          <w:p w14:paraId="54E04D4F"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3C02A784"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Secure methods of disposing of PCD, whatever format it may be in, should be identified and implemented. This must be done in compliance with the NHS Code of Practice for Records Management.</w:t>
            </w:r>
          </w:p>
        </w:tc>
        <w:tc>
          <w:tcPr>
            <w:tcW w:w="3544" w:type="dxa"/>
            <w:tcBorders>
              <w:top w:val="single" w:sz="4" w:space="0" w:color="auto"/>
              <w:left w:val="single" w:sz="4" w:space="0" w:color="auto"/>
              <w:bottom w:val="single" w:sz="4" w:space="0" w:color="auto"/>
              <w:right w:val="single" w:sz="4" w:space="0" w:color="auto"/>
            </w:tcBorders>
          </w:tcPr>
          <w:p w14:paraId="4CE1484C"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9F612D"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25FE5D1"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4008779"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2D2E71DB" w14:textId="77777777" w:rsidTr="48C4AA5A">
        <w:tc>
          <w:tcPr>
            <w:tcW w:w="1237" w:type="dxa"/>
            <w:tcBorders>
              <w:top w:val="single" w:sz="4" w:space="0" w:color="auto"/>
              <w:left w:val="single" w:sz="4" w:space="0" w:color="auto"/>
              <w:bottom w:val="single" w:sz="4" w:space="0" w:color="auto"/>
              <w:right w:val="single" w:sz="4" w:space="0" w:color="auto"/>
            </w:tcBorders>
          </w:tcPr>
          <w:p w14:paraId="31A0BC50"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tcPr>
          <w:p w14:paraId="7E6528E4"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A register of records destroyed must be maintained. This must be </w:t>
            </w:r>
            <w:r w:rsidRPr="00C81349">
              <w:rPr>
                <w:rFonts w:ascii="Arial" w:hAnsi="Arial" w:cs="Arial"/>
                <w:sz w:val="24"/>
                <w:szCs w:val="24"/>
              </w:rPr>
              <w:lastRenderedPageBreak/>
              <w:t>done in compliance with the NHS Code of Practice for Records Management.</w:t>
            </w:r>
          </w:p>
        </w:tc>
        <w:tc>
          <w:tcPr>
            <w:tcW w:w="3544" w:type="dxa"/>
            <w:tcBorders>
              <w:top w:val="single" w:sz="4" w:space="0" w:color="auto"/>
              <w:left w:val="single" w:sz="4" w:space="0" w:color="auto"/>
              <w:bottom w:val="single" w:sz="4" w:space="0" w:color="auto"/>
              <w:right w:val="single" w:sz="4" w:space="0" w:color="auto"/>
            </w:tcBorders>
          </w:tcPr>
          <w:p w14:paraId="09DEBF3F"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5B96A6"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1AF3212"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20DF96"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547A4CE8"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2BBC4"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 xml:space="preserve">Reporting Incidents </w:t>
            </w:r>
          </w:p>
        </w:tc>
      </w:tr>
      <w:tr w:rsidR="00C81349" w:rsidRPr="00C81349" w14:paraId="7C6A22C7" w14:textId="77777777" w:rsidTr="48C4AA5A">
        <w:tc>
          <w:tcPr>
            <w:tcW w:w="1237" w:type="dxa"/>
            <w:tcBorders>
              <w:top w:val="single" w:sz="4" w:space="0" w:color="auto"/>
              <w:left w:val="single" w:sz="4" w:space="0" w:color="auto"/>
              <w:bottom w:val="single" w:sz="4" w:space="0" w:color="auto"/>
              <w:right w:val="single" w:sz="4" w:space="0" w:color="auto"/>
            </w:tcBorders>
          </w:tcPr>
          <w:p w14:paraId="72E54009"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5FD69EB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that all breaches of confidentiality and information security must be reported, including near misses.</w:t>
            </w:r>
          </w:p>
          <w:p w14:paraId="4793BFA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trained in the corporate incident reporting system.</w:t>
            </w:r>
          </w:p>
        </w:tc>
        <w:tc>
          <w:tcPr>
            <w:tcW w:w="3544" w:type="dxa"/>
            <w:tcBorders>
              <w:top w:val="single" w:sz="4" w:space="0" w:color="auto"/>
              <w:left w:val="single" w:sz="4" w:space="0" w:color="auto"/>
              <w:bottom w:val="single" w:sz="4" w:space="0" w:color="auto"/>
              <w:right w:val="single" w:sz="4" w:space="0" w:color="auto"/>
            </w:tcBorders>
          </w:tcPr>
          <w:p w14:paraId="0A2C3619"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241B0C"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D2E7D84"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9208D9"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3C06E45E"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5241B"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Highlighting Security Weaknesses</w:t>
            </w:r>
          </w:p>
        </w:tc>
      </w:tr>
      <w:tr w:rsidR="00C81349" w:rsidRPr="00C81349" w14:paraId="17C9E33C" w14:textId="77777777" w:rsidTr="48C4AA5A">
        <w:tc>
          <w:tcPr>
            <w:tcW w:w="1237" w:type="dxa"/>
            <w:tcBorders>
              <w:top w:val="single" w:sz="4" w:space="0" w:color="auto"/>
              <w:left w:val="single" w:sz="4" w:space="0" w:color="auto"/>
              <w:bottom w:val="single" w:sz="4" w:space="0" w:color="auto"/>
              <w:right w:val="single" w:sz="4" w:space="0" w:color="auto"/>
            </w:tcBorders>
          </w:tcPr>
          <w:p w14:paraId="6F73CBB4"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485AA543"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Staff should be aware that they are responsible for reporting security weaknesses identified to their manager for corrective action</w:t>
            </w:r>
          </w:p>
        </w:tc>
        <w:tc>
          <w:tcPr>
            <w:tcW w:w="3544" w:type="dxa"/>
            <w:tcBorders>
              <w:top w:val="single" w:sz="4" w:space="0" w:color="auto"/>
              <w:left w:val="single" w:sz="4" w:space="0" w:color="auto"/>
              <w:bottom w:val="single" w:sz="4" w:space="0" w:color="auto"/>
              <w:right w:val="single" w:sz="4" w:space="0" w:color="auto"/>
            </w:tcBorders>
          </w:tcPr>
          <w:p w14:paraId="5882D255"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CBDC4C"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0CF2C26"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DD6DCC"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4359F004"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F35A6"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 xml:space="preserve">Training </w:t>
            </w:r>
          </w:p>
        </w:tc>
      </w:tr>
      <w:tr w:rsidR="00C81349" w:rsidRPr="00C81349" w14:paraId="0C70BB16" w14:textId="77777777" w:rsidTr="48C4AA5A">
        <w:tc>
          <w:tcPr>
            <w:tcW w:w="1237" w:type="dxa"/>
            <w:tcBorders>
              <w:top w:val="single" w:sz="4" w:space="0" w:color="auto"/>
              <w:left w:val="single" w:sz="4" w:space="0" w:color="auto"/>
              <w:bottom w:val="single" w:sz="4" w:space="0" w:color="auto"/>
              <w:right w:val="single" w:sz="4" w:space="0" w:color="auto"/>
            </w:tcBorders>
          </w:tcPr>
          <w:p w14:paraId="6C59AF5A"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14:paraId="47A91119"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All staff have been briefed and are aware of information handling, transferring, sharing and security requirements.</w:t>
            </w:r>
          </w:p>
          <w:p w14:paraId="3C01BA3C" w14:textId="1B8F2A50"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Data Awareness Statutory and Mandatory Training </w:t>
            </w:r>
            <w:r w:rsidR="00DD1C8D" w:rsidRPr="00C81349">
              <w:rPr>
                <w:rFonts w:ascii="Arial" w:hAnsi="Arial" w:cs="Arial"/>
                <w:sz w:val="24"/>
                <w:szCs w:val="24"/>
              </w:rPr>
              <w:t>must be</w:t>
            </w:r>
            <w:r w:rsidRPr="00C81349">
              <w:rPr>
                <w:rFonts w:ascii="Arial" w:hAnsi="Arial" w:cs="Arial"/>
                <w:sz w:val="24"/>
                <w:szCs w:val="24"/>
              </w:rPr>
              <w:t xml:space="preserve"> completed </w:t>
            </w:r>
            <w:proofErr w:type="gramStart"/>
            <w:r w:rsidRPr="00C81349">
              <w:rPr>
                <w:rFonts w:ascii="Arial" w:hAnsi="Arial" w:cs="Arial"/>
                <w:sz w:val="24"/>
                <w:szCs w:val="24"/>
              </w:rPr>
              <w:t>annually</w:t>
            </w:r>
            <w:proofErr w:type="gramEnd"/>
            <w:r w:rsidRPr="00C81349">
              <w:rPr>
                <w:rFonts w:ascii="Arial" w:hAnsi="Arial" w:cs="Arial"/>
                <w:sz w:val="24"/>
                <w:szCs w:val="24"/>
              </w:rPr>
              <w:t xml:space="preserve"> and any </w:t>
            </w:r>
            <w:r w:rsidRPr="00C81349">
              <w:rPr>
                <w:rFonts w:ascii="Arial" w:hAnsi="Arial" w:cs="Arial"/>
                <w:sz w:val="24"/>
                <w:szCs w:val="24"/>
              </w:rPr>
              <w:lastRenderedPageBreak/>
              <w:t>additional specialist training modules identified to be completed as appropriate to the job role.</w:t>
            </w:r>
          </w:p>
        </w:tc>
        <w:tc>
          <w:tcPr>
            <w:tcW w:w="3544" w:type="dxa"/>
            <w:tcBorders>
              <w:top w:val="single" w:sz="4" w:space="0" w:color="auto"/>
              <w:left w:val="single" w:sz="4" w:space="0" w:color="auto"/>
              <w:bottom w:val="single" w:sz="4" w:space="0" w:color="auto"/>
              <w:right w:val="single" w:sz="4" w:space="0" w:color="auto"/>
            </w:tcBorders>
          </w:tcPr>
          <w:p w14:paraId="29525495"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83A83A"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3D99995"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ACF"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569BDDC3"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60432"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 xml:space="preserve">Business Intelligence Only (Implementation of Accredited Safe Haven) </w:t>
            </w:r>
          </w:p>
        </w:tc>
      </w:tr>
      <w:tr w:rsidR="00C81349" w:rsidRPr="00C81349" w14:paraId="2FAF4F44" w14:textId="77777777" w:rsidTr="48C4AA5A">
        <w:tc>
          <w:tcPr>
            <w:tcW w:w="1237" w:type="dxa"/>
            <w:tcBorders>
              <w:top w:val="single" w:sz="4" w:space="0" w:color="auto"/>
              <w:left w:val="single" w:sz="4" w:space="0" w:color="auto"/>
              <w:bottom w:val="single" w:sz="4" w:space="0" w:color="auto"/>
              <w:right w:val="single" w:sz="4" w:space="0" w:color="auto"/>
            </w:tcBorders>
          </w:tcPr>
          <w:p w14:paraId="34975563"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tcPr>
          <w:p w14:paraId="2CB37EBF" w14:textId="77777777" w:rsidR="00C81349" w:rsidRPr="00C81349" w:rsidRDefault="00C81349" w:rsidP="00C81349">
            <w:pPr>
              <w:spacing w:after="160" w:line="259" w:lineRule="auto"/>
              <w:ind w:right="26"/>
              <w:jc w:val="both"/>
              <w:rPr>
                <w:rFonts w:ascii="Arial" w:hAnsi="Arial" w:cs="Arial"/>
                <w:sz w:val="24"/>
                <w:szCs w:val="24"/>
              </w:rPr>
            </w:pPr>
            <w:proofErr w:type="gramStart"/>
            <w:r w:rsidRPr="00C81349">
              <w:rPr>
                <w:rFonts w:ascii="Arial" w:hAnsi="Arial" w:cs="Arial"/>
                <w:sz w:val="24"/>
                <w:szCs w:val="24"/>
              </w:rPr>
              <w:t>In order to</w:t>
            </w:r>
            <w:proofErr w:type="gramEnd"/>
            <w:r w:rsidRPr="00C81349">
              <w:rPr>
                <w:rFonts w:ascii="Arial" w:hAnsi="Arial" w:cs="Arial"/>
                <w:sz w:val="24"/>
                <w:szCs w:val="24"/>
              </w:rPr>
              <w:t xml:space="preserve"> be able to use weakly de-identified PCD the organisation must have been approved as an accredited safe haven via the HSCIC.</w:t>
            </w:r>
          </w:p>
        </w:tc>
        <w:tc>
          <w:tcPr>
            <w:tcW w:w="3544" w:type="dxa"/>
            <w:tcBorders>
              <w:top w:val="single" w:sz="4" w:space="0" w:color="auto"/>
              <w:left w:val="single" w:sz="4" w:space="0" w:color="auto"/>
              <w:bottom w:val="single" w:sz="4" w:space="0" w:color="auto"/>
              <w:right w:val="single" w:sz="4" w:space="0" w:color="auto"/>
            </w:tcBorders>
          </w:tcPr>
          <w:p w14:paraId="7D123FAC"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21A4F7"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5C27EC1"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185A8F2"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0475CCCC" w14:textId="77777777" w:rsidTr="48C4AA5A">
        <w:tc>
          <w:tcPr>
            <w:tcW w:w="1237" w:type="dxa"/>
            <w:tcBorders>
              <w:top w:val="single" w:sz="4" w:space="0" w:color="auto"/>
              <w:left w:val="single" w:sz="4" w:space="0" w:color="auto"/>
              <w:bottom w:val="single" w:sz="4" w:space="0" w:color="auto"/>
              <w:right w:val="single" w:sz="4" w:space="0" w:color="auto"/>
            </w:tcBorders>
          </w:tcPr>
          <w:p w14:paraId="7380A736"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2</w:t>
            </w:r>
          </w:p>
        </w:tc>
        <w:tc>
          <w:tcPr>
            <w:tcW w:w="4008" w:type="dxa"/>
            <w:tcBorders>
              <w:top w:val="single" w:sz="4" w:space="0" w:color="auto"/>
              <w:left w:val="single" w:sz="4" w:space="0" w:color="auto"/>
              <w:bottom w:val="single" w:sz="4" w:space="0" w:color="auto"/>
              <w:right w:val="single" w:sz="4" w:space="0" w:color="auto"/>
            </w:tcBorders>
          </w:tcPr>
          <w:p w14:paraId="299BB5B5"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Where weakly de-identified PCD is used then the number of personnel who can trace NHS Numbers must be kept to a minimum and documented.</w:t>
            </w:r>
          </w:p>
        </w:tc>
        <w:tc>
          <w:tcPr>
            <w:tcW w:w="3544" w:type="dxa"/>
            <w:tcBorders>
              <w:top w:val="single" w:sz="4" w:space="0" w:color="auto"/>
              <w:left w:val="single" w:sz="4" w:space="0" w:color="auto"/>
              <w:bottom w:val="single" w:sz="4" w:space="0" w:color="auto"/>
              <w:right w:val="single" w:sz="4" w:space="0" w:color="auto"/>
            </w:tcBorders>
          </w:tcPr>
          <w:p w14:paraId="5596BA98"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812AE5"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0574639"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F2DA092"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3FB3B0FA" w14:textId="77777777" w:rsidTr="48C4AA5A">
        <w:tc>
          <w:tcPr>
            <w:tcW w:w="1237" w:type="dxa"/>
            <w:tcBorders>
              <w:top w:val="single" w:sz="4" w:space="0" w:color="auto"/>
              <w:left w:val="single" w:sz="4" w:space="0" w:color="auto"/>
              <w:bottom w:val="single" w:sz="4" w:space="0" w:color="auto"/>
              <w:right w:val="single" w:sz="4" w:space="0" w:color="auto"/>
            </w:tcBorders>
          </w:tcPr>
          <w:p w14:paraId="363E621C"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3</w:t>
            </w:r>
          </w:p>
        </w:tc>
        <w:tc>
          <w:tcPr>
            <w:tcW w:w="4008" w:type="dxa"/>
            <w:tcBorders>
              <w:top w:val="single" w:sz="4" w:space="0" w:color="auto"/>
              <w:left w:val="single" w:sz="4" w:space="0" w:color="auto"/>
              <w:bottom w:val="single" w:sz="4" w:space="0" w:color="auto"/>
              <w:right w:val="single" w:sz="4" w:space="0" w:color="auto"/>
            </w:tcBorders>
          </w:tcPr>
          <w:p w14:paraId="1246A843"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Appropriate pseudonymisation methodologies must be implemented to pseudonymise PCD before it being released to staff to undertake their duties.</w:t>
            </w:r>
          </w:p>
        </w:tc>
        <w:tc>
          <w:tcPr>
            <w:tcW w:w="3544" w:type="dxa"/>
            <w:tcBorders>
              <w:top w:val="single" w:sz="4" w:space="0" w:color="auto"/>
              <w:left w:val="single" w:sz="4" w:space="0" w:color="auto"/>
              <w:bottom w:val="single" w:sz="4" w:space="0" w:color="auto"/>
              <w:right w:val="single" w:sz="4" w:space="0" w:color="auto"/>
            </w:tcBorders>
          </w:tcPr>
          <w:p w14:paraId="3BB1CEE2"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5A84F3"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EAB37BE"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864937"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6F4CFC58"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9332B"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Documented Procedures</w:t>
            </w:r>
          </w:p>
        </w:tc>
      </w:tr>
      <w:tr w:rsidR="00C81349" w:rsidRPr="00C81349" w14:paraId="7D9DED8D" w14:textId="77777777" w:rsidTr="48C4AA5A">
        <w:tc>
          <w:tcPr>
            <w:tcW w:w="1237" w:type="dxa"/>
            <w:tcBorders>
              <w:top w:val="single" w:sz="4" w:space="0" w:color="auto"/>
              <w:left w:val="single" w:sz="4" w:space="0" w:color="auto"/>
              <w:bottom w:val="single" w:sz="4" w:space="0" w:color="auto"/>
              <w:right w:val="single" w:sz="4" w:space="0" w:color="auto"/>
            </w:tcBorders>
          </w:tcPr>
          <w:p w14:paraId="7779A265"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tcPr>
          <w:p w14:paraId="1057E239"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 xml:space="preserve">Controls and procedures put in place, in line with this standard, have been documented, made </w:t>
            </w:r>
            <w:r w:rsidRPr="00C81349">
              <w:rPr>
                <w:rFonts w:ascii="Arial" w:hAnsi="Arial" w:cs="Arial"/>
                <w:sz w:val="24"/>
                <w:szCs w:val="24"/>
              </w:rPr>
              <w:lastRenderedPageBreak/>
              <w:t>available to staff and staff trained appropriately</w:t>
            </w:r>
          </w:p>
        </w:tc>
        <w:tc>
          <w:tcPr>
            <w:tcW w:w="3544" w:type="dxa"/>
            <w:tcBorders>
              <w:top w:val="single" w:sz="4" w:space="0" w:color="auto"/>
              <w:left w:val="single" w:sz="4" w:space="0" w:color="auto"/>
              <w:bottom w:val="single" w:sz="4" w:space="0" w:color="auto"/>
              <w:right w:val="single" w:sz="4" w:space="0" w:color="auto"/>
            </w:tcBorders>
          </w:tcPr>
          <w:p w14:paraId="168E5CFB"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91CC77"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A5DF5C7"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AAB992" w14:textId="77777777" w:rsidR="00C81349" w:rsidRPr="00C81349" w:rsidRDefault="00C81349" w:rsidP="00C81349">
            <w:pPr>
              <w:spacing w:after="160" w:line="259" w:lineRule="auto"/>
              <w:ind w:left="426" w:right="26"/>
              <w:jc w:val="center"/>
              <w:rPr>
                <w:rFonts w:ascii="Arial" w:hAnsi="Arial" w:cs="Arial"/>
                <w:b/>
                <w:sz w:val="24"/>
                <w:szCs w:val="24"/>
              </w:rPr>
            </w:pPr>
          </w:p>
        </w:tc>
      </w:tr>
      <w:tr w:rsidR="00C81349" w:rsidRPr="00C81349" w14:paraId="14472F00" w14:textId="77777777" w:rsidTr="48C4AA5A">
        <w:tc>
          <w:tcPr>
            <w:tcW w:w="155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F406C" w14:textId="77777777" w:rsidR="00C81349" w:rsidRPr="00C81349" w:rsidRDefault="00C81349" w:rsidP="00C81349">
            <w:pPr>
              <w:spacing w:after="160" w:line="259" w:lineRule="auto"/>
              <w:ind w:left="426" w:right="26"/>
              <w:jc w:val="both"/>
              <w:rPr>
                <w:rFonts w:ascii="Arial" w:hAnsi="Arial" w:cs="Arial"/>
                <w:b/>
                <w:iCs/>
                <w:sz w:val="24"/>
                <w:szCs w:val="24"/>
              </w:rPr>
            </w:pPr>
            <w:r w:rsidRPr="00C81349">
              <w:rPr>
                <w:rFonts w:ascii="Arial" w:hAnsi="Arial" w:cs="Arial"/>
                <w:b/>
                <w:iCs/>
                <w:sz w:val="24"/>
                <w:szCs w:val="24"/>
              </w:rPr>
              <w:t>Residual Risks</w:t>
            </w:r>
          </w:p>
        </w:tc>
      </w:tr>
      <w:tr w:rsidR="00C81349" w:rsidRPr="00C81349" w14:paraId="0E86F7BA" w14:textId="77777777" w:rsidTr="48C4AA5A">
        <w:tc>
          <w:tcPr>
            <w:tcW w:w="1237" w:type="dxa"/>
            <w:tcBorders>
              <w:top w:val="single" w:sz="4" w:space="0" w:color="auto"/>
              <w:left w:val="single" w:sz="4" w:space="0" w:color="auto"/>
              <w:bottom w:val="single" w:sz="4" w:space="0" w:color="auto"/>
              <w:right w:val="single" w:sz="4" w:space="0" w:color="auto"/>
            </w:tcBorders>
          </w:tcPr>
          <w:p w14:paraId="09E2DC95" w14:textId="77777777" w:rsidR="00C81349" w:rsidRPr="00C81349" w:rsidRDefault="00C81349" w:rsidP="00C81349">
            <w:pPr>
              <w:spacing w:after="160" w:line="259" w:lineRule="auto"/>
              <w:ind w:left="426" w:right="26"/>
              <w:jc w:val="center"/>
              <w:rPr>
                <w:rFonts w:ascii="Arial" w:hAnsi="Arial" w:cs="Arial"/>
                <w:b/>
                <w:sz w:val="24"/>
                <w:szCs w:val="24"/>
              </w:rPr>
            </w:pPr>
            <w:r w:rsidRPr="00C81349">
              <w:rPr>
                <w:rFonts w:ascii="Arial" w:hAnsi="Arial" w:cs="Arial"/>
                <w:b/>
                <w:sz w:val="24"/>
                <w:szCs w:val="24"/>
              </w:rPr>
              <w:t>1</w:t>
            </w:r>
          </w:p>
        </w:tc>
        <w:tc>
          <w:tcPr>
            <w:tcW w:w="4008" w:type="dxa"/>
            <w:tcBorders>
              <w:top w:val="single" w:sz="4" w:space="0" w:color="auto"/>
              <w:left w:val="single" w:sz="4" w:space="0" w:color="auto"/>
              <w:bottom w:val="single" w:sz="4" w:space="0" w:color="auto"/>
              <w:right w:val="single" w:sz="4" w:space="0" w:color="auto"/>
            </w:tcBorders>
          </w:tcPr>
          <w:p w14:paraId="5F3501D7" w14:textId="77777777" w:rsidR="00C81349" w:rsidRPr="00C81349" w:rsidRDefault="00C81349" w:rsidP="00C81349">
            <w:pPr>
              <w:spacing w:after="160" w:line="259" w:lineRule="auto"/>
              <w:ind w:right="26"/>
              <w:jc w:val="both"/>
              <w:rPr>
                <w:rFonts w:ascii="Arial" w:hAnsi="Arial" w:cs="Arial"/>
                <w:sz w:val="24"/>
                <w:szCs w:val="24"/>
              </w:rPr>
            </w:pPr>
            <w:r w:rsidRPr="00C81349">
              <w:rPr>
                <w:rFonts w:ascii="Arial" w:hAnsi="Arial" w:cs="Arial"/>
                <w:sz w:val="24"/>
                <w:szCs w:val="24"/>
              </w:rPr>
              <w:t>All risks identified in this audit which cannot be mitigated must be reported to and approved by the appropriate governing body and recorded on the risk register.</w:t>
            </w:r>
          </w:p>
        </w:tc>
        <w:tc>
          <w:tcPr>
            <w:tcW w:w="3544" w:type="dxa"/>
            <w:tcBorders>
              <w:top w:val="single" w:sz="4" w:space="0" w:color="auto"/>
              <w:left w:val="single" w:sz="4" w:space="0" w:color="auto"/>
              <w:bottom w:val="single" w:sz="4" w:space="0" w:color="auto"/>
              <w:right w:val="single" w:sz="4" w:space="0" w:color="auto"/>
            </w:tcBorders>
          </w:tcPr>
          <w:p w14:paraId="0F947A69" w14:textId="77777777" w:rsidR="00C81349" w:rsidRPr="00C81349" w:rsidRDefault="00C81349" w:rsidP="00C81349">
            <w:pPr>
              <w:spacing w:after="160" w:line="259" w:lineRule="auto"/>
              <w:ind w:left="426" w:right="26"/>
              <w:jc w:val="both"/>
              <w:rPr>
                <w:rFonts w:ascii="Arial" w:hAnsi="Arial" w:cs="Arial"/>
                <w:b/>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28D7CC" w14:textId="77777777" w:rsidR="00C81349" w:rsidRPr="00C81349" w:rsidRDefault="00C81349" w:rsidP="00C81349">
            <w:pPr>
              <w:spacing w:after="160" w:line="259" w:lineRule="auto"/>
              <w:ind w:left="426" w:right="26"/>
              <w:jc w:val="both"/>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FEB9C28" w14:textId="77777777" w:rsidR="00C81349" w:rsidRPr="00C81349" w:rsidRDefault="00C81349" w:rsidP="00C81349">
            <w:pPr>
              <w:spacing w:after="160" w:line="259" w:lineRule="auto"/>
              <w:ind w:left="426" w:right="26"/>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D26559" w14:textId="77777777" w:rsidR="00C81349" w:rsidRPr="00C81349" w:rsidRDefault="00C81349" w:rsidP="00C81349">
            <w:pPr>
              <w:spacing w:after="160" w:line="259" w:lineRule="auto"/>
              <w:ind w:left="426" w:right="26"/>
              <w:jc w:val="center"/>
              <w:rPr>
                <w:rFonts w:ascii="Arial" w:hAnsi="Arial" w:cs="Arial"/>
                <w:b/>
                <w:sz w:val="24"/>
                <w:szCs w:val="24"/>
              </w:rPr>
            </w:pPr>
          </w:p>
        </w:tc>
      </w:tr>
    </w:tbl>
    <w:p w14:paraId="3B187B32" w14:textId="2E75CD31" w:rsidR="00710480" w:rsidRPr="004D4F46" w:rsidRDefault="00710480" w:rsidP="00AC6885">
      <w:pPr>
        <w:spacing w:line="240" w:lineRule="auto"/>
        <w:rPr>
          <w:bCs/>
          <w:color w:val="auto"/>
        </w:rPr>
      </w:pPr>
    </w:p>
    <w:sectPr w:rsidR="00710480" w:rsidRPr="004D4F46" w:rsidSect="007A1120">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C26A" w14:textId="77777777" w:rsidR="00CA705E" w:rsidRDefault="00CA705E">
      <w:r>
        <w:separator/>
      </w:r>
    </w:p>
  </w:endnote>
  <w:endnote w:type="continuationSeparator" w:id="0">
    <w:p w14:paraId="7DE4AC06" w14:textId="77777777" w:rsidR="00CA705E" w:rsidRDefault="00CA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708ABAB9"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60288" behindDoc="0" locked="0" layoutInCell="1" allowOverlap="1" wp14:anchorId="4F367EEE" wp14:editId="0AB2D05F">
              <wp:simplePos x="0" y="0"/>
              <wp:positionH relativeFrom="margin">
                <wp:align>right</wp:align>
              </wp:positionH>
              <wp:positionV relativeFrom="bottomMargin">
                <wp:align>top</wp:align>
              </wp:positionV>
              <wp:extent cx="1508760" cy="39560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alt="&quot;&quot;"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2E19E5">
      <w:rPr>
        <w:color w:val="auto"/>
        <w:sz w:val="18"/>
        <w:szCs w:val="18"/>
        <w:lang w:val="en-GB"/>
      </w:rPr>
      <w:t>Data Protection &amp;</w:t>
    </w:r>
    <w:r w:rsidRPr="00DD014E">
      <w:rPr>
        <w:color w:val="auto"/>
        <w:sz w:val="18"/>
        <w:szCs w:val="18"/>
        <w:lang w:val="en-GB"/>
      </w:rPr>
      <w:t xml:space="preserve"> Policy</w:t>
    </w:r>
    <w:r w:rsidR="00F05D43" w:rsidRPr="00DD014E">
      <w:rPr>
        <w:color w:val="auto"/>
        <w:sz w:val="18"/>
        <w:szCs w:val="18"/>
        <w:lang w:val="en-GB"/>
      </w:rPr>
      <w:t xml:space="preserve"> Publication</w:t>
    </w:r>
    <w:r w:rsidR="00A26D2F" w:rsidRPr="00DD014E">
      <w:rPr>
        <w:color w:val="auto"/>
        <w:sz w:val="18"/>
        <w:szCs w:val="18"/>
        <w:lang w:val="en-GB"/>
      </w:rPr>
      <w:t xml:space="preserve"> </w:t>
    </w:r>
    <w:r w:rsidR="009073D8">
      <w:rPr>
        <w:color w:val="auto"/>
        <w:sz w:val="18"/>
        <w:szCs w:val="18"/>
        <w:lang w:val="en-GB"/>
      </w:rPr>
      <w:t xml:space="preserve">June </w:t>
    </w:r>
    <w:r w:rsidR="00DD1C8D">
      <w:rPr>
        <w:color w:val="auto"/>
        <w:sz w:val="18"/>
        <w:szCs w:val="18"/>
        <w:lang w:val="en-GB"/>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D83F" w14:textId="77777777" w:rsidR="00CA705E" w:rsidRDefault="00CA705E">
      <w:r>
        <w:separator/>
      </w:r>
    </w:p>
  </w:footnote>
  <w:footnote w:type="continuationSeparator" w:id="0">
    <w:p w14:paraId="2C93B707" w14:textId="77777777" w:rsidR="00CA705E" w:rsidRDefault="00CA7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9E8A" w14:textId="646E25C9" w:rsidR="009C3CC3" w:rsidRDefault="009C3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9242" w14:textId="70AC87FA" w:rsidR="009C3CC3" w:rsidRDefault="009C3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7BED94B0"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1C"/>
    <w:multiLevelType w:val="hybridMultilevel"/>
    <w:tmpl w:val="B0BA7760"/>
    <w:lvl w:ilvl="0" w:tplc="EB98E99C">
      <w:start w:val="1"/>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8C76585"/>
    <w:multiLevelType w:val="hybridMultilevel"/>
    <w:tmpl w:val="303A81C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2" w15:restartNumberingAfterBreak="0">
    <w:nsid w:val="0C250920"/>
    <w:multiLevelType w:val="hybridMultilevel"/>
    <w:tmpl w:val="53E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14DC"/>
    <w:multiLevelType w:val="hybridMultilevel"/>
    <w:tmpl w:val="853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40F33"/>
    <w:multiLevelType w:val="hybridMultilevel"/>
    <w:tmpl w:val="DCE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F4B66"/>
    <w:multiLevelType w:val="multilevel"/>
    <w:tmpl w:val="9AA06B12"/>
    <w:lvl w:ilvl="0">
      <w:start w:val="1"/>
      <w:numFmt w:val="bullet"/>
      <w:lvlText w:val=""/>
      <w:lvlJc w:val="left"/>
      <w:pPr>
        <w:ind w:left="574" w:hanging="432"/>
      </w:pPr>
      <w:rPr>
        <w:rFonts w:ascii="Symbol" w:hAnsi="Symbol"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2956119"/>
    <w:multiLevelType w:val="hybridMultilevel"/>
    <w:tmpl w:val="89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F015D"/>
    <w:multiLevelType w:val="hybridMultilevel"/>
    <w:tmpl w:val="0F3C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42DA76C2"/>
    <w:multiLevelType w:val="hybridMultilevel"/>
    <w:tmpl w:val="ECDC39BA"/>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10" w15:restartNumberingAfterBreak="0">
    <w:nsid w:val="453E1C4B"/>
    <w:multiLevelType w:val="hybridMultilevel"/>
    <w:tmpl w:val="2F36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2753D0"/>
    <w:multiLevelType w:val="hybridMultilevel"/>
    <w:tmpl w:val="76E23A4E"/>
    <w:lvl w:ilvl="0" w:tplc="4DDEBB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490314"/>
    <w:multiLevelType w:val="hybridMultilevel"/>
    <w:tmpl w:val="8B54A3A6"/>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3" w15:restartNumberingAfterBreak="0">
    <w:nsid w:val="5AAE0D91"/>
    <w:multiLevelType w:val="hybridMultilevel"/>
    <w:tmpl w:val="6166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4" w15:restartNumberingAfterBreak="0">
    <w:nsid w:val="686D6DA4"/>
    <w:multiLevelType w:val="multilevel"/>
    <w:tmpl w:val="2BACAE38"/>
    <w:lvl w:ilvl="0">
      <w:start w:val="1"/>
      <w:numFmt w:val="decimal"/>
      <w:pStyle w:val="Heading1"/>
      <w:lvlText w:val="%1"/>
      <w:lvlJc w:val="left"/>
      <w:pPr>
        <w:ind w:left="432"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8"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15" w15:restartNumberingAfterBreak="0">
    <w:nsid w:val="70041CB1"/>
    <w:multiLevelType w:val="hybridMultilevel"/>
    <w:tmpl w:val="64BAAA1C"/>
    <w:lvl w:ilvl="0" w:tplc="70E0D330">
      <w:start w:val="1"/>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6" w15:restartNumberingAfterBreak="0">
    <w:nsid w:val="714111D5"/>
    <w:multiLevelType w:val="hybridMultilevel"/>
    <w:tmpl w:val="0D9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1546A"/>
    <w:multiLevelType w:val="hybridMultilevel"/>
    <w:tmpl w:val="4BF213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4074">
    <w:abstractNumId w:val="8"/>
  </w:num>
  <w:num w:numId="2" w16cid:durableId="318660694">
    <w:abstractNumId w:val="14"/>
  </w:num>
  <w:num w:numId="3" w16cid:durableId="2111274883">
    <w:abstractNumId w:val="5"/>
  </w:num>
  <w:num w:numId="4" w16cid:durableId="145171991">
    <w:abstractNumId w:val="10"/>
  </w:num>
  <w:num w:numId="5" w16cid:durableId="625234906">
    <w:abstractNumId w:val="16"/>
  </w:num>
  <w:num w:numId="6" w16cid:durableId="141119935">
    <w:abstractNumId w:val="3"/>
  </w:num>
  <w:num w:numId="7" w16cid:durableId="1227111691">
    <w:abstractNumId w:val="2"/>
  </w:num>
  <w:num w:numId="8" w16cid:durableId="1379821715">
    <w:abstractNumId w:val="14"/>
  </w:num>
  <w:num w:numId="9" w16cid:durableId="1974559865">
    <w:abstractNumId w:val="4"/>
  </w:num>
  <w:num w:numId="10" w16cid:durableId="785657245">
    <w:abstractNumId w:val="6"/>
  </w:num>
  <w:num w:numId="11" w16cid:durableId="476798177">
    <w:abstractNumId w:val="18"/>
  </w:num>
  <w:num w:numId="12" w16cid:durableId="7196752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0597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28468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3410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299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2524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552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548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2130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764020">
    <w:abstractNumId w:val="0"/>
  </w:num>
  <w:num w:numId="22" w16cid:durableId="530189052">
    <w:abstractNumId w:val="15"/>
  </w:num>
  <w:num w:numId="23" w16cid:durableId="227300865">
    <w:abstractNumId w:val="7"/>
  </w:num>
  <w:num w:numId="24" w16cid:durableId="434904632">
    <w:abstractNumId w:val="11"/>
  </w:num>
  <w:num w:numId="25" w16cid:durableId="2103866284">
    <w:abstractNumId w:val="14"/>
  </w:num>
  <w:num w:numId="26" w16cid:durableId="67966897">
    <w:abstractNumId w:val="14"/>
  </w:num>
  <w:num w:numId="27" w16cid:durableId="426387679">
    <w:abstractNumId w:val="14"/>
  </w:num>
  <w:num w:numId="28" w16cid:durableId="2065904586">
    <w:abstractNumId w:val="14"/>
  </w:num>
  <w:num w:numId="29" w16cid:durableId="2087723845">
    <w:abstractNumId w:val="14"/>
  </w:num>
  <w:num w:numId="30" w16cid:durableId="162473264">
    <w:abstractNumId w:val="14"/>
  </w:num>
  <w:num w:numId="31" w16cid:durableId="570697034">
    <w:abstractNumId w:val="14"/>
  </w:num>
  <w:num w:numId="32" w16cid:durableId="234782225">
    <w:abstractNumId w:val="14"/>
  </w:num>
  <w:num w:numId="33" w16cid:durableId="1385712094">
    <w:abstractNumId w:val="14"/>
  </w:num>
  <w:num w:numId="34" w16cid:durableId="2088071347">
    <w:abstractNumId w:val="14"/>
  </w:num>
  <w:num w:numId="35" w16cid:durableId="2146502556">
    <w:abstractNumId w:val="14"/>
  </w:num>
  <w:num w:numId="36" w16cid:durableId="948897725">
    <w:abstractNumId w:val="14"/>
  </w:num>
  <w:num w:numId="37" w16cid:durableId="257296610">
    <w:abstractNumId w:val="17"/>
  </w:num>
  <w:num w:numId="38" w16cid:durableId="1540778278">
    <w:abstractNumId w:val="13"/>
  </w:num>
  <w:num w:numId="39" w16cid:durableId="1185050753">
    <w:abstractNumId w:val="14"/>
  </w:num>
  <w:num w:numId="40" w16cid:durableId="1490369410">
    <w:abstractNumId w:val="14"/>
    <w:lvlOverride w:ilvl="0">
      <w:startOverride w:val="6"/>
    </w:lvlOverride>
    <w:lvlOverride w:ilvl="1">
      <w:startOverride w:val="4"/>
    </w:lvlOverride>
  </w:num>
  <w:num w:numId="41" w16cid:durableId="457332339">
    <w:abstractNumId w:val="9"/>
  </w:num>
  <w:num w:numId="42" w16cid:durableId="286009693">
    <w:abstractNumId w:val="1"/>
  </w:num>
  <w:num w:numId="43" w16cid:durableId="151777130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FC0"/>
    <w:rsid w:val="0000341C"/>
    <w:rsid w:val="0000439A"/>
    <w:rsid w:val="00005158"/>
    <w:rsid w:val="00010464"/>
    <w:rsid w:val="0001202C"/>
    <w:rsid w:val="000142AB"/>
    <w:rsid w:val="000226CA"/>
    <w:rsid w:val="0002728C"/>
    <w:rsid w:val="00030466"/>
    <w:rsid w:val="00034924"/>
    <w:rsid w:val="00037322"/>
    <w:rsid w:val="00042958"/>
    <w:rsid w:val="00042980"/>
    <w:rsid w:val="000449EB"/>
    <w:rsid w:val="00044CAA"/>
    <w:rsid w:val="00052384"/>
    <w:rsid w:val="00053BFA"/>
    <w:rsid w:val="000613FE"/>
    <w:rsid w:val="00062B01"/>
    <w:rsid w:val="00064F5D"/>
    <w:rsid w:val="000674E1"/>
    <w:rsid w:val="0007150F"/>
    <w:rsid w:val="00074553"/>
    <w:rsid w:val="0008204A"/>
    <w:rsid w:val="000836E4"/>
    <w:rsid w:val="00085104"/>
    <w:rsid w:val="000879BB"/>
    <w:rsid w:val="00091FEE"/>
    <w:rsid w:val="0009504B"/>
    <w:rsid w:val="000952C1"/>
    <w:rsid w:val="000A2C32"/>
    <w:rsid w:val="000B384A"/>
    <w:rsid w:val="000B3D60"/>
    <w:rsid w:val="000B67F2"/>
    <w:rsid w:val="000B7DCC"/>
    <w:rsid w:val="000C337B"/>
    <w:rsid w:val="000D255A"/>
    <w:rsid w:val="000D3F4F"/>
    <w:rsid w:val="000E2544"/>
    <w:rsid w:val="000E2D3D"/>
    <w:rsid w:val="000E3813"/>
    <w:rsid w:val="000E5A92"/>
    <w:rsid w:val="000F16BF"/>
    <w:rsid w:val="000F6CEB"/>
    <w:rsid w:val="00107C6E"/>
    <w:rsid w:val="001106E3"/>
    <w:rsid w:val="00114EEF"/>
    <w:rsid w:val="0011757E"/>
    <w:rsid w:val="001212DF"/>
    <w:rsid w:val="00127ABF"/>
    <w:rsid w:val="001323C3"/>
    <w:rsid w:val="001336B6"/>
    <w:rsid w:val="00143C3F"/>
    <w:rsid w:val="00150B9D"/>
    <w:rsid w:val="00155511"/>
    <w:rsid w:val="001666D4"/>
    <w:rsid w:val="00171FBF"/>
    <w:rsid w:val="001804CB"/>
    <w:rsid w:val="00182E52"/>
    <w:rsid w:val="00184039"/>
    <w:rsid w:val="00184DB4"/>
    <w:rsid w:val="00191244"/>
    <w:rsid w:val="00194292"/>
    <w:rsid w:val="00197EC7"/>
    <w:rsid w:val="001A2F73"/>
    <w:rsid w:val="001A6D52"/>
    <w:rsid w:val="001A77EE"/>
    <w:rsid w:val="001A7D60"/>
    <w:rsid w:val="001B20EB"/>
    <w:rsid w:val="001B301E"/>
    <w:rsid w:val="001B625D"/>
    <w:rsid w:val="001C7D12"/>
    <w:rsid w:val="001D0129"/>
    <w:rsid w:val="001D37BC"/>
    <w:rsid w:val="001E20E6"/>
    <w:rsid w:val="001E3BBA"/>
    <w:rsid w:val="001E47F7"/>
    <w:rsid w:val="001F0DBB"/>
    <w:rsid w:val="001F2370"/>
    <w:rsid w:val="001F304B"/>
    <w:rsid w:val="001F7035"/>
    <w:rsid w:val="0020078D"/>
    <w:rsid w:val="0020189D"/>
    <w:rsid w:val="00202882"/>
    <w:rsid w:val="00202D4D"/>
    <w:rsid w:val="00203E91"/>
    <w:rsid w:val="00211B0F"/>
    <w:rsid w:val="00216B0E"/>
    <w:rsid w:val="0021762F"/>
    <w:rsid w:val="00223919"/>
    <w:rsid w:val="002318A0"/>
    <w:rsid w:val="00241DFA"/>
    <w:rsid w:val="00242A41"/>
    <w:rsid w:val="00252291"/>
    <w:rsid w:val="00257F0C"/>
    <w:rsid w:val="00266601"/>
    <w:rsid w:val="00274054"/>
    <w:rsid w:val="00280044"/>
    <w:rsid w:val="00281C3C"/>
    <w:rsid w:val="00287D8F"/>
    <w:rsid w:val="00295048"/>
    <w:rsid w:val="00297BDA"/>
    <w:rsid w:val="002B0CFF"/>
    <w:rsid w:val="002B41C3"/>
    <w:rsid w:val="002D4175"/>
    <w:rsid w:val="002E049A"/>
    <w:rsid w:val="002E19E5"/>
    <w:rsid w:val="002E27F0"/>
    <w:rsid w:val="002E4F0C"/>
    <w:rsid w:val="002E5CD6"/>
    <w:rsid w:val="002E5DD1"/>
    <w:rsid w:val="002E653C"/>
    <w:rsid w:val="002E72CE"/>
    <w:rsid w:val="002F015C"/>
    <w:rsid w:val="002F0537"/>
    <w:rsid w:val="002F193C"/>
    <w:rsid w:val="002F463C"/>
    <w:rsid w:val="002F782B"/>
    <w:rsid w:val="0030168F"/>
    <w:rsid w:val="003057AE"/>
    <w:rsid w:val="00305985"/>
    <w:rsid w:val="00306092"/>
    <w:rsid w:val="00312385"/>
    <w:rsid w:val="003156BE"/>
    <w:rsid w:val="00316429"/>
    <w:rsid w:val="00316E2C"/>
    <w:rsid w:val="0032084D"/>
    <w:rsid w:val="00320F23"/>
    <w:rsid w:val="00324241"/>
    <w:rsid w:val="00331E26"/>
    <w:rsid w:val="003339F7"/>
    <w:rsid w:val="00335C2C"/>
    <w:rsid w:val="00343666"/>
    <w:rsid w:val="00346792"/>
    <w:rsid w:val="00346CEE"/>
    <w:rsid w:val="00347E68"/>
    <w:rsid w:val="003668FC"/>
    <w:rsid w:val="00366E54"/>
    <w:rsid w:val="003734C0"/>
    <w:rsid w:val="00373F70"/>
    <w:rsid w:val="003742C0"/>
    <w:rsid w:val="00377706"/>
    <w:rsid w:val="003837ED"/>
    <w:rsid w:val="00390E0C"/>
    <w:rsid w:val="003917C0"/>
    <w:rsid w:val="00393CCD"/>
    <w:rsid w:val="003A2130"/>
    <w:rsid w:val="003B00B8"/>
    <w:rsid w:val="003C0002"/>
    <w:rsid w:val="003C39E5"/>
    <w:rsid w:val="003C6C17"/>
    <w:rsid w:val="003E1783"/>
    <w:rsid w:val="003E408C"/>
    <w:rsid w:val="003F1EE1"/>
    <w:rsid w:val="00400016"/>
    <w:rsid w:val="00402368"/>
    <w:rsid w:val="00402E4B"/>
    <w:rsid w:val="004060F5"/>
    <w:rsid w:val="00406627"/>
    <w:rsid w:val="004067F2"/>
    <w:rsid w:val="004100D8"/>
    <w:rsid w:val="00410196"/>
    <w:rsid w:val="004114ED"/>
    <w:rsid w:val="00413C1C"/>
    <w:rsid w:val="0041654E"/>
    <w:rsid w:val="004167BD"/>
    <w:rsid w:val="00420892"/>
    <w:rsid w:val="00424FC9"/>
    <w:rsid w:val="00434409"/>
    <w:rsid w:val="0043452D"/>
    <w:rsid w:val="0043516E"/>
    <w:rsid w:val="0043581D"/>
    <w:rsid w:val="00447B54"/>
    <w:rsid w:val="00447F18"/>
    <w:rsid w:val="004553E3"/>
    <w:rsid w:val="004571F2"/>
    <w:rsid w:val="00462AA3"/>
    <w:rsid w:val="00463199"/>
    <w:rsid w:val="00465F01"/>
    <w:rsid w:val="00470891"/>
    <w:rsid w:val="00472046"/>
    <w:rsid w:val="00477C6D"/>
    <w:rsid w:val="00481B3E"/>
    <w:rsid w:val="0048654F"/>
    <w:rsid w:val="004910A8"/>
    <w:rsid w:val="00492963"/>
    <w:rsid w:val="00496F39"/>
    <w:rsid w:val="004A2349"/>
    <w:rsid w:val="004A63EB"/>
    <w:rsid w:val="004A7617"/>
    <w:rsid w:val="004B2553"/>
    <w:rsid w:val="004B45FF"/>
    <w:rsid w:val="004C08EA"/>
    <w:rsid w:val="004C329B"/>
    <w:rsid w:val="004D0FC2"/>
    <w:rsid w:val="004D4F46"/>
    <w:rsid w:val="004D55F8"/>
    <w:rsid w:val="004D7F55"/>
    <w:rsid w:val="004E0419"/>
    <w:rsid w:val="004E3899"/>
    <w:rsid w:val="004E3B80"/>
    <w:rsid w:val="004E46D6"/>
    <w:rsid w:val="004F3CD4"/>
    <w:rsid w:val="004F79C1"/>
    <w:rsid w:val="00506EDC"/>
    <w:rsid w:val="005073EB"/>
    <w:rsid w:val="00507A84"/>
    <w:rsid w:val="00517266"/>
    <w:rsid w:val="00520E0E"/>
    <w:rsid w:val="0052154A"/>
    <w:rsid w:val="00525BB1"/>
    <w:rsid w:val="00525D4D"/>
    <w:rsid w:val="00526BB3"/>
    <w:rsid w:val="0053236F"/>
    <w:rsid w:val="005334BB"/>
    <w:rsid w:val="0053680F"/>
    <w:rsid w:val="0055310F"/>
    <w:rsid w:val="00555575"/>
    <w:rsid w:val="0055649E"/>
    <w:rsid w:val="005564E8"/>
    <w:rsid w:val="00556A80"/>
    <w:rsid w:val="00562B68"/>
    <w:rsid w:val="00563A1A"/>
    <w:rsid w:val="0056470A"/>
    <w:rsid w:val="00565928"/>
    <w:rsid w:val="005669AF"/>
    <w:rsid w:val="00567211"/>
    <w:rsid w:val="00567EEA"/>
    <w:rsid w:val="005704A1"/>
    <w:rsid w:val="00570F61"/>
    <w:rsid w:val="00573EFA"/>
    <w:rsid w:val="005741DA"/>
    <w:rsid w:val="00575DA6"/>
    <w:rsid w:val="00577FC3"/>
    <w:rsid w:val="005831EB"/>
    <w:rsid w:val="00587DC0"/>
    <w:rsid w:val="00591B68"/>
    <w:rsid w:val="005A0A84"/>
    <w:rsid w:val="005A5E5A"/>
    <w:rsid w:val="005B2577"/>
    <w:rsid w:val="005B2D69"/>
    <w:rsid w:val="005B3595"/>
    <w:rsid w:val="005C1A4A"/>
    <w:rsid w:val="005C3C44"/>
    <w:rsid w:val="005C5C0C"/>
    <w:rsid w:val="005C7687"/>
    <w:rsid w:val="005D04CE"/>
    <w:rsid w:val="005D114B"/>
    <w:rsid w:val="005D1A55"/>
    <w:rsid w:val="005D71F2"/>
    <w:rsid w:val="005D72A8"/>
    <w:rsid w:val="005D73B2"/>
    <w:rsid w:val="005E24B7"/>
    <w:rsid w:val="005E39D3"/>
    <w:rsid w:val="005E55D4"/>
    <w:rsid w:val="005F0E20"/>
    <w:rsid w:val="005F1933"/>
    <w:rsid w:val="005F338D"/>
    <w:rsid w:val="005F365E"/>
    <w:rsid w:val="005F4E82"/>
    <w:rsid w:val="005F5119"/>
    <w:rsid w:val="005F657F"/>
    <w:rsid w:val="005F789D"/>
    <w:rsid w:val="006023E9"/>
    <w:rsid w:val="0060474C"/>
    <w:rsid w:val="006218B6"/>
    <w:rsid w:val="0062611D"/>
    <w:rsid w:val="006262CD"/>
    <w:rsid w:val="00632B88"/>
    <w:rsid w:val="0063449D"/>
    <w:rsid w:val="00636CF6"/>
    <w:rsid w:val="00644152"/>
    <w:rsid w:val="0064454C"/>
    <w:rsid w:val="00646775"/>
    <w:rsid w:val="00654784"/>
    <w:rsid w:val="00663DD5"/>
    <w:rsid w:val="006810C5"/>
    <w:rsid w:val="00684131"/>
    <w:rsid w:val="00685571"/>
    <w:rsid w:val="00687140"/>
    <w:rsid w:val="00694ABB"/>
    <w:rsid w:val="006A0778"/>
    <w:rsid w:val="006A0AF3"/>
    <w:rsid w:val="006A26E8"/>
    <w:rsid w:val="006A3331"/>
    <w:rsid w:val="006A482F"/>
    <w:rsid w:val="006B079B"/>
    <w:rsid w:val="006B0CE3"/>
    <w:rsid w:val="006B7553"/>
    <w:rsid w:val="006B7EB2"/>
    <w:rsid w:val="006C4BB3"/>
    <w:rsid w:val="006C4D90"/>
    <w:rsid w:val="006C5F59"/>
    <w:rsid w:val="006C6215"/>
    <w:rsid w:val="006C659D"/>
    <w:rsid w:val="006D31EB"/>
    <w:rsid w:val="006D41F2"/>
    <w:rsid w:val="006D46D5"/>
    <w:rsid w:val="006D5E9C"/>
    <w:rsid w:val="006E0D71"/>
    <w:rsid w:val="006E35D3"/>
    <w:rsid w:val="006F05CF"/>
    <w:rsid w:val="006F4183"/>
    <w:rsid w:val="0070056D"/>
    <w:rsid w:val="00700A8F"/>
    <w:rsid w:val="007020F6"/>
    <w:rsid w:val="007042C9"/>
    <w:rsid w:val="00710480"/>
    <w:rsid w:val="00715B0F"/>
    <w:rsid w:val="007247BA"/>
    <w:rsid w:val="00737343"/>
    <w:rsid w:val="0074040D"/>
    <w:rsid w:val="00745335"/>
    <w:rsid w:val="007557AB"/>
    <w:rsid w:val="00757F3B"/>
    <w:rsid w:val="007678FC"/>
    <w:rsid w:val="0076798C"/>
    <w:rsid w:val="00767FD3"/>
    <w:rsid w:val="0077110B"/>
    <w:rsid w:val="00771699"/>
    <w:rsid w:val="007752BF"/>
    <w:rsid w:val="00780716"/>
    <w:rsid w:val="00782006"/>
    <w:rsid w:val="007838EA"/>
    <w:rsid w:val="00790705"/>
    <w:rsid w:val="0079391F"/>
    <w:rsid w:val="00795435"/>
    <w:rsid w:val="007A1120"/>
    <w:rsid w:val="007A1CBE"/>
    <w:rsid w:val="007A3550"/>
    <w:rsid w:val="007A3C18"/>
    <w:rsid w:val="007B09DE"/>
    <w:rsid w:val="007B0BE6"/>
    <w:rsid w:val="007B4AAC"/>
    <w:rsid w:val="007B6410"/>
    <w:rsid w:val="007C1E97"/>
    <w:rsid w:val="007C1FA0"/>
    <w:rsid w:val="007C3D91"/>
    <w:rsid w:val="007C3E70"/>
    <w:rsid w:val="007C763D"/>
    <w:rsid w:val="007C7B79"/>
    <w:rsid w:val="007D24B2"/>
    <w:rsid w:val="007D5352"/>
    <w:rsid w:val="007E0215"/>
    <w:rsid w:val="007E12D0"/>
    <w:rsid w:val="007E2212"/>
    <w:rsid w:val="007E291D"/>
    <w:rsid w:val="007E3B6D"/>
    <w:rsid w:val="007E66C9"/>
    <w:rsid w:val="007F06E1"/>
    <w:rsid w:val="007F1F6D"/>
    <w:rsid w:val="007F5CA5"/>
    <w:rsid w:val="007F6C7D"/>
    <w:rsid w:val="00802608"/>
    <w:rsid w:val="008048FD"/>
    <w:rsid w:val="0080529E"/>
    <w:rsid w:val="0081378D"/>
    <w:rsid w:val="00813F91"/>
    <w:rsid w:val="00815AB5"/>
    <w:rsid w:val="008219BE"/>
    <w:rsid w:val="00822706"/>
    <w:rsid w:val="008237CF"/>
    <w:rsid w:val="00824982"/>
    <w:rsid w:val="00830D10"/>
    <w:rsid w:val="008327C6"/>
    <w:rsid w:val="00834AC4"/>
    <w:rsid w:val="00840041"/>
    <w:rsid w:val="008409BD"/>
    <w:rsid w:val="00842035"/>
    <w:rsid w:val="00842826"/>
    <w:rsid w:val="00842AD3"/>
    <w:rsid w:val="00842D39"/>
    <w:rsid w:val="00845520"/>
    <w:rsid w:val="00845F62"/>
    <w:rsid w:val="008560DF"/>
    <w:rsid w:val="00863900"/>
    <w:rsid w:val="008640C8"/>
    <w:rsid w:val="008643D4"/>
    <w:rsid w:val="00871886"/>
    <w:rsid w:val="00872AA4"/>
    <w:rsid w:val="00873847"/>
    <w:rsid w:val="00873CE2"/>
    <w:rsid w:val="0087660C"/>
    <w:rsid w:val="008766F3"/>
    <w:rsid w:val="008778B0"/>
    <w:rsid w:val="00884052"/>
    <w:rsid w:val="00886A91"/>
    <w:rsid w:val="008A2F65"/>
    <w:rsid w:val="008A3C16"/>
    <w:rsid w:val="008B1BAA"/>
    <w:rsid w:val="008B2623"/>
    <w:rsid w:val="008B432B"/>
    <w:rsid w:val="008B4D6A"/>
    <w:rsid w:val="008B5EAC"/>
    <w:rsid w:val="008B5FCE"/>
    <w:rsid w:val="008B7C70"/>
    <w:rsid w:val="008C010E"/>
    <w:rsid w:val="008C07BF"/>
    <w:rsid w:val="008C1FCC"/>
    <w:rsid w:val="008C26B8"/>
    <w:rsid w:val="008D44CB"/>
    <w:rsid w:val="008D5AA1"/>
    <w:rsid w:val="008E1AAD"/>
    <w:rsid w:val="008E2AB6"/>
    <w:rsid w:val="008E2E9B"/>
    <w:rsid w:val="008E46F8"/>
    <w:rsid w:val="008E4BC2"/>
    <w:rsid w:val="008E4E9D"/>
    <w:rsid w:val="008E6362"/>
    <w:rsid w:val="008E79B7"/>
    <w:rsid w:val="008F16A6"/>
    <w:rsid w:val="008F260E"/>
    <w:rsid w:val="008F5848"/>
    <w:rsid w:val="008F5DF0"/>
    <w:rsid w:val="00900021"/>
    <w:rsid w:val="009073D8"/>
    <w:rsid w:val="00907441"/>
    <w:rsid w:val="00911D2F"/>
    <w:rsid w:val="009202A7"/>
    <w:rsid w:val="00925AAC"/>
    <w:rsid w:val="00936E4A"/>
    <w:rsid w:val="00937230"/>
    <w:rsid w:val="009372A4"/>
    <w:rsid w:val="009377D1"/>
    <w:rsid w:val="0095282C"/>
    <w:rsid w:val="009605B9"/>
    <w:rsid w:val="00961D90"/>
    <w:rsid w:val="00962303"/>
    <w:rsid w:val="009644A6"/>
    <w:rsid w:val="00966834"/>
    <w:rsid w:val="00972410"/>
    <w:rsid w:val="009774E6"/>
    <w:rsid w:val="00981005"/>
    <w:rsid w:val="00987BCE"/>
    <w:rsid w:val="00991EE6"/>
    <w:rsid w:val="00992658"/>
    <w:rsid w:val="009A3AAE"/>
    <w:rsid w:val="009A46A6"/>
    <w:rsid w:val="009A721A"/>
    <w:rsid w:val="009B0E24"/>
    <w:rsid w:val="009C0ABA"/>
    <w:rsid w:val="009C3CC3"/>
    <w:rsid w:val="009C4B3C"/>
    <w:rsid w:val="009C5AF7"/>
    <w:rsid w:val="009D08E3"/>
    <w:rsid w:val="009D2C52"/>
    <w:rsid w:val="009D5354"/>
    <w:rsid w:val="009D7686"/>
    <w:rsid w:val="009E202A"/>
    <w:rsid w:val="009E46C0"/>
    <w:rsid w:val="009E7762"/>
    <w:rsid w:val="009F0284"/>
    <w:rsid w:val="009F0A09"/>
    <w:rsid w:val="009F2C13"/>
    <w:rsid w:val="009F381C"/>
    <w:rsid w:val="00A01640"/>
    <w:rsid w:val="00A060C6"/>
    <w:rsid w:val="00A06313"/>
    <w:rsid w:val="00A102B7"/>
    <w:rsid w:val="00A10CE8"/>
    <w:rsid w:val="00A125E6"/>
    <w:rsid w:val="00A130F1"/>
    <w:rsid w:val="00A14798"/>
    <w:rsid w:val="00A208E9"/>
    <w:rsid w:val="00A20AD3"/>
    <w:rsid w:val="00A26D2F"/>
    <w:rsid w:val="00A305DB"/>
    <w:rsid w:val="00A3701C"/>
    <w:rsid w:val="00A41E64"/>
    <w:rsid w:val="00A53001"/>
    <w:rsid w:val="00A61A0E"/>
    <w:rsid w:val="00A62259"/>
    <w:rsid w:val="00A6348C"/>
    <w:rsid w:val="00A739FB"/>
    <w:rsid w:val="00A8209A"/>
    <w:rsid w:val="00A824CB"/>
    <w:rsid w:val="00A856C4"/>
    <w:rsid w:val="00A85A5C"/>
    <w:rsid w:val="00A90F8F"/>
    <w:rsid w:val="00A935DF"/>
    <w:rsid w:val="00A9684A"/>
    <w:rsid w:val="00A979FA"/>
    <w:rsid w:val="00AA0BC5"/>
    <w:rsid w:val="00AB10AA"/>
    <w:rsid w:val="00AB2B8E"/>
    <w:rsid w:val="00AB3992"/>
    <w:rsid w:val="00AB6567"/>
    <w:rsid w:val="00AC2462"/>
    <w:rsid w:val="00AC295A"/>
    <w:rsid w:val="00AC6885"/>
    <w:rsid w:val="00AD45BB"/>
    <w:rsid w:val="00AD57C7"/>
    <w:rsid w:val="00AE286E"/>
    <w:rsid w:val="00AE3607"/>
    <w:rsid w:val="00AE677A"/>
    <w:rsid w:val="00AF244F"/>
    <w:rsid w:val="00AF2ADC"/>
    <w:rsid w:val="00AF5A00"/>
    <w:rsid w:val="00AF5D6A"/>
    <w:rsid w:val="00B004CE"/>
    <w:rsid w:val="00B04F29"/>
    <w:rsid w:val="00B05D06"/>
    <w:rsid w:val="00B05DC7"/>
    <w:rsid w:val="00B11DFC"/>
    <w:rsid w:val="00B124F7"/>
    <w:rsid w:val="00B146F6"/>
    <w:rsid w:val="00B26021"/>
    <w:rsid w:val="00B27842"/>
    <w:rsid w:val="00B3089E"/>
    <w:rsid w:val="00B321E8"/>
    <w:rsid w:val="00B32D31"/>
    <w:rsid w:val="00B32D83"/>
    <w:rsid w:val="00B32E6F"/>
    <w:rsid w:val="00B353F6"/>
    <w:rsid w:val="00B447E7"/>
    <w:rsid w:val="00B452C7"/>
    <w:rsid w:val="00B45DAA"/>
    <w:rsid w:val="00B5148D"/>
    <w:rsid w:val="00B521F3"/>
    <w:rsid w:val="00B52359"/>
    <w:rsid w:val="00B52FD5"/>
    <w:rsid w:val="00B54DDF"/>
    <w:rsid w:val="00B61038"/>
    <w:rsid w:val="00B666BA"/>
    <w:rsid w:val="00B66F2E"/>
    <w:rsid w:val="00B71E96"/>
    <w:rsid w:val="00B77CCF"/>
    <w:rsid w:val="00B85CED"/>
    <w:rsid w:val="00B87B5F"/>
    <w:rsid w:val="00B91189"/>
    <w:rsid w:val="00B93ADA"/>
    <w:rsid w:val="00B942B8"/>
    <w:rsid w:val="00B95852"/>
    <w:rsid w:val="00B961E9"/>
    <w:rsid w:val="00B969EF"/>
    <w:rsid w:val="00B96AB7"/>
    <w:rsid w:val="00B9792A"/>
    <w:rsid w:val="00BA025E"/>
    <w:rsid w:val="00BA15F1"/>
    <w:rsid w:val="00BA4E2F"/>
    <w:rsid w:val="00BB1833"/>
    <w:rsid w:val="00BB6EA8"/>
    <w:rsid w:val="00BC7371"/>
    <w:rsid w:val="00BD0CE7"/>
    <w:rsid w:val="00BD0FFC"/>
    <w:rsid w:val="00BD14EC"/>
    <w:rsid w:val="00BD15D1"/>
    <w:rsid w:val="00BD5F38"/>
    <w:rsid w:val="00BD6E39"/>
    <w:rsid w:val="00BE053A"/>
    <w:rsid w:val="00BE1D7D"/>
    <w:rsid w:val="00BE20DB"/>
    <w:rsid w:val="00BE4CF6"/>
    <w:rsid w:val="00BE5C6E"/>
    <w:rsid w:val="00BE6A79"/>
    <w:rsid w:val="00BF2AD9"/>
    <w:rsid w:val="00BF3B93"/>
    <w:rsid w:val="00BF7EDF"/>
    <w:rsid w:val="00C10A68"/>
    <w:rsid w:val="00C10A91"/>
    <w:rsid w:val="00C1520D"/>
    <w:rsid w:val="00C20FB9"/>
    <w:rsid w:val="00C25446"/>
    <w:rsid w:val="00C263E8"/>
    <w:rsid w:val="00C3040F"/>
    <w:rsid w:val="00C35F13"/>
    <w:rsid w:val="00C37A7A"/>
    <w:rsid w:val="00C4094A"/>
    <w:rsid w:val="00C43ED8"/>
    <w:rsid w:val="00C448D9"/>
    <w:rsid w:val="00C4582C"/>
    <w:rsid w:val="00C46C4F"/>
    <w:rsid w:val="00C47064"/>
    <w:rsid w:val="00C544F8"/>
    <w:rsid w:val="00C56850"/>
    <w:rsid w:val="00C64296"/>
    <w:rsid w:val="00C741D2"/>
    <w:rsid w:val="00C75A1C"/>
    <w:rsid w:val="00C76E9B"/>
    <w:rsid w:val="00C800D8"/>
    <w:rsid w:val="00C81349"/>
    <w:rsid w:val="00C828E2"/>
    <w:rsid w:val="00C8300A"/>
    <w:rsid w:val="00C83586"/>
    <w:rsid w:val="00C851D2"/>
    <w:rsid w:val="00C8787E"/>
    <w:rsid w:val="00C92E8F"/>
    <w:rsid w:val="00CA705E"/>
    <w:rsid w:val="00CB4620"/>
    <w:rsid w:val="00CC0BDE"/>
    <w:rsid w:val="00CC1E05"/>
    <w:rsid w:val="00CC491E"/>
    <w:rsid w:val="00CC7A68"/>
    <w:rsid w:val="00CD06BA"/>
    <w:rsid w:val="00CD4128"/>
    <w:rsid w:val="00CD533D"/>
    <w:rsid w:val="00CE2162"/>
    <w:rsid w:val="00CE2CFF"/>
    <w:rsid w:val="00CE2EA5"/>
    <w:rsid w:val="00CE68BF"/>
    <w:rsid w:val="00CF18CE"/>
    <w:rsid w:val="00CF50F8"/>
    <w:rsid w:val="00CF644C"/>
    <w:rsid w:val="00CF6B0E"/>
    <w:rsid w:val="00D001A2"/>
    <w:rsid w:val="00D01364"/>
    <w:rsid w:val="00D05C76"/>
    <w:rsid w:val="00D068C5"/>
    <w:rsid w:val="00D07F7D"/>
    <w:rsid w:val="00D23AA2"/>
    <w:rsid w:val="00D25A17"/>
    <w:rsid w:val="00D267BB"/>
    <w:rsid w:val="00D32EE3"/>
    <w:rsid w:val="00D42B85"/>
    <w:rsid w:val="00D45496"/>
    <w:rsid w:val="00D47EBA"/>
    <w:rsid w:val="00D56752"/>
    <w:rsid w:val="00D71B95"/>
    <w:rsid w:val="00D723E0"/>
    <w:rsid w:val="00D82D0F"/>
    <w:rsid w:val="00D866C5"/>
    <w:rsid w:val="00D97712"/>
    <w:rsid w:val="00DA0FCE"/>
    <w:rsid w:val="00DA0FE0"/>
    <w:rsid w:val="00DA1755"/>
    <w:rsid w:val="00DA2CA8"/>
    <w:rsid w:val="00DA3BBD"/>
    <w:rsid w:val="00DA693D"/>
    <w:rsid w:val="00DA7006"/>
    <w:rsid w:val="00DA7A59"/>
    <w:rsid w:val="00DB268D"/>
    <w:rsid w:val="00DC09D5"/>
    <w:rsid w:val="00DC226C"/>
    <w:rsid w:val="00DC478C"/>
    <w:rsid w:val="00DC60F4"/>
    <w:rsid w:val="00DC6B58"/>
    <w:rsid w:val="00DD014E"/>
    <w:rsid w:val="00DD1C8D"/>
    <w:rsid w:val="00DD2B89"/>
    <w:rsid w:val="00DD408D"/>
    <w:rsid w:val="00DD4278"/>
    <w:rsid w:val="00DD443C"/>
    <w:rsid w:val="00DD4FAF"/>
    <w:rsid w:val="00DE2340"/>
    <w:rsid w:val="00DE3811"/>
    <w:rsid w:val="00DE5131"/>
    <w:rsid w:val="00DF0887"/>
    <w:rsid w:val="00DF3017"/>
    <w:rsid w:val="00DF46D0"/>
    <w:rsid w:val="00E11730"/>
    <w:rsid w:val="00E127B3"/>
    <w:rsid w:val="00E27036"/>
    <w:rsid w:val="00E33004"/>
    <w:rsid w:val="00E347B2"/>
    <w:rsid w:val="00E361E0"/>
    <w:rsid w:val="00E40EEF"/>
    <w:rsid w:val="00E40F12"/>
    <w:rsid w:val="00E52812"/>
    <w:rsid w:val="00E5474B"/>
    <w:rsid w:val="00E56902"/>
    <w:rsid w:val="00E63077"/>
    <w:rsid w:val="00E6354C"/>
    <w:rsid w:val="00E66AF4"/>
    <w:rsid w:val="00E67077"/>
    <w:rsid w:val="00E67238"/>
    <w:rsid w:val="00E67D08"/>
    <w:rsid w:val="00E70D55"/>
    <w:rsid w:val="00E717E1"/>
    <w:rsid w:val="00E7749A"/>
    <w:rsid w:val="00E816C3"/>
    <w:rsid w:val="00E833B5"/>
    <w:rsid w:val="00E85368"/>
    <w:rsid w:val="00E85F6A"/>
    <w:rsid w:val="00E86E8E"/>
    <w:rsid w:val="00E91015"/>
    <w:rsid w:val="00E92762"/>
    <w:rsid w:val="00E963E9"/>
    <w:rsid w:val="00EA5B4C"/>
    <w:rsid w:val="00EB1BA0"/>
    <w:rsid w:val="00EB23EC"/>
    <w:rsid w:val="00EB51FB"/>
    <w:rsid w:val="00EB5C44"/>
    <w:rsid w:val="00EC1BA6"/>
    <w:rsid w:val="00EC334A"/>
    <w:rsid w:val="00EC4936"/>
    <w:rsid w:val="00EC7BEA"/>
    <w:rsid w:val="00EC7D79"/>
    <w:rsid w:val="00ED0541"/>
    <w:rsid w:val="00ED323D"/>
    <w:rsid w:val="00ED5663"/>
    <w:rsid w:val="00EE254A"/>
    <w:rsid w:val="00EE2CA3"/>
    <w:rsid w:val="00EE317A"/>
    <w:rsid w:val="00EE3614"/>
    <w:rsid w:val="00EE4DD8"/>
    <w:rsid w:val="00EE6EB7"/>
    <w:rsid w:val="00EE7401"/>
    <w:rsid w:val="00EF3B93"/>
    <w:rsid w:val="00EF50DC"/>
    <w:rsid w:val="00EF7C70"/>
    <w:rsid w:val="00F01246"/>
    <w:rsid w:val="00F01C58"/>
    <w:rsid w:val="00F05D43"/>
    <w:rsid w:val="00F063B9"/>
    <w:rsid w:val="00F11374"/>
    <w:rsid w:val="00F11E4B"/>
    <w:rsid w:val="00F12FE9"/>
    <w:rsid w:val="00F169A4"/>
    <w:rsid w:val="00F31234"/>
    <w:rsid w:val="00F3377F"/>
    <w:rsid w:val="00F3399D"/>
    <w:rsid w:val="00F40BDE"/>
    <w:rsid w:val="00F472C5"/>
    <w:rsid w:val="00F51375"/>
    <w:rsid w:val="00F550B6"/>
    <w:rsid w:val="00F558EA"/>
    <w:rsid w:val="00F62AA9"/>
    <w:rsid w:val="00F63CB7"/>
    <w:rsid w:val="00F654F0"/>
    <w:rsid w:val="00F8093B"/>
    <w:rsid w:val="00F82795"/>
    <w:rsid w:val="00F8626C"/>
    <w:rsid w:val="00F909B2"/>
    <w:rsid w:val="00FA56E3"/>
    <w:rsid w:val="00FA58F8"/>
    <w:rsid w:val="00FA6DED"/>
    <w:rsid w:val="00FB0EC6"/>
    <w:rsid w:val="00FB51E3"/>
    <w:rsid w:val="00FB67F2"/>
    <w:rsid w:val="00FC7C36"/>
    <w:rsid w:val="00FC7D14"/>
    <w:rsid w:val="00FD0CBE"/>
    <w:rsid w:val="00FD0CF8"/>
    <w:rsid w:val="00FD630A"/>
    <w:rsid w:val="00FE17D2"/>
    <w:rsid w:val="00FE1D1E"/>
    <w:rsid w:val="00FE5A3F"/>
    <w:rsid w:val="00FE6DED"/>
    <w:rsid w:val="00FF21F9"/>
    <w:rsid w:val="00FF57E3"/>
    <w:rsid w:val="0E0E0C7B"/>
    <w:rsid w:val="0E2EC754"/>
    <w:rsid w:val="13907B78"/>
    <w:rsid w:val="1AB643B5"/>
    <w:rsid w:val="21C9FF95"/>
    <w:rsid w:val="2F4A75A2"/>
    <w:rsid w:val="314A5EBC"/>
    <w:rsid w:val="343CCB26"/>
    <w:rsid w:val="3560B2C9"/>
    <w:rsid w:val="3E955DB1"/>
    <w:rsid w:val="44164A2E"/>
    <w:rsid w:val="4589191C"/>
    <w:rsid w:val="48C4AA5A"/>
    <w:rsid w:val="4A31DC31"/>
    <w:rsid w:val="4C411035"/>
    <w:rsid w:val="4EF05EEE"/>
    <w:rsid w:val="504CBFC8"/>
    <w:rsid w:val="54D2C330"/>
    <w:rsid w:val="55CF2EC5"/>
    <w:rsid w:val="576AFF26"/>
    <w:rsid w:val="5C156ED6"/>
    <w:rsid w:val="60039651"/>
    <w:rsid w:val="68D4708D"/>
    <w:rsid w:val="69B1CDAA"/>
    <w:rsid w:val="744918E4"/>
    <w:rsid w:val="74AB5B7D"/>
    <w:rsid w:val="75E4E945"/>
    <w:rsid w:val="78F8D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qFormat/>
    <w:rsid w:val="005669AF"/>
    <w:pPr>
      <w:numPr>
        <w:numId w:val="2"/>
      </w:numPr>
      <w:ind w:left="858"/>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D23AA2"/>
    <w:pPr>
      <w:tabs>
        <w:tab w:val="left" w:pos="880"/>
        <w:tab w:val="right" w:leader="dot" w:pos="10065"/>
      </w:tabs>
      <w:spacing w:line="276" w:lineRule="auto"/>
    </w:pPr>
    <w:rPr>
      <w:rFonts w:eastAsiaTheme="minorEastAsia"/>
      <w:noProof/>
      <w:color w:val="auto"/>
      <w:lang w:val="en-US" w:eastAsia="ja-JP"/>
    </w:rPr>
  </w:style>
  <w:style w:type="paragraph" w:styleId="TOC1">
    <w:name w:val="toc 1"/>
    <w:basedOn w:val="Normal"/>
    <w:next w:val="Normal"/>
    <w:autoRedefine/>
    <w:uiPriority w:val="39"/>
    <w:unhideWhenUsed/>
    <w:qFormat/>
    <w:rsid w:val="001F304B"/>
    <w:pPr>
      <w:tabs>
        <w:tab w:val="left" w:pos="440"/>
        <w:tab w:val="right" w:leader="dot" w:pos="10065"/>
      </w:tabs>
      <w:spacing w:line="276" w:lineRule="auto"/>
    </w:pPr>
    <w:rPr>
      <w:rFonts w:eastAsiaTheme="minorEastAsia"/>
      <w:bCs/>
      <w:noProof/>
      <w:color w:val="auto"/>
      <w:lang w:val="en-US" w:eastAsia="ja-JP"/>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197EC7"/>
    <w:rPr>
      <w:rFonts w:asciiTheme="majorHAnsi" w:eastAsiaTheme="majorEastAsia" w:hAnsiTheme="majorHAnsi" w:cstheme="majorBidi"/>
      <w:b/>
      <w:bCs/>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table" w:customStyle="1" w:styleId="TableGrid2">
    <w:name w:val="Table Grid2"/>
    <w:basedOn w:val="TableNormal"/>
    <w:next w:val="TableGrid"/>
    <w:rsid w:val="00C81349"/>
    <w:rPr>
      <w:rFonts w:ascii="Calibri" w:eastAsia="Calibri" w:hAnsi="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7230"/>
    <w:rPr>
      <w:color w:val="605E5C"/>
      <w:shd w:val="clear" w:color="auto" w:fill="E1DFDD"/>
    </w:rPr>
  </w:style>
  <w:style w:type="character" w:styleId="Mention">
    <w:name w:val="Mention"/>
    <w:basedOn w:val="DefaultParagraphFont"/>
    <w:uiPriority w:val="99"/>
    <w:unhideWhenUsed/>
    <w:rsid w:val="00B260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principles/" TargetMode="External"/><Relationship Id="rId18" Type="http://schemas.openxmlformats.org/officeDocument/2006/relationships/hyperlink" Target="mailto:nikki.cooper1@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humberandnorthyorkshire.icb.nhs.uk/documents-and-public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services/nhsmail/guidance-for-sending-secure-ema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umberandnorthyorkshire.icb.nhs.uk/privacy-polic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reportnhsfraud.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he-caldicott-principl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09659-C5E6-4D9A-A722-DCF4CE120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3.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4.xml><?xml version="1.0" encoding="utf-8"?>
<ds:datastoreItem xmlns:ds="http://schemas.openxmlformats.org/officeDocument/2006/customXml" ds:itemID="{CFEDABDE-F6EC-4681-9E0B-A99F304B8FE9}">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35</Pages>
  <Words>6548</Words>
  <Characters>37330</Characters>
  <Application>Microsoft Office Word</Application>
  <DocSecurity>0</DocSecurity>
  <Lines>311</Lines>
  <Paragraphs>87</Paragraphs>
  <ScaleCrop>false</ScaleCrop>
  <Company>HERHIS</Company>
  <LinksUpToDate>false</LinksUpToDate>
  <CharactersWithSpaces>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LOWE, Nicky (NHS HUMBER AND NORTH YORKSHIRE ICB - 02Y)</cp:lastModifiedBy>
  <cp:revision>23</cp:revision>
  <cp:lastPrinted>2015-11-09T11:32:00Z</cp:lastPrinted>
  <dcterms:created xsi:type="dcterms:W3CDTF">2023-04-06T20:53:00Z</dcterms:created>
  <dcterms:modified xsi:type="dcterms:W3CDTF">2023-06-27T12:10:00Z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