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3C5EC934" w:rsidR="00EC7BEA" w:rsidRPr="00402368" w:rsidRDefault="005F4E82" w:rsidP="00316E2C">
      <w:pPr>
        <w:rPr>
          <w:noProof/>
        </w:rPr>
      </w:pPr>
      <w:r w:rsidRPr="00A21D3C">
        <w:rPr>
          <w:noProof/>
        </w:rPr>
        <w:drawing>
          <wp:anchor distT="0" distB="0" distL="114300" distR="114300" simplePos="0" relativeHeight="251660288" behindDoc="0" locked="0" layoutInCell="1" allowOverlap="1" wp14:anchorId="31472B6A" wp14:editId="6B335107">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34185882">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3403B27B" w:rsidR="009605B9" w:rsidRDefault="007060AF" w:rsidP="00316E2C">
      <w:pPr>
        <w:jc w:val="center"/>
        <w:rPr>
          <w:b/>
          <w:bCs/>
          <w:color w:val="auto"/>
          <w:sz w:val="48"/>
          <w:szCs w:val="48"/>
        </w:rPr>
      </w:pPr>
      <w:r>
        <w:rPr>
          <w:b/>
          <w:bCs/>
          <w:color w:val="auto"/>
          <w:sz w:val="48"/>
          <w:szCs w:val="48"/>
        </w:rPr>
        <w:t xml:space="preserve">National Data Opt-Out Policy </w:t>
      </w:r>
    </w:p>
    <w:p w14:paraId="1D3FF1CD" w14:textId="09CA6237" w:rsidR="00AE286E" w:rsidRPr="00AE286E" w:rsidRDefault="008850DD" w:rsidP="00316E2C">
      <w:pPr>
        <w:jc w:val="center"/>
        <w:rPr>
          <w:b/>
          <w:bCs/>
          <w:color w:val="auto"/>
          <w:sz w:val="36"/>
          <w:szCs w:val="36"/>
        </w:rPr>
      </w:pPr>
      <w:r>
        <w:rPr>
          <w:b/>
          <w:bCs/>
          <w:color w:val="auto"/>
          <w:sz w:val="36"/>
          <w:szCs w:val="36"/>
        </w:rPr>
        <w:t>June 2023</w:t>
      </w:r>
    </w:p>
    <w:p w14:paraId="26E34E15" w14:textId="79374D86" w:rsidR="005F4E82" w:rsidRDefault="005F4E82" w:rsidP="005F4E82">
      <w:pPr>
        <w:spacing w:line="240" w:lineRule="auto"/>
        <w:jc w:val="center"/>
        <w:rPr>
          <w:color w:val="FF0000"/>
        </w:rPr>
      </w:pPr>
    </w:p>
    <w:p w14:paraId="35D6C1E1" w14:textId="762B8BED"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6326F7D" w14:textId="07971296" w:rsidR="0095282C" w:rsidRPr="005F4E82" w:rsidRDefault="007060AF" w:rsidP="00316E2C">
            <w:pPr>
              <w:rPr>
                <w:color w:val="auto"/>
              </w:rPr>
            </w:pPr>
            <w:r>
              <w:rPr>
                <w:color w:val="auto"/>
              </w:rPr>
              <w:t xml:space="preserve">Information Governance Delivery Manager – NHS Humber &amp; North Yorkshire Integrated Care Board </w:t>
            </w:r>
          </w:p>
        </w:tc>
      </w:tr>
      <w:tr w:rsidR="003057AE" w:rsidRPr="00402368" w14:paraId="472249B7" w14:textId="77777777" w:rsidTr="00316E2C">
        <w:tc>
          <w:tcPr>
            <w:tcW w:w="4644" w:type="dxa"/>
          </w:tcPr>
          <w:p w14:paraId="407EADD1" w14:textId="0DA4D42F" w:rsidR="003057AE" w:rsidRPr="008850DD" w:rsidRDefault="005F4E82" w:rsidP="00316E2C">
            <w:pPr>
              <w:rPr>
                <w:b/>
                <w:color w:val="auto"/>
              </w:rPr>
            </w:pPr>
            <w:r w:rsidRPr="008850DD">
              <w:rPr>
                <w:b/>
                <w:color w:val="auto"/>
              </w:rPr>
              <w:t xml:space="preserve">Committee </w:t>
            </w:r>
            <w:r w:rsidR="003057AE" w:rsidRPr="008850DD">
              <w:rPr>
                <w:b/>
                <w:color w:val="auto"/>
              </w:rPr>
              <w:t>Approved</w:t>
            </w:r>
            <w:r w:rsidRPr="008850DD">
              <w:rPr>
                <w:b/>
                <w:color w:val="auto"/>
              </w:rPr>
              <w:t>:</w:t>
            </w:r>
          </w:p>
        </w:tc>
        <w:tc>
          <w:tcPr>
            <w:tcW w:w="5963" w:type="dxa"/>
          </w:tcPr>
          <w:p w14:paraId="56DF1480" w14:textId="2220F7DF" w:rsidR="0095282C" w:rsidRPr="005F4E82" w:rsidRDefault="008850DD" w:rsidP="00A10CE8">
            <w:pPr>
              <w:rPr>
                <w:color w:val="auto"/>
              </w:rPr>
            </w:pPr>
            <w:r>
              <w:rPr>
                <w:color w:val="auto"/>
              </w:rPr>
              <w:t xml:space="preserve">SIRO &amp; Information Governance Groups </w:t>
            </w:r>
          </w:p>
        </w:tc>
      </w:tr>
      <w:tr w:rsidR="003057AE" w:rsidRPr="00402368" w14:paraId="11C2BA35" w14:textId="77777777" w:rsidTr="00316E2C">
        <w:tc>
          <w:tcPr>
            <w:tcW w:w="4644" w:type="dxa"/>
          </w:tcPr>
          <w:p w14:paraId="0972DBCF" w14:textId="2F14241B" w:rsidR="003057AE" w:rsidRPr="008850DD" w:rsidRDefault="005F4E82" w:rsidP="00316E2C">
            <w:pPr>
              <w:rPr>
                <w:b/>
                <w:color w:val="auto"/>
              </w:rPr>
            </w:pPr>
            <w:r w:rsidRPr="008850DD">
              <w:rPr>
                <w:b/>
                <w:color w:val="auto"/>
              </w:rPr>
              <w:t>Approved d</w:t>
            </w:r>
            <w:r w:rsidR="003057AE" w:rsidRPr="008850DD">
              <w:rPr>
                <w:b/>
                <w:color w:val="auto"/>
              </w:rPr>
              <w:t>ate</w:t>
            </w:r>
            <w:r w:rsidRPr="008850DD">
              <w:rPr>
                <w:b/>
                <w:color w:val="auto"/>
              </w:rPr>
              <w:t>:</w:t>
            </w:r>
          </w:p>
        </w:tc>
        <w:tc>
          <w:tcPr>
            <w:tcW w:w="5963" w:type="dxa"/>
          </w:tcPr>
          <w:p w14:paraId="16673E03" w14:textId="22CBBF56" w:rsidR="0095282C" w:rsidRPr="005F4E82" w:rsidRDefault="008850DD" w:rsidP="00316E2C">
            <w:pPr>
              <w:rPr>
                <w:color w:val="auto"/>
              </w:rPr>
            </w:pPr>
            <w:r>
              <w:rPr>
                <w:color w:val="auto"/>
              </w:rPr>
              <w:t>June 2023</w:t>
            </w:r>
          </w:p>
        </w:tc>
      </w:tr>
      <w:tr w:rsidR="003057AE" w:rsidRPr="00402368" w14:paraId="39B4089C" w14:textId="77777777" w:rsidTr="00316E2C">
        <w:tc>
          <w:tcPr>
            <w:tcW w:w="4644" w:type="dxa"/>
          </w:tcPr>
          <w:p w14:paraId="1CAD852F" w14:textId="03EF7EFC" w:rsidR="003057AE" w:rsidRPr="008850DD" w:rsidRDefault="003057AE" w:rsidP="00316E2C">
            <w:pPr>
              <w:rPr>
                <w:b/>
                <w:color w:val="auto"/>
              </w:rPr>
            </w:pPr>
            <w:r w:rsidRPr="008850DD">
              <w:rPr>
                <w:b/>
                <w:color w:val="auto"/>
              </w:rPr>
              <w:t xml:space="preserve">Equality Impact </w:t>
            </w:r>
            <w:r w:rsidR="00A102B7" w:rsidRPr="008850DD">
              <w:rPr>
                <w:b/>
                <w:color w:val="auto"/>
              </w:rPr>
              <w:t>A</w:t>
            </w:r>
            <w:r w:rsidR="005F4E82" w:rsidRPr="008850DD">
              <w:rPr>
                <w:b/>
                <w:color w:val="auto"/>
              </w:rPr>
              <w:t>ssessment:</w:t>
            </w:r>
          </w:p>
        </w:tc>
        <w:tc>
          <w:tcPr>
            <w:tcW w:w="5963" w:type="dxa"/>
          </w:tcPr>
          <w:p w14:paraId="47DB0DFA" w14:textId="6306CA04" w:rsidR="0095282C" w:rsidRPr="005F4E82" w:rsidRDefault="00BB104C" w:rsidP="00316E2C">
            <w:pPr>
              <w:rPr>
                <w:color w:val="auto"/>
              </w:rPr>
            </w:pPr>
            <w:r>
              <w:rPr>
                <w:color w:val="auto"/>
              </w:rPr>
              <w:t xml:space="preserve">April 2023 </w:t>
            </w:r>
          </w:p>
        </w:tc>
      </w:tr>
      <w:tr w:rsidR="003057AE" w:rsidRPr="00402368" w14:paraId="0BEBC797" w14:textId="77777777" w:rsidTr="00316E2C">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046759C7" w14:textId="4B6D8D58" w:rsidR="00BB1833" w:rsidRPr="005F4E82" w:rsidRDefault="005F4E82" w:rsidP="00AE286E">
            <w:pPr>
              <w:pStyle w:val="ListParagraph"/>
              <w:ind w:left="0"/>
              <w:rPr>
                <w:color w:val="auto"/>
              </w:rPr>
            </w:pPr>
            <w:r w:rsidRPr="005F4E82">
              <w:rPr>
                <w:color w:val="auto"/>
              </w:rPr>
              <w:t>CB and its Committees and Sub-Committees, ICB Staff, agency and temporary staff &amp; third parties under contract</w:t>
            </w:r>
          </w:p>
        </w:tc>
      </w:tr>
      <w:tr w:rsidR="003057AE" w:rsidRPr="00402368" w14:paraId="14C1359E" w14:textId="77777777" w:rsidTr="00316E2C">
        <w:tc>
          <w:tcPr>
            <w:tcW w:w="4644" w:type="dxa"/>
          </w:tcPr>
          <w:p w14:paraId="6F54AA58" w14:textId="2B79372A" w:rsidR="003057AE" w:rsidRPr="005F4E82" w:rsidRDefault="005F4E82" w:rsidP="00316E2C">
            <w:pPr>
              <w:rPr>
                <w:b/>
                <w:color w:val="auto"/>
              </w:rPr>
            </w:pPr>
            <w:r w:rsidRPr="008850DD">
              <w:rPr>
                <w:b/>
                <w:color w:val="auto"/>
              </w:rPr>
              <w:t xml:space="preserve">Policy </w:t>
            </w:r>
            <w:r w:rsidR="003057AE" w:rsidRPr="008850DD">
              <w:rPr>
                <w:b/>
                <w:color w:val="auto"/>
              </w:rPr>
              <w:t>Number</w:t>
            </w:r>
            <w:r w:rsidRPr="008850DD">
              <w:rPr>
                <w:b/>
                <w:color w:val="auto"/>
              </w:rPr>
              <w:t>:</w:t>
            </w:r>
          </w:p>
        </w:tc>
        <w:tc>
          <w:tcPr>
            <w:tcW w:w="5963" w:type="dxa"/>
          </w:tcPr>
          <w:p w14:paraId="1E17DE8B" w14:textId="1FC25A79" w:rsidR="004167BD" w:rsidRPr="005F4E82" w:rsidRDefault="000C4282" w:rsidP="00316E2C">
            <w:pPr>
              <w:rPr>
                <w:color w:val="auto"/>
              </w:rPr>
            </w:pPr>
            <w:r>
              <w:rPr>
                <w:color w:val="auto"/>
              </w:rPr>
              <w:t>ICB41</w:t>
            </w:r>
          </w:p>
        </w:tc>
      </w:tr>
      <w:tr w:rsidR="003057AE" w:rsidRPr="00402368" w14:paraId="0A809E26" w14:textId="77777777" w:rsidTr="00316E2C">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5A47AB39" w14:textId="7E159870" w:rsidR="004167BD" w:rsidRPr="005F4E82" w:rsidRDefault="00D445D2" w:rsidP="00316E2C">
            <w:pPr>
              <w:rPr>
                <w:color w:val="auto"/>
              </w:rPr>
            </w:pPr>
            <w:r>
              <w:rPr>
                <w:color w:val="auto"/>
              </w:rPr>
              <w:t>1.0</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E91015">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E91015">
        <w:tc>
          <w:tcPr>
            <w:tcW w:w="1252" w:type="dxa"/>
          </w:tcPr>
          <w:p w14:paraId="36D7499F" w14:textId="7383A25F" w:rsidR="00E91015" w:rsidRPr="00402368" w:rsidRDefault="00D445D2" w:rsidP="00316E2C">
            <w:pPr>
              <w:rPr>
                <w:color w:val="000000"/>
              </w:rPr>
            </w:pPr>
            <w:r>
              <w:rPr>
                <w:color w:val="000000"/>
              </w:rPr>
              <w:t>V1.0</w:t>
            </w:r>
          </w:p>
        </w:tc>
        <w:tc>
          <w:tcPr>
            <w:tcW w:w="1950" w:type="dxa"/>
          </w:tcPr>
          <w:p w14:paraId="7C30232A" w14:textId="39715E6E" w:rsidR="00E91015" w:rsidRPr="00402368" w:rsidRDefault="00BB104C" w:rsidP="00316E2C">
            <w:pPr>
              <w:rPr>
                <w:color w:val="000000"/>
              </w:rPr>
            </w:pPr>
            <w:r>
              <w:rPr>
                <w:color w:val="000000"/>
              </w:rPr>
              <w:t xml:space="preserve">Executive Director of Corporate Affairs </w:t>
            </w:r>
          </w:p>
        </w:tc>
        <w:tc>
          <w:tcPr>
            <w:tcW w:w="2405" w:type="dxa"/>
          </w:tcPr>
          <w:p w14:paraId="5DC1EA42" w14:textId="4729CE3E" w:rsidR="00E91015" w:rsidRPr="00402368" w:rsidRDefault="00D445D2" w:rsidP="00316E2C">
            <w:pPr>
              <w:rPr>
                <w:color w:val="000000"/>
              </w:rPr>
            </w:pPr>
            <w:r>
              <w:rPr>
                <w:color w:val="000000"/>
              </w:rPr>
              <w:t xml:space="preserve">New Policy for ICB </w:t>
            </w:r>
          </w:p>
        </w:tc>
        <w:tc>
          <w:tcPr>
            <w:tcW w:w="2005" w:type="dxa"/>
          </w:tcPr>
          <w:p w14:paraId="7344C44F" w14:textId="56E6F5A7" w:rsidR="00E91015" w:rsidRPr="00402368" w:rsidRDefault="00D445D2" w:rsidP="00316E2C">
            <w:pPr>
              <w:rPr>
                <w:color w:val="000000"/>
              </w:rPr>
            </w:pPr>
            <w:r>
              <w:rPr>
                <w:color w:val="000000"/>
              </w:rPr>
              <w:t xml:space="preserve">SIRO </w:t>
            </w:r>
          </w:p>
        </w:tc>
        <w:tc>
          <w:tcPr>
            <w:tcW w:w="1355" w:type="dxa"/>
          </w:tcPr>
          <w:p w14:paraId="16AB918A" w14:textId="713EB57A" w:rsidR="00E91015" w:rsidRPr="00402368" w:rsidRDefault="008850DD" w:rsidP="00316E2C">
            <w:pPr>
              <w:autoSpaceDE w:val="0"/>
              <w:autoSpaceDN w:val="0"/>
              <w:adjustRightInd w:val="0"/>
              <w:rPr>
                <w:color w:val="auto"/>
              </w:rPr>
            </w:pPr>
            <w:r>
              <w:rPr>
                <w:color w:val="auto"/>
              </w:rPr>
              <w:t>22.06.23</w:t>
            </w:r>
          </w:p>
        </w:tc>
        <w:tc>
          <w:tcPr>
            <w:tcW w:w="1489" w:type="dxa"/>
          </w:tcPr>
          <w:p w14:paraId="302BFED7" w14:textId="16D2A670" w:rsidR="00E91015" w:rsidRPr="00402368" w:rsidRDefault="0095251E" w:rsidP="00316E2C">
            <w:pPr>
              <w:autoSpaceDE w:val="0"/>
              <w:autoSpaceDN w:val="0"/>
              <w:adjustRightInd w:val="0"/>
              <w:rPr>
                <w:color w:val="auto"/>
              </w:rPr>
            </w:pPr>
            <w:r>
              <w:rPr>
                <w:color w:val="auto"/>
              </w:rPr>
              <w:t>27.06.23</w:t>
            </w: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DC3D38">
      <w:pPr>
        <w:spacing w:line="240" w:lineRule="auto"/>
        <w:ind w:right="-760"/>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547ABCA8" w14:textId="3BF151C7"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380CD84D" w14:textId="6CB02A45" w:rsidR="00D27CFF" w:rsidRPr="00724D7A" w:rsidRDefault="009F2C13" w:rsidP="00724D7A">
          <w:pPr>
            <w:pStyle w:val="TOC1"/>
            <w:rPr>
              <w:noProof/>
              <w:lang w:val="en-GB" w:eastAsia="en-GB"/>
            </w:rPr>
          </w:pPr>
          <w:r w:rsidRPr="0032084D">
            <w:rPr>
              <w:color w:val="000000" w:themeColor="text1"/>
            </w:rPr>
            <w:fldChar w:fldCharType="begin"/>
          </w:r>
          <w:r w:rsidRPr="0032084D">
            <w:rPr>
              <w:color w:val="000000" w:themeColor="text1"/>
            </w:rPr>
            <w:instrText xml:space="preserve"> TOC \o "1-3" \h \z \u </w:instrText>
          </w:r>
          <w:r w:rsidRPr="0032084D">
            <w:rPr>
              <w:color w:val="000000" w:themeColor="text1"/>
            </w:rPr>
            <w:fldChar w:fldCharType="separate"/>
          </w:r>
          <w:hyperlink w:anchor="_Toc132103172"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w:t>
            </w:r>
            <w:r w:rsidR="00D27CFF" w:rsidRPr="00724D7A">
              <w:rPr>
                <w:noProof/>
                <w:lang w:val="en-GB" w:eastAsia="en-GB"/>
              </w:rPr>
              <w:tab/>
            </w:r>
            <w:r w:rsidR="00D27CFF" w:rsidRPr="00724D7A">
              <w:rPr>
                <w:rStyle w:val="Hyperlink"/>
                <w:rFonts w:ascii="Arial" w:hAnsi="Arial" w:cs="Arial"/>
                <w:noProof/>
                <w:color w:val="auto"/>
                <w:sz w:val="24"/>
                <w:szCs w:val="24"/>
              </w:rPr>
              <w:t>Introduction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_Toc132103172 \h </w:instrText>
            </w:r>
            <w:r w:rsidR="00D27CFF" w:rsidRPr="00724D7A">
              <w:rPr>
                <w:noProof/>
                <w:webHidden/>
              </w:rPr>
            </w:r>
            <w:r w:rsidR="00D27CFF" w:rsidRPr="00724D7A">
              <w:rPr>
                <w:noProof/>
                <w:webHidden/>
              </w:rPr>
              <w:fldChar w:fldCharType="separate"/>
            </w:r>
            <w:r w:rsidR="00724D7A" w:rsidRPr="00724D7A">
              <w:rPr>
                <w:noProof/>
                <w:webHidden/>
              </w:rPr>
              <w:t>5</w:t>
            </w:r>
            <w:r w:rsidR="00D27CFF" w:rsidRPr="00724D7A">
              <w:rPr>
                <w:noProof/>
                <w:webHidden/>
              </w:rPr>
              <w:fldChar w:fldCharType="end"/>
            </w:r>
          </w:hyperlink>
        </w:p>
        <w:p w14:paraId="5FD2E03B" w14:textId="02712B68" w:rsidR="00D27CFF" w:rsidRPr="00724D7A" w:rsidRDefault="0095251E" w:rsidP="00724D7A">
          <w:pPr>
            <w:pStyle w:val="TOC1"/>
            <w:rPr>
              <w:noProof/>
              <w:lang w:val="en-GB" w:eastAsia="en-GB"/>
            </w:rPr>
          </w:pPr>
          <w:hyperlink w:anchor="_Toc132103173"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2</w:t>
            </w:r>
            <w:r w:rsidR="00D27CFF" w:rsidRPr="00724D7A">
              <w:rPr>
                <w:noProof/>
                <w:lang w:val="en-GB" w:eastAsia="en-GB"/>
              </w:rPr>
              <w:tab/>
            </w:r>
            <w:r w:rsidR="00D27CFF" w:rsidRPr="00724D7A">
              <w:rPr>
                <w:rStyle w:val="Hyperlink"/>
                <w:rFonts w:ascii="Arial" w:hAnsi="Arial" w:cs="Arial"/>
                <w:noProof/>
                <w:color w:val="auto"/>
                <w:sz w:val="24"/>
                <w:szCs w:val="24"/>
              </w:rPr>
              <w:t>Purpose</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_Toc132103173 \h </w:instrText>
            </w:r>
            <w:r w:rsidR="00D27CFF" w:rsidRPr="00724D7A">
              <w:rPr>
                <w:noProof/>
                <w:webHidden/>
              </w:rPr>
            </w:r>
            <w:r w:rsidR="00D27CFF" w:rsidRPr="00724D7A">
              <w:rPr>
                <w:noProof/>
                <w:webHidden/>
              </w:rPr>
              <w:fldChar w:fldCharType="separate"/>
            </w:r>
            <w:r w:rsidR="00724D7A" w:rsidRPr="00724D7A">
              <w:rPr>
                <w:noProof/>
                <w:webHidden/>
              </w:rPr>
              <w:t>5</w:t>
            </w:r>
            <w:r w:rsidR="00D27CFF" w:rsidRPr="00724D7A">
              <w:rPr>
                <w:noProof/>
                <w:webHidden/>
              </w:rPr>
              <w:fldChar w:fldCharType="end"/>
            </w:r>
          </w:hyperlink>
        </w:p>
        <w:p w14:paraId="37F1249B" w14:textId="79A33ACE" w:rsidR="00D27CFF" w:rsidRPr="00724D7A" w:rsidRDefault="0095251E" w:rsidP="00724D7A">
          <w:pPr>
            <w:pStyle w:val="TOC1"/>
            <w:rPr>
              <w:noProof/>
              <w:lang w:val="en-GB" w:eastAsia="en-GB"/>
            </w:rPr>
          </w:pPr>
          <w:hyperlink w:anchor="_Toc132103174"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3</w:t>
            </w:r>
            <w:r w:rsidR="00D27CFF" w:rsidRPr="00724D7A">
              <w:rPr>
                <w:noProof/>
                <w:lang w:val="en-GB" w:eastAsia="en-GB"/>
              </w:rPr>
              <w:tab/>
            </w:r>
            <w:r w:rsidR="00D27CFF" w:rsidRPr="00724D7A">
              <w:rPr>
                <w:rStyle w:val="Hyperlink"/>
                <w:rFonts w:ascii="Arial" w:hAnsi="Arial" w:cs="Arial"/>
                <w:noProof/>
                <w:color w:val="auto"/>
                <w:sz w:val="24"/>
                <w:szCs w:val="24"/>
              </w:rPr>
              <w:t>Definition/ Explanation of Terms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_Toc132103174 \h </w:instrText>
            </w:r>
            <w:r w:rsidR="00D27CFF" w:rsidRPr="00724D7A">
              <w:rPr>
                <w:noProof/>
                <w:webHidden/>
              </w:rPr>
            </w:r>
            <w:r w:rsidR="00D27CFF" w:rsidRPr="00724D7A">
              <w:rPr>
                <w:noProof/>
                <w:webHidden/>
              </w:rPr>
              <w:fldChar w:fldCharType="separate"/>
            </w:r>
            <w:r w:rsidR="00724D7A" w:rsidRPr="00724D7A">
              <w:rPr>
                <w:noProof/>
                <w:webHidden/>
              </w:rPr>
              <w:t>5</w:t>
            </w:r>
            <w:r w:rsidR="00D27CFF" w:rsidRPr="00724D7A">
              <w:rPr>
                <w:noProof/>
                <w:webHidden/>
              </w:rPr>
              <w:fldChar w:fldCharType="end"/>
            </w:r>
          </w:hyperlink>
        </w:p>
        <w:p w14:paraId="39161ABC" w14:textId="425E490F" w:rsidR="00D27CFF" w:rsidRPr="00724D7A" w:rsidRDefault="0095251E" w:rsidP="00724D7A">
          <w:pPr>
            <w:pStyle w:val="TOC1"/>
            <w:rPr>
              <w:noProof/>
              <w:lang w:val="en-GB" w:eastAsia="en-GB"/>
            </w:rPr>
          </w:pPr>
          <w:hyperlink w:anchor="_Toc132103175"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4</w:t>
            </w:r>
            <w:r w:rsidR="00D27CFF" w:rsidRPr="00724D7A">
              <w:rPr>
                <w:noProof/>
                <w:lang w:val="en-GB" w:eastAsia="en-GB"/>
              </w:rPr>
              <w:tab/>
            </w:r>
            <w:r w:rsidR="00D27CFF" w:rsidRPr="00724D7A">
              <w:rPr>
                <w:rStyle w:val="Hyperlink"/>
                <w:rFonts w:ascii="Arial" w:hAnsi="Arial" w:cs="Arial"/>
                <w:noProof/>
                <w:color w:val="auto"/>
                <w:sz w:val="24"/>
                <w:szCs w:val="24"/>
              </w:rPr>
              <w:t>Scope of the Policy</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_Toc132103175 \h </w:instrText>
            </w:r>
            <w:r w:rsidR="00D27CFF" w:rsidRPr="00724D7A">
              <w:rPr>
                <w:noProof/>
                <w:webHidden/>
              </w:rPr>
            </w:r>
            <w:r w:rsidR="00D27CFF" w:rsidRPr="00724D7A">
              <w:rPr>
                <w:noProof/>
                <w:webHidden/>
              </w:rPr>
              <w:fldChar w:fldCharType="separate"/>
            </w:r>
            <w:r w:rsidR="00724D7A" w:rsidRPr="00724D7A">
              <w:rPr>
                <w:noProof/>
                <w:webHidden/>
              </w:rPr>
              <w:t>6</w:t>
            </w:r>
            <w:r w:rsidR="00D27CFF" w:rsidRPr="00724D7A">
              <w:rPr>
                <w:noProof/>
                <w:webHidden/>
              </w:rPr>
              <w:fldChar w:fldCharType="end"/>
            </w:r>
          </w:hyperlink>
        </w:p>
        <w:p w14:paraId="200C82A1" w14:textId="5A05C7C6" w:rsidR="00D27CFF" w:rsidRPr="00724D7A" w:rsidRDefault="0095251E" w:rsidP="00724D7A">
          <w:pPr>
            <w:pStyle w:val="TOC1"/>
            <w:rPr>
              <w:noProof/>
              <w:lang w:val="en-GB" w:eastAsia="en-GB"/>
            </w:rPr>
          </w:pPr>
          <w:hyperlink w:anchor="_Toc132103176"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5</w:t>
            </w:r>
            <w:r w:rsidR="00D27CFF" w:rsidRPr="00724D7A">
              <w:rPr>
                <w:noProof/>
                <w:lang w:val="en-GB" w:eastAsia="en-GB"/>
              </w:rPr>
              <w:tab/>
            </w:r>
            <w:r w:rsidR="00D27CFF" w:rsidRPr="00724D7A">
              <w:rPr>
                <w:rStyle w:val="Hyperlink"/>
                <w:rFonts w:ascii="Arial" w:hAnsi="Arial" w:cs="Arial"/>
                <w:noProof/>
                <w:color w:val="auto"/>
                <w:sz w:val="24"/>
                <w:szCs w:val="24"/>
              </w:rPr>
              <w:t xml:space="preserve">Duties/ Accountabilities and Responsibilities     </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_Toc132103176 \h </w:instrText>
            </w:r>
            <w:r w:rsidR="00D27CFF" w:rsidRPr="00724D7A">
              <w:rPr>
                <w:noProof/>
                <w:webHidden/>
              </w:rPr>
            </w:r>
            <w:r w:rsidR="00D27CFF" w:rsidRPr="00724D7A">
              <w:rPr>
                <w:noProof/>
                <w:webHidden/>
              </w:rPr>
              <w:fldChar w:fldCharType="separate"/>
            </w:r>
            <w:r w:rsidR="00724D7A" w:rsidRPr="00724D7A">
              <w:rPr>
                <w:noProof/>
                <w:webHidden/>
              </w:rPr>
              <w:t>6</w:t>
            </w:r>
            <w:r w:rsidR="00D27CFF" w:rsidRPr="00724D7A">
              <w:rPr>
                <w:noProof/>
                <w:webHidden/>
              </w:rPr>
              <w:fldChar w:fldCharType="end"/>
            </w:r>
          </w:hyperlink>
        </w:p>
        <w:p w14:paraId="1AFC1649" w14:textId="34700B82" w:rsidR="00D27CFF" w:rsidRPr="00724D7A" w:rsidRDefault="0095251E" w:rsidP="00724D7A">
          <w:pPr>
            <w:pStyle w:val="TOC2"/>
            <w:rPr>
              <w:noProof/>
              <w:lang w:val="en-GB" w:eastAsia="en-GB"/>
            </w:rPr>
          </w:pPr>
          <w:hyperlink w:anchor="_Toc132103177" w:history="1">
            <w:r w:rsidR="00D27CFF" w:rsidRPr="00724D7A">
              <w:rPr>
                <w:rStyle w:val="Hyperlink"/>
                <w:rFonts w:ascii="Arial" w:hAnsi="Arial" w:cs="Arial"/>
                <w:noProof/>
                <w:color w:val="auto"/>
                <w:sz w:val="24"/>
                <w:szCs w:val="24"/>
              </w:rPr>
              <w:t>5.1</w:t>
            </w:r>
            <w:r w:rsidR="00D27CFF" w:rsidRPr="00724D7A">
              <w:rPr>
                <w:noProof/>
                <w:lang w:val="en-GB" w:eastAsia="en-GB"/>
              </w:rPr>
              <w:tab/>
            </w:r>
            <w:r w:rsidR="00D27CFF" w:rsidRPr="00724D7A">
              <w:rPr>
                <w:rStyle w:val="Hyperlink"/>
                <w:rFonts w:ascii="Arial" w:hAnsi="Arial" w:cs="Arial"/>
                <w:noProof/>
                <w:color w:val="auto"/>
                <w:sz w:val="24"/>
                <w:szCs w:val="24"/>
              </w:rPr>
              <w:t>Duties within the organisation: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_Toc132103177 \h </w:instrText>
            </w:r>
            <w:r w:rsidR="00D27CFF" w:rsidRPr="00724D7A">
              <w:rPr>
                <w:noProof/>
                <w:webHidden/>
              </w:rPr>
            </w:r>
            <w:r w:rsidR="00D27CFF" w:rsidRPr="00724D7A">
              <w:rPr>
                <w:noProof/>
                <w:webHidden/>
              </w:rPr>
              <w:fldChar w:fldCharType="separate"/>
            </w:r>
            <w:r w:rsidR="00724D7A" w:rsidRPr="00724D7A">
              <w:rPr>
                <w:noProof/>
                <w:webHidden/>
              </w:rPr>
              <w:t>6</w:t>
            </w:r>
            <w:r w:rsidR="00D27CFF" w:rsidRPr="00724D7A">
              <w:rPr>
                <w:noProof/>
                <w:webHidden/>
              </w:rPr>
              <w:fldChar w:fldCharType="end"/>
            </w:r>
          </w:hyperlink>
        </w:p>
        <w:p w14:paraId="53EFA00C" w14:textId="58D4E0C1" w:rsidR="00D27CFF" w:rsidRPr="00724D7A" w:rsidRDefault="0095251E" w:rsidP="00724D7A">
          <w:pPr>
            <w:pStyle w:val="TOC2"/>
            <w:rPr>
              <w:noProof/>
              <w:lang w:val="en-GB" w:eastAsia="en-GB"/>
            </w:rPr>
          </w:pPr>
          <w:hyperlink w:anchor="_Toc132103178" w:history="1">
            <w:r w:rsidR="00D27CFF" w:rsidRPr="00724D7A">
              <w:rPr>
                <w:rStyle w:val="Hyperlink"/>
                <w:rFonts w:ascii="Arial" w:hAnsi="Arial" w:cs="Arial"/>
                <w:noProof/>
                <w:color w:val="auto"/>
                <w:sz w:val="24"/>
                <w:szCs w:val="24"/>
              </w:rPr>
              <w:t>5.2</w:t>
            </w:r>
            <w:r w:rsidR="00D27CFF" w:rsidRPr="00724D7A">
              <w:rPr>
                <w:noProof/>
                <w:lang w:val="en-GB" w:eastAsia="en-GB"/>
              </w:rPr>
              <w:tab/>
            </w:r>
            <w:r w:rsidR="00D27CFF" w:rsidRPr="00724D7A">
              <w:rPr>
                <w:rStyle w:val="Hyperlink"/>
                <w:rFonts w:ascii="Arial" w:hAnsi="Arial" w:cs="Arial"/>
                <w:noProof/>
                <w:color w:val="auto"/>
                <w:sz w:val="24"/>
                <w:szCs w:val="24"/>
              </w:rPr>
              <w:t>Chief Executive</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_Toc132103178 \h </w:instrText>
            </w:r>
            <w:r w:rsidR="00D27CFF" w:rsidRPr="00724D7A">
              <w:rPr>
                <w:noProof/>
                <w:webHidden/>
              </w:rPr>
            </w:r>
            <w:r w:rsidR="00D27CFF" w:rsidRPr="00724D7A">
              <w:rPr>
                <w:noProof/>
                <w:webHidden/>
              </w:rPr>
              <w:fldChar w:fldCharType="separate"/>
            </w:r>
            <w:r w:rsidR="00724D7A" w:rsidRPr="00724D7A">
              <w:rPr>
                <w:noProof/>
                <w:webHidden/>
              </w:rPr>
              <w:t>6</w:t>
            </w:r>
            <w:r w:rsidR="00D27CFF" w:rsidRPr="00724D7A">
              <w:rPr>
                <w:noProof/>
                <w:webHidden/>
              </w:rPr>
              <w:fldChar w:fldCharType="end"/>
            </w:r>
          </w:hyperlink>
        </w:p>
        <w:p w14:paraId="2ADBC8AC" w14:textId="38EE4779" w:rsidR="00D27CFF" w:rsidRPr="00724D7A" w:rsidRDefault="0095251E" w:rsidP="00724D7A">
          <w:pPr>
            <w:pStyle w:val="TOC2"/>
            <w:rPr>
              <w:noProof/>
              <w:lang w:val="en-GB" w:eastAsia="en-GB"/>
            </w:rPr>
          </w:pPr>
          <w:hyperlink w:anchor="_Toc132103179" w:history="1">
            <w:r w:rsidR="00D27CFF" w:rsidRPr="00724D7A">
              <w:rPr>
                <w:rStyle w:val="Hyperlink"/>
                <w:rFonts w:ascii="Arial" w:hAnsi="Arial" w:cs="Arial"/>
                <w:noProof/>
                <w:color w:val="auto"/>
                <w:sz w:val="24"/>
                <w:szCs w:val="24"/>
              </w:rPr>
              <w:t>5.3 Senior information risk owner (SIRO)</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_Toc132103179 \h </w:instrText>
            </w:r>
            <w:r w:rsidR="00D27CFF" w:rsidRPr="00724D7A">
              <w:rPr>
                <w:noProof/>
                <w:webHidden/>
              </w:rPr>
            </w:r>
            <w:r w:rsidR="00D27CFF" w:rsidRPr="00724D7A">
              <w:rPr>
                <w:noProof/>
                <w:webHidden/>
              </w:rPr>
              <w:fldChar w:fldCharType="separate"/>
            </w:r>
            <w:r w:rsidR="00724D7A" w:rsidRPr="00724D7A">
              <w:rPr>
                <w:noProof/>
                <w:webHidden/>
              </w:rPr>
              <w:t>7</w:t>
            </w:r>
            <w:r w:rsidR="00D27CFF" w:rsidRPr="00724D7A">
              <w:rPr>
                <w:noProof/>
                <w:webHidden/>
              </w:rPr>
              <w:fldChar w:fldCharType="end"/>
            </w:r>
          </w:hyperlink>
        </w:p>
        <w:p w14:paraId="4CAE3FEE" w14:textId="22BCADFA" w:rsidR="00D27CFF" w:rsidRPr="00724D7A" w:rsidRDefault="0095251E" w:rsidP="00724D7A">
          <w:pPr>
            <w:pStyle w:val="TOC2"/>
            <w:rPr>
              <w:noProof/>
              <w:lang w:val="en-GB" w:eastAsia="en-GB"/>
            </w:rPr>
          </w:pPr>
          <w:hyperlink w:anchor="_Toc132103180" w:history="1">
            <w:r w:rsidR="00D27CFF" w:rsidRPr="00724D7A">
              <w:rPr>
                <w:rStyle w:val="Hyperlink"/>
                <w:rFonts w:ascii="Arial" w:hAnsi="Arial" w:cs="Arial"/>
                <w:noProof/>
                <w:color w:val="auto"/>
                <w:sz w:val="24"/>
                <w:szCs w:val="24"/>
              </w:rPr>
              <w:t>5.4 Caldicott Guardian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_Toc132103180 \h </w:instrText>
            </w:r>
            <w:r w:rsidR="00D27CFF" w:rsidRPr="00724D7A">
              <w:rPr>
                <w:noProof/>
                <w:webHidden/>
              </w:rPr>
            </w:r>
            <w:r w:rsidR="00D27CFF" w:rsidRPr="00724D7A">
              <w:rPr>
                <w:noProof/>
                <w:webHidden/>
              </w:rPr>
              <w:fldChar w:fldCharType="separate"/>
            </w:r>
            <w:r w:rsidR="00724D7A" w:rsidRPr="00724D7A">
              <w:rPr>
                <w:noProof/>
                <w:webHidden/>
              </w:rPr>
              <w:t>7</w:t>
            </w:r>
            <w:r w:rsidR="00D27CFF" w:rsidRPr="00724D7A">
              <w:rPr>
                <w:noProof/>
                <w:webHidden/>
              </w:rPr>
              <w:fldChar w:fldCharType="end"/>
            </w:r>
          </w:hyperlink>
        </w:p>
        <w:p w14:paraId="53D7784F" w14:textId="15C03162" w:rsidR="00D27CFF" w:rsidRPr="00724D7A" w:rsidRDefault="0095251E" w:rsidP="00724D7A">
          <w:pPr>
            <w:pStyle w:val="TOC2"/>
            <w:rPr>
              <w:noProof/>
              <w:lang w:val="en-GB" w:eastAsia="en-GB"/>
            </w:rPr>
          </w:pPr>
          <w:hyperlink w:anchor="_Toc132103181" w:history="1">
            <w:r w:rsidR="00D27CFF" w:rsidRPr="00724D7A">
              <w:rPr>
                <w:rStyle w:val="Hyperlink"/>
                <w:rFonts w:ascii="Arial" w:hAnsi="Arial" w:cs="Arial"/>
                <w:noProof/>
                <w:color w:val="auto"/>
                <w:sz w:val="24"/>
                <w:szCs w:val="24"/>
              </w:rPr>
              <w:t>5.6 Information governance steering group</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_Toc132103181 \h </w:instrText>
            </w:r>
            <w:r w:rsidR="00D27CFF" w:rsidRPr="00724D7A">
              <w:rPr>
                <w:noProof/>
                <w:webHidden/>
              </w:rPr>
            </w:r>
            <w:r w:rsidR="00D27CFF" w:rsidRPr="00724D7A">
              <w:rPr>
                <w:noProof/>
                <w:webHidden/>
              </w:rPr>
              <w:fldChar w:fldCharType="separate"/>
            </w:r>
            <w:r w:rsidR="00724D7A" w:rsidRPr="00724D7A">
              <w:rPr>
                <w:noProof/>
                <w:webHidden/>
              </w:rPr>
              <w:t>7</w:t>
            </w:r>
            <w:r w:rsidR="00D27CFF" w:rsidRPr="00724D7A">
              <w:rPr>
                <w:noProof/>
                <w:webHidden/>
              </w:rPr>
              <w:fldChar w:fldCharType="end"/>
            </w:r>
          </w:hyperlink>
        </w:p>
        <w:p w14:paraId="0C2F494A" w14:textId="0F7CD643" w:rsidR="00D27CFF" w:rsidRPr="00724D7A" w:rsidRDefault="0095251E" w:rsidP="00724D7A">
          <w:pPr>
            <w:pStyle w:val="TOC2"/>
            <w:rPr>
              <w:noProof/>
              <w:lang w:val="en-GB" w:eastAsia="en-GB"/>
            </w:rPr>
          </w:pPr>
          <w:hyperlink w:anchor="_Toc132103182" w:history="1">
            <w:r w:rsidR="00D27CFF" w:rsidRPr="00724D7A">
              <w:rPr>
                <w:rStyle w:val="Hyperlink"/>
                <w:rFonts w:ascii="Arial" w:hAnsi="Arial" w:cs="Arial"/>
                <w:noProof/>
                <w:color w:val="auto"/>
                <w:sz w:val="24"/>
                <w:szCs w:val="24"/>
              </w:rPr>
              <w:t>5.7 Line Managers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_Toc132103182 \h </w:instrText>
            </w:r>
            <w:r w:rsidR="00D27CFF" w:rsidRPr="00724D7A">
              <w:rPr>
                <w:noProof/>
                <w:webHidden/>
              </w:rPr>
            </w:r>
            <w:r w:rsidR="00D27CFF" w:rsidRPr="00724D7A">
              <w:rPr>
                <w:noProof/>
                <w:webHidden/>
              </w:rPr>
              <w:fldChar w:fldCharType="separate"/>
            </w:r>
            <w:r w:rsidR="00724D7A" w:rsidRPr="00724D7A">
              <w:rPr>
                <w:noProof/>
                <w:webHidden/>
              </w:rPr>
              <w:t>7</w:t>
            </w:r>
            <w:r w:rsidR="00D27CFF" w:rsidRPr="00724D7A">
              <w:rPr>
                <w:noProof/>
                <w:webHidden/>
              </w:rPr>
              <w:fldChar w:fldCharType="end"/>
            </w:r>
          </w:hyperlink>
        </w:p>
        <w:p w14:paraId="0D1B6684" w14:textId="52982EE7" w:rsidR="00D27CFF" w:rsidRPr="00724D7A" w:rsidRDefault="0095251E" w:rsidP="00724D7A">
          <w:pPr>
            <w:pStyle w:val="TOC2"/>
            <w:rPr>
              <w:noProof/>
              <w:lang w:val="en-GB" w:eastAsia="en-GB"/>
            </w:rPr>
          </w:pPr>
          <w:hyperlink w:anchor="_Toc132103183" w:history="1">
            <w:r w:rsidR="00D27CFF" w:rsidRPr="00724D7A">
              <w:rPr>
                <w:rStyle w:val="Hyperlink"/>
                <w:rFonts w:ascii="Arial" w:hAnsi="Arial" w:cs="Arial"/>
                <w:noProof/>
                <w:color w:val="auto"/>
                <w:sz w:val="24"/>
                <w:szCs w:val="24"/>
              </w:rPr>
              <w:t>5.8 All staff:</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_Toc132103183 \h </w:instrText>
            </w:r>
            <w:r w:rsidR="00D27CFF" w:rsidRPr="00724D7A">
              <w:rPr>
                <w:noProof/>
                <w:webHidden/>
              </w:rPr>
            </w:r>
            <w:r w:rsidR="00D27CFF" w:rsidRPr="00724D7A">
              <w:rPr>
                <w:noProof/>
                <w:webHidden/>
              </w:rPr>
              <w:fldChar w:fldCharType="separate"/>
            </w:r>
            <w:r w:rsidR="00724D7A" w:rsidRPr="00724D7A">
              <w:rPr>
                <w:noProof/>
                <w:webHidden/>
              </w:rPr>
              <w:t>7</w:t>
            </w:r>
            <w:r w:rsidR="00D27CFF" w:rsidRPr="00724D7A">
              <w:rPr>
                <w:noProof/>
                <w:webHidden/>
              </w:rPr>
              <w:fldChar w:fldCharType="end"/>
            </w:r>
          </w:hyperlink>
        </w:p>
        <w:p w14:paraId="6F388621" w14:textId="0E7866A6" w:rsidR="00D27CFF" w:rsidRPr="00724D7A" w:rsidRDefault="0095251E" w:rsidP="00724D7A">
          <w:pPr>
            <w:pStyle w:val="TOC2"/>
            <w:rPr>
              <w:noProof/>
              <w:lang w:val="en-GB" w:eastAsia="en-GB"/>
            </w:rPr>
          </w:pPr>
          <w:hyperlink w:anchor="_Toc132103184" w:history="1">
            <w:r w:rsidR="00D27CFF" w:rsidRPr="00724D7A">
              <w:rPr>
                <w:rStyle w:val="Hyperlink"/>
                <w:rFonts w:ascii="Arial" w:hAnsi="Arial" w:cs="Arial"/>
                <w:noProof/>
                <w:color w:val="auto"/>
                <w:sz w:val="24"/>
                <w:szCs w:val="24"/>
              </w:rPr>
              <w:t>5.10</w:t>
            </w:r>
            <w:r w:rsidR="00D27CFF" w:rsidRPr="00724D7A">
              <w:rPr>
                <w:noProof/>
                <w:lang w:val="en-GB" w:eastAsia="en-GB"/>
              </w:rPr>
              <w:tab/>
            </w:r>
            <w:r w:rsidR="00D27CFF" w:rsidRPr="00724D7A">
              <w:rPr>
                <w:rStyle w:val="Hyperlink"/>
                <w:rFonts w:ascii="Arial" w:hAnsi="Arial" w:cs="Arial"/>
                <w:noProof/>
                <w:color w:val="auto"/>
                <w:sz w:val="24"/>
                <w:szCs w:val="24"/>
              </w:rPr>
              <w:t>Responsibilities for approval</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_Toc132103184 \h </w:instrText>
            </w:r>
            <w:r w:rsidR="00D27CFF" w:rsidRPr="00724D7A">
              <w:rPr>
                <w:noProof/>
                <w:webHidden/>
              </w:rPr>
            </w:r>
            <w:r w:rsidR="00D27CFF" w:rsidRPr="00724D7A">
              <w:rPr>
                <w:noProof/>
                <w:webHidden/>
              </w:rPr>
              <w:fldChar w:fldCharType="separate"/>
            </w:r>
            <w:r w:rsidR="00724D7A" w:rsidRPr="00724D7A">
              <w:rPr>
                <w:noProof/>
                <w:webHidden/>
              </w:rPr>
              <w:t>8</w:t>
            </w:r>
            <w:r w:rsidR="00D27CFF" w:rsidRPr="00724D7A">
              <w:rPr>
                <w:noProof/>
                <w:webHidden/>
              </w:rPr>
              <w:fldChar w:fldCharType="end"/>
            </w:r>
          </w:hyperlink>
        </w:p>
        <w:p w14:paraId="667E9852" w14:textId="672E33AB" w:rsidR="00D27CFF" w:rsidRPr="00724D7A" w:rsidRDefault="0095251E" w:rsidP="00724D7A">
          <w:pPr>
            <w:pStyle w:val="TOC1"/>
            <w:rPr>
              <w:noProof/>
              <w:lang w:val="en-GB" w:eastAsia="en-GB"/>
            </w:rPr>
          </w:pPr>
          <w:hyperlink w:anchor="_Toc132103185"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6</w:t>
            </w:r>
            <w:r w:rsidR="00D27CFF" w:rsidRPr="00724D7A">
              <w:rPr>
                <w:noProof/>
                <w:lang w:val="en-GB" w:eastAsia="en-GB"/>
              </w:rPr>
              <w:tab/>
            </w:r>
            <w:r w:rsidR="00D27CFF" w:rsidRPr="00724D7A">
              <w:rPr>
                <w:rStyle w:val="Hyperlink"/>
                <w:rFonts w:ascii="Arial" w:hAnsi="Arial" w:cs="Arial"/>
                <w:noProof/>
                <w:color w:val="auto"/>
                <w:sz w:val="24"/>
                <w:szCs w:val="24"/>
              </w:rPr>
              <w:t>Policy Document Requirements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_Toc132103185 \h </w:instrText>
            </w:r>
            <w:r w:rsidR="00D27CFF" w:rsidRPr="00724D7A">
              <w:rPr>
                <w:noProof/>
                <w:webHidden/>
              </w:rPr>
            </w:r>
            <w:r w:rsidR="00D27CFF" w:rsidRPr="00724D7A">
              <w:rPr>
                <w:noProof/>
                <w:webHidden/>
              </w:rPr>
              <w:fldChar w:fldCharType="separate"/>
            </w:r>
            <w:r w:rsidR="00724D7A" w:rsidRPr="00724D7A">
              <w:rPr>
                <w:noProof/>
                <w:webHidden/>
              </w:rPr>
              <w:t>8</w:t>
            </w:r>
            <w:r w:rsidR="00D27CFF" w:rsidRPr="00724D7A">
              <w:rPr>
                <w:noProof/>
                <w:webHidden/>
              </w:rPr>
              <w:fldChar w:fldCharType="end"/>
            </w:r>
          </w:hyperlink>
        </w:p>
        <w:p w14:paraId="21A67734" w14:textId="5DDA4353" w:rsidR="00D27CFF" w:rsidRPr="00724D7A" w:rsidRDefault="0095251E" w:rsidP="00724D7A">
          <w:pPr>
            <w:pStyle w:val="TOC1"/>
            <w:rPr>
              <w:noProof/>
              <w:lang w:val="en-GB" w:eastAsia="en-GB"/>
            </w:rPr>
          </w:pPr>
          <w:hyperlink w:anchor="_Toc132103186"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7</w:t>
            </w:r>
            <w:r w:rsidR="00D27CFF" w:rsidRPr="00724D7A">
              <w:rPr>
                <w:noProof/>
                <w:lang w:val="en-GB" w:eastAsia="en-GB"/>
              </w:rPr>
              <w:tab/>
            </w:r>
            <w:r w:rsidR="00D27CFF" w:rsidRPr="00724D7A">
              <w:rPr>
                <w:rStyle w:val="Hyperlink"/>
                <w:rFonts w:ascii="Arial" w:hAnsi="Arial" w:cs="Arial"/>
                <w:noProof/>
                <w:color w:val="auto"/>
                <w:sz w:val="24"/>
                <w:szCs w:val="24"/>
              </w:rPr>
              <w:t>Consultation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_Toc132103186 \h </w:instrText>
            </w:r>
            <w:r w:rsidR="00D27CFF" w:rsidRPr="00724D7A">
              <w:rPr>
                <w:noProof/>
                <w:webHidden/>
              </w:rPr>
            </w:r>
            <w:r w:rsidR="00D27CFF" w:rsidRPr="00724D7A">
              <w:rPr>
                <w:noProof/>
                <w:webHidden/>
              </w:rPr>
              <w:fldChar w:fldCharType="separate"/>
            </w:r>
            <w:r w:rsidR="00724D7A" w:rsidRPr="00724D7A">
              <w:rPr>
                <w:noProof/>
                <w:webHidden/>
              </w:rPr>
              <w:t>10</w:t>
            </w:r>
            <w:r w:rsidR="00D27CFF" w:rsidRPr="00724D7A">
              <w:rPr>
                <w:noProof/>
                <w:webHidden/>
              </w:rPr>
              <w:fldChar w:fldCharType="end"/>
            </w:r>
          </w:hyperlink>
        </w:p>
        <w:p w14:paraId="0A37D192" w14:textId="08F654F2" w:rsidR="00D27CFF" w:rsidRPr="00724D7A" w:rsidRDefault="0095251E" w:rsidP="00724D7A">
          <w:pPr>
            <w:pStyle w:val="TOC1"/>
            <w:rPr>
              <w:noProof/>
              <w:lang w:val="en-GB" w:eastAsia="en-GB"/>
            </w:rPr>
          </w:pPr>
          <w:hyperlink w:anchor="_Toc132103187"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8</w:t>
            </w:r>
            <w:r w:rsidR="00D27CFF" w:rsidRPr="00724D7A">
              <w:rPr>
                <w:noProof/>
                <w:lang w:val="en-GB" w:eastAsia="en-GB"/>
              </w:rPr>
              <w:tab/>
            </w:r>
            <w:r w:rsidR="00D27CFF" w:rsidRPr="00724D7A">
              <w:rPr>
                <w:rStyle w:val="Hyperlink"/>
                <w:rFonts w:ascii="Arial" w:hAnsi="Arial" w:cs="Arial"/>
                <w:noProof/>
                <w:color w:val="auto"/>
                <w:sz w:val="24"/>
                <w:szCs w:val="24"/>
              </w:rPr>
              <w:t>Training</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_Toc132103187 \h </w:instrText>
            </w:r>
            <w:r w:rsidR="00D27CFF" w:rsidRPr="00724D7A">
              <w:rPr>
                <w:noProof/>
                <w:webHidden/>
              </w:rPr>
            </w:r>
            <w:r w:rsidR="00D27CFF" w:rsidRPr="00724D7A">
              <w:rPr>
                <w:noProof/>
                <w:webHidden/>
              </w:rPr>
              <w:fldChar w:fldCharType="separate"/>
            </w:r>
            <w:r w:rsidR="00724D7A" w:rsidRPr="00724D7A">
              <w:rPr>
                <w:noProof/>
                <w:webHidden/>
              </w:rPr>
              <w:t>10</w:t>
            </w:r>
            <w:r w:rsidR="00D27CFF" w:rsidRPr="00724D7A">
              <w:rPr>
                <w:noProof/>
                <w:webHidden/>
              </w:rPr>
              <w:fldChar w:fldCharType="end"/>
            </w:r>
          </w:hyperlink>
        </w:p>
        <w:p w14:paraId="1A6F930D" w14:textId="4FB6D720" w:rsidR="00D27CFF" w:rsidRPr="00724D7A" w:rsidRDefault="0095251E" w:rsidP="00724D7A">
          <w:pPr>
            <w:pStyle w:val="TOC1"/>
            <w:rPr>
              <w:noProof/>
              <w:lang w:val="en-GB" w:eastAsia="en-GB"/>
            </w:rPr>
          </w:pPr>
          <w:hyperlink w:anchor="_Toc132103188"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9</w:t>
            </w:r>
            <w:r w:rsidR="00D27CFF" w:rsidRPr="00724D7A">
              <w:rPr>
                <w:noProof/>
                <w:lang w:val="en-GB" w:eastAsia="en-GB"/>
              </w:rPr>
              <w:tab/>
            </w:r>
            <w:r w:rsidR="00D27CFF" w:rsidRPr="00724D7A">
              <w:rPr>
                <w:rStyle w:val="Hyperlink"/>
                <w:rFonts w:ascii="Arial" w:hAnsi="Arial" w:cs="Arial"/>
                <w:noProof/>
                <w:color w:val="auto"/>
                <w:sz w:val="24"/>
                <w:szCs w:val="24"/>
              </w:rPr>
              <w:t>Monitoring Compliance</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_Toc132103188 \h </w:instrText>
            </w:r>
            <w:r w:rsidR="00D27CFF" w:rsidRPr="00724D7A">
              <w:rPr>
                <w:noProof/>
                <w:webHidden/>
              </w:rPr>
            </w:r>
            <w:r w:rsidR="00D27CFF" w:rsidRPr="00724D7A">
              <w:rPr>
                <w:noProof/>
                <w:webHidden/>
              </w:rPr>
              <w:fldChar w:fldCharType="separate"/>
            </w:r>
            <w:r w:rsidR="00724D7A" w:rsidRPr="00724D7A">
              <w:rPr>
                <w:noProof/>
                <w:webHidden/>
              </w:rPr>
              <w:t>10</w:t>
            </w:r>
            <w:r w:rsidR="00D27CFF" w:rsidRPr="00724D7A">
              <w:rPr>
                <w:noProof/>
                <w:webHidden/>
              </w:rPr>
              <w:fldChar w:fldCharType="end"/>
            </w:r>
          </w:hyperlink>
        </w:p>
        <w:p w14:paraId="4569185D" w14:textId="09837B99" w:rsidR="00D27CFF" w:rsidRPr="00724D7A" w:rsidRDefault="0095251E" w:rsidP="00724D7A">
          <w:pPr>
            <w:pStyle w:val="TOC1"/>
            <w:rPr>
              <w:noProof/>
              <w:lang w:val="en-GB" w:eastAsia="en-GB"/>
            </w:rPr>
          </w:pPr>
          <w:hyperlink w:anchor="_Toc132103189"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10</w:t>
            </w:r>
            <w:r w:rsidR="00D27CFF" w:rsidRPr="00724D7A">
              <w:rPr>
                <w:noProof/>
                <w:lang w:val="en-GB" w:eastAsia="en-GB"/>
              </w:rPr>
              <w:tab/>
            </w:r>
            <w:r w:rsidR="00D27CFF" w:rsidRPr="00724D7A">
              <w:rPr>
                <w:rStyle w:val="Hyperlink"/>
                <w:rFonts w:ascii="Arial" w:hAnsi="Arial" w:cs="Arial"/>
                <w:noProof/>
                <w:color w:val="auto"/>
                <w:sz w:val="24"/>
                <w:szCs w:val="24"/>
              </w:rPr>
              <w:t>Arrangements for Review</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_Toc132103189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6BD87BED" w14:textId="10F3D57C" w:rsidR="00D27CFF" w:rsidRPr="00724D7A" w:rsidRDefault="0095251E" w:rsidP="00724D7A">
          <w:pPr>
            <w:pStyle w:val="TOC1"/>
            <w:rPr>
              <w:noProof/>
              <w:lang w:val="en-GB" w:eastAsia="en-GB"/>
            </w:rPr>
          </w:pPr>
          <w:hyperlink w:anchor="_Toc132103190"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11</w:t>
            </w:r>
            <w:r w:rsidR="00D27CFF" w:rsidRPr="00724D7A">
              <w:rPr>
                <w:noProof/>
                <w:lang w:val="en-GB" w:eastAsia="en-GB"/>
              </w:rPr>
              <w:tab/>
            </w:r>
            <w:r w:rsidR="00D27CFF" w:rsidRPr="00724D7A">
              <w:rPr>
                <w:rStyle w:val="Hyperlink"/>
                <w:rFonts w:ascii="Arial" w:hAnsi="Arial" w:cs="Arial"/>
                <w:noProof/>
                <w:color w:val="auto"/>
                <w:sz w:val="24"/>
                <w:szCs w:val="24"/>
              </w:rPr>
              <w:t>Dissemination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_Toc132103190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6B1732A0" w14:textId="5AB8B624" w:rsidR="00D27CFF" w:rsidRPr="00724D7A" w:rsidRDefault="0095251E" w:rsidP="00724D7A">
          <w:pPr>
            <w:pStyle w:val="TOC1"/>
            <w:rPr>
              <w:noProof/>
              <w:lang w:val="en-GB" w:eastAsia="en-GB"/>
            </w:rPr>
          </w:pPr>
          <w:hyperlink w:anchor="_Toc132103191"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12</w:t>
            </w:r>
            <w:r w:rsidR="00D27CFF" w:rsidRPr="00724D7A">
              <w:rPr>
                <w:noProof/>
                <w:lang w:val="en-GB" w:eastAsia="en-GB"/>
              </w:rPr>
              <w:tab/>
            </w:r>
            <w:r w:rsidR="00D27CFF" w:rsidRPr="00724D7A">
              <w:rPr>
                <w:rStyle w:val="Hyperlink"/>
                <w:rFonts w:ascii="Arial" w:hAnsi="Arial" w:cs="Arial"/>
                <w:noProof/>
                <w:color w:val="auto"/>
                <w:sz w:val="24"/>
                <w:szCs w:val="24"/>
              </w:rPr>
              <w:t>Associated Documentation</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_Toc132103191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73FE03F5" w14:textId="0B915C37" w:rsidR="00D27CFF" w:rsidRPr="00724D7A" w:rsidRDefault="0095251E" w:rsidP="00724D7A">
          <w:pPr>
            <w:pStyle w:val="TOC1"/>
            <w:rPr>
              <w:noProof/>
              <w:lang w:val="en-GB" w:eastAsia="en-GB"/>
            </w:rPr>
          </w:pPr>
          <w:hyperlink w:anchor="_Toc132103192"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13</w:t>
            </w:r>
            <w:r w:rsidR="00D27CFF" w:rsidRPr="00724D7A">
              <w:rPr>
                <w:noProof/>
                <w:lang w:val="en-GB" w:eastAsia="en-GB"/>
              </w:rPr>
              <w:tab/>
            </w:r>
            <w:r w:rsidR="00D27CFF" w:rsidRPr="00724D7A">
              <w:rPr>
                <w:rStyle w:val="Hyperlink"/>
                <w:rFonts w:ascii="Arial" w:hAnsi="Arial" w:cs="Arial"/>
                <w:noProof/>
                <w:color w:val="auto"/>
                <w:sz w:val="24"/>
                <w:szCs w:val="24"/>
              </w:rPr>
              <w:t>References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_Toc132103192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72EAB421" w14:textId="19A98ADD" w:rsidR="00D27CFF" w:rsidRPr="00724D7A" w:rsidRDefault="0095251E" w:rsidP="00724D7A">
          <w:pPr>
            <w:pStyle w:val="TOC1"/>
            <w:rPr>
              <w:noProof/>
              <w:lang w:val="en-GB" w:eastAsia="en-GB"/>
            </w:rPr>
          </w:pPr>
          <w:hyperlink w:anchor="_Toc132103193"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14</w:t>
            </w:r>
            <w:r w:rsidR="00D27CFF" w:rsidRPr="00724D7A">
              <w:rPr>
                <w:noProof/>
                <w:lang w:val="en-GB" w:eastAsia="en-GB"/>
              </w:rPr>
              <w:tab/>
            </w:r>
            <w:r w:rsidR="00D27CFF" w:rsidRPr="00724D7A">
              <w:rPr>
                <w:rStyle w:val="Hyperlink"/>
                <w:rFonts w:ascii="Arial" w:hAnsi="Arial" w:cs="Arial"/>
                <w:noProof/>
                <w:color w:val="auto"/>
                <w:sz w:val="24"/>
                <w:szCs w:val="24"/>
              </w:rPr>
              <w:t>Appendices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_Toc132103193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310D4602" w14:textId="13635D02" w:rsidR="00D27CFF" w:rsidRPr="00724D7A" w:rsidRDefault="0095251E" w:rsidP="00724D7A">
          <w:pPr>
            <w:pStyle w:val="TOC1"/>
            <w:rPr>
              <w:noProof/>
              <w:lang w:val="en-GB" w:eastAsia="en-GB"/>
            </w:rPr>
          </w:pPr>
          <w:hyperlink w:anchor="_Toc132103194" w:history="1">
            <w:r w:rsidR="00D27CFF" w:rsidRPr="00724D7A">
              <w:rPr>
                <w:rStyle w:val="Hyperlink"/>
                <w:rFonts w:ascii="Arial" w:hAnsi="Arial" w:cs="Arial"/>
                <w:bCs/>
                <w:noProof/>
                <w:color w:val="auto"/>
                <w:sz w:val="24"/>
                <w:szCs w:val="24"/>
                <w14:scene3d>
                  <w14:camera w14:prst="orthographicFront"/>
                  <w14:lightRig w14:rig="threePt" w14:dir="t">
                    <w14:rot w14:lat="0" w14:lon="0" w14:rev="0"/>
                  </w14:lightRig>
                </w14:scene3d>
              </w:rPr>
              <w:t>15</w:t>
            </w:r>
            <w:r w:rsidR="00D27CFF" w:rsidRPr="00724D7A">
              <w:rPr>
                <w:noProof/>
                <w:lang w:val="en-GB" w:eastAsia="en-GB"/>
              </w:rPr>
              <w:tab/>
            </w:r>
            <w:r w:rsidR="00D27CFF" w:rsidRPr="00724D7A">
              <w:rPr>
                <w:rStyle w:val="Hyperlink"/>
                <w:rFonts w:ascii="Arial" w:hAnsi="Arial" w:cs="Arial"/>
                <w:noProof/>
                <w:color w:val="auto"/>
                <w:sz w:val="24"/>
                <w:szCs w:val="24"/>
              </w:rPr>
              <w:t>Impact Assessments</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_Toc132103194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6543837B" w14:textId="56A288BB" w:rsidR="00D27CFF" w:rsidRPr="00724D7A" w:rsidRDefault="0095251E" w:rsidP="00724D7A">
          <w:pPr>
            <w:pStyle w:val="TOC2"/>
            <w:rPr>
              <w:noProof/>
              <w:lang w:val="en-GB" w:eastAsia="en-GB"/>
            </w:rPr>
          </w:pPr>
          <w:hyperlink w:anchor="_Toc132103195" w:history="1">
            <w:r w:rsidR="00D27CFF" w:rsidRPr="00724D7A">
              <w:rPr>
                <w:rStyle w:val="Hyperlink"/>
                <w:rFonts w:ascii="Arial" w:hAnsi="Arial" w:cs="Arial"/>
                <w:noProof/>
                <w:color w:val="auto"/>
                <w:sz w:val="24"/>
                <w:szCs w:val="24"/>
              </w:rPr>
              <w:t>15.1</w:t>
            </w:r>
            <w:r w:rsidR="00D27CFF" w:rsidRPr="00724D7A">
              <w:rPr>
                <w:noProof/>
                <w:lang w:val="en-GB" w:eastAsia="en-GB"/>
              </w:rPr>
              <w:tab/>
            </w:r>
            <w:r w:rsidR="00D27CFF" w:rsidRPr="00724D7A">
              <w:rPr>
                <w:rStyle w:val="Hyperlink"/>
                <w:rFonts w:ascii="Arial" w:hAnsi="Arial" w:cs="Arial"/>
                <w:noProof/>
                <w:color w:val="auto"/>
                <w:sz w:val="24"/>
                <w:szCs w:val="24"/>
              </w:rPr>
              <w:t>Equality</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_Toc132103195 \h </w:instrText>
            </w:r>
            <w:r w:rsidR="00D27CFF" w:rsidRPr="00724D7A">
              <w:rPr>
                <w:noProof/>
                <w:webHidden/>
              </w:rPr>
            </w:r>
            <w:r w:rsidR="00D27CFF" w:rsidRPr="00724D7A">
              <w:rPr>
                <w:noProof/>
                <w:webHidden/>
              </w:rPr>
              <w:fldChar w:fldCharType="separate"/>
            </w:r>
            <w:r w:rsidR="00724D7A" w:rsidRPr="00724D7A">
              <w:rPr>
                <w:noProof/>
                <w:webHidden/>
              </w:rPr>
              <w:t>11</w:t>
            </w:r>
            <w:r w:rsidR="00D27CFF" w:rsidRPr="00724D7A">
              <w:rPr>
                <w:noProof/>
                <w:webHidden/>
              </w:rPr>
              <w:fldChar w:fldCharType="end"/>
            </w:r>
          </w:hyperlink>
        </w:p>
        <w:p w14:paraId="6A17EDD5" w14:textId="0838F08D" w:rsidR="00D27CFF" w:rsidRPr="00724D7A" w:rsidRDefault="0095251E" w:rsidP="00724D7A">
          <w:pPr>
            <w:pStyle w:val="TOC2"/>
            <w:rPr>
              <w:noProof/>
              <w:lang w:val="en-GB" w:eastAsia="en-GB"/>
            </w:rPr>
          </w:pPr>
          <w:hyperlink w:anchor="_Toc132103196" w:history="1">
            <w:r w:rsidR="00D27CFF" w:rsidRPr="00724D7A">
              <w:rPr>
                <w:rStyle w:val="Hyperlink"/>
                <w:rFonts w:ascii="Arial" w:hAnsi="Arial" w:cs="Arial"/>
                <w:noProof/>
                <w:color w:val="auto"/>
                <w:sz w:val="24"/>
                <w:szCs w:val="24"/>
              </w:rPr>
              <w:t>15.2</w:t>
            </w:r>
            <w:r w:rsidR="00D27CFF" w:rsidRPr="00724D7A">
              <w:rPr>
                <w:noProof/>
                <w:lang w:val="en-GB" w:eastAsia="en-GB"/>
              </w:rPr>
              <w:tab/>
            </w:r>
            <w:r w:rsidR="00D27CFF" w:rsidRPr="00724D7A">
              <w:rPr>
                <w:rStyle w:val="Hyperlink"/>
                <w:rFonts w:ascii="Arial" w:hAnsi="Arial" w:cs="Arial"/>
                <w:noProof/>
                <w:color w:val="auto"/>
                <w:sz w:val="24"/>
                <w:szCs w:val="24"/>
              </w:rPr>
              <w:t>Bribery Act 2010</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_Toc132103196 \h </w:instrText>
            </w:r>
            <w:r w:rsidR="00D27CFF" w:rsidRPr="00724D7A">
              <w:rPr>
                <w:noProof/>
                <w:webHidden/>
              </w:rPr>
            </w:r>
            <w:r w:rsidR="00D27CFF" w:rsidRPr="00724D7A">
              <w:rPr>
                <w:noProof/>
                <w:webHidden/>
              </w:rPr>
              <w:fldChar w:fldCharType="separate"/>
            </w:r>
            <w:r w:rsidR="00724D7A" w:rsidRPr="00724D7A">
              <w:rPr>
                <w:noProof/>
                <w:webHidden/>
              </w:rPr>
              <w:t>12</w:t>
            </w:r>
            <w:r w:rsidR="00D27CFF" w:rsidRPr="00724D7A">
              <w:rPr>
                <w:noProof/>
                <w:webHidden/>
              </w:rPr>
              <w:fldChar w:fldCharType="end"/>
            </w:r>
          </w:hyperlink>
        </w:p>
        <w:p w14:paraId="330BF0A7" w14:textId="09D9982F" w:rsidR="00D27CFF" w:rsidRPr="00724D7A" w:rsidRDefault="0095251E" w:rsidP="00724D7A">
          <w:pPr>
            <w:pStyle w:val="TOC2"/>
            <w:rPr>
              <w:noProof/>
              <w:lang w:val="en-GB" w:eastAsia="en-GB"/>
            </w:rPr>
          </w:pPr>
          <w:hyperlink w:anchor="_Toc132103197" w:history="1">
            <w:r w:rsidR="00D27CFF" w:rsidRPr="00724D7A">
              <w:rPr>
                <w:rStyle w:val="Hyperlink"/>
                <w:rFonts w:ascii="Arial" w:hAnsi="Arial" w:cs="Arial"/>
                <w:noProof/>
                <w:color w:val="auto"/>
                <w:sz w:val="24"/>
                <w:szCs w:val="24"/>
              </w:rPr>
              <w:t>15.3</w:t>
            </w:r>
            <w:r w:rsidR="00D27CFF" w:rsidRPr="00724D7A">
              <w:rPr>
                <w:noProof/>
                <w:lang w:val="en-GB" w:eastAsia="en-GB"/>
              </w:rPr>
              <w:tab/>
            </w:r>
            <w:r w:rsidR="00D27CFF" w:rsidRPr="00724D7A">
              <w:rPr>
                <w:rStyle w:val="Hyperlink"/>
                <w:rFonts w:ascii="Arial" w:hAnsi="Arial" w:cs="Arial"/>
                <w:noProof/>
                <w:color w:val="auto"/>
                <w:sz w:val="24"/>
                <w:szCs w:val="24"/>
              </w:rPr>
              <w:t>General Data Protection Regulations (GDPR)</w:t>
            </w:r>
            <w:r w:rsidR="00D27CFF" w:rsidRPr="00724D7A">
              <w:rPr>
                <w:noProof/>
                <w:webHidden/>
              </w:rPr>
              <w:tab/>
            </w:r>
            <w:r w:rsidR="00D27CFF" w:rsidRPr="00724D7A">
              <w:rPr>
                <w:noProof/>
                <w:webHidden/>
              </w:rPr>
              <w:fldChar w:fldCharType="begin"/>
            </w:r>
            <w:r w:rsidR="00D27CFF" w:rsidRPr="00724D7A">
              <w:rPr>
                <w:noProof/>
                <w:webHidden/>
              </w:rPr>
              <w:instrText xml:space="preserve"> PAGEREF _Toc132103197 \h </w:instrText>
            </w:r>
            <w:r w:rsidR="00D27CFF" w:rsidRPr="00724D7A">
              <w:rPr>
                <w:noProof/>
                <w:webHidden/>
              </w:rPr>
            </w:r>
            <w:r w:rsidR="00D27CFF" w:rsidRPr="00724D7A">
              <w:rPr>
                <w:noProof/>
                <w:webHidden/>
              </w:rPr>
              <w:fldChar w:fldCharType="separate"/>
            </w:r>
            <w:r w:rsidR="00724D7A" w:rsidRPr="00724D7A">
              <w:rPr>
                <w:noProof/>
                <w:webHidden/>
              </w:rPr>
              <w:t>12</w:t>
            </w:r>
            <w:r w:rsidR="00D27CFF" w:rsidRPr="00724D7A">
              <w:rPr>
                <w:noProof/>
                <w:webHidden/>
              </w:rPr>
              <w:fldChar w:fldCharType="end"/>
            </w:r>
          </w:hyperlink>
        </w:p>
        <w:p w14:paraId="03A45DAA" w14:textId="3E329FF0" w:rsidR="009F2C13" w:rsidRPr="0032084D" w:rsidRDefault="009F2C13">
          <w:pPr>
            <w:rPr>
              <w:color w:val="000000" w:themeColor="text1"/>
            </w:rPr>
          </w:pPr>
          <w:r w:rsidRPr="0032084D">
            <w:rPr>
              <w:b/>
              <w:bCs/>
              <w:noProof/>
              <w:color w:val="000000" w:themeColor="text1"/>
            </w:rPr>
            <w:fldChar w:fldCharType="end"/>
          </w:r>
        </w:p>
      </w:sdtContent>
    </w:sdt>
    <w:p w14:paraId="37134A2E" w14:textId="574EAA2F" w:rsidR="00DD443C" w:rsidRDefault="00DD443C">
      <w:pPr>
        <w:spacing w:line="240" w:lineRule="auto"/>
        <w:rPr>
          <w:b/>
          <w:color w:val="auto"/>
          <w:sz w:val="28"/>
          <w:szCs w:val="22"/>
        </w:rPr>
      </w:pPr>
      <w:r>
        <w:br w:type="page"/>
      </w:r>
    </w:p>
    <w:p w14:paraId="7A119E60" w14:textId="33237877" w:rsidR="00824982" w:rsidRPr="008954E3" w:rsidRDefault="00BE1D7D" w:rsidP="00AE286E">
      <w:pPr>
        <w:pStyle w:val="Heading1"/>
      </w:pPr>
      <w:bookmarkStart w:id="0" w:name="_Toc132103172"/>
      <w:r w:rsidRPr="008954E3">
        <w:lastRenderedPageBreak/>
        <w:t>I</w:t>
      </w:r>
      <w:r w:rsidR="00E91015" w:rsidRPr="008954E3">
        <w:t>ntroduction</w:t>
      </w:r>
      <w:bookmarkEnd w:id="0"/>
    </w:p>
    <w:p w14:paraId="18ED4807" w14:textId="61F0F3A1" w:rsidR="001D0F17" w:rsidRPr="008954E3" w:rsidRDefault="001D0F17" w:rsidP="00E91015">
      <w:pPr>
        <w:spacing w:line="240" w:lineRule="auto"/>
        <w:ind w:left="431"/>
        <w:rPr>
          <w:color w:val="auto"/>
        </w:rPr>
      </w:pPr>
    </w:p>
    <w:p w14:paraId="3B2426C6" w14:textId="429AF0A2" w:rsidR="00E91015" w:rsidRPr="008954E3" w:rsidRDefault="001D0F17" w:rsidP="00A54E5F">
      <w:pPr>
        <w:spacing w:line="276" w:lineRule="auto"/>
        <w:ind w:left="431"/>
        <w:rPr>
          <w:color w:val="auto"/>
        </w:rPr>
      </w:pPr>
      <w:r w:rsidRPr="008954E3">
        <w:rPr>
          <w:color w:val="auto"/>
        </w:rPr>
        <w:t xml:space="preserve">In response to the National Data Guardian (NDG) </w:t>
      </w:r>
      <w:r w:rsidR="00376418">
        <w:rPr>
          <w:color w:val="auto"/>
        </w:rPr>
        <w:t xml:space="preserve">for Health and Care </w:t>
      </w:r>
      <w:r w:rsidRPr="008954E3">
        <w:rPr>
          <w:color w:val="auto"/>
        </w:rPr>
        <w:t>review of data security</w:t>
      </w:r>
      <w:r w:rsidR="00A54E5F" w:rsidRPr="008954E3">
        <w:rPr>
          <w:color w:val="auto"/>
        </w:rPr>
        <w:t>,</w:t>
      </w:r>
      <w:r w:rsidR="00376418">
        <w:rPr>
          <w:color w:val="auto"/>
        </w:rPr>
        <w:t xml:space="preserve"> consent and opt outs,</w:t>
      </w:r>
      <w:r w:rsidR="00A54E5F" w:rsidRPr="008954E3">
        <w:rPr>
          <w:color w:val="auto"/>
        </w:rPr>
        <w:t xml:space="preserve"> the National Data Opt-</w:t>
      </w:r>
      <w:r w:rsidR="005362FB" w:rsidRPr="008954E3">
        <w:rPr>
          <w:color w:val="auto"/>
        </w:rPr>
        <w:t>O</w:t>
      </w:r>
      <w:r w:rsidR="00A54E5F" w:rsidRPr="008954E3">
        <w:rPr>
          <w:color w:val="auto"/>
        </w:rPr>
        <w:t xml:space="preserve">ut Programme (NDOP) was developed. </w:t>
      </w:r>
      <w:r w:rsidRPr="008954E3">
        <w:rPr>
          <w:color w:val="auto"/>
        </w:rPr>
        <w:t xml:space="preserve">The </w:t>
      </w:r>
      <w:r w:rsidR="00A54E5F" w:rsidRPr="008954E3">
        <w:rPr>
          <w:color w:val="auto"/>
        </w:rPr>
        <w:t>NDOP</w:t>
      </w:r>
      <w:r w:rsidRPr="008954E3">
        <w:rPr>
          <w:color w:val="auto"/>
        </w:rPr>
        <w:t xml:space="preserve"> is a service that allows patients to opt out of their confidential patient information being used for research and planning. </w:t>
      </w:r>
    </w:p>
    <w:p w14:paraId="1F0FC260" w14:textId="38444542" w:rsidR="001D0F17" w:rsidRPr="008954E3" w:rsidRDefault="001D0F17" w:rsidP="00E91015">
      <w:pPr>
        <w:spacing w:line="240" w:lineRule="auto"/>
        <w:ind w:left="431"/>
        <w:rPr>
          <w:color w:val="auto"/>
        </w:rPr>
      </w:pPr>
    </w:p>
    <w:p w14:paraId="3D6CB5D4" w14:textId="515D7EFE" w:rsidR="008C26B8" w:rsidRPr="008954E3" w:rsidRDefault="00E91015" w:rsidP="00AE286E">
      <w:pPr>
        <w:pStyle w:val="Heading1"/>
      </w:pPr>
      <w:bookmarkStart w:id="1" w:name="_Toc132103173"/>
      <w:r w:rsidRPr="008954E3">
        <w:t>Purpose</w:t>
      </w:r>
      <w:bookmarkEnd w:id="1"/>
    </w:p>
    <w:p w14:paraId="0ADDC133" w14:textId="3AAB30CB" w:rsidR="00A54E5F" w:rsidRPr="008954E3" w:rsidRDefault="00A54E5F" w:rsidP="00E774F5">
      <w:pPr>
        <w:spacing w:line="276" w:lineRule="auto"/>
        <w:ind w:left="425"/>
        <w:rPr>
          <w:color w:val="auto"/>
        </w:rPr>
      </w:pPr>
      <w:r w:rsidRPr="008954E3">
        <w:rPr>
          <w:color w:val="auto"/>
        </w:rPr>
        <w:t xml:space="preserve">The purpose of this policy is to provide a consistent and logical framework to ensure that the patient's opt-out choice is respected by NHS Humber &amp; North Yorkshire Integrated Care Board (H&amp;NY ICB). </w:t>
      </w:r>
    </w:p>
    <w:p w14:paraId="547BA1E1" w14:textId="25FE0F2E" w:rsidR="00E774F5" w:rsidRPr="008954E3" w:rsidRDefault="00E774F5" w:rsidP="00E774F5">
      <w:pPr>
        <w:spacing w:line="276" w:lineRule="auto"/>
        <w:ind w:left="425"/>
        <w:rPr>
          <w:color w:val="auto"/>
        </w:rPr>
      </w:pPr>
    </w:p>
    <w:p w14:paraId="1E991468" w14:textId="7DC5AF5A" w:rsidR="00E774F5" w:rsidRPr="008954E3" w:rsidRDefault="00E774F5" w:rsidP="00E774F5">
      <w:pPr>
        <w:spacing w:line="276" w:lineRule="auto"/>
        <w:ind w:left="425"/>
        <w:rPr>
          <w:color w:val="auto"/>
        </w:rPr>
      </w:pPr>
      <w:r w:rsidRPr="008954E3">
        <w:rPr>
          <w:color w:val="auto"/>
        </w:rPr>
        <w:t xml:space="preserve">All health and adult social care organisations are required to be compliant with the national data opt-out policy, where they are using confidential patient information for purposes beyond an individual’s care and treatment. The Information Standard DCB3058 provides a set of requirements to ensure that all health and adult social care organisations in England can comply with the National Opt-Out. </w:t>
      </w:r>
    </w:p>
    <w:p w14:paraId="23E51179" w14:textId="25DC1983" w:rsidR="00875B86" w:rsidRPr="008954E3" w:rsidRDefault="00875B86" w:rsidP="00E774F5">
      <w:pPr>
        <w:spacing w:line="276" w:lineRule="auto"/>
        <w:ind w:left="425"/>
        <w:rPr>
          <w:color w:val="auto"/>
        </w:rPr>
      </w:pPr>
    </w:p>
    <w:p w14:paraId="07CB862B" w14:textId="6E882B2C" w:rsidR="00875B86" w:rsidRPr="008954E3" w:rsidRDefault="00875B86" w:rsidP="00E774F5">
      <w:pPr>
        <w:spacing w:line="276" w:lineRule="auto"/>
        <w:ind w:left="425"/>
        <w:rPr>
          <w:color w:val="auto"/>
        </w:rPr>
      </w:pPr>
      <w:r w:rsidRPr="008954E3">
        <w:rPr>
          <w:color w:val="auto"/>
        </w:rPr>
        <w:t>Organisation</w:t>
      </w:r>
      <w:r w:rsidR="00792868" w:rsidRPr="008954E3">
        <w:rPr>
          <w:color w:val="auto"/>
        </w:rPr>
        <w:t>s</w:t>
      </w:r>
      <w:r w:rsidRPr="008954E3">
        <w:rPr>
          <w:color w:val="auto"/>
        </w:rPr>
        <w:t xml:space="preserve"> must have a technical solution and a process in place to honour patient opt-outs. </w:t>
      </w:r>
      <w:r w:rsidR="00792868" w:rsidRPr="008954E3">
        <w:rPr>
          <w:color w:val="auto"/>
        </w:rPr>
        <w:t>If an organisation has no uses or disclosures which need to have national data opt-outs applied, they must still put procedures in place to assess future uses or disclosures against the national data opt-out operational policy guidance.</w:t>
      </w:r>
      <w:r w:rsidR="00792868" w:rsidRPr="008954E3">
        <w:rPr>
          <w:color w:val="auto"/>
          <w:sz w:val="27"/>
          <w:szCs w:val="27"/>
        </w:rPr>
        <w:t xml:space="preserve"> </w:t>
      </w:r>
    </w:p>
    <w:p w14:paraId="1C1FD06F" w14:textId="77777777" w:rsidR="00E774F5" w:rsidRPr="008954E3" w:rsidRDefault="00E774F5" w:rsidP="00E774F5">
      <w:pPr>
        <w:spacing w:line="276" w:lineRule="auto"/>
        <w:ind w:left="425"/>
        <w:rPr>
          <w:color w:val="auto"/>
        </w:rPr>
      </w:pPr>
    </w:p>
    <w:p w14:paraId="1E7F2101" w14:textId="18BD861D" w:rsidR="00F8093B" w:rsidRPr="008954E3" w:rsidRDefault="00E91015" w:rsidP="00AE286E">
      <w:pPr>
        <w:pStyle w:val="Heading1"/>
      </w:pPr>
      <w:bookmarkStart w:id="2" w:name="_Toc132103174"/>
      <w:r w:rsidRPr="008954E3">
        <w:t>Definition/ Explanation of Terms</w:t>
      </w:r>
      <w:bookmarkEnd w:id="2"/>
    </w:p>
    <w:p w14:paraId="39CEC8C6" w14:textId="77777777" w:rsidR="001D4381" w:rsidRPr="008954E3" w:rsidRDefault="001D4381" w:rsidP="001D4381">
      <w:pPr>
        <w:rPr>
          <w:color w:val="auto"/>
        </w:rPr>
      </w:pPr>
    </w:p>
    <w:p w14:paraId="166CEDEA" w14:textId="2A5B8E7E" w:rsidR="00265B07" w:rsidRPr="008954E3" w:rsidRDefault="00265B07" w:rsidP="00DC3D38">
      <w:pPr>
        <w:spacing w:line="276" w:lineRule="auto"/>
        <w:ind w:left="432"/>
        <w:rPr>
          <w:color w:val="auto"/>
        </w:rPr>
      </w:pPr>
      <w:r w:rsidRPr="008954E3">
        <w:rPr>
          <w:b/>
          <w:bCs/>
          <w:color w:val="auto"/>
        </w:rPr>
        <w:t>Common Law duty of confidentiality</w:t>
      </w:r>
      <w:r w:rsidRPr="008954E3">
        <w:rPr>
          <w:color w:val="auto"/>
        </w:rPr>
        <w:t xml:space="preserve"> </w:t>
      </w:r>
      <w:r w:rsidR="00376418" w:rsidRPr="008954E3">
        <w:rPr>
          <w:color w:val="auto"/>
        </w:rPr>
        <w:t>– In</w:t>
      </w:r>
      <w:r w:rsidR="001D4381" w:rsidRPr="008954E3">
        <w:rPr>
          <w:color w:val="auto"/>
        </w:rPr>
        <w:t xml:space="preserve"> Common Law there is a duty of confidentiality which means that when a patient or service users shares information in confidence it must not be disclosed without a legal authority or justification. In practice this usually means the information cannot be disclosed without that person’s consent. (Please note Common Law consent is the consent to share information it is not the same as</w:t>
      </w:r>
      <w:r w:rsidR="001D4381" w:rsidRPr="008954E3">
        <w:t xml:space="preserve"> </w:t>
      </w:r>
      <w:hyperlink r:id="rId13" w:history="1">
        <w:r w:rsidR="001D4381" w:rsidRPr="008954E3">
          <w:rPr>
            <w:rStyle w:val="Hyperlink"/>
            <w:color w:val="4F81BD" w:themeColor="accent1"/>
          </w:rPr>
          <w:t>GDPR consent</w:t>
        </w:r>
      </w:hyperlink>
      <w:r w:rsidR="008954E3">
        <w:rPr>
          <w:rStyle w:val="Hyperlink"/>
          <w:color w:val="auto"/>
        </w:rPr>
        <w:t xml:space="preserve"> </w:t>
      </w:r>
      <w:r w:rsidR="001D4381" w:rsidRPr="008954E3">
        <w:rPr>
          <w:color w:val="auto"/>
        </w:rPr>
        <w:t xml:space="preserve">which is a legal basis for processing personal data).  </w:t>
      </w:r>
      <w:r w:rsidR="00BD0F5B" w:rsidRPr="00BD0F5B">
        <w:rPr>
          <w:color w:val="auto"/>
        </w:rPr>
        <w:t xml:space="preserve">GDPR Consent </w:t>
      </w:r>
      <w:r w:rsidR="00BD0F5B">
        <w:rPr>
          <w:color w:val="auto"/>
        </w:rPr>
        <w:t>should not be used as</w:t>
      </w:r>
      <w:r w:rsidR="00BD0F5B" w:rsidRPr="00BD0F5B">
        <w:rPr>
          <w:color w:val="auto"/>
        </w:rPr>
        <w:t xml:space="preserve"> the legal basis for processing data in the Public Sector. </w:t>
      </w:r>
      <w:r w:rsidR="00BD0F5B" w:rsidRPr="00BD0F5B">
        <w:rPr>
          <w:color w:val="000000"/>
          <w:shd w:val="clear" w:color="auto" w:fill="FFFFFF"/>
        </w:rPr>
        <w:t xml:space="preserve">Public authorities, employers and other organisations in a position of power over individuals should avoid relying on </w:t>
      </w:r>
      <w:r w:rsidR="00BD0F5B">
        <w:rPr>
          <w:color w:val="000000"/>
          <w:shd w:val="clear" w:color="auto" w:fill="FFFFFF"/>
        </w:rPr>
        <w:t xml:space="preserve">GDPR </w:t>
      </w:r>
      <w:r w:rsidR="00BD0F5B" w:rsidRPr="00BD0F5B">
        <w:rPr>
          <w:color w:val="000000"/>
          <w:shd w:val="clear" w:color="auto" w:fill="FFFFFF"/>
        </w:rPr>
        <w:t>consent unless they are confident they can demonstrate it is freely given.</w:t>
      </w:r>
    </w:p>
    <w:p w14:paraId="0BE54CB2" w14:textId="77777777" w:rsidR="001D4381" w:rsidRPr="008954E3" w:rsidRDefault="001D4381" w:rsidP="00DC3D38">
      <w:pPr>
        <w:spacing w:line="276" w:lineRule="auto"/>
        <w:ind w:left="432"/>
        <w:rPr>
          <w:b/>
          <w:bCs/>
          <w:color w:val="auto"/>
        </w:rPr>
      </w:pPr>
    </w:p>
    <w:p w14:paraId="13962C30" w14:textId="66EDD7C7" w:rsidR="00265B07" w:rsidRPr="008954E3" w:rsidRDefault="00265B07" w:rsidP="00DC3D38">
      <w:pPr>
        <w:spacing w:line="276" w:lineRule="auto"/>
        <w:ind w:left="432"/>
        <w:rPr>
          <w:color w:val="auto"/>
          <w:shd w:val="clear" w:color="auto" w:fill="FFFFFF"/>
        </w:rPr>
      </w:pPr>
      <w:r w:rsidRPr="008954E3">
        <w:rPr>
          <w:b/>
          <w:bCs/>
          <w:color w:val="auto"/>
        </w:rPr>
        <w:t>Data Controller</w:t>
      </w:r>
      <w:r w:rsidRPr="008954E3">
        <w:rPr>
          <w:color w:val="auto"/>
        </w:rPr>
        <w:t xml:space="preserve"> –</w:t>
      </w:r>
      <w:r w:rsidR="001D4381" w:rsidRPr="008954E3">
        <w:rPr>
          <w:color w:val="auto"/>
        </w:rPr>
        <w:t xml:space="preserve"> </w:t>
      </w:r>
      <w:r w:rsidR="00BA70DB" w:rsidRPr="008954E3">
        <w:rPr>
          <w:color w:val="auto"/>
        </w:rPr>
        <w:t xml:space="preserve">A data controller determines the purposes and means of the processing, </w:t>
      </w:r>
      <w:r w:rsidR="00376418" w:rsidRPr="008954E3">
        <w:rPr>
          <w:color w:val="auto"/>
        </w:rPr>
        <w:t>i.e.,</w:t>
      </w:r>
      <w:r w:rsidR="00BA70DB" w:rsidRPr="008954E3">
        <w:rPr>
          <w:color w:val="auto"/>
        </w:rPr>
        <w:t xml:space="preserve"> the </w:t>
      </w:r>
      <w:r w:rsidR="00BA70DB" w:rsidRPr="008954E3">
        <w:rPr>
          <w:i/>
          <w:iCs/>
          <w:color w:val="auto"/>
        </w:rPr>
        <w:t xml:space="preserve">why </w:t>
      </w:r>
      <w:r w:rsidR="00BA70DB" w:rsidRPr="008954E3">
        <w:rPr>
          <w:color w:val="auto"/>
        </w:rPr>
        <w:t xml:space="preserve">and </w:t>
      </w:r>
      <w:r w:rsidR="00BA70DB" w:rsidRPr="008954E3">
        <w:rPr>
          <w:i/>
          <w:iCs/>
          <w:color w:val="auto"/>
        </w:rPr>
        <w:t xml:space="preserve">how </w:t>
      </w:r>
      <w:r w:rsidR="00BA70DB" w:rsidRPr="008954E3">
        <w:rPr>
          <w:color w:val="auto"/>
        </w:rPr>
        <w:t xml:space="preserve">of the processing. The controller must decide on both purposes and means. </w:t>
      </w:r>
      <w:r w:rsidR="00BA70DB" w:rsidRPr="008954E3">
        <w:rPr>
          <w:color w:val="auto"/>
          <w:shd w:val="clear" w:color="auto" w:fill="FFFFFF"/>
        </w:rPr>
        <w:t>Controllers make decisions about processing activities. They exercise overall control of the personal data being processed and are ultimately in charge of and responsible for the processing.</w:t>
      </w:r>
    </w:p>
    <w:p w14:paraId="476F8621" w14:textId="77777777" w:rsidR="00BA70DB" w:rsidRPr="008954E3" w:rsidRDefault="00BA70DB" w:rsidP="00DD443C">
      <w:pPr>
        <w:ind w:left="432"/>
        <w:rPr>
          <w:color w:val="auto"/>
        </w:rPr>
      </w:pPr>
    </w:p>
    <w:p w14:paraId="37F306D3" w14:textId="2E34AF75" w:rsidR="00265B07" w:rsidRPr="008954E3" w:rsidRDefault="00265B07" w:rsidP="00DC3D38">
      <w:pPr>
        <w:spacing w:line="276" w:lineRule="auto"/>
        <w:ind w:left="432"/>
        <w:rPr>
          <w:rFonts w:ascii="Verdana" w:hAnsi="Verdana"/>
          <w:color w:val="auto"/>
          <w:sz w:val="23"/>
          <w:szCs w:val="23"/>
          <w:shd w:val="clear" w:color="auto" w:fill="FFFFFF"/>
        </w:rPr>
      </w:pPr>
      <w:r w:rsidRPr="008954E3">
        <w:rPr>
          <w:b/>
          <w:bCs/>
          <w:color w:val="auto"/>
        </w:rPr>
        <w:t>Data Protection Impact Assessments</w:t>
      </w:r>
      <w:r w:rsidRPr="008954E3">
        <w:rPr>
          <w:color w:val="auto"/>
        </w:rPr>
        <w:t xml:space="preserve"> </w:t>
      </w:r>
      <w:r w:rsidR="00950446" w:rsidRPr="008954E3">
        <w:rPr>
          <w:color w:val="auto"/>
        </w:rPr>
        <w:t xml:space="preserve">- </w:t>
      </w:r>
      <w:r w:rsidR="00950446" w:rsidRPr="008954E3">
        <w:rPr>
          <w:color w:val="auto"/>
          <w:shd w:val="clear" w:color="auto" w:fill="FFFFFF"/>
        </w:rPr>
        <w:t xml:space="preserve">A Data Protection Impact Assessment (DPIA) is a process to help identify and minimise the data protection risks of a project. The ICB requires that DPIAs are considered and where necessary completed in full for any new data processing </w:t>
      </w:r>
      <w:r w:rsidR="00950446" w:rsidRPr="008954E3">
        <w:rPr>
          <w:color w:val="auto"/>
          <w:shd w:val="clear" w:color="auto" w:fill="FFFFFF"/>
        </w:rPr>
        <w:lastRenderedPageBreak/>
        <w:t xml:space="preserve">activities, new systems, </w:t>
      </w:r>
      <w:r w:rsidR="00413D9E" w:rsidRPr="008954E3">
        <w:rPr>
          <w:color w:val="auto"/>
          <w:shd w:val="clear" w:color="auto" w:fill="FFFFFF"/>
        </w:rPr>
        <w:t>services,</w:t>
      </w:r>
      <w:r w:rsidR="00950446" w:rsidRPr="008954E3">
        <w:rPr>
          <w:color w:val="auto"/>
          <w:shd w:val="clear" w:color="auto" w:fill="FFFFFF"/>
        </w:rPr>
        <w:t xml:space="preserve"> and commissioning activities. The Information Governance </w:t>
      </w:r>
      <w:r w:rsidR="0034072E">
        <w:rPr>
          <w:color w:val="auto"/>
          <w:shd w:val="clear" w:color="auto" w:fill="FFFFFF"/>
        </w:rPr>
        <w:t xml:space="preserve">(IG) </w:t>
      </w:r>
      <w:r w:rsidR="00950446" w:rsidRPr="008954E3">
        <w:rPr>
          <w:color w:val="auto"/>
          <w:shd w:val="clear" w:color="auto" w:fill="FFFFFF"/>
        </w:rPr>
        <w:t>Team will review and approve DPIAs and ad</w:t>
      </w:r>
      <w:r w:rsidR="000637C1" w:rsidRPr="008954E3">
        <w:rPr>
          <w:color w:val="auto"/>
          <w:shd w:val="clear" w:color="auto" w:fill="FFFFFF"/>
        </w:rPr>
        <w:t>v</w:t>
      </w:r>
      <w:r w:rsidR="00950446" w:rsidRPr="008954E3">
        <w:rPr>
          <w:color w:val="auto"/>
          <w:shd w:val="clear" w:color="auto" w:fill="FFFFFF"/>
        </w:rPr>
        <w:t xml:space="preserve">ise of requirements and recommended </w:t>
      </w:r>
      <w:r w:rsidR="000637C1" w:rsidRPr="008954E3">
        <w:rPr>
          <w:color w:val="auto"/>
          <w:shd w:val="clear" w:color="auto" w:fill="FFFFFF"/>
        </w:rPr>
        <w:t>actions as necessary.</w:t>
      </w:r>
      <w:r w:rsidR="000637C1" w:rsidRPr="008954E3">
        <w:rPr>
          <w:rFonts w:ascii="Verdana" w:hAnsi="Verdana"/>
          <w:color w:val="auto"/>
          <w:sz w:val="23"/>
          <w:szCs w:val="23"/>
          <w:shd w:val="clear" w:color="auto" w:fill="FFFFFF"/>
        </w:rPr>
        <w:t xml:space="preserve"> </w:t>
      </w:r>
    </w:p>
    <w:p w14:paraId="7E76B9B8" w14:textId="77777777" w:rsidR="000637C1" w:rsidRPr="008954E3" w:rsidRDefault="000637C1" w:rsidP="00DD443C">
      <w:pPr>
        <w:ind w:left="432"/>
        <w:rPr>
          <w:color w:val="auto"/>
        </w:rPr>
      </w:pPr>
    </w:p>
    <w:p w14:paraId="2BB67B5F" w14:textId="7F5D708A" w:rsidR="00265B07" w:rsidRPr="008954E3" w:rsidRDefault="00265B07" w:rsidP="00DC3D38">
      <w:pPr>
        <w:spacing w:line="276" w:lineRule="auto"/>
        <w:ind w:left="432"/>
        <w:rPr>
          <w:color w:val="auto"/>
        </w:rPr>
      </w:pPr>
      <w:r w:rsidRPr="008954E3">
        <w:rPr>
          <w:b/>
          <w:bCs/>
          <w:color w:val="auto"/>
        </w:rPr>
        <w:t>Information Asset Register –</w:t>
      </w:r>
      <w:r w:rsidR="000637C1" w:rsidRPr="008954E3">
        <w:rPr>
          <w:color w:val="auto"/>
        </w:rPr>
        <w:t xml:space="preserve"> The Information Asset Register is a register of personal and business critical information held by the ICB. It details the type of information held, purpose, legal basis, location, sharing arrangements, associated risks and other detailed information. </w:t>
      </w:r>
    </w:p>
    <w:p w14:paraId="5083545D" w14:textId="77777777" w:rsidR="000637C1" w:rsidRPr="008954E3" w:rsidRDefault="000637C1" w:rsidP="00DC3D38">
      <w:pPr>
        <w:spacing w:line="276" w:lineRule="auto"/>
        <w:ind w:left="432"/>
        <w:rPr>
          <w:color w:val="auto"/>
        </w:rPr>
      </w:pPr>
    </w:p>
    <w:p w14:paraId="333EA7E7" w14:textId="19F820B5" w:rsidR="008954E3" w:rsidRDefault="00265B07" w:rsidP="008954E3">
      <w:pPr>
        <w:pStyle w:val="Default0"/>
        <w:spacing w:line="276" w:lineRule="auto"/>
        <w:ind w:left="432"/>
      </w:pPr>
      <w:r w:rsidRPr="008954E3">
        <w:rPr>
          <w:b/>
          <w:bCs/>
          <w:color w:val="auto"/>
        </w:rPr>
        <w:t xml:space="preserve">Message Exchange </w:t>
      </w:r>
      <w:r w:rsidR="008F3542" w:rsidRPr="008954E3">
        <w:rPr>
          <w:b/>
          <w:bCs/>
          <w:color w:val="auto"/>
        </w:rPr>
        <w:t>for Social Care &amp; Health (MESH)</w:t>
      </w:r>
      <w:r w:rsidR="008F3542" w:rsidRPr="008954E3">
        <w:rPr>
          <w:color w:val="auto"/>
        </w:rPr>
        <w:t xml:space="preserve"> –</w:t>
      </w:r>
      <w:r w:rsidR="008954E3" w:rsidRPr="008954E3">
        <w:t xml:space="preserve">NHS England’s secure messaging service. It supports the two-way transfer of data between NHS England and health and care organisations. </w:t>
      </w:r>
    </w:p>
    <w:p w14:paraId="5F0B7853" w14:textId="2A5CC587" w:rsidR="00585293" w:rsidRDefault="00585293" w:rsidP="008954E3">
      <w:pPr>
        <w:pStyle w:val="Default0"/>
        <w:spacing w:line="276" w:lineRule="auto"/>
        <w:ind w:left="432"/>
      </w:pPr>
    </w:p>
    <w:p w14:paraId="4412A475" w14:textId="32EB28F1" w:rsidR="00585293" w:rsidRPr="008954E3" w:rsidRDefault="00585293" w:rsidP="008954E3">
      <w:pPr>
        <w:pStyle w:val="Default0"/>
        <w:spacing w:line="276" w:lineRule="auto"/>
        <w:ind w:left="432"/>
      </w:pPr>
      <w:r w:rsidRPr="00585293">
        <w:rPr>
          <w:b/>
          <w:bCs/>
        </w:rPr>
        <w:t>NHS Spine</w:t>
      </w:r>
      <w:r>
        <w:t xml:space="preserve"> - </w:t>
      </w:r>
      <w:r w:rsidRPr="00585293">
        <w:rPr>
          <w:color w:val="3F525F"/>
        </w:rPr>
        <w:t>NHS Digital develops and maintains the NHS Spine. The Spine allows information to be shared securely through national services such as the </w:t>
      </w:r>
      <w:hyperlink r:id="rId14" w:history="1">
        <w:r w:rsidRPr="00585293">
          <w:rPr>
            <w:rStyle w:val="Hyperlink"/>
            <w:bdr w:val="none" w:sz="0" w:space="0" w:color="auto" w:frame="1"/>
          </w:rPr>
          <w:t>Electronic Prescription Service</w:t>
        </w:r>
      </w:hyperlink>
      <w:r w:rsidRPr="00585293">
        <w:rPr>
          <w:color w:val="3F525F"/>
        </w:rPr>
        <w:t>, the </w:t>
      </w:r>
      <w:hyperlink r:id="rId15" w:history="1">
        <w:r w:rsidRPr="00585293">
          <w:rPr>
            <w:rStyle w:val="Hyperlink"/>
            <w:bdr w:val="none" w:sz="0" w:space="0" w:color="auto" w:frame="1"/>
          </w:rPr>
          <w:t>Personal Demographics Service</w:t>
        </w:r>
      </w:hyperlink>
      <w:r w:rsidRPr="00585293">
        <w:rPr>
          <w:color w:val="3F525F"/>
        </w:rPr>
        <w:t>, the </w:t>
      </w:r>
      <w:hyperlink r:id="rId16" w:history="1">
        <w:r w:rsidRPr="00585293">
          <w:rPr>
            <w:rStyle w:val="Hyperlink"/>
            <w:bdr w:val="none" w:sz="0" w:space="0" w:color="auto" w:frame="1"/>
          </w:rPr>
          <w:t>Summary Care Record</w:t>
        </w:r>
      </w:hyperlink>
      <w:r w:rsidRPr="00585293">
        <w:rPr>
          <w:color w:val="3F525F"/>
        </w:rPr>
        <w:t> and the </w:t>
      </w:r>
      <w:hyperlink r:id="rId17" w:history="1">
        <w:r w:rsidRPr="00585293">
          <w:rPr>
            <w:rStyle w:val="Hyperlink"/>
            <w:bdr w:val="none" w:sz="0" w:space="0" w:color="auto" w:frame="1"/>
          </w:rPr>
          <w:t>e-Referral Service</w:t>
        </w:r>
      </w:hyperlink>
      <w:r w:rsidRPr="00585293">
        <w:rPr>
          <w:color w:val="3F525F"/>
        </w:rPr>
        <w:t>.</w:t>
      </w:r>
    </w:p>
    <w:p w14:paraId="6C7567DB" w14:textId="77777777" w:rsidR="0062302F" w:rsidRPr="008954E3" w:rsidRDefault="0062302F" w:rsidP="008954E3">
      <w:pPr>
        <w:spacing w:line="276" w:lineRule="auto"/>
        <w:rPr>
          <w:color w:val="auto"/>
        </w:rPr>
      </w:pPr>
    </w:p>
    <w:p w14:paraId="6777A663" w14:textId="4F6AAD85" w:rsidR="008F3542" w:rsidRPr="008954E3" w:rsidRDefault="008F3542" w:rsidP="00DC3D38">
      <w:pPr>
        <w:spacing w:line="276" w:lineRule="auto"/>
        <w:ind w:left="432"/>
        <w:rPr>
          <w:color w:val="auto"/>
        </w:rPr>
      </w:pPr>
      <w:r w:rsidRPr="008954E3">
        <w:rPr>
          <w:b/>
          <w:bCs/>
          <w:color w:val="auto"/>
        </w:rPr>
        <w:t>Section 251</w:t>
      </w:r>
      <w:r w:rsidRPr="008954E3">
        <w:rPr>
          <w:color w:val="auto"/>
        </w:rPr>
        <w:t xml:space="preserve"> - </w:t>
      </w:r>
      <w:r w:rsidR="00DC3D38" w:rsidRPr="008954E3">
        <w:rPr>
          <w:color w:val="auto"/>
        </w:rPr>
        <w:t>Section 251</w:t>
      </w:r>
      <w:r w:rsidR="00DC3D38" w:rsidRPr="008954E3">
        <w:rPr>
          <w:color w:val="auto"/>
          <w:vertAlign w:val="superscript"/>
        </w:rPr>
        <w:t> </w:t>
      </w:r>
      <w:r w:rsidR="00DC3D38" w:rsidRPr="008954E3">
        <w:rPr>
          <w:color w:val="auto"/>
        </w:rPr>
        <w:t>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w:t>
      </w:r>
    </w:p>
    <w:p w14:paraId="0C131723" w14:textId="77777777" w:rsidR="00265B07" w:rsidRPr="008954E3" w:rsidRDefault="00265B07" w:rsidP="00DD443C">
      <w:pPr>
        <w:ind w:left="432"/>
        <w:rPr>
          <w:color w:val="auto"/>
        </w:rPr>
      </w:pPr>
    </w:p>
    <w:p w14:paraId="448658E8" w14:textId="5E393F76" w:rsidR="00CE68BF" w:rsidRPr="008954E3" w:rsidRDefault="00E91015" w:rsidP="00CE68BF">
      <w:pPr>
        <w:pStyle w:val="Heading1"/>
      </w:pPr>
      <w:bookmarkStart w:id="3" w:name="_Toc430791102"/>
      <w:bookmarkStart w:id="4" w:name="_Toc132103175"/>
      <w:r w:rsidRPr="008954E3">
        <w:t xml:space="preserve">Scope of the </w:t>
      </w:r>
      <w:r w:rsidR="00AE286E" w:rsidRPr="008954E3">
        <w:t>P</w:t>
      </w:r>
      <w:bookmarkEnd w:id="3"/>
      <w:r w:rsidRPr="008954E3">
        <w:t>olicy</w:t>
      </w:r>
      <w:bookmarkEnd w:id="4"/>
    </w:p>
    <w:p w14:paraId="7D479CB8" w14:textId="77777777" w:rsidR="00E91015" w:rsidRPr="008954E3" w:rsidRDefault="00E91015" w:rsidP="00E91015">
      <w:pPr>
        <w:spacing w:line="240" w:lineRule="auto"/>
        <w:ind w:left="431"/>
        <w:rPr>
          <w:color w:val="auto"/>
        </w:rPr>
      </w:pPr>
    </w:p>
    <w:p w14:paraId="1FBF50A9" w14:textId="2A067F22" w:rsidR="00E91015" w:rsidRPr="008954E3" w:rsidRDefault="00E91015" w:rsidP="00E91015">
      <w:pPr>
        <w:spacing w:line="240" w:lineRule="auto"/>
        <w:ind w:left="431"/>
        <w:rPr>
          <w:color w:val="auto"/>
        </w:rPr>
      </w:pPr>
      <w:r w:rsidRPr="008954E3">
        <w:rPr>
          <w:color w:val="auto"/>
        </w:rPr>
        <w:t>The policy applies to NHS Humber and North Yorkshire</w:t>
      </w:r>
      <w:r w:rsidR="000D5A23">
        <w:rPr>
          <w:color w:val="auto"/>
        </w:rPr>
        <w:t xml:space="preserve"> ICB</w:t>
      </w:r>
      <w:r w:rsidRPr="008954E3">
        <w:rPr>
          <w:color w:val="auto"/>
        </w:rPr>
        <w:t xml:space="preserve"> and all its employees and must be followed by all those who work for the organisation, including the Integrated Care Board, Integrated Care Partnership, those on temporary or honorary contracts, secondments, pool staff, </w:t>
      </w:r>
      <w:r w:rsidR="00180959" w:rsidRPr="008954E3">
        <w:rPr>
          <w:color w:val="auto"/>
        </w:rPr>
        <w:t>contractors,</w:t>
      </w:r>
      <w:r w:rsidRPr="008954E3">
        <w:rPr>
          <w:color w:val="auto"/>
        </w:rPr>
        <w:t xml:space="preserve"> and students. </w:t>
      </w:r>
    </w:p>
    <w:p w14:paraId="7AF11A9C" w14:textId="77777777" w:rsidR="00E91015" w:rsidRPr="008954E3" w:rsidRDefault="00E91015" w:rsidP="00E91015">
      <w:pPr>
        <w:spacing w:line="240" w:lineRule="auto"/>
        <w:ind w:left="431"/>
        <w:rPr>
          <w:color w:val="auto"/>
        </w:rPr>
      </w:pPr>
    </w:p>
    <w:p w14:paraId="710D881B" w14:textId="2FB9CAE0" w:rsidR="00DD443C" w:rsidRPr="008954E3" w:rsidRDefault="00E774F5" w:rsidP="00E91015">
      <w:pPr>
        <w:spacing w:line="240" w:lineRule="auto"/>
        <w:ind w:left="431"/>
        <w:rPr>
          <w:color w:val="auto"/>
        </w:rPr>
      </w:pPr>
      <w:r w:rsidRPr="008954E3">
        <w:rPr>
          <w:color w:val="auto"/>
        </w:rPr>
        <w:t xml:space="preserve">Noncompliance with this Policy may result in disciplinary action. </w:t>
      </w:r>
    </w:p>
    <w:p w14:paraId="4BC5EF34" w14:textId="77777777" w:rsidR="00E91015" w:rsidRPr="008954E3" w:rsidRDefault="00E91015" w:rsidP="00DD443C">
      <w:pPr>
        <w:ind w:left="432"/>
        <w:rPr>
          <w:color w:val="auto"/>
        </w:rPr>
      </w:pPr>
    </w:p>
    <w:p w14:paraId="09703A50" w14:textId="7C36A1A6" w:rsidR="00E91015" w:rsidRPr="008954E3" w:rsidRDefault="00E91015" w:rsidP="00CE68BF">
      <w:pPr>
        <w:pStyle w:val="Heading1"/>
      </w:pPr>
      <w:bookmarkStart w:id="5" w:name="_Toc132103176"/>
      <w:r w:rsidRPr="008954E3">
        <w:t>Duties/ Accountabilities and Responsibilities</w:t>
      </w:r>
      <w:r w:rsidR="006E35D3" w:rsidRPr="008954E3">
        <w:rPr>
          <w:b w:val="0"/>
          <w:sz w:val="24"/>
          <w:szCs w:val="24"/>
        </w:rPr>
        <w:t xml:space="preserve">     </w:t>
      </w:r>
      <w:bookmarkEnd w:id="5"/>
    </w:p>
    <w:p w14:paraId="35FB6EE5" w14:textId="78609DCA" w:rsidR="008F16A6" w:rsidRPr="008954E3" w:rsidRDefault="00694ABB" w:rsidP="00DC3D38">
      <w:pPr>
        <w:pStyle w:val="Heading2"/>
        <w:ind w:left="856" w:hanging="431"/>
      </w:pPr>
      <w:bookmarkStart w:id="6" w:name="_Toc430791104"/>
      <w:bookmarkStart w:id="7" w:name="_Toc132103177"/>
      <w:r w:rsidRPr="008954E3">
        <w:t>Duties within the organisation</w:t>
      </w:r>
      <w:bookmarkEnd w:id="6"/>
      <w:r w:rsidR="00DC3D38" w:rsidRPr="008954E3">
        <w:t>:</w:t>
      </w:r>
      <w:bookmarkEnd w:id="7"/>
      <w:r w:rsidR="00DC3D38" w:rsidRPr="008954E3">
        <w:t xml:space="preserve"> </w:t>
      </w:r>
    </w:p>
    <w:p w14:paraId="6D69D2DB" w14:textId="4E4210F3" w:rsidR="00694ABB" w:rsidRPr="008954E3" w:rsidRDefault="00694ABB" w:rsidP="00694ABB">
      <w:pPr>
        <w:pStyle w:val="Heading2"/>
        <w:ind w:left="856" w:hanging="431"/>
      </w:pPr>
      <w:bookmarkStart w:id="8" w:name="_Toc132103178"/>
      <w:r w:rsidRPr="008954E3">
        <w:t>Chief Executive</w:t>
      </w:r>
      <w:bookmarkEnd w:id="8"/>
    </w:p>
    <w:p w14:paraId="57911085" w14:textId="6618609E" w:rsidR="00694ABB" w:rsidRDefault="00694ABB" w:rsidP="00694ABB">
      <w:pPr>
        <w:ind w:left="425"/>
        <w:rPr>
          <w:color w:val="auto"/>
        </w:rPr>
      </w:pPr>
      <w:r w:rsidRPr="008954E3">
        <w:rPr>
          <w:color w:val="auto"/>
        </w:rPr>
        <w:t>This is the person with overall accountability/ responsibility for this policy</w:t>
      </w:r>
      <w:r w:rsidR="00EB7076">
        <w:rPr>
          <w:color w:val="auto"/>
        </w:rPr>
        <w:t xml:space="preserve"> and will work with the Executive team to ensure compliance with legislation</w:t>
      </w:r>
      <w:r w:rsidRPr="008954E3">
        <w:rPr>
          <w:color w:val="auto"/>
        </w:rPr>
        <w:t>.</w:t>
      </w:r>
    </w:p>
    <w:p w14:paraId="6D25D92C" w14:textId="77777777" w:rsidR="008954E3" w:rsidRPr="008954E3" w:rsidRDefault="008954E3" w:rsidP="00694ABB">
      <w:pPr>
        <w:ind w:left="425"/>
        <w:rPr>
          <w:color w:val="auto"/>
        </w:rPr>
      </w:pPr>
    </w:p>
    <w:p w14:paraId="130BE18C" w14:textId="0690C1DA" w:rsidR="00376418" w:rsidRDefault="00F74730" w:rsidP="00F74730">
      <w:pPr>
        <w:autoSpaceDE w:val="0"/>
        <w:autoSpaceDN w:val="0"/>
        <w:adjustRightInd w:val="0"/>
        <w:ind w:left="425"/>
        <w:rPr>
          <w:rStyle w:val="Heading2Char"/>
        </w:rPr>
      </w:pPr>
      <w:bookmarkStart w:id="9" w:name="_Toc132103179"/>
      <w:r w:rsidRPr="008954E3">
        <w:rPr>
          <w:rStyle w:val="Heading2Char"/>
        </w:rPr>
        <w:t xml:space="preserve">5.3 Senior information risk owner </w:t>
      </w:r>
      <w:r w:rsidR="00EB28F8" w:rsidRPr="008954E3">
        <w:rPr>
          <w:rStyle w:val="Heading2Char"/>
        </w:rPr>
        <w:t>(SIRO)</w:t>
      </w:r>
      <w:bookmarkEnd w:id="9"/>
    </w:p>
    <w:p w14:paraId="74BD17CD" w14:textId="15763EF5" w:rsidR="00F74730" w:rsidRPr="008954E3" w:rsidRDefault="00376418" w:rsidP="00F74730">
      <w:pPr>
        <w:autoSpaceDE w:val="0"/>
        <w:autoSpaceDN w:val="0"/>
        <w:adjustRightInd w:val="0"/>
        <w:ind w:left="425"/>
        <w:rPr>
          <w:color w:val="auto"/>
        </w:rPr>
      </w:pPr>
      <w:r>
        <w:rPr>
          <w:color w:val="auto"/>
        </w:rPr>
        <w:lastRenderedPageBreak/>
        <w:t>E</w:t>
      </w:r>
      <w:r w:rsidRPr="00376418">
        <w:rPr>
          <w:color w:val="auto"/>
        </w:rPr>
        <w:t xml:space="preserve">xecutive board member with lead responsibility for the organisation’s information risks, including any risks to ICB compliance with the National Data Opt-Out policy. </w:t>
      </w:r>
      <w:r>
        <w:rPr>
          <w:color w:val="auto"/>
        </w:rPr>
        <w:t>They will e</w:t>
      </w:r>
      <w:r w:rsidR="00F74730" w:rsidRPr="008954E3">
        <w:rPr>
          <w:color w:val="auto"/>
        </w:rPr>
        <w:t>nsure that all information risks</w:t>
      </w:r>
      <w:r w:rsidR="000D5A23">
        <w:rPr>
          <w:color w:val="auto"/>
        </w:rPr>
        <w:t xml:space="preserve"> are</w:t>
      </w:r>
      <w:r w:rsidR="00F74730" w:rsidRPr="008954E3">
        <w:rPr>
          <w:color w:val="auto"/>
        </w:rPr>
        <w:t xml:space="preserve"> assessed and mitigated to an acceptable level</w:t>
      </w:r>
      <w:r>
        <w:rPr>
          <w:color w:val="auto"/>
        </w:rPr>
        <w:t xml:space="preserve"> and p</w:t>
      </w:r>
      <w:r w:rsidR="00F74730" w:rsidRPr="008954E3">
        <w:rPr>
          <w:color w:val="auto"/>
        </w:rPr>
        <w:t>rovide the</w:t>
      </w:r>
      <w:r>
        <w:rPr>
          <w:color w:val="auto"/>
        </w:rPr>
        <w:t xml:space="preserve"> a</w:t>
      </w:r>
      <w:r w:rsidR="00F74730" w:rsidRPr="008954E3">
        <w:rPr>
          <w:color w:val="auto"/>
        </w:rPr>
        <w:t>ccount</w:t>
      </w:r>
      <w:r w:rsidR="008954E3">
        <w:rPr>
          <w:color w:val="auto"/>
        </w:rPr>
        <w:t>able</w:t>
      </w:r>
      <w:r w:rsidR="00F74730" w:rsidRPr="008954E3">
        <w:rPr>
          <w:color w:val="auto"/>
        </w:rPr>
        <w:t xml:space="preserve"> </w:t>
      </w:r>
      <w:r>
        <w:rPr>
          <w:color w:val="auto"/>
        </w:rPr>
        <w:t>o</w:t>
      </w:r>
      <w:r w:rsidR="00F74730" w:rsidRPr="008954E3">
        <w:rPr>
          <w:color w:val="auto"/>
        </w:rPr>
        <w:t xml:space="preserve">fficer with assurance that information risk is managed across the </w:t>
      </w:r>
      <w:r w:rsidR="00EB28F8" w:rsidRPr="008954E3">
        <w:rPr>
          <w:color w:val="auto"/>
        </w:rPr>
        <w:t xml:space="preserve">ICB. </w:t>
      </w:r>
    </w:p>
    <w:p w14:paraId="15470704" w14:textId="77777777" w:rsidR="00F74730" w:rsidRPr="008954E3" w:rsidRDefault="00F74730" w:rsidP="00F74730">
      <w:pPr>
        <w:autoSpaceDE w:val="0"/>
        <w:autoSpaceDN w:val="0"/>
        <w:adjustRightInd w:val="0"/>
        <w:rPr>
          <w:color w:val="auto"/>
        </w:rPr>
      </w:pPr>
    </w:p>
    <w:p w14:paraId="0AB55F51" w14:textId="77777777" w:rsidR="00376418" w:rsidRDefault="00F74730" w:rsidP="00EB28F8">
      <w:pPr>
        <w:autoSpaceDE w:val="0"/>
        <w:autoSpaceDN w:val="0"/>
        <w:adjustRightInd w:val="0"/>
        <w:ind w:left="425"/>
        <w:rPr>
          <w:rStyle w:val="Heading2Char"/>
        </w:rPr>
      </w:pPr>
      <w:bookmarkStart w:id="10" w:name="_Toc132103180"/>
      <w:r w:rsidRPr="008954E3">
        <w:rPr>
          <w:rStyle w:val="Heading2Char"/>
        </w:rPr>
        <w:t xml:space="preserve">5.4 Caldicott </w:t>
      </w:r>
      <w:r w:rsidR="00EB28F8" w:rsidRPr="008954E3">
        <w:rPr>
          <w:rStyle w:val="Heading2Char"/>
        </w:rPr>
        <w:t>G</w:t>
      </w:r>
      <w:r w:rsidRPr="008954E3">
        <w:rPr>
          <w:rStyle w:val="Heading2Char"/>
        </w:rPr>
        <w:t>uardian</w:t>
      </w:r>
      <w:bookmarkEnd w:id="10"/>
      <w:r w:rsidRPr="008954E3">
        <w:rPr>
          <w:rStyle w:val="Heading2Char"/>
        </w:rPr>
        <w:t xml:space="preserve"> </w:t>
      </w:r>
    </w:p>
    <w:p w14:paraId="46C690ED" w14:textId="2D4D78D4" w:rsidR="00F74730" w:rsidRPr="008954E3" w:rsidRDefault="00EB7076" w:rsidP="00EB28F8">
      <w:pPr>
        <w:autoSpaceDE w:val="0"/>
        <w:autoSpaceDN w:val="0"/>
        <w:adjustRightInd w:val="0"/>
        <w:ind w:left="425"/>
        <w:rPr>
          <w:color w:val="auto"/>
        </w:rPr>
      </w:pPr>
      <w:r>
        <w:rPr>
          <w:color w:val="auto"/>
        </w:rPr>
        <w:t xml:space="preserve">Executive board member responsible for </w:t>
      </w:r>
      <w:r w:rsidRPr="00EB7076">
        <w:rPr>
          <w:color w:val="auto"/>
        </w:rPr>
        <w:t>protect</w:t>
      </w:r>
      <w:r>
        <w:rPr>
          <w:color w:val="auto"/>
        </w:rPr>
        <w:t>ing</w:t>
      </w:r>
      <w:r w:rsidRPr="00EB7076">
        <w:rPr>
          <w:color w:val="auto"/>
        </w:rPr>
        <w:t xml:space="preserve"> the confidentiality of people’s information </w:t>
      </w:r>
      <w:r w:rsidR="00F74730" w:rsidRPr="008954E3">
        <w:rPr>
          <w:color w:val="auto"/>
        </w:rPr>
        <w:t xml:space="preserve">and </w:t>
      </w:r>
      <w:r>
        <w:rPr>
          <w:color w:val="auto"/>
        </w:rPr>
        <w:t>ensuring adherence</w:t>
      </w:r>
      <w:r w:rsidR="00F74730" w:rsidRPr="008954E3">
        <w:rPr>
          <w:color w:val="auto"/>
        </w:rPr>
        <w:t xml:space="preserve"> to this policy. Ensure that procedures are in place to govern access to and the use of personal identifiable and confidential information. Provide leadership and informed guidance on complex matters involving confidentiality and information sharing. </w:t>
      </w:r>
    </w:p>
    <w:p w14:paraId="31214B30" w14:textId="5672F5AB" w:rsidR="00BD0F5B" w:rsidRDefault="00BD0F5B" w:rsidP="00F74730">
      <w:pPr>
        <w:autoSpaceDE w:val="0"/>
        <w:autoSpaceDN w:val="0"/>
        <w:adjustRightInd w:val="0"/>
        <w:ind w:firstLine="425"/>
        <w:rPr>
          <w:color w:val="auto"/>
        </w:rPr>
      </w:pPr>
    </w:p>
    <w:p w14:paraId="276C728B" w14:textId="1271446F" w:rsidR="00BD0F5B" w:rsidRDefault="00BD0F5B" w:rsidP="00EA1836">
      <w:pPr>
        <w:spacing w:line="240" w:lineRule="auto"/>
        <w:ind w:firstLine="425"/>
        <w:rPr>
          <w:b/>
          <w:bCs/>
          <w:color w:val="auto"/>
        </w:rPr>
      </w:pPr>
      <w:r>
        <w:rPr>
          <w:color w:val="auto"/>
        </w:rPr>
        <w:t xml:space="preserve">5.5 </w:t>
      </w:r>
      <w:r w:rsidRPr="000613FE">
        <w:rPr>
          <w:b/>
          <w:bCs/>
          <w:color w:val="auto"/>
        </w:rPr>
        <w:t>Senior Information Governance Manager</w:t>
      </w:r>
    </w:p>
    <w:p w14:paraId="0672FDF7" w14:textId="77777777" w:rsidR="00BD0F5B" w:rsidRDefault="00BD0F5B" w:rsidP="00BD0F5B">
      <w:pPr>
        <w:spacing w:line="240" w:lineRule="auto"/>
        <w:ind w:left="851" w:firstLine="5"/>
        <w:rPr>
          <w:b/>
          <w:bCs/>
          <w:color w:val="auto"/>
        </w:rPr>
      </w:pPr>
    </w:p>
    <w:p w14:paraId="04859A71" w14:textId="160C6156" w:rsidR="00BD0F5B" w:rsidRPr="006F4183" w:rsidRDefault="00BD0F5B" w:rsidP="00EA1836">
      <w:pPr>
        <w:spacing w:line="240" w:lineRule="auto"/>
        <w:ind w:left="425"/>
        <w:jc w:val="both"/>
        <w:rPr>
          <w:color w:val="auto"/>
        </w:rPr>
      </w:pPr>
      <w:r>
        <w:rPr>
          <w:color w:val="auto"/>
        </w:rPr>
        <w:t xml:space="preserve">The Senior Information Governance Manager </w:t>
      </w:r>
      <w:r w:rsidRPr="006F4183">
        <w:rPr>
          <w:color w:val="auto"/>
        </w:rPr>
        <w:t>is responsible for ensuring effective management, accountability, compliance, and assurance for all aspects of information governance within the organisation.</w:t>
      </w:r>
      <w:r>
        <w:rPr>
          <w:color w:val="auto"/>
        </w:rPr>
        <w:t xml:space="preserve"> The Information Governance Team will provide advice, guidance and support to all staff </w:t>
      </w:r>
      <w:r w:rsidR="00EA1836">
        <w:rPr>
          <w:color w:val="auto"/>
        </w:rPr>
        <w:t xml:space="preserve">on any matters relating to this policy. </w:t>
      </w:r>
    </w:p>
    <w:p w14:paraId="5455552E" w14:textId="14828CE3" w:rsidR="00BD0F5B" w:rsidRPr="008954E3" w:rsidRDefault="00BD0F5B" w:rsidP="00F74730">
      <w:pPr>
        <w:autoSpaceDE w:val="0"/>
        <w:autoSpaceDN w:val="0"/>
        <w:adjustRightInd w:val="0"/>
        <w:ind w:firstLine="425"/>
        <w:rPr>
          <w:color w:val="auto"/>
        </w:rPr>
      </w:pPr>
    </w:p>
    <w:p w14:paraId="64BB2FD9" w14:textId="77777777" w:rsidR="00F74730" w:rsidRPr="008954E3" w:rsidRDefault="00F74730" w:rsidP="00F74730">
      <w:pPr>
        <w:autoSpaceDE w:val="0"/>
        <w:autoSpaceDN w:val="0"/>
        <w:adjustRightInd w:val="0"/>
        <w:rPr>
          <w:color w:val="auto"/>
        </w:rPr>
      </w:pPr>
    </w:p>
    <w:p w14:paraId="7C2785E6" w14:textId="4B95A9CE" w:rsidR="00F74730" w:rsidRPr="008954E3" w:rsidRDefault="00F74730" w:rsidP="00F74730">
      <w:pPr>
        <w:autoSpaceDE w:val="0"/>
        <w:autoSpaceDN w:val="0"/>
        <w:adjustRightInd w:val="0"/>
        <w:ind w:left="425"/>
        <w:rPr>
          <w:color w:val="auto"/>
        </w:rPr>
      </w:pPr>
      <w:bookmarkStart w:id="11" w:name="_Toc132103181"/>
      <w:r w:rsidRPr="008954E3">
        <w:rPr>
          <w:rStyle w:val="Heading2Char"/>
        </w:rPr>
        <w:t>5.</w:t>
      </w:r>
      <w:r w:rsidR="00BD0F5B">
        <w:rPr>
          <w:rStyle w:val="Heading2Char"/>
        </w:rPr>
        <w:t>6</w:t>
      </w:r>
      <w:r w:rsidR="00BD0F5B" w:rsidRPr="008954E3">
        <w:rPr>
          <w:rStyle w:val="Heading2Char"/>
        </w:rPr>
        <w:t xml:space="preserve"> </w:t>
      </w:r>
      <w:r w:rsidRPr="008954E3">
        <w:rPr>
          <w:rStyle w:val="Heading2Char"/>
        </w:rPr>
        <w:t>Information governance steering group</w:t>
      </w:r>
      <w:bookmarkEnd w:id="11"/>
      <w:r w:rsidRPr="008954E3">
        <w:rPr>
          <w:b/>
          <w:color w:val="auto"/>
        </w:rPr>
        <w:t>:</w:t>
      </w:r>
      <w:r w:rsidRPr="008954E3">
        <w:rPr>
          <w:color w:val="auto"/>
        </w:rPr>
        <w:t xml:space="preserve"> Infrastructure, implementation, monitoring and review of this document.</w:t>
      </w:r>
    </w:p>
    <w:p w14:paraId="712696BD" w14:textId="77777777" w:rsidR="00F74730" w:rsidRPr="008954E3" w:rsidRDefault="00F74730" w:rsidP="00F74730">
      <w:pPr>
        <w:spacing w:line="240" w:lineRule="auto"/>
        <w:rPr>
          <w:color w:val="auto"/>
        </w:rPr>
      </w:pPr>
    </w:p>
    <w:p w14:paraId="0D573750" w14:textId="5042EDD9" w:rsidR="00F74730" w:rsidRPr="008954E3" w:rsidRDefault="00F74730" w:rsidP="00F74730">
      <w:pPr>
        <w:spacing w:line="240" w:lineRule="auto"/>
        <w:ind w:left="425"/>
        <w:rPr>
          <w:color w:val="auto"/>
        </w:rPr>
      </w:pPr>
      <w:bookmarkStart w:id="12" w:name="_Toc132103182"/>
      <w:r w:rsidRPr="008954E3">
        <w:rPr>
          <w:rStyle w:val="Heading2Char"/>
        </w:rPr>
        <w:t>5.</w:t>
      </w:r>
      <w:r w:rsidR="00BD0F5B">
        <w:rPr>
          <w:rStyle w:val="Heading2Char"/>
        </w:rPr>
        <w:t>7</w:t>
      </w:r>
      <w:r w:rsidRPr="008954E3">
        <w:rPr>
          <w:rStyle w:val="Heading2Char"/>
        </w:rPr>
        <w:t xml:space="preserve"> Line Managers</w:t>
      </w:r>
      <w:bookmarkEnd w:id="12"/>
      <w:r w:rsidRPr="008954E3">
        <w:rPr>
          <w:b/>
          <w:color w:val="auto"/>
        </w:rPr>
        <w:t xml:space="preserve"> - </w:t>
      </w:r>
      <w:r w:rsidRPr="008954E3">
        <w:rPr>
          <w:color w:val="auto"/>
        </w:rPr>
        <w:t xml:space="preserve">Line managers are responsible for ensuring that all staff particularly new staff, temporary staff, contractors, and volunteers, know what is expected of them should they be involved with processing confidential patient information for research or planning. </w:t>
      </w:r>
    </w:p>
    <w:p w14:paraId="046775C1" w14:textId="65F1C084" w:rsidR="00F74730" w:rsidRPr="008954E3" w:rsidRDefault="00F74730" w:rsidP="00F74730">
      <w:pPr>
        <w:autoSpaceDE w:val="0"/>
        <w:autoSpaceDN w:val="0"/>
        <w:adjustRightInd w:val="0"/>
        <w:rPr>
          <w:color w:val="auto"/>
        </w:rPr>
      </w:pPr>
      <w:r w:rsidRPr="008954E3">
        <w:rPr>
          <w:color w:val="auto"/>
        </w:rPr>
        <w:br/>
      </w:r>
    </w:p>
    <w:p w14:paraId="101D11FB" w14:textId="74E38731" w:rsidR="00F74730" w:rsidRPr="008954E3" w:rsidRDefault="00F74730" w:rsidP="00F74730">
      <w:pPr>
        <w:autoSpaceDE w:val="0"/>
        <w:autoSpaceDN w:val="0"/>
        <w:adjustRightInd w:val="0"/>
        <w:ind w:firstLine="360"/>
        <w:rPr>
          <w:color w:val="auto"/>
        </w:rPr>
      </w:pPr>
      <w:bookmarkStart w:id="13" w:name="_Toc132103183"/>
      <w:r w:rsidRPr="008954E3">
        <w:rPr>
          <w:rStyle w:val="Heading2Char"/>
        </w:rPr>
        <w:t>5.</w:t>
      </w:r>
      <w:r w:rsidR="00BD0F5B">
        <w:rPr>
          <w:rStyle w:val="Heading2Char"/>
        </w:rPr>
        <w:t>8</w:t>
      </w:r>
      <w:r w:rsidRPr="008954E3">
        <w:rPr>
          <w:rStyle w:val="Heading2Char"/>
        </w:rPr>
        <w:t xml:space="preserve"> All staff:</w:t>
      </w:r>
      <w:bookmarkEnd w:id="13"/>
      <w:r w:rsidRPr="008954E3">
        <w:rPr>
          <w:b/>
          <w:color w:val="auto"/>
        </w:rPr>
        <w:t xml:space="preserve"> </w:t>
      </w:r>
      <w:r w:rsidRPr="008954E3">
        <w:rPr>
          <w:color w:val="auto"/>
        </w:rPr>
        <w:t>Supporting and adhering to this policy, in particular:</w:t>
      </w:r>
    </w:p>
    <w:p w14:paraId="46478BBF" w14:textId="77777777" w:rsidR="00F74730" w:rsidRPr="008954E3" w:rsidRDefault="00F74730" w:rsidP="00F74730">
      <w:pPr>
        <w:autoSpaceDE w:val="0"/>
        <w:autoSpaceDN w:val="0"/>
        <w:adjustRightInd w:val="0"/>
        <w:rPr>
          <w:color w:val="auto"/>
        </w:rPr>
      </w:pPr>
    </w:p>
    <w:p w14:paraId="41C8F5C1" w14:textId="77777777" w:rsidR="00F74730" w:rsidRPr="008954E3" w:rsidRDefault="00F74730" w:rsidP="00F74730">
      <w:pPr>
        <w:numPr>
          <w:ilvl w:val="0"/>
          <w:numId w:val="30"/>
        </w:numPr>
        <w:autoSpaceDE w:val="0"/>
        <w:autoSpaceDN w:val="0"/>
        <w:adjustRightInd w:val="0"/>
        <w:spacing w:line="240" w:lineRule="auto"/>
        <w:rPr>
          <w:color w:val="auto"/>
        </w:rPr>
      </w:pPr>
      <w:r w:rsidRPr="008954E3">
        <w:rPr>
          <w:color w:val="auto"/>
        </w:rPr>
        <w:t>To seek advice from the Information Governance team on whether the National Data Opt-out applies to their data activities and how it can be implemented in their area.</w:t>
      </w:r>
      <w:r w:rsidRPr="008954E3">
        <w:rPr>
          <w:color w:val="auto"/>
        </w:rPr>
        <w:br/>
      </w:r>
    </w:p>
    <w:p w14:paraId="5588BF02" w14:textId="6FEEABDF" w:rsidR="00F74730" w:rsidRPr="008954E3" w:rsidRDefault="00F74730" w:rsidP="00F74730">
      <w:pPr>
        <w:numPr>
          <w:ilvl w:val="0"/>
          <w:numId w:val="30"/>
        </w:numPr>
        <w:autoSpaceDE w:val="0"/>
        <w:autoSpaceDN w:val="0"/>
        <w:adjustRightInd w:val="0"/>
        <w:spacing w:line="240" w:lineRule="auto"/>
        <w:rPr>
          <w:color w:val="auto"/>
        </w:rPr>
      </w:pPr>
      <w:r w:rsidRPr="008954E3">
        <w:rPr>
          <w:color w:val="auto"/>
        </w:rPr>
        <w:t>Every member of staff is responsible for taking precautions to ensure the security of information, both whilst it is in their possession and when it is being transferred from one person or organisation to another. If staff are unsure about sharing information, they should refer to Information Governance Policies or take advice from their line manager, the Information Governance Team or the Caldicott Guardian, as appropriate.</w:t>
      </w:r>
    </w:p>
    <w:p w14:paraId="7040BC97" w14:textId="77777777" w:rsidR="00F74730" w:rsidRPr="008954E3" w:rsidRDefault="00F74730" w:rsidP="00F74730">
      <w:pPr>
        <w:rPr>
          <w:color w:val="auto"/>
        </w:rPr>
      </w:pPr>
    </w:p>
    <w:p w14:paraId="7E8FEA82" w14:textId="77777777" w:rsidR="00F74730" w:rsidRPr="008954E3" w:rsidRDefault="00F74730" w:rsidP="00F74730">
      <w:pPr>
        <w:numPr>
          <w:ilvl w:val="0"/>
          <w:numId w:val="30"/>
        </w:numPr>
        <w:autoSpaceDE w:val="0"/>
        <w:autoSpaceDN w:val="0"/>
        <w:adjustRightInd w:val="0"/>
        <w:spacing w:line="240" w:lineRule="auto"/>
        <w:rPr>
          <w:color w:val="auto"/>
        </w:rPr>
      </w:pPr>
      <w:r w:rsidRPr="008954E3">
        <w:rPr>
          <w:color w:val="auto"/>
        </w:rPr>
        <w:t>Keep up to date with best practice confidentiality and data protection procedures and legislation through undertaking annual Information Governance training.</w:t>
      </w:r>
    </w:p>
    <w:p w14:paraId="72247A21" w14:textId="77777777" w:rsidR="00F74730" w:rsidRPr="008954E3" w:rsidRDefault="00F74730" w:rsidP="00F74730">
      <w:pPr>
        <w:pStyle w:val="ListParagraph"/>
        <w:rPr>
          <w:color w:val="auto"/>
        </w:rPr>
      </w:pPr>
    </w:p>
    <w:p w14:paraId="14555C9F" w14:textId="7FE50F7C" w:rsidR="00A47D95" w:rsidRPr="008954E3" w:rsidRDefault="00F74730" w:rsidP="00A47D95">
      <w:pPr>
        <w:numPr>
          <w:ilvl w:val="0"/>
          <w:numId w:val="30"/>
        </w:numPr>
        <w:autoSpaceDE w:val="0"/>
        <w:autoSpaceDN w:val="0"/>
        <w:adjustRightInd w:val="0"/>
        <w:spacing w:line="240" w:lineRule="auto"/>
        <w:rPr>
          <w:color w:val="auto"/>
        </w:rPr>
      </w:pPr>
      <w:r w:rsidRPr="008954E3">
        <w:rPr>
          <w:color w:val="auto"/>
        </w:rPr>
        <w:lastRenderedPageBreak/>
        <w:t xml:space="preserve">Understand and adhere to, Privacy and Data Protection Legislation and other legal requirements including the Confidentiality NHS Code of Practice. </w:t>
      </w:r>
    </w:p>
    <w:p w14:paraId="29E0B787" w14:textId="77777777" w:rsidR="00A47D95" w:rsidRPr="008954E3" w:rsidRDefault="00A47D95" w:rsidP="00694ABB">
      <w:pPr>
        <w:spacing w:line="240" w:lineRule="auto"/>
        <w:ind w:left="720"/>
        <w:rPr>
          <w:color w:val="auto"/>
        </w:rPr>
      </w:pPr>
    </w:p>
    <w:p w14:paraId="5B25D4F5" w14:textId="77777777" w:rsidR="009F2C13" w:rsidRPr="008954E3" w:rsidRDefault="009F2C13" w:rsidP="00694ABB">
      <w:pPr>
        <w:spacing w:line="240" w:lineRule="auto"/>
        <w:ind w:left="720"/>
        <w:rPr>
          <w:color w:val="auto"/>
        </w:rPr>
      </w:pPr>
    </w:p>
    <w:p w14:paraId="1AD394E7" w14:textId="50985712" w:rsidR="00694ABB" w:rsidRPr="008954E3" w:rsidRDefault="00694ABB" w:rsidP="00F74730">
      <w:pPr>
        <w:pStyle w:val="Heading2"/>
        <w:numPr>
          <w:ilvl w:val="1"/>
          <w:numId w:val="31"/>
        </w:numPr>
      </w:pPr>
      <w:bookmarkStart w:id="14" w:name="_Toc132103184"/>
      <w:r w:rsidRPr="008954E3">
        <w:t>Responsibilities for approval</w:t>
      </w:r>
      <w:bookmarkEnd w:id="14"/>
    </w:p>
    <w:p w14:paraId="362B439B" w14:textId="4867DD82" w:rsidR="00694ABB" w:rsidRPr="008954E3" w:rsidRDefault="00A47D95" w:rsidP="00A47D95">
      <w:pPr>
        <w:spacing w:line="240" w:lineRule="auto"/>
        <w:ind w:left="856"/>
        <w:rPr>
          <w:color w:val="auto"/>
        </w:rPr>
      </w:pPr>
      <w:r w:rsidRPr="008954E3">
        <w:rPr>
          <w:color w:val="auto"/>
        </w:rPr>
        <w:t xml:space="preserve">The </w:t>
      </w:r>
      <w:r w:rsidR="00EA1836">
        <w:rPr>
          <w:color w:val="auto"/>
        </w:rPr>
        <w:t>Board</w:t>
      </w:r>
      <w:r w:rsidRPr="008954E3">
        <w:rPr>
          <w:color w:val="auto"/>
        </w:rPr>
        <w:t xml:space="preserve"> are responsible for approving this policy. </w:t>
      </w:r>
    </w:p>
    <w:p w14:paraId="66A1D27B" w14:textId="77777777" w:rsidR="00694ABB" w:rsidRPr="008954E3" w:rsidRDefault="00694ABB" w:rsidP="00694ABB">
      <w:pPr>
        <w:spacing w:line="240" w:lineRule="auto"/>
        <w:ind w:left="720"/>
        <w:rPr>
          <w:color w:val="auto"/>
        </w:rPr>
      </w:pPr>
    </w:p>
    <w:p w14:paraId="47BF8089" w14:textId="513A06E8" w:rsidR="00694ABB" w:rsidRPr="008954E3" w:rsidRDefault="00694ABB" w:rsidP="00694ABB">
      <w:pPr>
        <w:pStyle w:val="Heading1"/>
      </w:pPr>
      <w:bookmarkStart w:id="15" w:name="_Toc132103185"/>
      <w:r w:rsidRPr="008954E3">
        <w:t>Policy Document Requirements</w:t>
      </w:r>
      <w:bookmarkEnd w:id="15"/>
    </w:p>
    <w:p w14:paraId="3A1A6B20" w14:textId="1557761D" w:rsidR="00DD443C" w:rsidRPr="008954E3" w:rsidRDefault="005362FB" w:rsidP="005362FB">
      <w:pPr>
        <w:ind w:left="720"/>
        <w:rPr>
          <w:b/>
          <w:bCs/>
          <w:color w:val="auto"/>
        </w:rPr>
      </w:pPr>
      <w:r w:rsidRPr="008954E3">
        <w:rPr>
          <w:b/>
          <w:bCs/>
          <w:color w:val="auto"/>
        </w:rPr>
        <w:t>Data Disclosures to which the National Data Opt-Out applies:</w:t>
      </w:r>
    </w:p>
    <w:p w14:paraId="575AE870" w14:textId="50FC9166" w:rsidR="005362FB" w:rsidRPr="008954E3" w:rsidRDefault="005362FB" w:rsidP="00FE50C9">
      <w:pPr>
        <w:rPr>
          <w:color w:val="auto"/>
        </w:rPr>
      </w:pPr>
    </w:p>
    <w:p w14:paraId="6C202CFE" w14:textId="4462F6D9" w:rsidR="00FE50C9" w:rsidRPr="008954E3" w:rsidRDefault="00FE50C9" w:rsidP="00FE50C9">
      <w:pPr>
        <w:ind w:left="720"/>
        <w:rPr>
          <w:b/>
          <w:bCs/>
          <w:color w:val="auto"/>
        </w:rPr>
      </w:pPr>
      <w:r w:rsidRPr="008954E3">
        <w:rPr>
          <w:color w:val="auto"/>
        </w:rPr>
        <w:t xml:space="preserve">The National Data Opt-Out applies in only limited circumstances. </w:t>
      </w:r>
      <w:r w:rsidRPr="008954E3">
        <w:rPr>
          <w:bCs/>
          <w:color w:val="auto"/>
        </w:rPr>
        <w:t>Broadly it applies to confidential patient information at the point it is disclosed for purposes beyond individual care which rely on Section 251 authorisation under the NHS Act 2006.</w:t>
      </w:r>
      <w:r w:rsidRPr="008954E3">
        <w:rPr>
          <w:b/>
          <w:bCs/>
          <w:color w:val="auto"/>
        </w:rPr>
        <w:t xml:space="preserve"> </w:t>
      </w:r>
    </w:p>
    <w:p w14:paraId="23A4B555" w14:textId="72E10D06" w:rsidR="00FE50C9" w:rsidRPr="008954E3" w:rsidRDefault="00FE50C9" w:rsidP="00FE50C9">
      <w:pPr>
        <w:rPr>
          <w:b/>
          <w:bCs/>
          <w:color w:val="auto"/>
        </w:rPr>
      </w:pPr>
    </w:p>
    <w:p w14:paraId="47E03C07" w14:textId="745A05E8" w:rsidR="00FE50C9" w:rsidRPr="008954E3" w:rsidRDefault="00FE50C9" w:rsidP="00EA1836">
      <w:pPr>
        <w:ind w:left="720"/>
        <w:rPr>
          <w:color w:val="auto"/>
        </w:rPr>
      </w:pPr>
      <w:r w:rsidRPr="008954E3">
        <w:rPr>
          <w:color w:val="auto"/>
          <w:shd w:val="clear" w:color="auto" w:fill="FFFFFF"/>
        </w:rPr>
        <w:t>Section 251s enable the common law duty of confidentiality to be temporarily lifted so that confidential patient information can be disclosed without the data controller being in breach of the common law duty of confidentiality.</w:t>
      </w:r>
      <w:r w:rsidR="00EB7076">
        <w:rPr>
          <w:color w:val="auto"/>
          <w:shd w:val="clear" w:color="auto" w:fill="FFFFFF"/>
        </w:rPr>
        <w:t xml:space="preserve"> </w:t>
      </w:r>
      <w:r w:rsidRPr="008954E3">
        <w:rPr>
          <w:color w:val="auto"/>
          <w:shd w:val="clear" w:color="auto" w:fill="FFFFFF"/>
        </w:rPr>
        <w:t>In practice, this means that the organisation responsible for the information (the data controller) can, if they wish, disclose the information to the data applicant, for example a research body, without being in breach of the common law duty of confidentiality. </w:t>
      </w:r>
      <w:r w:rsidRPr="008954E3">
        <w:rPr>
          <w:rStyle w:val="Strong"/>
          <w:color w:val="auto"/>
          <w:shd w:val="clear" w:color="auto" w:fill="FFFFFF"/>
        </w:rPr>
        <w:t xml:space="preserve">To be clear - it is only in these cases where opt-outs apply. </w:t>
      </w:r>
      <w:r w:rsidRPr="008954E3">
        <w:rPr>
          <w:color w:val="auto"/>
        </w:rPr>
        <w:t xml:space="preserve">It does not apply to data that patients have explicitly consented to share, nor to aggregated or anonymised </w:t>
      </w:r>
      <w:r w:rsidR="007626A2" w:rsidRPr="008954E3">
        <w:rPr>
          <w:color w:val="auto"/>
        </w:rPr>
        <w:t>data,</w:t>
      </w:r>
      <w:r w:rsidRPr="008954E3">
        <w:rPr>
          <w:color w:val="auto"/>
        </w:rPr>
        <w:t xml:space="preserve"> only to the use of confidential data without consent. </w:t>
      </w:r>
    </w:p>
    <w:p w14:paraId="1CA189A9" w14:textId="7C2AE9EA" w:rsidR="00FE50C9" w:rsidRPr="008954E3" w:rsidRDefault="00FE50C9" w:rsidP="00FE50C9">
      <w:pPr>
        <w:autoSpaceDE w:val="0"/>
        <w:autoSpaceDN w:val="0"/>
        <w:adjustRightInd w:val="0"/>
        <w:ind w:left="720"/>
        <w:contextualSpacing/>
        <w:rPr>
          <w:color w:val="auto"/>
        </w:rPr>
      </w:pPr>
    </w:p>
    <w:p w14:paraId="1E9F2032" w14:textId="12DD0B9B" w:rsidR="00FE50C9" w:rsidRPr="008954E3" w:rsidRDefault="00FE50C9" w:rsidP="00FE50C9">
      <w:pPr>
        <w:autoSpaceDE w:val="0"/>
        <w:autoSpaceDN w:val="0"/>
        <w:adjustRightInd w:val="0"/>
        <w:ind w:left="720"/>
        <w:contextualSpacing/>
        <w:rPr>
          <w:color w:val="auto"/>
        </w:rPr>
      </w:pPr>
      <w:r w:rsidRPr="008954E3">
        <w:rPr>
          <w:color w:val="auto"/>
        </w:rPr>
        <w:t xml:space="preserve">In the NHS, the use of confidential patient information without consent is already strictly controlled. Any processing and sharing must always be in accordance with the principles of data protection legislation and the common law duty of confidentiality. Hence confidential patient information tends to be used only were essential and unavoidable. As such, many of these uses override the National Data Opt-Out. </w:t>
      </w:r>
    </w:p>
    <w:p w14:paraId="4512F986" w14:textId="03FB56B6" w:rsidR="00FE50C9" w:rsidRPr="008954E3" w:rsidRDefault="00FE50C9" w:rsidP="00FE50C9">
      <w:pPr>
        <w:autoSpaceDE w:val="0"/>
        <w:autoSpaceDN w:val="0"/>
        <w:adjustRightInd w:val="0"/>
        <w:ind w:left="720"/>
        <w:contextualSpacing/>
        <w:rPr>
          <w:color w:val="auto"/>
        </w:rPr>
      </w:pPr>
    </w:p>
    <w:p w14:paraId="5C3A2D1A" w14:textId="7FB091B7" w:rsidR="00FE50C9" w:rsidRPr="008954E3" w:rsidRDefault="00FE50C9" w:rsidP="00FE50C9">
      <w:pPr>
        <w:autoSpaceDE w:val="0"/>
        <w:autoSpaceDN w:val="0"/>
        <w:adjustRightInd w:val="0"/>
        <w:ind w:left="720"/>
        <w:contextualSpacing/>
        <w:rPr>
          <w:color w:val="auto"/>
        </w:rPr>
      </w:pPr>
      <w:r w:rsidRPr="008954E3">
        <w:rPr>
          <w:color w:val="auto"/>
        </w:rPr>
        <w:t xml:space="preserve">In certain </w:t>
      </w:r>
      <w:r w:rsidR="007626A2" w:rsidRPr="008954E3">
        <w:rPr>
          <w:color w:val="auto"/>
        </w:rPr>
        <w:t>cases,</w:t>
      </w:r>
      <w:r w:rsidRPr="008954E3">
        <w:rPr>
          <w:color w:val="auto"/>
        </w:rPr>
        <w:t xml:space="preserve"> it has been agreed that the NDOO should not apply to</w:t>
      </w:r>
      <w:r w:rsidR="001F42A2" w:rsidRPr="008954E3">
        <w:rPr>
          <w:color w:val="auto"/>
        </w:rPr>
        <w:t xml:space="preserve"> programmes which have a section 251 approval such as Invoice Validation for Controlled Environment for Finance, Assuring </w:t>
      </w:r>
      <w:r w:rsidR="007626A2" w:rsidRPr="008954E3">
        <w:rPr>
          <w:color w:val="auto"/>
        </w:rPr>
        <w:t>Transformation,</w:t>
      </w:r>
      <w:r w:rsidR="001F42A2" w:rsidRPr="008954E3">
        <w:rPr>
          <w:color w:val="auto"/>
        </w:rPr>
        <w:t xml:space="preserve"> and a number of National Audit Programmes. A full list of programmes with a Section 251 approval that are exempt from the  NDOO can be found at: </w:t>
      </w:r>
      <w:hyperlink r:id="rId18" w:history="1">
        <w:r w:rsidR="001F42A2" w:rsidRPr="008954E3">
          <w:rPr>
            <w:rStyle w:val="Hyperlink"/>
            <w:color w:val="auto"/>
          </w:rPr>
          <w:t>Programmes to which the National Data Opt-Out should not be applied - NHS Digital</w:t>
        </w:r>
      </w:hyperlink>
    </w:p>
    <w:p w14:paraId="155CA7D4" w14:textId="77777777" w:rsidR="00FE50C9" w:rsidRPr="008954E3" w:rsidRDefault="00FE50C9" w:rsidP="001F42A2">
      <w:pPr>
        <w:autoSpaceDE w:val="0"/>
        <w:autoSpaceDN w:val="0"/>
        <w:adjustRightInd w:val="0"/>
        <w:contextualSpacing/>
        <w:rPr>
          <w:color w:val="auto"/>
        </w:rPr>
      </w:pPr>
    </w:p>
    <w:p w14:paraId="00B73007" w14:textId="1C6C792E" w:rsidR="00FE50C9" w:rsidRPr="008954E3" w:rsidRDefault="001F42A2" w:rsidP="00FE50C9">
      <w:pPr>
        <w:ind w:left="720"/>
        <w:rPr>
          <w:color w:val="auto"/>
        </w:rPr>
      </w:pPr>
      <w:r w:rsidRPr="008954E3">
        <w:rPr>
          <w:color w:val="auto"/>
        </w:rPr>
        <w:lastRenderedPageBreak/>
        <w:t xml:space="preserve">The </w:t>
      </w:r>
      <w:r w:rsidR="00EB7076">
        <w:rPr>
          <w:color w:val="auto"/>
        </w:rPr>
        <w:t xml:space="preserve">programmes with Section 251 approval </w:t>
      </w:r>
      <w:r w:rsidR="00EA1836">
        <w:rPr>
          <w:color w:val="auto"/>
        </w:rPr>
        <w:t>are</w:t>
      </w:r>
      <w:r w:rsidRPr="008954E3">
        <w:rPr>
          <w:color w:val="auto"/>
        </w:rPr>
        <w:t xml:space="preserve"> subject to change so </w:t>
      </w:r>
      <w:r w:rsidR="00367D9A">
        <w:rPr>
          <w:color w:val="auto"/>
        </w:rPr>
        <w:t xml:space="preserve">it is important that the list is </w:t>
      </w:r>
      <w:r w:rsidRPr="008954E3">
        <w:rPr>
          <w:color w:val="auto"/>
        </w:rPr>
        <w:t>regularly</w:t>
      </w:r>
      <w:r w:rsidR="00367D9A">
        <w:rPr>
          <w:color w:val="auto"/>
        </w:rPr>
        <w:t xml:space="preserve"> checked</w:t>
      </w:r>
      <w:r w:rsidR="00EA1836">
        <w:rPr>
          <w:color w:val="202A30"/>
          <w:shd w:val="clear" w:color="auto" w:fill="FFFFFF"/>
        </w:rPr>
        <w:t xml:space="preserve"> by all staff processing data that is in scope of the NDOO</w:t>
      </w:r>
      <w:r w:rsidR="00EA1836" w:rsidRPr="00EA1836" w:rsidDel="00EA1836">
        <w:rPr>
          <w:color w:val="202A30"/>
          <w:shd w:val="clear" w:color="auto" w:fill="FFFFFF"/>
        </w:rPr>
        <w:t xml:space="preserve"> </w:t>
      </w:r>
    </w:p>
    <w:p w14:paraId="6B15FBA4" w14:textId="4563B2AC" w:rsidR="00C32008" w:rsidRPr="008954E3" w:rsidRDefault="00C32008" w:rsidP="00FE50C9">
      <w:pPr>
        <w:ind w:left="720"/>
        <w:rPr>
          <w:color w:val="auto"/>
        </w:rPr>
      </w:pPr>
    </w:p>
    <w:p w14:paraId="1CCA4023" w14:textId="32BFBD5F" w:rsidR="00C32008" w:rsidRPr="008954E3" w:rsidRDefault="00C32008" w:rsidP="00FE50C9">
      <w:pPr>
        <w:ind w:left="720"/>
        <w:rPr>
          <w:b/>
          <w:bCs/>
          <w:color w:val="auto"/>
        </w:rPr>
      </w:pPr>
      <w:r w:rsidRPr="008954E3">
        <w:rPr>
          <w:b/>
          <w:bCs/>
          <w:color w:val="auto"/>
        </w:rPr>
        <w:t>When to apply the National Data Opt-Out:</w:t>
      </w:r>
    </w:p>
    <w:p w14:paraId="00D0BDB5" w14:textId="630A7436" w:rsidR="00C32008" w:rsidRPr="008954E3" w:rsidRDefault="00C32008" w:rsidP="00FE50C9">
      <w:pPr>
        <w:ind w:left="720"/>
        <w:rPr>
          <w:color w:val="auto"/>
        </w:rPr>
      </w:pPr>
    </w:p>
    <w:p w14:paraId="6FFAD089" w14:textId="09021A71" w:rsidR="00C32008" w:rsidRPr="008954E3" w:rsidRDefault="00C32008" w:rsidP="00C32008">
      <w:pPr>
        <w:autoSpaceDE w:val="0"/>
        <w:autoSpaceDN w:val="0"/>
        <w:adjustRightInd w:val="0"/>
        <w:ind w:firstLine="720"/>
        <w:contextualSpacing/>
        <w:rPr>
          <w:color w:val="auto"/>
        </w:rPr>
      </w:pPr>
      <w:r w:rsidRPr="008954E3">
        <w:rPr>
          <w:color w:val="auto"/>
        </w:rPr>
        <w:t>The impact of the National Data Opt-Out is limited, particularly for ICBs, however,</w:t>
      </w:r>
    </w:p>
    <w:p w14:paraId="165E6F5D" w14:textId="2454B75F" w:rsidR="00C32008" w:rsidRPr="008954E3" w:rsidRDefault="00C32008" w:rsidP="00C32008">
      <w:pPr>
        <w:autoSpaceDE w:val="0"/>
        <w:autoSpaceDN w:val="0"/>
        <w:adjustRightInd w:val="0"/>
        <w:ind w:left="720"/>
        <w:contextualSpacing/>
        <w:rPr>
          <w:color w:val="auto"/>
        </w:rPr>
      </w:pPr>
      <w:r w:rsidRPr="008954E3">
        <w:rPr>
          <w:color w:val="auto"/>
        </w:rPr>
        <w:t>any staff initiating or involved in projects that make use of confidential patient information without consent for non-care purposes should seek the advice of the IG Team unless they are certain that either a) Section 251 (of the NHS Act 2006) approval is not required and the National Data Opt-Out does not apply or b) Section 251 approval has been obtained and the project is specifically exempted from the National Data Out-Out</w:t>
      </w:r>
      <w:r w:rsidR="006C191A" w:rsidRPr="008954E3">
        <w:rPr>
          <w:color w:val="auto"/>
        </w:rPr>
        <w:t xml:space="preserve"> as detailed in the list at the above link. </w:t>
      </w:r>
    </w:p>
    <w:p w14:paraId="30388CDD" w14:textId="0480BB40" w:rsidR="00C32008" w:rsidRPr="008954E3" w:rsidRDefault="00C32008" w:rsidP="00C32008">
      <w:pPr>
        <w:autoSpaceDE w:val="0"/>
        <w:autoSpaceDN w:val="0"/>
        <w:adjustRightInd w:val="0"/>
        <w:ind w:left="720"/>
        <w:contextualSpacing/>
        <w:rPr>
          <w:color w:val="auto"/>
        </w:rPr>
      </w:pPr>
    </w:p>
    <w:p w14:paraId="599C4C3B" w14:textId="54BBB6E4" w:rsidR="00C32008" w:rsidRPr="008954E3" w:rsidRDefault="00C32008" w:rsidP="00C32008">
      <w:pPr>
        <w:autoSpaceDE w:val="0"/>
        <w:autoSpaceDN w:val="0"/>
        <w:adjustRightInd w:val="0"/>
        <w:ind w:left="720"/>
        <w:contextualSpacing/>
        <w:rPr>
          <w:color w:val="auto"/>
        </w:rPr>
      </w:pPr>
      <w:r w:rsidRPr="008954E3">
        <w:rPr>
          <w:color w:val="auto"/>
        </w:rPr>
        <w:t>For further support and advice please contact:</w:t>
      </w:r>
    </w:p>
    <w:p w14:paraId="40641E3F" w14:textId="08719FFF" w:rsidR="00C32008" w:rsidRPr="008954E3" w:rsidRDefault="00C32008" w:rsidP="00C32008">
      <w:pPr>
        <w:autoSpaceDE w:val="0"/>
        <w:autoSpaceDN w:val="0"/>
        <w:adjustRightInd w:val="0"/>
        <w:ind w:left="720"/>
        <w:contextualSpacing/>
        <w:rPr>
          <w:color w:val="auto"/>
        </w:rPr>
      </w:pPr>
      <w:r w:rsidRPr="008954E3">
        <w:rPr>
          <w:color w:val="auto"/>
        </w:rPr>
        <w:t>Senior Information Governance Manager –</w:t>
      </w:r>
      <w:hyperlink r:id="rId19" w:history="1">
        <w:r w:rsidR="00EA1836" w:rsidRPr="00696BBD">
          <w:rPr>
            <w:rStyle w:val="Hyperlink"/>
          </w:rPr>
          <w:t>hnyicb-ery.ig@nhs.net</w:t>
        </w:r>
      </w:hyperlink>
      <w:r w:rsidR="00EA1836">
        <w:rPr>
          <w:color w:val="auto"/>
        </w:rPr>
        <w:t xml:space="preserve"> </w:t>
      </w:r>
    </w:p>
    <w:p w14:paraId="231922F2" w14:textId="77777777" w:rsidR="00C32008" w:rsidRPr="008954E3" w:rsidRDefault="00C32008" w:rsidP="00FE50C9">
      <w:pPr>
        <w:ind w:left="720"/>
        <w:rPr>
          <w:color w:val="auto"/>
        </w:rPr>
      </w:pPr>
    </w:p>
    <w:p w14:paraId="21439BF0" w14:textId="3FDC45C0" w:rsidR="006C191A" w:rsidRPr="008954E3" w:rsidRDefault="006C191A" w:rsidP="008954E3">
      <w:pPr>
        <w:autoSpaceDE w:val="0"/>
        <w:autoSpaceDN w:val="0"/>
        <w:adjustRightInd w:val="0"/>
        <w:spacing w:line="276" w:lineRule="auto"/>
        <w:ind w:left="680"/>
        <w:rPr>
          <w:rFonts w:eastAsia="Calibri"/>
          <w:b/>
          <w:color w:val="auto"/>
        </w:rPr>
      </w:pPr>
      <w:r w:rsidRPr="008954E3">
        <w:rPr>
          <w:rFonts w:eastAsia="Calibri"/>
          <w:b/>
          <w:color w:val="auto"/>
        </w:rPr>
        <w:t>Identifying uses of Patient Data to which the National Data Opt-Out may apply:</w:t>
      </w:r>
    </w:p>
    <w:p w14:paraId="006C9C10" w14:textId="61ABC5F6" w:rsidR="006C191A" w:rsidRPr="008954E3" w:rsidRDefault="006C191A" w:rsidP="008954E3">
      <w:pPr>
        <w:autoSpaceDE w:val="0"/>
        <w:autoSpaceDN w:val="0"/>
        <w:adjustRightInd w:val="0"/>
        <w:spacing w:line="276" w:lineRule="auto"/>
        <w:ind w:left="680"/>
        <w:rPr>
          <w:rFonts w:eastAsia="Calibri"/>
          <w:b/>
          <w:color w:val="auto"/>
        </w:rPr>
      </w:pPr>
    </w:p>
    <w:p w14:paraId="15D65865" w14:textId="0A13BBA7" w:rsidR="006C191A" w:rsidRPr="008954E3" w:rsidRDefault="006C191A" w:rsidP="008954E3">
      <w:pPr>
        <w:autoSpaceDE w:val="0"/>
        <w:autoSpaceDN w:val="0"/>
        <w:adjustRightInd w:val="0"/>
        <w:spacing w:line="276" w:lineRule="auto"/>
        <w:ind w:left="680"/>
        <w:rPr>
          <w:rFonts w:eastAsia="Calibri"/>
          <w:bCs/>
          <w:color w:val="auto"/>
        </w:rPr>
      </w:pPr>
      <w:r w:rsidRPr="008954E3">
        <w:rPr>
          <w:rFonts w:eastAsia="Calibri"/>
          <w:bCs/>
          <w:color w:val="auto"/>
        </w:rPr>
        <w:t>The ICB will identify any use of confidential patient information to which the opt-out applies via completion of data protection impact assessments (DPIAs) which explicitly ask project leads if the data is in scope of the NDOO. DPIAs should be completed for any new processing activity involving the use of confidential information, the implementation of any new system</w:t>
      </w:r>
      <w:r w:rsidR="00DA2A91">
        <w:rPr>
          <w:rFonts w:eastAsia="Calibri"/>
          <w:bCs/>
          <w:color w:val="auto"/>
        </w:rPr>
        <w:t>,</w:t>
      </w:r>
      <w:r w:rsidRPr="008954E3">
        <w:rPr>
          <w:rFonts w:eastAsia="Calibri"/>
          <w:bCs/>
          <w:color w:val="auto"/>
        </w:rPr>
        <w:t xml:space="preserve"> service or data sharing arrangement. </w:t>
      </w:r>
    </w:p>
    <w:p w14:paraId="30AE0D41" w14:textId="203F38DA" w:rsidR="00BB079D" w:rsidRPr="008954E3" w:rsidRDefault="00BB079D" w:rsidP="008954E3">
      <w:pPr>
        <w:autoSpaceDE w:val="0"/>
        <w:autoSpaceDN w:val="0"/>
        <w:adjustRightInd w:val="0"/>
        <w:spacing w:line="276" w:lineRule="auto"/>
        <w:ind w:left="680"/>
        <w:rPr>
          <w:rFonts w:eastAsia="Calibri"/>
          <w:bCs/>
          <w:color w:val="auto"/>
        </w:rPr>
      </w:pPr>
    </w:p>
    <w:p w14:paraId="3474CC8D" w14:textId="4D68B1FF" w:rsidR="00BB079D" w:rsidRPr="008954E3" w:rsidRDefault="00BB079D" w:rsidP="008954E3">
      <w:pPr>
        <w:autoSpaceDE w:val="0"/>
        <w:autoSpaceDN w:val="0"/>
        <w:adjustRightInd w:val="0"/>
        <w:spacing w:line="276" w:lineRule="auto"/>
        <w:ind w:left="680"/>
        <w:rPr>
          <w:rFonts w:eastAsia="Calibri"/>
          <w:b/>
          <w:color w:val="auto"/>
        </w:rPr>
      </w:pPr>
      <w:r w:rsidRPr="008954E3">
        <w:rPr>
          <w:rFonts w:eastAsia="Calibri"/>
          <w:b/>
          <w:color w:val="auto"/>
        </w:rPr>
        <w:t>How to apply the National Data Opt-Out:</w:t>
      </w:r>
    </w:p>
    <w:p w14:paraId="44817334" w14:textId="352D7D7D" w:rsidR="00BB079D" w:rsidRPr="008954E3" w:rsidRDefault="00BB079D" w:rsidP="008954E3">
      <w:pPr>
        <w:autoSpaceDE w:val="0"/>
        <w:autoSpaceDN w:val="0"/>
        <w:adjustRightInd w:val="0"/>
        <w:spacing w:line="276" w:lineRule="auto"/>
        <w:ind w:left="680"/>
        <w:rPr>
          <w:rFonts w:eastAsia="Calibri"/>
          <w:bCs/>
          <w:color w:val="auto"/>
        </w:rPr>
      </w:pPr>
    </w:p>
    <w:p w14:paraId="4FCCDF7A" w14:textId="1557E114" w:rsidR="00BB079D" w:rsidRPr="008954E3" w:rsidRDefault="00BB079D" w:rsidP="008954E3">
      <w:pPr>
        <w:autoSpaceDE w:val="0"/>
        <w:autoSpaceDN w:val="0"/>
        <w:adjustRightInd w:val="0"/>
        <w:spacing w:line="276" w:lineRule="auto"/>
        <w:ind w:left="680"/>
        <w:contextualSpacing/>
        <w:rPr>
          <w:color w:val="auto"/>
        </w:rPr>
      </w:pPr>
      <w:r w:rsidRPr="008954E3">
        <w:rPr>
          <w:rFonts w:eastAsia="Calibri"/>
          <w:bCs/>
          <w:color w:val="auto"/>
        </w:rPr>
        <w:t>I</w:t>
      </w:r>
      <w:r w:rsidRPr="008954E3">
        <w:rPr>
          <w:color w:val="auto"/>
        </w:rPr>
        <w:t>ndividuals who register for the National Data Opt-Out have a marker attached to their record on the NHS Spine.  When the National Data Opt-Out is applied, the entire record or records associated with those individuals must be fully removed from the extract or dataset being used.  It is not permitted to simply remove identifiers or otherwise de-identify part of the record.</w:t>
      </w:r>
    </w:p>
    <w:p w14:paraId="01A6326D" w14:textId="77777777" w:rsidR="00BB079D" w:rsidRPr="008954E3" w:rsidRDefault="00BB079D" w:rsidP="008954E3">
      <w:pPr>
        <w:autoSpaceDE w:val="0"/>
        <w:autoSpaceDN w:val="0"/>
        <w:adjustRightInd w:val="0"/>
        <w:spacing w:line="276" w:lineRule="auto"/>
        <w:ind w:left="1247" w:hanging="567"/>
        <w:rPr>
          <w:rFonts w:eastAsia="Calibri"/>
          <w:color w:val="auto"/>
        </w:rPr>
      </w:pPr>
    </w:p>
    <w:p w14:paraId="5FE930AD" w14:textId="137B3084" w:rsidR="00BB079D" w:rsidRPr="008954E3" w:rsidRDefault="00BB079D" w:rsidP="008954E3">
      <w:pPr>
        <w:autoSpaceDE w:val="0"/>
        <w:autoSpaceDN w:val="0"/>
        <w:adjustRightInd w:val="0"/>
        <w:spacing w:line="276" w:lineRule="auto"/>
        <w:ind w:left="680"/>
        <w:contextualSpacing/>
        <w:rPr>
          <w:color w:val="auto"/>
        </w:rPr>
      </w:pPr>
      <w:r w:rsidRPr="008954E3">
        <w:rPr>
          <w:color w:val="auto"/>
        </w:rPr>
        <w:t xml:space="preserve">Removal is achieved via the National Data Opt-Out’s technical solution.  This requires a dedicated MESH (Message Exchange for Social Care and Health) account for sending lists of NHS Numbers to NHS Digital’s ‘Check for National Data Opt-Outs Service’ and receiving the ‘cleaned’ data back </w:t>
      </w:r>
      <w:r w:rsidR="00870108" w:rsidRPr="008954E3">
        <w:rPr>
          <w:color w:val="auto"/>
        </w:rPr>
        <w:t>i.e.,</w:t>
      </w:r>
      <w:r w:rsidRPr="008954E3">
        <w:rPr>
          <w:color w:val="auto"/>
        </w:rPr>
        <w:t xml:space="preserve"> with the NHS Numbers of those who have opted-out removed.  ICB staff must then use the cleaned set of NHS numbers to remove the records of opted-out patients from the dataset before sharing or otherwise processing it for a purpose to which the National Data Opt-Out applies.</w:t>
      </w:r>
    </w:p>
    <w:p w14:paraId="0FFD35B8" w14:textId="77777777" w:rsidR="00BB079D" w:rsidRPr="008954E3" w:rsidRDefault="00BB079D" w:rsidP="008954E3">
      <w:pPr>
        <w:autoSpaceDE w:val="0"/>
        <w:autoSpaceDN w:val="0"/>
        <w:adjustRightInd w:val="0"/>
        <w:spacing w:line="276" w:lineRule="auto"/>
        <w:ind w:left="1247" w:hanging="567"/>
        <w:rPr>
          <w:rFonts w:eastAsia="Calibri"/>
          <w:color w:val="auto"/>
        </w:rPr>
      </w:pPr>
    </w:p>
    <w:p w14:paraId="00027CC2" w14:textId="5D1FE35F" w:rsidR="00BB079D" w:rsidRPr="008954E3" w:rsidRDefault="00BB079D" w:rsidP="008954E3">
      <w:pPr>
        <w:autoSpaceDE w:val="0"/>
        <w:autoSpaceDN w:val="0"/>
        <w:adjustRightInd w:val="0"/>
        <w:spacing w:line="276" w:lineRule="auto"/>
        <w:ind w:left="680"/>
        <w:contextualSpacing/>
        <w:rPr>
          <w:color w:val="auto"/>
        </w:rPr>
      </w:pPr>
      <w:r w:rsidRPr="008954E3">
        <w:rPr>
          <w:color w:val="auto"/>
        </w:rPr>
        <w:lastRenderedPageBreak/>
        <w:t xml:space="preserve">The most up-to-date National Data Opt-Out must be applied at that point, </w:t>
      </w:r>
      <w:r w:rsidR="00870108" w:rsidRPr="008954E3">
        <w:rPr>
          <w:color w:val="auto"/>
        </w:rPr>
        <w:t>i.e.,</w:t>
      </w:r>
      <w:r w:rsidRPr="008954E3">
        <w:rPr>
          <w:color w:val="auto"/>
        </w:rPr>
        <w:t xml:space="preserve"> all patients who have opted out at that particular time should have their data withheld.  There is no need to apply Opt-Outs retrospectively </w:t>
      </w:r>
      <w:r w:rsidR="00870108" w:rsidRPr="008954E3">
        <w:rPr>
          <w:color w:val="auto"/>
        </w:rPr>
        <w:t>i.e.,</w:t>
      </w:r>
      <w:r w:rsidRPr="008954E3">
        <w:rPr>
          <w:color w:val="auto"/>
        </w:rPr>
        <w:t xml:space="preserve"> to data that has already been processed or released, and there is no requirement for the ICB to remove an individual’s record from data it has already received as a result of their Opt-Out preference changing.</w:t>
      </w:r>
    </w:p>
    <w:p w14:paraId="7A78D8B1" w14:textId="77777777" w:rsidR="00BB079D" w:rsidRPr="008954E3" w:rsidRDefault="00BB079D" w:rsidP="008954E3">
      <w:pPr>
        <w:autoSpaceDE w:val="0"/>
        <w:autoSpaceDN w:val="0"/>
        <w:adjustRightInd w:val="0"/>
        <w:spacing w:line="276" w:lineRule="auto"/>
        <w:ind w:left="1247" w:hanging="567"/>
        <w:rPr>
          <w:rFonts w:eastAsia="Calibri"/>
          <w:color w:val="auto"/>
        </w:rPr>
      </w:pPr>
    </w:p>
    <w:p w14:paraId="091E03AE" w14:textId="17AA3F24" w:rsidR="00BB079D" w:rsidRPr="008954E3" w:rsidRDefault="00BB079D" w:rsidP="008954E3">
      <w:pPr>
        <w:autoSpaceDE w:val="0"/>
        <w:autoSpaceDN w:val="0"/>
        <w:adjustRightInd w:val="0"/>
        <w:spacing w:line="276" w:lineRule="auto"/>
        <w:ind w:left="680"/>
        <w:contextualSpacing/>
        <w:rPr>
          <w:color w:val="auto"/>
        </w:rPr>
      </w:pPr>
      <w:r w:rsidRPr="008954E3">
        <w:rPr>
          <w:color w:val="auto"/>
        </w:rPr>
        <w:t>National Data Opt-Outs continue to apply until an individual proactively changes their Opt-Out preference. Opt-Outs are also maintained and applied for an individual after they have died.</w:t>
      </w:r>
    </w:p>
    <w:p w14:paraId="5F7FD18C" w14:textId="75F25210" w:rsidR="00BB079D" w:rsidRPr="008954E3" w:rsidRDefault="00BB079D" w:rsidP="008954E3">
      <w:pPr>
        <w:autoSpaceDE w:val="0"/>
        <w:autoSpaceDN w:val="0"/>
        <w:adjustRightInd w:val="0"/>
        <w:spacing w:line="276" w:lineRule="auto"/>
        <w:ind w:left="1247" w:hanging="567"/>
        <w:rPr>
          <w:rFonts w:eastAsia="Calibri"/>
          <w:color w:val="auto"/>
        </w:rPr>
      </w:pPr>
    </w:p>
    <w:p w14:paraId="6A156082" w14:textId="728A0C80" w:rsidR="00367D9A" w:rsidRPr="008954E3" w:rsidRDefault="00367D9A" w:rsidP="00585293">
      <w:pPr>
        <w:autoSpaceDE w:val="0"/>
        <w:autoSpaceDN w:val="0"/>
        <w:adjustRightInd w:val="0"/>
        <w:spacing w:line="276" w:lineRule="auto"/>
        <w:ind w:left="680"/>
        <w:rPr>
          <w:rFonts w:eastAsia="Calibri"/>
          <w:color w:val="auto"/>
        </w:rPr>
      </w:pPr>
      <w:r>
        <w:rPr>
          <w:rFonts w:eastAsia="Calibri"/>
          <w:color w:val="auto"/>
        </w:rPr>
        <w:t>A</w:t>
      </w:r>
      <w:r w:rsidR="00BB079D" w:rsidRPr="008954E3">
        <w:rPr>
          <w:rFonts w:eastAsia="Calibri"/>
          <w:color w:val="auto"/>
        </w:rPr>
        <w:t xml:space="preserve"> MESH account </w:t>
      </w:r>
      <w:r>
        <w:rPr>
          <w:rFonts w:eastAsia="Calibri"/>
          <w:color w:val="auto"/>
        </w:rPr>
        <w:t xml:space="preserve">is available </w:t>
      </w:r>
      <w:r w:rsidR="00BB079D" w:rsidRPr="008954E3">
        <w:rPr>
          <w:rFonts w:eastAsia="Calibri"/>
          <w:color w:val="auto"/>
        </w:rPr>
        <w:t xml:space="preserve">to enable ICB staff </w:t>
      </w:r>
      <w:r w:rsidR="008E0FF6" w:rsidRPr="008954E3">
        <w:rPr>
          <w:rFonts w:eastAsia="Calibri"/>
          <w:color w:val="auto"/>
        </w:rPr>
        <w:t>to</w:t>
      </w:r>
      <w:r>
        <w:rPr>
          <w:rFonts w:eastAsia="Calibri"/>
          <w:color w:val="auto"/>
        </w:rPr>
        <w:t xml:space="preserve"> </w:t>
      </w:r>
      <w:r w:rsidR="008E0FF6" w:rsidRPr="008954E3">
        <w:rPr>
          <w:rFonts w:eastAsia="Calibri"/>
          <w:color w:val="auto"/>
        </w:rPr>
        <w:t xml:space="preserve">send data sets to NHSD’s cleansing </w:t>
      </w:r>
      <w:r>
        <w:rPr>
          <w:rFonts w:eastAsia="Calibri"/>
          <w:color w:val="auto"/>
        </w:rPr>
        <w:t>s</w:t>
      </w:r>
      <w:r w:rsidR="008E0FF6" w:rsidRPr="008954E3">
        <w:rPr>
          <w:rFonts w:eastAsia="Calibri"/>
          <w:color w:val="auto"/>
        </w:rPr>
        <w:t>ervice</w:t>
      </w:r>
      <w:r>
        <w:rPr>
          <w:rFonts w:eastAsia="Calibri"/>
          <w:color w:val="auto"/>
        </w:rPr>
        <w:t>, this can be accessed via the ICB</w:t>
      </w:r>
      <w:r w:rsidR="008E0FF6" w:rsidRPr="008954E3">
        <w:rPr>
          <w:rFonts w:eastAsia="Calibri"/>
          <w:color w:val="auto"/>
        </w:rPr>
        <w:t xml:space="preserve"> Information</w:t>
      </w:r>
      <w:r w:rsidR="00585293">
        <w:rPr>
          <w:rFonts w:eastAsia="Calibri"/>
          <w:color w:val="auto"/>
        </w:rPr>
        <w:t xml:space="preserve"> </w:t>
      </w:r>
      <w:r w:rsidR="008E0FF6" w:rsidRPr="008954E3">
        <w:rPr>
          <w:rFonts w:eastAsia="Calibri"/>
          <w:color w:val="auto"/>
        </w:rPr>
        <w:t xml:space="preserve">Governance </w:t>
      </w:r>
      <w:r>
        <w:rPr>
          <w:rFonts w:eastAsia="Calibri"/>
          <w:color w:val="auto"/>
        </w:rPr>
        <w:t>(se</w:t>
      </w:r>
      <w:r w:rsidR="008E0FF6" w:rsidRPr="008954E3">
        <w:rPr>
          <w:rFonts w:eastAsia="Calibri"/>
          <w:color w:val="auto"/>
        </w:rPr>
        <w:t xml:space="preserve">e details on page 6 of this </w:t>
      </w:r>
      <w:r w:rsidR="00870108">
        <w:rPr>
          <w:rFonts w:eastAsia="Calibri"/>
          <w:color w:val="auto"/>
        </w:rPr>
        <w:t>policy</w:t>
      </w:r>
      <w:r>
        <w:rPr>
          <w:rFonts w:eastAsia="Calibri"/>
          <w:color w:val="auto"/>
        </w:rPr>
        <w:t>.)</w:t>
      </w:r>
    </w:p>
    <w:p w14:paraId="405EF12F" w14:textId="77777777" w:rsidR="005362FB" w:rsidRPr="008954E3" w:rsidRDefault="005362FB" w:rsidP="00870108">
      <w:pPr>
        <w:rPr>
          <w:color w:val="auto"/>
        </w:rPr>
      </w:pPr>
    </w:p>
    <w:p w14:paraId="41D76D86" w14:textId="2357677D" w:rsidR="00AE286E" w:rsidRPr="008954E3" w:rsidRDefault="00F12FE9" w:rsidP="00AE286E">
      <w:pPr>
        <w:pStyle w:val="Heading1"/>
      </w:pPr>
      <w:bookmarkStart w:id="16" w:name="_Toc132103186"/>
      <w:bookmarkStart w:id="17" w:name="_Toc430791106"/>
      <w:r w:rsidRPr="008954E3">
        <w:t>Consultation</w:t>
      </w:r>
      <w:bookmarkEnd w:id="16"/>
      <w:r w:rsidRPr="008954E3">
        <w:t xml:space="preserve"> </w:t>
      </w:r>
      <w:bookmarkEnd w:id="17"/>
    </w:p>
    <w:p w14:paraId="1BAEB719" w14:textId="665B02D0" w:rsidR="00F12FE9" w:rsidRPr="008954E3" w:rsidRDefault="00565EBB" w:rsidP="00F12FE9">
      <w:pPr>
        <w:spacing w:line="240" w:lineRule="auto"/>
        <w:ind w:left="856"/>
        <w:rPr>
          <w:color w:val="auto"/>
        </w:rPr>
      </w:pPr>
      <w:r>
        <w:rPr>
          <w:color w:val="auto"/>
        </w:rPr>
        <w:t>T</w:t>
      </w:r>
      <w:r w:rsidR="008E0FF6" w:rsidRPr="008954E3">
        <w:rPr>
          <w:color w:val="auto"/>
        </w:rPr>
        <w:t>he Information Governance Steering Group</w:t>
      </w:r>
      <w:r w:rsidR="00367D9A">
        <w:rPr>
          <w:color w:val="auto"/>
        </w:rPr>
        <w:t>, which includes the SIRO, Caldicott Guardian and the Data Protection Officer</w:t>
      </w:r>
      <w:r>
        <w:rPr>
          <w:color w:val="auto"/>
        </w:rPr>
        <w:t xml:space="preserve"> have been engaged in the development of this policy</w:t>
      </w:r>
      <w:r w:rsidR="008E0FF6" w:rsidRPr="008954E3">
        <w:rPr>
          <w:color w:val="auto"/>
        </w:rPr>
        <w:t xml:space="preserve">. </w:t>
      </w:r>
    </w:p>
    <w:p w14:paraId="1A32B3E1" w14:textId="77777777" w:rsidR="00F12FE9" w:rsidRPr="008954E3" w:rsidRDefault="00F12FE9" w:rsidP="00F12FE9">
      <w:pPr>
        <w:spacing w:line="240" w:lineRule="auto"/>
        <w:ind w:left="856"/>
        <w:rPr>
          <w:color w:val="auto"/>
        </w:rPr>
      </w:pPr>
    </w:p>
    <w:p w14:paraId="0B142847" w14:textId="77777777" w:rsidR="00F12FE9" w:rsidRPr="008954E3" w:rsidRDefault="00F12FE9" w:rsidP="00F12FE9">
      <w:pPr>
        <w:spacing w:line="240" w:lineRule="auto"/>
        <w:ind w:left="856"/>
        <w:rPr>
          <w:color w:val="auto"/>
        </w:rPr>
      </w:pPr>
    </w:p>
    <w:p w14:paraId="6C13F373" w14:textId="531468FD" w:rsidR="00AE286E" w:rsidRPr="008954E3" w:rsidRDefault="00F12FE9" w:rsidP="00AE286E">
      <w:pPr>
        <w:pStyle w:val="Heading1"/>
      </w:pPr>
      <w:bookmarkStart w:id="18" w:name="_Toc430791107"/>
      <w:bookmarkStart w:id="19" w:name="_Toc132103187"/>
      <w:r w:rsidRPr="008954E3">
        <w:t>Training</w:t>
      </w:r>
      <w:bookmarkEnd w:id="18"/>
      <w:bookmarkEnd w:id="19"/>
    </w:p>
    <w:p w14:paraId="510C8A2D" w14:textId="11BB4E8F" w:rsidR="00F12FE9" w:rsidRPr="008954E3" w:rsidRDefault="00565EBB" w:rsidP="00F12FE9">
      <w:pPr>
        <w:ind w:left="858"/>
        <w:rPr>
          <w:color w:val="auto"/>
        </w:rPr>
      </w:pPr>
      <w:r>
        <w:rPr>
          <w:color w:val="auto"/>
        </w:rPr>
        <w:t>S</w:t>
      </w:r>
      <w:r w:rsidR="00F12FE9" w:rsidRPr="008954E3">
        <w:rPr>
          <w:color w:val="auto"/>
        </w:rPr>
        <w:t>taff groups who may</w:t>
      </w:r>
      <w:r>
        <w:rPr>
          <w:color w:val="auto"/>
        </w:rPr>
        <w:t xml:space="preserve"> require</w:t>
      </w:r>
      <w:r w:rsidR="00F12FE9" w:rsidRPr="008954E3">
        <w:rPr>
          <w:color w:val="auto"/>
        </w:rPr>
        <w:t xml:space="preserve"> training </w:t>
      </w:r>
      <w:r>
        <w:rPr>
          <w:color w:val="auto"/>
        </w:rPr>
        <w:t>will be identified through the DPIA process and supported by the IG Team</w:t>
      </w:r>
      <w:r w:rsidR="00585293">
        <w:rPr>
          <w:color w:val="auto"/>
        </w:rPr>
        <w:t>.</w:t>
      </w:r>
    </w:p>
    <w:p w14:paraId="546F6D67" w14:textId="77777777" w:rsidR="00DD443C" w:rsidRPr="008954E3" w:rsidRDefault="00DD443C" w:rsidP="00DD443C">
      <w:pPr>
        <w:ind w:left="432"/>
        <w:rPr>
          <w:color w:val="auto"/>
        </w:rPr>
      </w:pPr>
    </w:p>
    <w:p w14:paraId="51C4D9B7" w14:textId="18E41838" w:rsidR="00AE286E" w:rsidRPr="008954E3" w:rsidRDefault="00F12FE9" w:rsidP="00AE286E">
      <w:pPr>
        <w:pStyle w:val="Heading1"/>
      </w:pPr>
      <w:bookmarkStart w:id="20" w:name="_Toc430791108"/>
      <w:bookmarkStart w:id="21" w:name="_Toc132103188"/>
      <w:r w:rsidRPr="008954E3">
        <w:t>Monitoring Compliance</w:t>
      </w:r>
      <w:bookmarkEnd w:id="20"/>
      <w:bookmarkEnd w:id="21"/>
    </w:p>
    <w:p w14:paraId="46973596" w14:textId="63A2B0D9" w:rsidR="00A2365F" w:rsidRPr="008954E3" w:rsidRDefault="00A2365F" w:rsidP="008954E3">
      <w:pPr>
        <w:autoSpaceDE w:val="0"/>
        <w:autoSpaceDN w:val="0"/>
        <w:adjustRightInd w:val="0"/>
        <w:spacing w:line="276" w:lineRule="auto"/>
        <w:ind w:left="720"/>
        <w:contextualSpacing/>
        <w:rPr>
          <w:color w:val="auto"/>
        </w:rPr>
      </w:pPr>
      <w:r w:rsidRPr="008954E3">
        <w:rPr>
          <w:color w:val="auto"/>
        </w:rPr>
        <w:t>The ICB will monitor uses of confidential patient data to ensure that any to which the National Data Out-Out is likely to apply are identified. The types of usage to which the National Data Opt-Out may apply include individual research projects, Clinical audit (national), risk stratification for commissioning.</w:t>
      </w:r>
    </w:p>
    <w:p w14:paraId="15B6C257" w14:textId="1F4A324A" w:rsidR="00A2365F" w:rsidRPr="008954E3" w:rsidRDefault="00A2365F" w:rsidP="008954E3">
      <w:pPr>
        <w:autoSpaceDE w:val="0"/>
        <w:autoSpaceDN w:val="0"/>
        <w:adjustRightInd w:val="0"/>
        <w:spacing w:line="276" w:lineRule="auto"/>
        <w:ind w:left="426"/>
        <w:contextualSpacing/>
        <w:rPr>
          <w:color w:val="auto"/>
        </w:rPr>
      </w:pPr>
    </w:p>
    <w:p w14:paraId="7C77FA93" w14:textId="77325EFE" w:rsidR="00A2365F" w:rsidRPr="008954E3" w:rsidRDefault="00A2365F" w:rsidP="008954E3">
      <w:pPr>
        <w:autoSpaceDE w:val="0"/>
        <w:autoSpaceDN w:val="0"/>
        <w:adjustRightInd w:val="0"/>
        <w:spacing w:line="276" w:lineRule="auto"/>
        <w:ind w:left="720"/>
        <w:contextualSpacing/>
        <w:rPr>
          <w:color w:val="auto"/>
        </w:rPr>
      </w:pPr>
      <w:r w:rsidRPr="008954E3">
        <w:rPr>
          <w:color w:val="auto"/>
        </w:rPr>
        <w:t xml:space="preserve">Compliance will be monitored </w:t>
      </w:r>
      <w:r w:rsidR="00D27CFF">
        <w:rPr>
          <w:color w:val="auto"/>
        </w:rPr>
        <w:t xml:space="preserve">by the IG Team </w:t>
      </w:r>
      <w:r w:rsidRPr="008954E3">
        <w:rPr>
          <w:color w:val="auto"/>
        </w:rPr>
        <w:t>via completion and review of data protection impact assessments and review of the information asset register.</w:t>
      </w:r>
    </w:p>
    <w:p w14:paraId="0032E6D1" w14:textId="3BCD992C" w:rsidR="00A2365F" w:rsidRPr="008954E3" w:rsidRDefault="00A2365F" w:rsidP="008954E3">
      <w:pPr>
        <w:autoSpaceDE w:val="0"/>
        <w:autoSpaceDN w:val="0"/>
        <w:adjustRightInd w:val="0"/>
        <w:spacing w:line="276" w:lineRule="auto"/>
        <w:ind w:left="426"/>
        <w:contextualSpacing/>
        <w:rPr>
          <w:color w:val="auto"/>
        </w:rPr>
      </w:pPr>
    </w:p>
    <w:p w14:paraId="5979FE22" w14:textId="15E92599" w:rsidR="00A2365F" w:rsidRPr="008954E3" w:rsidRDefault="00A2365F" w:rsidP="008954E3">
      <w:pPr>
        <w:autoSpaceDE w:val="0"/>
        <w:autoSpaceDN w:val="0"/>
        <w:adjustRightInd w:val="0"/>
        <w:spacing w:line="276" w:lineRule="auto"/>
        <w:ind w:left="720"/>
        <w:contextualSpacing/>
        <w:rPr>
          <w:color w:val="auto"/>
        </w:rPr>
      </w:pPr>
      <w:r w:rsidRPr="008954E3">
        <w:rPr>
          <w:color w:val="auto"/>
        </w:rPr>
        <w:t xml:space="preserve">Information Asset Owners are responsible for ensuring they pay due consideration to the NDOO for any information assets they are responsible for. </w:t>
      </w:r>
    </w:p>
    <w:p w14:paraId="07E11E65" w14:textId="77777777" w:rsidR="00DD443C" w:rsidRPr="008954E3" w:rsidRDefault="00DD443C" w:rsidP="00A2365F">
      <w:pPr>
        <w:rPr>
          <w:color w:val="auto"/>
        </w:rPr>
      </w:pPr>
    </w:p>
    <w:p w14:paraId="6257C528" w14:textId="4FF555A3" w:rsidR="00AE286E" w:rsidRPr="008954E3" w:rsidRDefault="00F12FE9" w:rsidP="00AE286E">
      <w:pPr>
        <w:pStyle w:val="Heading1"/>
      </w:pPr>
      <w:bookmarkStart w:id="22" w:name="_Toc430791109"/>
      <w:bookmarkStart w:id="23" w:name="_Toc132103189"/>
      <w:r w:rsidRPr="008954E3">
        <w:t>Arrangements for Re</w:t>
      </w:r>
      <w:bookmarkEnd w:id="22"/>
      <w:r w:rsidRPr="008954E3">
        <w:t>view</w:t>
      </w:r>
      <w:bookmarkEnd w:id="23"/>
    </w:p>
    <w:p w14:paraId="11E32163" w14:textId="08E938C8" w:rsidR="00F12FE9" w:rsidRPr="008954E3" w:rsidRDefault="00F70C33" w:rsidP="00F12FE9">
      <w:pPr>
        <w:spacing w:line="240" w:lineRule="auto"/>
        <w:ind w:left="858"/>
        <w:rPr>
          <w:color w:val="auto"/>
        </w:rPr>
      </w:pPr>
      <w:r w:rsidRPr="008954E3">
        <w:rPr>
          <w:color w:val="auto"/>
        </w:rPr>
        <w:t xml:space="preserve">This Policy will be reviewed every </w:t>
      </w:r>
      <w:r w:rsidR="00D445D2">
        <w:rPr>
          <w:color w:val="auto"/>
        </w:rPr>
        <w:t>3</w:t>
      </w:r>
      <w:r w:rsidRPr="008954E3">
        <w:rPr>
          <w:color w:val="auto"/>
        </w:rPr>
        <w:t>years or in</w:t>
      </w:r>
      <w:r w:rsidR="008E0FF6" w:rsidRPr="008954E3">
        <w:rPr>
          <w:color w:val="auto"/>
        </w:rPr>
        <w:t xml:space="preserve"> </w:t>
      </w:r>
      <w:r w:rsidRPr="008954E3">
        <w:rPr>
          <w:color w:val="auto"/>
        </w:rPr>
        <w:t xml:space="preserve">line with legislative changes. The Information Governance Team are responsible for the review. </w:t>
      </w:r>
    </w:p>
    <w:p w14:paraId="5C337FC6" w14:textId="77777777" w:rsidR="00DD443C" w:rsidRPr="008954E3" w:rsidRDefault="00DD443C" w:rsidP="00DD443C">
      <w:pPr>
        <w:ind w:left="432"/>
        <w:rPr>
          <w:color w:val="auto"/>
        </w:rPr>
      </w:pPr>
    </w:p>
    <w:p w14:paraId="3EB9AC84" w14:textId="0FD3C9DE" w:rsidR="00AE286E" w:rsidRPr="008954E3" w:rsidRDefault="00F12FE9" w:rsidP="00AE286E">
      <w:pPr>
        <w:pStyle w:val="Heading1"/>
      </w:pPr>
      <w:bookmarkStart w:id="24" w:name="_Toc430791110"/>
      <w:bookmarkStart w:id="25" w:name="_Toc132103190"/>
      <w:r w:rsidRPr="008954E3">
        <w:t>Disseminatio</w:t>
      </w:r>
      <w:bookmarkEnd w:id="24"/>
      <w:r w:rsidRPr="008954E3">
        <w:t>n</w:t>
      </w:r>
      <w:bookmarkEnd w:id="25"/>
    </w:p>
    <w:p w14:paraId="741C18C5" w14:textId="7DA8808C" w:rsidR="00DD443C" w:rsidRPr="008954E3" w:rsidRDefault="00F70C33" w:rsidP="00F70C33">
      <w:pPr>
        <w:spacing w:line="276" w:lineRule="auto"/>
        <w:ind w:left="858"/>
        <w:rPr>
          <w:color w:val="auto"/>
        </w:rPr>
      </w:pPr>
      <w:r w:rsidRPr="008954E3">
        <w:rPr>
          <w:color w:val="auto"/>
        </w:rPr>
        <w:lastRenderedPageBreak/>
        <w:t xml:space="preserve">This policy will be published on the ICB website and will therefore be available to both staff and the public. Staff will be informed of the publication and any subsequent changes or updates to the policy via the staff newsletter. </w:t>
      </w:r>
    </w:p>
    <w:p w14:paraId="44587AC3" w14:textId="77777777" w:rsidR="00F70C33" w:rsidRPr="008954E3" w:rsidRDefault="00F70C33" w:rsidP="00F70C33">
      <w:pPr>
        <w:spacing w:line="276" w:lineRule="auto"/>
        <w:ind w:left="858"/>
        <w:rPr>
          <w:color w:val="auto"/>
        </w:rPr>
      </w:pPr>
    </w:p>
    <w:p w14:paraId="74EF2F14" w14:textId="67D97EA7" w:rsidR="00DD443C" w:rsidRPr="008954E3" w:rsidRDefault="000E3813" w:rsidP="00DD443C">
      <w:pPr>
        <w:pStyle w:val="Heading1"/>
      </w:pPr>
      <w:bookmarkStart w:id="26" w:name="_Toc430791111"/>
      <w:bookmarkStart w:id="27" w:name="_Toc132103191"/>
      <w:r w:rsidRPr="008954E3">
        <w:t>Associated Document</w:t>
      </w:r>
      <w:bookmarkEnd w:id="26"/>
      <w:r w:rsidRPr="008954E3">
        <w:t>ation</w:t>
      </w:r>
      <w:bookmarkEnd w:id="27"/>
    </w:p>
    <w:p w14:paraId="6E85B7FC" w14:textId="7633FDE9" w:rsidR="000E3813" w:rsidRPr="008954E3" w:rsidRDefault="00265B07" w:rsidP="000E3813">
      <w:pPr>
        <w:spacing w:line="240" w:lineRule="auto"/>
        <w:ind w:left="856"/>
        <w:rPr>
          <w:color w:val="auto"/>
        </w:rPr>
      </w:pPr>
      <w:r w:rsidRPr="008954E3">
        <w:rPr>
          <w:color w:val="auto"/>
        </w:rPr>
        <w:t>All Information Governance Policies &amp; Procedures</w:t>
      </w:r>
      <w:r w:rsidR="00BA74CD">
        <w:rPr>
          <w:color w:val="auto"/>
        </w:rPr>
        <w:t>.</w:t>
      </w:r>
    </w:p>
    <w:p w14:paraId="00019F71" w14:textId="77777777" w:rsidR="000E3813" w:rsidRPr="008954E3" w:rsidRDefault="000E3813" w:rsidP="000E3813">
      <w:pPr>
        <w:spacing w:line="240" w:lineRule="auto"/>
        <w:ind w:left="856"/>
        <w:rPr>
          <w:color w:val="auto"/>
        </w:rPr>
      </w:pPr>
    </w:p>
    <w:p w14:paraId="5151D7A9" w14:textId="5B514BFE" w:rsidR="000E3813" w:rsidRPr="008954E3" w:rsidRDefault="000E3813" w:rsidP="000E3813">
      <w:pPr>
        <w:pStyle w:val="Heading1"/>
      </w:pPr>
      <w:bookmarkStart w:id="28" w:name="_Toc132103192"/>
      <w:r w:rsidRPr="008954E3">
        <w:t>References</w:t>
      </w:r>
      <w:bookmarkEnd w:id="28"/>
    </w:p>
    <w:p w14:paraId="47D74F19" w14:textId="2A02422F" w:rsidR="00F70C33" w:rsidRPr="008954E3" w:rsidRDefault="00F70C33" w:rsidP="00EB28F8">
      <w:pPr>
        <w:spacing w:line="240" w:lineRule="auto"/>
        <w:rPr>
          <w:color w:val="auto"/>
        </w:rPr>
      </w:pPr>
    </w:p>
    <w:p w14:paraId="33B1BF38" w14:textId="70E3FB5A" w:rsidR="00F70C33" w:rsidRPr="008954E3" w:rsidRDefault="00F70C33" w:rsidP="000E3813">
      <w:pPr>
        <w:spacing w:line="240" w:lineRule="auto"/>
        <w:ind w:left="856"/>
        <w:rPr>
          <w:color w:val="auto"/>
        </w:rPr>
      </w:pPr>
      <w:r w:rsidRPr="008954E3">
        <w:rPr>
          <w:color w:val="auto"/>
        </w:rPr>
        <w:t>Information Standards Notice DCB3058 Amd 91/2018</w:t>
      </w:r>
    </w:p>
    <w:p w14:paraId="752EA36E" w14:textId="7CF02CC7" w:rsidR="00F70C33" w:rsidRPr="008954E3" w:rsidRDefault="00F70C33" w:rsidP="000E3813">
      <w:pPr>
        <w:spacing w:line="240" w:lineRule="auto"/>
        <w:ind w:left="856"/>
        <w:rPr>
          <w:color w:val="auto"/>
        </w:rPr>
      </w:pPr>
      <w:r w:rsidRPr="008954E3">
        <w:rPr>
          <w:color w:val="auto"/>
        </w:rPr>
        <w:t xml:space="preserve">Compliance with the National Data Opt-out </w:t>
      </w:r>
      <w:r w:rsidR="00EB28F8" w:rsidRPr="008954E3">
        <w:rPr>
          <w:color w:val="auto"/>
        </w:rPr>
        <w:t>–</w:t>
      </w:r>
      <w:r w:rsidR="006C191A" w:rsidRPr="008954E3">
        <w:rPr>
          <w:color w:val="auto"/>
        </w:rPr>
        <w:t xml:space="preserve"> NHSD</w:t>
      </w:r>
    </w:p>
    <w:p w14:paraId="7ADD7FAD" w14:textId="537323E2" w:rsidR="00EB28F8" w:rsidRPr="008954E3" w:rsidRDefault="00EB28F8" w:rsidP="000E3813">
      <w:pPr>
        <w:spacing w:line="240" w:lineRule="auto"/>
        <w:ind w:left="856"/>
        <w:rPr>
          <w:color w:val="auto"/>
        </w:rPr>
      </w:pPr>
      <w:r w:rsidRPr="008954E3">
        <w:rPr>
          <w:color w:val="auto"/>
        </w:rPr>
        <w:t xml:space="preserve">NHS Act 2006 </w:t>
      </w:r>
    </w:p>
    <w:p w14:paraId="6B9E5817" w14:textId="789C5732" w:rsidR="00F70C33" w:rsidRPr="008954E3" w:rsidRDefault="00DD0FB7" w:rsidP="000E3813">
      <w:pPr>
        <w:spacing w:line="240" w:lineRule="auto"/>
        <w:ind w:left="856"/>
        <w:rPr>
          <w:color w:val="auto"/>
        </w:rPr>
      </w:pPr>
      <w:r w:rsidRPr="008954E3">
        <w:rPr>
          <w:color w:val="auto"/>
        </w:rPr>
        <w:t xml:space="preserve">National </w:t>
      </w:r>
      <w:r w:rsidR="006A4809" w:rsidRPr="008954E3">
        <w:rPr>
          <w:color w:val="auto"/>
        </w:rPr>
        <w:t xml:space="preserve">Data Guardian for Health &amp; Care: Review of Data Security, Consent and Opt-Outs </w:t>
      </w:r>
    </w:p>
    <w:p w14:paraId="20CA1061" w14:textId="238A1ED5" w:rsidR="006A4809" w:rsidRPr="008954E3" w:rsidRDefault="006A4809" w:rsidP="000E3813">
      <w:pPr>
        <w:spacing w:line="240" w:lineRule="auto"/>
        <w:ind w:left="856"/>
        <w:rPr>
          <w:color w:val="auto"/>
        </w:rPr>
      </w:pPr>
      <w:r w:rsidRPr="008954E3">
        <w:rPr>
          <w:color w:val="auto"/>
        </w:rPr>
        <w:t xml:space="preserve">The National Data Guardian for Health &amp; Care: Progress Report: January 2018 - March 2019 </w:t>
      </w:r>
    </w:p>
    <w:p w14:paraId="04CD93B2" w14:textId="000A0A5E" w:rsidR="006C191A" w:rsidRPr="008954E3" w:rsidRDefault="006C191A" w:rsidP="000E3813">
      <w:pPr>
        <w:spacing w:line="240" w:lineRule="auto"/>
        <w:ind w:left="856"/>
        <w:rPr>
          <w:color w:val="auto"/>
        </w:rPr>
      </w:pPr>
      <w:r w:rsidRPr="008954E3">
        <w:rPr>
          <w:color w:val="auto"/>
        </w:rPr>
        <w:t xml:space="preserve">NHS Act 2006 </w:t>
      </w:r>
    </w:p>
    <w:p w14:paraId="0A4A24D9" w14:textId="7D5BB46A" w:rsidR="006A4809" w:rsidRPr="008954E3" w:rsidRDefault="006A4809" w:rsidP="000E3813">
      <w:pPr>
        <w:spacing w:line="240" w:lineRule="auto"/>
        <w:ind w:left="856"/>
        <w:rPr>
          <w:color w:val="auto"/>
        </w:rPr>
      </w:pPr>
      <w:r w:rsidRPr="008954E3">
        <w:rPr>
          <w:color w:val="auto"/>
        </w:rPr>
        <w:t xml:space="preserve">Information Governance Policies and Procedures </w:t>
      </w:r>
    </w:p>
    <w:p w14:paraId="42254B95" w14:textId="67276F1F" w:rsidR="00EB28F8" w:rsidRPr="008954E3" w:rsidRDefault="00EB28F8" w:rsidP="000E3813">
      <w:pPr>
        <w:spacing w:line="240" w:lineRule="auto"/>
        <w:ind w:left="856"/>
        <w:rPr>
          <w:color w:val="auto"/>
        </w:rPr>
      </w:pPr>
      <w:r w:rsidRPr="008954E3">
        <w:rPr>
          <w:color w:val="auto"/>
        </w:rPr>
        <w:t xml:space="preserve">NHSD Appendix 1: Section 251 of the National Health Service Act 2006 </w:t>
      </w:r>
    </w:p>
    <w:p w14:paraId="6964A8BC" w14:textId="443E551F" w:rsidR="00EB28F8" w:rsidRPr="008954E3" w:rsidRDefault="00EB28F8" w:rsidP="000E3813">
      <w:pPr>
        <w:spacing w:line="240" w:lineRule="auto"/>
        <w:ind w:left="856"/>
        <w:rPr>
          <w:color w:val="auto"/>
        </w:rPr>
      </w:pPr>
      <w:r w:rsidRPr="008954E3">
        <w:rPr>
          <w:color w:val="auto"/>
        </w:rPr>
        <w:t xml:space="preserve">The Princes Alexandra Hospital NHS Trust </w:t>
      </w:r>
    </w:p>
    <w:p w14:paraId="5BF52BF2" w14:textId="2405006B" w:rsidR="00FE3C54" w:rsidRPr="008954E3" w:rsidRDefault="00FE3C54" w:rsidP="000E3813">
      <w:pPr>
        <w:spacing w:line="240" w:lineRule="auto"/>
        <w:ind w:left="856"/>
        <w:rPr>
          <w:color w:val="auto"/>
        </w:rPr>
      </w:pPr>
      <w:r w:rsidRPr="008954E3">
        <w:rPr>
          <w:color w:val="auto"/>
        </w:rPr>
        <w:t xml:space="preserve">West Yorkshire Integrated Care Board </w:t>
      </w:r>
    </w:p>
    <w:p w14:paraId="5C7E0FCB" w14:textId="77777777" w:rsidR="000E3813" w:rsidRPr="000E3813" w:rsidRDefault="000E3813" w:rsidP="000E3813">
      <w:pPr>
        <w:spacing w:line="240" w:lineRule="auto"/>
        <w:ind w:left="856"/>
        <w:rPr>
          <w:color w:val="auto"/>
        </w:rPr>
      </w:pPr>
    </w:p>
    <w:p w14:paraId="16EE19AA" w14:textId="1D4A57FF" w:rsidR="009A3AAE" w:rsidRDefault="000E3813" w:rsidP="000E3813">
      <w:pPr>
        <w:pStyle w:val="Heading1"/>
      </w:pPr>
      <w:bookmarkStart w:id="29" w:name="_Toc132103193"/>
      <w:r>
        <w:t>Appendices</w:t>
      </w:r>
      <w:bookmarkEnd w:id="29"/>
    </w:p>
    <w:p w14:paraId="2E889204" w14:textId="76C6C4DE" w:rsidR="009F2C13" w:rsidRDefault="009F2C13" w:rsidP="000E3813">
      <w:pPr>
        <w:spacing w:line="240" w:lineRule="auto"/>
        <w:ind w:left="856"/>
        <w:rPr>
          <w:color w:val="auto"/>
        </w:rPr>
      </w:pPr>
    </w:p>
    <w:p w14:paraId="7059E239" w14:textId="5E97A879" w:rsidR="009F2C13" w:rsidRPr="000E3813" w:rsidRDefault="009F2C13" w:rsidP="000E3813">
      <w:pPr>
        <w:spacing w:line="240" w:lineRule="auto"/>
        <w:ind w:left="856"/>
        <w:rPr>
          <w:color w:val="auto"/>
        </w:rPr>
      </w:pPr>
      <w:r>
        <w:rPr>
          <w:color w:val="auto"/>
        </w:rPr>
        <w:t xml:space="preserve">Appendix 1 - </w:t>
      </w:r>
      <w:r w:rsidRPr="009F2C13">
        <w:rPr>
          <w:color w:val="auto"/>
        </w:rPr>
        <w:t>Anti-Fraud, Bribery and Corruption</w:t>
      </w:r>
    </w:p>
    <w:p w14:paraId="78CB65CB" w14:textId="77777777" w:rsidR="000E3813" w:rsidRPr="000E3813" w:rsidRDefault="000E3813" w:rsidP="000E3813"/>
    <w:p w14:paraId="05DDADAC" w14:textId="7AD73E27" w:rsidR="000E3813" w:rsidRDefault="000E3813" w:rsidP="000E3813">
      <w:pPr>
        <w:pStyle w:val="Heading1"/>
      </w:pPr>
      <w:bookmarkStart w:id="30" w:name="_Toc132103194"/>
      <w:r>
        <w:t>Impact Assessments</w:t>
      </w:r>
      <w:bookmarkEnd w:id="30"/>
    </w:p>
    <w:p w14:paraId="57CF769B" w14:textId="2D203521" w:rsidR="000E3813" w:rsidRDefault="000E3813" w:rsidP="009F2C13">
      <w:pPr>
        <w:pStyle w:val="Heading2"/>
        <w:ind w:left="856" w:hanging="431"/>
      </w:pPr>
      <w:bookmarkStart w:id="31" w:name="_Toc132103195"/>
      <w:r>
        <w:t>Equality</w:t>
      </w:r>
      <w:bookmarkEnd w:id="31"/>
      <w:r>
        <w:t xml:space="preserve"> </w:t>
      </w:r>
    </w:p>
    <w:p w14:paraId="4D1A4740" w14:textId="77777777" w:rsidR="009F2C13" w:rsidRDefault="009F2C13" w:rsidP="000E3813">
      <w:pPr>
        <w:spacing w:line="240" w:lineRule="auto"/>
        <w:ind w:left="720"/>
        <w:rPr>
          <w:color w:val="auto"/>
        </w:rPr>
      </w:pPr>
    </w:p>
    <w:p w14:paraId="5CCBEE10" w14:textId="4D60CB17" w:rsidR="000E3813" w:rsidRP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diverse needs of our service, population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0E3813">
      <w:pPr>
        <w:spacing w:line="240" w:lineRule="auto"/>
        <w:ind w:left="720"/>
        <w:rPr>
          <w:color w:val="auto"/>
        </w:rPr>
      </w:pPr>
    </w:p>
    <w:p w14:paraId="318CC5F1" w14:textId="77777777" w:rsidR="000E3813" w:rsidRPr="000E3813" w:rsidRDefault="000E3813" w:rsidP="000E3813">
      <w:pPr>
        <w:spacing w:line="240" w:lineRule="auto"/>
        <w:ind w:left="720"/>
        <w:rPr>
          <w:color w:val="auto"/>
        </w:rPr>
      </w:pPr>
      <w:r w:rsidRPr="000E3813">
        <w:rPr>
          <w:color w:val="auto"/>
        </w:rPr>
        <w:t>It is required that a Quality and Equality Impact Assessment (QEIA) is carried out on a</w:t>
      </w:r>
    </w:p>
    <w:p w14:paraId="00928399" w14:textId="35810CFE" w:rsidR="000E3813" w:rsidRPr="000E3813" w:rsidRDefault="000E3813" w:rsidP="000E3813">
      <w:pPr>
        <w:spacing w:line="240" w:lineRule="auto"/>
        <w:ind w:left="720"/>
        <w:rPr>
          <w:color w:val="auto"/>
        </w:rPr>
      </w:pPr>
      <w:r w:rsidRPr="000E3813">
        <w:rPr>
          <w:color w:val="auto"/>
        </w:rPr>
        <w:t>new policy that is likely to impact on patients, carers, communities, or staff.</w:t>
      </w:r>
      <w:r w:rsidR="00565EBB">
        <w:rPr>
          <w:color w:val="auto"/>
        </w:rPr>
        <w:t xml:space="preserve"> </w:t>
      </w:r>
    </w:p>
    <w:p w14:paraId="0FCF3E48" w14:textId="77777777" w:rsidR="000E3813" w:rsidRPr="000E3813" w:rsidRDefault="000E3813" w:rsidP="000E3813">
      <w:pPr>
        <w:spacing w:line="240" w:lineRule="auto"/>
        <w:ind w:left="720"/>
        <w:rPr>
          <w:color w:val="auto"/>
        </w:rPr>
      </w:pPr>
    </w:p>
    <w:p w14:paraId="584A0360" w14:textId="2AB4DCD5" w:rsidR="009F2C13" w:rsidRPr="008954E3" w:rsidRDefault="008954E3" w:rsidP="000E3813">
      <w:pPr>
        <w:spacing w:line="240" w:lineRule="auto"/>
        <w:ind w:left="720"/>
        <w:rPr>
          <w:color w:val="auto"/>
        </w:rPr>
      </w:pPr>
      <w:r w:rsidRPr="008954E3">
        <w:rPr>
          <w:color w:val="auto"/>
        </w:rPr>
        <w:t xml:space="preserve">No adverse impact has been identified. </w:t>
      </w:r>
    </w:p>
    <w:p w14:paraId="7B63E7FF" w14:textId="77777777" w:rsidR="009F2C13" w:rsidRPr="00306092" w:rsidRDefault="009F2C13" w:rsidP="000E3813">
      <w:pPr>
        <w:spacing w:line="240" w:lineRule="auto"/>
        <w:ind w:left="720"/>
      </w:pPr>
    </w:p>
    <w:p w14:paraId="671A407C" w14:textId="0AF8F9A5" w:rsidR="000E3813" w:rsidRDefault="000E3813" w:rsidP="009F2C13">
      <w:pPr>
        <w:pStyle w:val="Heading2"/>
        <w:ind w:left="856" w:hanging="431"/>
      </w:pPr>
      <w:bookmarkStart w:id="32" w:name="_Toc132103196"/>
      <w:r>
        <w:t>Bribery Act 2010</w:t>
      </w:r>
      <w:bookmarkEnd w:id="32"/>
    </w:p>
    <w:p w14:paraId="0C8DF753" w14:textId="021AEF73" w:rsidR="000E3813" w:rsidRDefault="000E3813" w:rsidP="000E3813">
      <w:pPr>
        <w:spacing w:line="240" w:lineRule="auto"/>
        <w:ind w:left="720"/>
        <w:rPr>
          <w:color w:val="auto"/>
        </w:rPr>
      </w:pPr>
      <w:r w:rsidRPr="000E3813">
        <w:rPr>
          <w:color w:val="auto"/>
        </w:rPr>
        <w:t>Due consideration has been given to the Bribery Act 2010 in the development (or review, as appropriate) of this policy document, further details can be found in appendix 1.</w:t>
      </w:r>
    </w:p>
    <w:p w14:paraId="17091E57" w14:textId="77777777" w:rsidR="000E3813" w:rsidRPr="000E3813" w:rsidRDefault="000E3813" w:rsidP="000E3813">
      <w:pPr>
        <w:spacing w:line="240" w:lineRule="auto"/>
        <w:ind w:left="720"/>
        <w:rPr>
          <w:color w:val="auto"/>
        </w:rPr>
      </w:pPr>
    </w:p>
    <w:p w14:paraId="70589BBA" w14:textId="019380BE" w:rsidR="009F2C13" w:rsidRPr="009F2C13" w:rsidRDefault="008F16A6" w:rsidP="009F2C13">
      <w:pPr>
        <w:pStyle w:val="Heading2"/>
        <w:ind w:left="856" w:hanging="431"/>
      </w:pPr>
      <w:bookmarkStart w:id="33" w:name="_Toc132103197"/>
      <w:r>
        <w:lastRenderedPageBreak/>
        <w:t>G</w:t>
      </w:r>
      <w:r w:rsidR="000E3813">
        <w:t xml:space="preserve">eneral </w:t>
      </w:r>
      <w:r>
        <w:t>D</w:t>
      </w:r>
      <w:r w:rsidR="000E3813">
        <w:t>ata Protection</w:t>
      </w:r>
      <w:r>
        <w:t xml:space="preserve"> R</w:t>
      </w:r>
      <w:r w:rsidR="000E3813">
        <w:t>egulations</w:t>
      </w:r>
      <w:r>
        <w:t xml:space="preserve"> (GDPR)</w:t>
      </w:r>
      <w:bookmarkEnd w:id="33"/>
    </w:p>
    <w:p w14:paraId="755BDF0B" w14:textId="617A2797" w:rsidR="00A856C4" w:rsidRPr="00991EE6" w:rsidRDefault="00991EE6" w:rsidP="00A856C4">
      <w:pPr>
        <w:pStyle w:val="ListParagraph"/>
        <w:spacing w:line="240" w:lineRule="auto"/>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130F1">
      <w:pPr>
        <w:pStyle w:val="ListParagraph"/>
        <w:spacing w:line="240" w:lineRule="auto"/>
        <w:rPr>
          <w:color w:val="000000" w:themeColor="text1"/>
        </w:rPr>
      </w:pPr>
    </w:p>
    <w:p w14:paraId="689966B7"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1B1404B0" w:rsidR="008F16A6" w:rsidRDefault="008F16A6" w:rsidP="008F16A6">
      <w:pPr>
        <w:spacing w:line="240" w:lineRule="auto"/>
        <w:rPr>
          <w:b/>
          <w:color w:val="auto"/>
        </w:rPr>
      </w:pPr>
      <w:r>
        <w:br w:type="page"/>
      </w:r>
      <w:r w:rsidRPr="008F16A6">
        <w:rPr>
          <w:b/>
        </w:rPr>
        <w:lastRenderedPageBreak/>
        <w:tab/>
      </w:r>
      <w:r w:rsidRPr="008F16A6">
        <w:rPr>
          <w:b/>
          <w:color w:val="auto"/>
        </w:rPr>
        <w:t xml:space="preserve">Appendix 1 </w:t>
      </w:r>
      <w:r w:rsidR="009F2C13">
        <w:rPr>
          <w:b/>
          <w:color w:val="auto"/>
        </w:rPr>
        <w:t xml:space="preserve">- </w:t>
      </w:r>
      <w:r w:rsidR="009F2C13" w:rsidRPr="009F2C13">
        <w:rPr>
          <w:b/>
          <w:color w:val="auto"/>
        </w:rPr>
        <w:t>Anti-Fraud, Bribery and Corruption</w:t>
      </w:r>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324DDFF3" w14:textId="77777777" w:rsidR="009F2C13" w:rsidRPr="0032084D" w:rsidRDefault="009F2C13" w:rsidP="008954E3">
      <w:pPr>
        <w:autoSpaceDE w:val="0"/>
        <w:autoSpaceDN w:val="0"/>
        <w:spacing w:line="240" w:lineRule="auto"/>
        <w:jc w:val="both"/>
        <w:rPr>
          <w:rFonts w:eastAsia="Calibri"/>
          <w:color w:val="FF0000"/>
        </w:rPr>
      </w:pPr>
    </w:p>
    <w:p w14:paraId="1E713BA0" w14:textId="13DA21C3"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710480">
      <w:pPr>
        <w:autoSpaceDE w:val="0"/>
        <w:autoSpaceDN w:val="0"/>
        <w:spacing w:line="240" w:lineRule="auto"/>
        <w:ind w:left="720"/>
        <w:jc w:val="both"/>
        <w:rPr>
          <w:rFonts w:eastAsia="Calibri"/>
          <w:color w:val="auto"/>
        </w:rPr>
      </w:pPr>
    </w:p>
    <w:p w14:paraId="6EFF819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
    <w:p w14:paraId="359DB39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
    <w:p w14:paraId="7DFEA3D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710480">
      <w:pPr>
        <w:autoSpaceDE w:val="0"/>
        <w:autoSpaceDN w:val="0"/>
        <w:spacing w:line="240" w:lineRule="auto"/>
        <w:ind w:left="720"/>
        <w:jc w:val="both"/>
        <w:rPr>
          <w:rFonts w:eastAsia="Calibri"/>
          <w:color w:val="auto"/>
        </w:rPr>
      </w:pPr>
    </w:p>
    <w:p w14:paraId="2791057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710480">
      <w:pPr>
        <w:autoSpaceDE w:val="0"/>
        <w:autoSpaceDN w:val="0"/>
        <w:spacing w:line="240" w:lineRule="auto"/>
        <w:ind w:left="720"/>
        <w:jc w:val="both"/>
        <w:rPr>
          <w:rFonts w:eastAsia="Calibri"/>
          <w:color w:val="auto"/>
        </w:rPr>
      </w:pPr>
    </w:p>
    <w:p w14:paraId="4E472D50"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710480">
      <w:pPr>
        <w:autoSpaceDE w:val="0"/>
        <w:autoSpaceDN w:val="0"/>
        <w:spacing w:line="240" w:lineRule="auto"/>
        <w:ind w:left="720"/>
        <w:jc w:val="both"/>
        <w:rPr>
          <w:rFonts w:eastAsia="Calibri"/>
          <w:color w:val="auto"/>
        </w:rPr>
      </w:pPr>
    </w:p>
    <w:p w14:paraId="383FAC1D"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EB79F6C" w14:textId="0FE9B082"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whether or not the breach leads to prosecution.  Where a material breach is found to have occurred, the likely sanction will be loss of employment and pension rights.</w:t>
      </w:r>
    </w:p>
    <w:p w14:paraId="656BE8D8"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7D094FC" w14:textId="0FDF3BF3"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20"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710480">
      <w:pPr>
        <w:autoSpaceDE w:val="0"/>
        <w:autoSpaceDN w:val="0"/>
        <w:spacing w:line="240" w:lineRule="auto"/>
        <w:ind w:left="720"/>
        <w:jc w:val="both"/>
        <w:rPr>
          <w:rFonts w:eastAsia="Calibri"/>
          <w:color w:val="1F497D"/>
        </w:rPr>
      </w:pPr>
    </w:p>
    <w:p w14:paraId="011EC7E1" w14:textId="51296824"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710480">
      <w:pPr>
        <w:autoSpaceDE w:val="0"/>
        <w:autoSpaceDN w:val="0"/>
        <w:spacing w:line="240" w:lineRule="auto"/>
        <w:ind w:left="720"/>
        <w:jc w:val="both"/>
        <w:rPr>
          <w:rFonts w:eastAsia="Calibri"/>
          <w:color w:val="auto"/>
        </w:rPr>
      </w:pPr>
    </w:p>
    <w:p w14:paraId="7081DDD1" w14:textId="3C8D1681"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21"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bribery or corruption. </w:t>
      </w:r>
    </w:p>
    <w:p w14:paraId="6121A8EF" w14:textId="77777777" w:rsidR="00710480" w:rsidRPr="008F16A6" w:rsidRDefault="00710480" w:rsidP="008F16A6">
      <w:pPr>
        <w:spacing w:line="240" w:lineRule="auto"/>
        <w:rPr>
          <w:b/>
        </w:rPr>
      </w:pPr>
    </w:p>
    <w:p w14:paraId="3833776B" w14:textId="77777777" w:rsidR="00F654F0" w:rsidRDefault="00F654F0" w:rsidP="00316E2C"/>
    <w:sectPr w:rsidR="00F654F0" w:rsidSect="004F3CD4">
      <w:headerReference w:type="default" r:id="rId22"/>
      <w:footerReference w:type="default" r:id="rId23"/>
      <w:headerReference w:type="firs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50C0" w14:textId="77777777" w:rsidR="00E92F94" w:rsidRDefault="00E92F94">
      <w:r>
        <w:separator/>
      </w:r>
    </w:p>
  </w:endnote>
  <w:endnote w:type="continuationSeparator" w:id="0">
    <w:p w14:paraId="36E8758C" w14:textId="77777777" w:rsidR="00E92F94" w:rsidRDefault="00E9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40202430"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5362FB">
      <w:rPr>
        <w:color w:val="auto"/>
        <w:sz w:val="18"/>
        <w:szCs w:val="18"/>
        <w:lang w:val="en-GB"/>
      </w:rPr>
      <w:t xml:space="preserve">National Data Opt-Out </w:t>
    </w:r>
    <w:r w:rsidR="00870108">
      <w:rPr>
        <w:color w:val="auto"/>
        <w:sz w:val="18"/>
        <w:szCs w:val="18"/>
        <w:lang w:val="en-GB"/>
      </w:rPr>
      <w:t xml:space="preserve">Policy </w:t>
    </w:r>
    <w:r w:rsidR="008850DD">
      <w:rPr>
        <w:color w:val="auto"/>
        <w:sz w:val="18"/>
        <w:szCs w:val="18"/>
        <w:lang w:val="en-GB"/>
      </w:rPr>
      <w:t>June</w:t>
    </w:r>
    <w:r w:rsidR="005362FB">
      <w:rPr>
        <w:color w:val="auto"/>
        <w:sz w:val="18"/>
        <w:szCs w:val="18"/>
        <w:lang w:val="en-GB"/>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2AB8" w14:textId="77777777" w:rsidR="00E92F94" w:rsidRDefault="00E92F94">
      <w:r>
        <w:separator/>
      </w:r>
    </w:p>
  </w:footnote>
  <w:footnote w:type="continuationSeparator" w:id="0">
    <w:p w14:paraId="27B1BDD1" w14:textId="77777777" w:rsidR="00E92F94" w:rsidRDefault="00E9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F254" w14:textId="68C322EA" w:rsidR="00AE286E" w:rsidRDefault="00AE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AE1"/>
    <w:multiLevelType w:val="multilevel"/>
    <w:tmpl w:val="F9829342"/>
    <w:lvl w:ilvl="0">
      <w:start w:val="1"/>
      <w:numFmt w:val="decimal"/>
      <w:lvlText w:val="%1."/>
      <w:lvlJc w:val="left"/>
      <w:pPr>
        <w:ind w:left="30" w:hanging="360"/>
      </w:pPr>
      <w:rPr>
        <w:rFonts w:ascii="Arial" w:hAnsi="Arial" w:cs="Arial" w:hint="default"/>
        <w:b/>
        <w:bCs w:val="0"/>
        <w:i w:val="0"/>
        <w:iCs w:val="0"/>
        <w:caps w:val="0"/>
        <w:smallCaps w:val="0"/>
        <w:strike w:val="0"/>
        <w:dstrike w:val="0"/>
        <w:noProof w:val="0"/>
        <w:vanish w:val="0"/>
        <w:color w:val="0070C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b w:val="0"/>
        <w:color w:val="auto"/>
        <w:sz w:val="24"/>
      </w:rPr>
    </w:lvl>
    <w:lvl w:ilvl="2">
      <w:start w:val="1"/>
      <w:numFmt w:val="decimal"/>
      <w:isLgl/>
      <w:lvlText w:val="%1.%2.%3"/>
      <w:lvlJc w:val="left"/>
      <w:pPr>
        <w:ind w:left="105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10" w:hanging="1800"/>
      </w:pPr>
      <w:rPr>
        <w:rFonts w:hint="default"/>
      </w:rPr>
    </w:lvl>
  </w:abstractNum>
  <w:abstractNum w:abstractNumId="1"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F61ECB"/>
    <w:multiLevelType w:val="hybridMultilevel"/>
    <w:tmpl w:val="0F50F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EC086C"/>
    <w:multiLevelType w:val="hybridMultilevel"/>
    <w:tmpl w:val="9E222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6975D8"/>
    <w:multiLevelType w:val="hybridMultilevel"/>
    <w:tmpl w:val="CA244EB6"/>
    <w:lvl w:ilvl="0" w:tplc="F70C2A90">
      <w:start w:val="7"/>
      <w:numFmt w:val="bullet"/>
      <w:lvlText w:val=""/>
      <w:lvlJc w:val="left"/>
      <w:pPr>
        <w:ind w:left="720" w:hanging="360"/>
      </w:pPr>
      <w:rPr>
        <w:rFonts w:ascii="Symbol" w:eastAsia="Times New Roman" w:hAnsi="Symbol" w:cs="Aria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149B3"/>
    <w:multiLevelType w:val="hybridMultilevel"/>
    <w:tmpl w:val="A8A66A6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2A42A3"/>
    <w:multiLevelType w:val="hybridMultilevel"/>
    <w:tmpl w:val="0CE05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7"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8"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0"/>
  </w:num>
  <w:num w:numId="2" w16cid:durableId="318660694">
    <w:abstractNumId w:val="16"/>
  </w:num>
  <w:num w:numId="3" w16cid:durableId="2111274883">
    <w:abstractNumId w:val="5"/>
  </w:num>
  <w:num w:numId="4" w16cid:durableId="145171991">
    <w:abstractNumId w:val="11"/>
  </w:num>
  <w:num w:numId="5" w16cid:durableId="625234906">
    <w:abstractNumId w:val="18"/>
  </w:num>
  <w:num w:numId="6" w16cid:durableId="141119935">
    <w:abstractNumId w:val="3"/>
  </w:num>
  <w:num w:numId="7" w16cid:durableId="1227111691">
    <w:abstractNumId w:val="2"/>
  </w:num>
  <w:num w:numId="8" w16cid:durableId="1379821715">
    <w:abstractNumId w:val="16"/>
  </w:num>
  <w:num w:numId="9" w16cid:durableId="1974559865">
    <w:abstractNumId w:val="4"/>
  </w:num>
  <w:num w:numId="10" w16cid:durableId="785657245">
    <w:abstractNumId w:val="6"/>
  </w:num>
  <w:num w:numId="11" w16cid:durableId="476798177">
    <w:abstractNumId w:val="19"/>
  </w:num>
  <w:num w:numId="12" w16cid:durableId="719675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1"/>
  </w:num>
  <w:num w:numId="22" w16cid:durableId="530189052">
    <w:abstractNumId w:val="17"/>
  </w:num>
  <w:num w:numId="23" w16cid:durableId="227300865">
    <w:abstractNumId w:val="7"/>
  </w:num>
  <w:num w:numId="24" w16cid:durableId="434904632">
    <w:abstractNumId w:val="12"/>
  </w:num>
  <w:num w:numId="25" w16cid:durableId="206140027">
    <w:abstractNumId w:val="9"/>
  </w:num>
  <w:num w:numId="26" w16cid:durableId="755982455">
    <w:abstractNumId w:val="14"/>
  </w:num>
  <w:num w:numId="27" w16cid:durableId="1657565708">
    <w:abstractNumId w:val="15"/>
  </w:num>
  <w:num w:numId="28" w16cid:durableId="1917663012">
    <w:abstractNumId w:val="8"/>
  </w:num>
  <w:num w:numId="29" w16cid:durableId="1260522710">
    <w:abstractNumId w:val="0"/>
  </w:num>
  <w:num w:numId="30" w16cid:durableId="624119369">
    <w:abstractNumId w:val="13"/>
  </w:num>
  <w:num w:numId="31" w16cid:durableId="911044157">
    <w:abstractNumId w:val="16"/>
    <w:lvlOverride w:ilvl="0">
      <w:startOverride w:val="5"/>
    </w:lvlOverride>
    <w:lvlOverride w:ilvl="1">
      <w:startOverride w:val="10"/>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7cwMDOxNDA0MLNU0lEKTi0uzszPAykwrAUAE4xVHywAAAA="/>
  </w:docVars>
  <w:rsids>
    <w:rsidRoot w:val="0001202C"/>
    <w:rsid w:val="00000C67"/>
    <w:rsid w:val="0000241A"/>
    <w:rsid w:val="00002FC0"/>
    <w:rsid w:val="0000341C"/>
    <w:rsid w:val="0000439A"/>
    <w:rsid w:val="00005158"/>
    <w:rsid w:val="00010464"/>
    <w:rsid w:val="0001202C"/>
    <w:rsid w:val="000142AB"/>
    <w:rsid w:val="000226CA"/>
    <w:rsid w:val="0002728C"/>
    <w:rsid w:val="00034924"/>
    <w:rsid w:val="00037322"/>
    <w:rsid w:val="00042958"/>
    <w:rsid w:val="00044CAA"/>
    <w:rsid w:val="00053BFA"/>
    <w:rsid w:val="00062B01"/>
    <w:rsid w:val="000637C1"/>
    <w:rsid w:val="00064F5D"/>
    <w:rsid w:val="000674E1"/>
    <w:rsid w:val="00074553"/>
    <w:rsid w:val="0008204A"/>
    <w:rsid w:val="000836E4"/>
    <w:rsid w:val="000879BB"/>
    <w:rsid w:val="000952C1"/>
    <w:rsid w:val="000B384A"/>
    <w:rsid w:val="000B3D60"/>
    <w:rsid w:val="000B67F2"/>
    <w:rsid w:val="000C4282"/>
    <w:rsid w:val="000D255A"/>
    <w:rsid w:val="000D3F4F"/>
    <w:rsid w:val="000D5A23"/>
    <w:rsid w:val="000E2D3D"/>
    <w:rsid w:val="000E3813"/>
    <w:rsid w:val="000E5A92"/>
    <w:rsid w:val="000F16BF"/>
    <w:rsid w:val="000F6CEB"/>
    <w:rsid w:val="001106E3"/>
    <w:rsid w:val="00114EEF"/>
    <w:rsid w:val="0011757E"/>
    <w:rsid w:val="001212DF"/>
    <w:rsid w:val="00127ABF"/>
    <w:rsid w:val="001323C3"/>
    <w:rsid w:val="001336B6"/>
    <w:rsid w:val="00143C3F"/>
    <w:rsid w:val="00146CBA"/>
    <w:rsid w:val="00155511"/>
    <w:rsid w:val="00171FBF"/>
    <w:rsid w:val="00176344"/>
    <w:rsid w:val="00180959"/>
    <w:rsid w:val="00182E52"/>
    <w:rsid w:val="00184039"/>
    <w:rsid w:val="00184DB4"/>
    <w:rsid w:val="00191244"/>
    <w:rsid w:val="00194292"/>
    <w:rsid w:val="001949B6"/>
    <w:rsid w:val="00197EC7"/>
    <w:rsid w:val="001A2F73"/>
    <w:rsid w:val="001A77EE"/>
    <w:rsid w:val="001B20EB"/>
    <w:rsid w:val="001B301E"/>
    <w:rsid w:val="001B625D"/>
    <w:rsid w:val="001D0129"/>
    <w:rsid w:val="001D0F17"/>
    <w:rsid w:val="001D4381"/>
    <w:rsid w:val="001E20E6"/>
    <w:rsid w:val="001E3BBA"/>
    <w:rsid w:val="001E47F7"/>
    <w:rsid w:val="001F0DBB"/>
    <w:rsid w:val="001F2370"/>
    <w:rsid w:val="001F42A2"/>
    <w:rsid w:val="001F7035"/>
    <w:rsid w:val="0020078D"/>
    <w:rsid w:val="0020189D"/>
    <w:rsid w:val="00202882"/>
    <w:rsid w:val="00202D4D"/>
    <w:rsid w:val="00216B0E"/>
    <w:rsid w:val="00242A41"/>
    <w:rsid w:val="00247C88"/>
    <w:rsid w:val="00252291"/>
    <w:rsid w:val="00265B07"/>
    <w:rsid w:val="00266601"/>
    <w:rsid w:val="00274054"/>
    <w:rsid w:val="00280044"/>
    <w:rsid w:val="00281C3C"/>
    <w:rsid w:val="00297BDA"/>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6E2C"/>
    <w:rsid w:val="0032084D"/>
    <w:rsid w:val="00320F23"/>
    <w:rsid w:val="00331E26"/>
    <w:rsid w:val="003339F7"/>
    <w:rsid w:val="00335C2C"/>
    <w:rsid w:val="0034072E"/>
    <w:rsid w:val="00343666"/>
    <w:rsid w:val="00346792"/>
    <w:rsid w:val="00346CEE"/>
    <w:rsid w:val="00347E68"/>
    <w:rsid w:val="003668FC"/>
    <w:rsid w:val="00366E54"/>
    <w:rsid w:val="00367D9A"/>
    <w:rsid w:val="00373F70"/>
    <w:rsid w:val="00376418"/>
    <w:rsid w:val="00377706"/>
    <w:rsid w:val="003837ED"/>
    <w:rsid w:val="00390E0C"/>
    <w:rsid w:val="003917C0"/>
    <w:rsid w:val="00393CCD"/>
    <w:rsid w:val="003B00B8"/>
    <w:rsid w:val="003C0002"/>
    <w:rsid w:val="003E1783"/>
    <w:rsid w:val="003E408C"/>
    <w:rsid w:val="00400016"/>
    <w:rsid w:val="00402368"/>
    <w:rsid w:val="00402E4B"/>
    <w:rsid w:val="004060F5"/>
    <w:rsid w:val="00406627"/>
    <w:rsid w:val="004067F2"/>
    <w:rsid w:val="00413C1C"/>
    <w:rsid w:val="00413D9E"/>
    <w:rsid w:val="004167BD"/>
    <w:rsid w:val="00424FC9"/>
    <w:rsid w:val="00434409"/>
    <w:rsid w:val="0043516E"/>
    <w:rsid w:val="0043581D"/>
    <w:rsid w:val="004532BB"/>
    <w:rsid w:val="004553E3"/>
    <w:rsid w:val="004571F2"/>
    <w:rsid w:val="00462AA3"/>
    <w:rsid w:val="00463199"/>
    <w:rsid w:val="00470891"/>
    <w:rsid w:val="00472046"/>
    <w:rsid w:val="00477C6D"/>
    <w:rsid w:val="00481B3E"/>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7266"/>
    <w:rsid w:val="00520E0E"/>
    <w:rsid w:val="00525BB1"/>
    <w:rsid w:val="00525D4D"/>
    <w:rsid w:val="005334BB"/>
    <w:rsid w:val="005362FB"/>
    <w:rsid w:val="0053680F"/>
    <w:rsid w:val="0055310F"/>
    <w:rsid w:val="00555575"/>
    <w:rsid w:val="0055649E"/>
    <w:rsid w:val="005564E8"/>
    <w:rsid w:val="00556A80"/>
    <w:rsid w:val="00562B68"/>
    <w:rsid w:val="00563A1A"/>
    <w:rsid w:val="0056470A"/>
    <w:rsid w:val="00565928"/>
    <w:rsid w:val="00565EBB"/>
    <w:rsid w:val="005669AF"/>
    <w:rsid w:val="00567211"/>
    <w:rsid w:val="00573EFA"/>
    <w:rsid w:val="005741DA"/>
    <w:rsid w:val="00575DA6"/>
    <w:rsid w:val="00577FC3"/>
    <w:rsid w:val="00585293"/>
    <w:rsid w:val="00587DC0"/>
    <w:rsid w:val="00591B68"/>
    <w:rsid w:val="005A0A84"/>
    <w:rsid w:val="005A5E5A"/>
    <w:rsid w:val="005B2577"/>
    <w:rsid w:val="005B3595"/>
    <w:rsid w:val="005C1A4A"/>
    <w:rsid w:val="005C5C0C"/>
    <w:rsid w:val="005C7687"/>
    <w:rsid w:val="005D04CE"/>
    <w:rsid w:val="005D71F2"/>
    <w:rsid w:val="005D72A8"/>
    <w:rsid w:val="005D73B2"/>
    <w:rsid w:val="005E24B7"/>
    <w:rsid w:val="005E39D3"/>
    <w:rsid w:val="005E55D4"/>
    <w:rsid w:val="005F0E20"/>
    <w:rsid w:val="005F1933"/>
    <w:rsid w:val="005F365E"/>
    <w:rsid w:val="005F4E82"/>
    <w:rsid w:val="005F5119"/>
    <w:rsid w:val="005F657F"/>
    <w:rsid w:val="005F789D"/>
    <w:rsid w:val="006023E9"/>
    <w:rsid w:val="0060474C"/>
    <w:rsid w:val="006218B6"/>
    <w:rsid w:val="0062302F"/>
    <w:rsid w:val="0062611D"/>
    <w:rsid w:val="00632B88"/>
    <w:rsid w:val="0063449D"/>
    <w:rsid w:val="00636CF6"/>
    <w:rsid w:val="00644152"/>
    <w:rsid w:val="0064454C"/>
    <w:rsid w:val="00646775"/>
    <w:rsid w:val="00654784"/>
    <w:rsid w:val="00663DD5"/>
    <w:rsid w:val="006810C5"/>
    <w:rsid w:val="00684131"/>
    <w:rsid w:val="00685571"/>
    <w:rsid w:val="00687140"/>
    <w:rsid w:val="00694ABB"/>
    <w:rsid w:val="006A0778"/>
    <w:rsid w:val="006A0AF3"/>
    <w:rsid w:val="006A26E8"/>
    <w:rsid w:val="006A4809"/>
    <w:rsid w:val="006A482F"/>
    <w:rsid w:val="006B079B"/>
    <w:rsid w:val="006B0CE3"/>
    <w:rsid w:val="006B7553"/>
    <w:rsid w:val="006B7EB2"/>
    <w:rsid w:val="006C191A"/>
    <w:rsid w:val="006C4BB3"/>
    <w:rsid w:val="006C4D90"/>
    <w:rsid w:val="006C5F59"/>
    <w:rsid w:val="006C659D"/>
    <w:rsid w:val="006D31EB"/>
    <w:rsid w:val="006D41F2"/>
    <w:rsid w:val="006D46D5"/>
    <w:rsid w:val="006D5E9C"/>
    <w:rsid w:val="006E0D71"/>
    <w:rsid w:val="006E35D3"/>
    <w:rsid w:val="006F05CF"/>
    <w:rsid w:val="00700A8F"/>
    <w:rsid w:val="007020F6"/>
    <w:rsid w:val="007042C9"/>
    <w:rsid w:val="007060AF"/>
    <w:rsid w:val="00710480"/>
    <w:rsid w:val="00715B0F"/>
    <w:rsid w:val="007247BA"/>
    <w:rsid w:val="00724D7A"/>
    <w:rsid w:val="00737343"/>
    <w:rsid w:val="0074040D"/>
    <w:rsid w:val="00745335"/>
    <w:rsid w:val="00757F3B"/>
    <w:rsid w:val="007626A2"/>
    <w:rsid w:val="007678FC"/>
    <w:rsid w:val="00767FD3"/>
    <w:rsid w:val="0077110B"/>
    <w:rsid w:val="00771699"/>
    <w:rsid w:val="00780716"/>
    <w:rsid w:val="00782006"/>
    <w:rsid w:val="007838EA"/>
    <w:rsid w:val="00790705"/>
    <w:rsid w:val="00792868"/>
    <w:rsid w:val="0079391F"/>
    <w:rsid w:val="007A3550"/>
    <w:rsid w:val="007A3C18"/>
    <w:rsid w:val="007B0BE6"/>
    <w:rsid w:val="007C1E97"/>
    <w:rsid w:val="007C1FA0"/>
    <w:rsid w:val="007C3E70"/>
    <w:rsid w:val="007C7B79"/>
    <w:rsid w:val="007D24B2"/>
    <w:rsid w:val="007D42F4"/>
    <w:rsid w:val="007D5352"/>
    <w:rsid w:val="007E0215"/>
    <w:rsid w:val="007E12D0"/>
    <w:rsid w:val="007E2212"/>
    <w:rsid w:val="007E3B6D"/>
    <w:rsid w:val="007F06E1"/>
    <w:rsid w:val="007F5CA5"/>
    <w:rsid w:val="007F6C7D"/>
    <w:rsid w:val="00802608"/>
    <w:rsid w:val="0080529E"/>
    <w:rsid w:val="00813F91"/>
    <w:rsid w:val="00815AB5"/>
    <w:rsid w:val="00822706"/>
    <w:rsid w:val="008237CF"/>
    <w:rsid w:val="00824982"/>
    <w:rsid w:val="00830D10"/>
    <w:rsid w:val="00834AC4"/>
    <w:rsid w:val="00842035"/>
    <w:rsid w:val="00842826"/>
    <w:rsid w:val="00842D39"/>
    <w:rsid w:val="00845F62"/>
    <w:rsid w:val="00846D9E"/>
    <w:rsid w:val="00863900"/>
    <w:rsid w:val="00870108"/>
    <w:rsid w:val="00871886"/>
    <w:rsid w:val="00873CE2"/>
    <w:rsid w:val="00875B86"/>
    <w:rsid w:val="0087660C"/>
    <w:rsid w:val="008766F3"/>
    <w:rsid w:val="008778B0"/>
    <w:rsid w:val="00884052"/>
    <w:rsid w:val="008850DD"/>
    <w:rsid w:val="008954E3"/>
    <w:rsid w:val="008A2F65"/>
    <w:rsid w:val="008A3C16"/>
    <w:rsid w:val="008B2623"/>
    <w:rsid w:val="008B432B"/>
    <w:rsid w:val="008B4D6A"/>
    <w:rsid w:val="008B5EAC"/>
    <w:rsid w:val="008B7C70"/>
    <w:rsid w:val="008C07BF"/>
    <w:rsid w:val="008C26B8"/>
    <w:rsid w:val="008D5AA1"/>
    <w:rsid w:val="008E0FF6"/>
    <w:rsid w:val="008E46F8"/>
    <w:rsid w:val="008E4BC2"/>
    <w:rsid w:val="008E6362"/>
    <w:rsid w:val="008E79B7"/>
    <w:rsid w:val="008F16A6"/>
    <w:rsid w:val="008F260E"/>
    <w:rsid w:val="008F3542"/>
    <w:rsid w:val="008F5848"/>
    <w:rsid w:val="008F5DF0"/>
    <w:rsid w:val="00900021"/>
    <w:rsid w:val="00907441"/>
    <w:rsid w:val="00936E4A"/>
    <w:rsid w:val="009372A4"/>
    <w:rsid w:val="009377D1"/>
    <w:rsid w:val="00950446"/>
    <w:rsid w:val="0095251E"/>
    <w:rsid w:val="0095282C"/>
    <w:rsid w:val="009605B9"/>
    <w:rsid w:val="00961D90"/>
    <w:rsid w:val="009644A6"/>
    <w:rsid w:val="00966834"/>
    <w:rsid w:val="00972410"/>
    <w:rsid w:val="009774E6"/>
    <w:rsid w:val="00981005"/>
    <w:rsid w:val="00987BCE"/>
    <w:rsid w:val="00991EE6"/>
    <w:rsid w:val="00992658"/>
    <w:rsid w:val="009A3AAE"/>
    <w:rsid w:val="009A46A6"/>
    <w:rsid w:val="009A721A"/>
    <w:rsid w:val="009B0E24"/>
    <w:rsid w:val="009C4B3C"/>
    <w:rsid w:val="009C5AF7"/>
    <w:rsid w:val="009D2C52"/>
    <w:rsid w:val="009D5354"/>
    <w:rsid w:val="009D7686"/>
    <w:rsid w:val="009E46C0"/>
    <w:rsid w:val="009E7762"/>
    <w:rsid w:val="009F0284"/>
    <w:rsid w:val="009F0A09"/>
    <w:rsid w:val="009F2C13"/>
    <w:rsid w:val="009F381C"/>
    <w:rsid w:val="00A060C6"/>
    <w:rsid w:val="00A06313"/>
    <w:rsid w:val="00A102B7"/>
    <w:rsid w:val="00A10CE8"/>
    <w:rsid w:val="00A125E6"/>
    <w:rsid w:val="00A130F1"/>
    <w:rsid w:val="00A208E9"/>
    <w:rsid w:val="00A20AD3"/>
    <w:rsid w:val="00A2365F"/>
    <w:rsid w:val="00A26D2F"/>
    <w:rsid w:val="00A305DB"/>
    <w:rsid w:val="00A3701C"/>
    <w:rsid w:val="00A41E64"/>
    <w:rsid w:val="00A47D95"/>
    <w:rsid w:val="00A54E5F"/>
    <w:rsid w:val="00A61A0E"/>
    <w:rsid w:val="00A739FB"/>
    <w:rsid w:val="00A8209A"/>
    <w:rsid w:val="00A824CB"/>
    <w:rsid w:val="00A856C4"/>
    <w:rsid w:val="00A90F8F"/>
    <w:rsid w:val="00A935DF"/>
    <w:rsid w:val="00A9684A"/>
    <w:rsid w:val="00A979FA"/>
    <w:rsid w:val="00AA0566"/>
    <w:rsid w:val="00AB10AA"/>
    <w:rsid w:val="00AB2B8E"/>
    <w:rsid w:val="00AB3992"/>
    <w:rsid w:val="00AB6567"/>
    <w:rsid w:val="00AC2462"/>
    <w:rsid w:val="00AC295A"/>
    <w:rsid w:val="00AC6700"/>
    <w:rsid w:val="00AD45BB"/>
    <w:rsid w:val="00AD57C7"/>
    <w:rsid w:val="00AE286E"/>
    <w:rsid w:val="00AE3607"/>
    <w:rsid w:val="00AE677A"/>
    <w:rsid w:val="00AF244F"/>
    <w:rsid w:val="00AF2ADC"/>
    <w:rsid w:val="00AF5D6A"/>
    <w:rsid w:val="00B04F29"/>
    <w:rsid w:val="00B05D06"/>
    <w:rsid w:val="00B05DC7"/>
    <w:rsid w:val="00B11DFC"/>
    <w:rsid w:val="00B146F6"/>
    <w:rsid w:val="00B27842"/>
    <w:rsid w:val="00B321E8"/>
    <w:rsid w:val="00B32D83"/>
    <w:rsid w:val="00B353F6"/>
    <w:rsid w:val="00B447E7"/>
    <w:rsid w:val="00B5148D"/>
    <w:rsid w:val="00B52359"/>
    <w:rsid w:val="00B52FD5"/>
    <w:rsid w:val="00B61038"/>
    <w:rsid w:val="00B66F2E"/>
    <w:rsid w:val="00B71E96"/>
    <w:rsid w:val="00B76065"/>
    <w:rsid w:val="00B91189"/>
    <w:rsid w:val="00B93ADA"/>
    <w:rsid w:val="00B942B8"/>
    <w:rsid w:val="00B95852"/>
    <w:rsid w:val="00B961E9"/>
    <w:rsid w:val="00B969EF"/>
    <w:rsid w:val="00B96AB7"/>
    <w:rsid w:val="00B9792A"/>
    <w:rsid w:val="00BA15F1"/>
    <w:rsid w:val="00BA4E2F"/>
    <w:rsid w:val="00BA70DB"/>
    <w:rsid w:val="00BA74CD"/>
    <w:rsid w:val="00BB079D"/>
    <w:rsid w:val="00BB104C"/>
    <w:rsid w:val="00BB1833"/>
    <w:rsid w:val="00BB6EA8"/>
    <w:rsid w:val="00BC7371"/>
    <w:rsid w:val="00BD0CE7"/>
    <w:rsid w:val="00BD0F5B"/>
    <w:rsid w:val="00BD0FFC"/>
    <w:rsid w:val="00BD6E39"/>
    <w:rsid w:val="00BE053A"/>
    <w:rsid w:val="00BE1D7D"/>
    <w:rsid w:val="00BE20DB"/>
    <w:rsid w:val="00BE5C6E"/>
    <w:rsid w:val="00BE6A79"/>
    <w:rsid w:val="00BF2AD9"/>
    <w:rsid w:val="00BF3B93"/>
    <w:rsid w:val="00BF7EDF"/>
    <w:rsid w:val="00C10A68"/>
    <w:rsid w:val="00C10A91"/>
    <w:rsid w:val="00C1520D"/>
    <w:rsid w:val="00C25446"/>
    <w:rsid w:val="00C263E8"/>
    <w:rsid w:val="00C3040F"/>
    <w:rsid w:val="00C32008"/>
    <w:rsid w:val="00C37A7A"/>
    <w:rsid w:val="00C4094A"/>
    <w:rsid w:val="00C448D9"/>
    <w:rsid w:val="00C4582C"/>
    <w:rsid w:val="00C47064"/>
    <w:rsid w:val="00C544F8"/>
    <w:rsid w:val="00C66DA7"/>
    <w:rsid w:val="00C741D2"/>
    <w:rsid w:val="00C76E9B"/>
    <w:rsid w:val="00C828E2"/>
    <w:rsid w:val="00C83586"/>
    <w:rsid w:val="00C851D2"/>
    <w:rsid w:val="00C92E8F"/>
    <w:rsid w:val="00CB4620"/>
    <w:rsid w:val="00CC0BDE"/>
    <w:rsid w:val="00CC1E05"/>
    <w:rsid w:val="00CC7A68"/>
    <w:rsid w:val="00CD06BA"/>
    <w:rsid w:val="00CD0E23"/>
    <w:rsid w:val="00CD533D"/>
    <w:rsid w:val="00CE2162"/>
    <w:rsid w:val="00CE2CFF"/>
    <w:rsid w:val="00CE68BF"/>
    <w:rsid w:val="00CF644C"/>
    <w:rsid w:val="00CF6B0E"/>
    <w:rsid w:val="00D001A2"/>
    <w:rsid w:val="00D01364"/>
    <w:rsid w:val="00D05C76"/>
    <w:rsid w:val="00D07F7D"/>
    <w:rsid w:val="00D267BB"/>
    <w:rsid w:val="00D27CFF"/>
    <w:rsid w:val="00D445D2"/>
    <w:rsid w:val="00D47EBA"/>
    <w:rsid w:val="00D56752"/>
    <w:rsid w:val="00D71B95"/>
    <w:rsid w:val="00D723E0"/>
    <w:rsid w:val="00D82D0F"/>
    <w:rsid w:val="00D866C5"/>
    <w:rsid w:val="00D97712"/>
    <w:rsid w:val="00DA0FCE"/>
    <w:rsid w:val="00DA0FE0"/>
    <w:rsid w:val="00DA1755"/>
    <w:rsid w:val="00DA2A91"/>
    <w:rsid w:val="00DA2CA8"/>
    <w:rsid w:val="00DA3BBD"/>
    <w:rsid w:val="00DA693D"/>
    <w:rsid w:val="00DA7006"/>
    <w:rsid w:val="00DA7A59"/>
    <w:rsid w:val="00DC09D5"/>
    <w:rsid w:val="00DC226C"/>
    <w:rsid w:val="00DC3D38"/>
    <w:rsid w:val="00DC478C"/>
    <w:rsid w:val="00DC60F4"/>
    <w:rsid w:val="00DD014E"/>
    <w:rsid w:val="00DD0FB7"/>
    <w:rsid w:val="00DD2B89"/>
    <w:rsid w:val="00DD443C"/>
    <w:rsid w:val="00DE2340"/>
    <w:rsid w:val="00DE3811"/>
    <w:rsid w:val="00DE5131"/>
    <w:rsid w:val="00DF0887"/>
    <w:rsid w:val="00DF3017"/>
    <w:rsid w:val="00DF46D0"/>
    <w:rsid w:val="00E27036"/>
    <w:rsid w:val="00E347B2"/>
    <w:rsid w:val="00E361E0"/>
    <w:rsid w:val="00E40EEF"/>
    <w:rsid w:val="00E52812"/>
    <w:rsid w:val="00E63077"/>
    <w:rsid w:val="00E6354C"/>
    <w:rsid w:val="00E66AF4"/>
    <w:rsid w:val="00E67077"/>
    <w:rsid w:val="00E67238"/>
    <w:rsid w:val="00E67D08"/>
    <w:rsid w:val="00E717E1"/>
    <w:rsid w:val="00E7749A"/>
    <w:rsid w:val="00E774F5"/>
    <w:rsid w:val="00E816C3"/>
    <w:rsid w:val="00E833B5"/>
    <w:rsid w:val="00E85368"/>
    <w:rsid w:val="00E85F6A"/>
    <w:rsid w:val="00E86E8E"/>
    <w:rsid w:val="00E91015"/>
    <w:rsid w:val="00E92762"/>
    <w:rsid w:val="00E92F94"/>
    <w:rsid w:val="00E963E9"/>
    <w:rsid w:val="00EA1836"/>
    <w:rsid w:val="00EB1BA0"/>
    <w:rsid w:val="00EB23EC"/>
    <w:rsid w:val="00EB28F8"/>
    <w:rsid w:val="00EB51FB"/>
    <w:rsid w:val="00EB5C44"/>
    <w:rsid w:val="00EB7076"/>
    <w:rsid w:val="00EC334A"/>
    <w:rsid w:val="00EC7BEA"/>
    <w:rsid w:val="00ED0541"/>
    <w:rsid w:val="00EE254A"/>
    <w:rsid w:val="00EE2CA3"/>
    <w:rsid w:val="00EE317A"/>
    <w:rsid w:val="00EE4DD8"/>
    <w:rsid w:val="00EE6EB7"/>
    <w:rsid w:val="00EE7401"/>
    <w:rsid w:val="00EF3B93"/>
    <w:rsid w:val="00EF7C70"/>
    <w:rsid w:val="00F01246"/>
    <w:rsid w:val="00F01C58"/>
    <w:rsid w:val="00F05D43"/>
    <w:rsid w:val="00F063B9"/>
    <w:rsid w:val="00F11374"/>
    <w:rsid w:val="00F11E4B"/>
    <w:rsid w:val="00F12FE9"/>
    <w:rsid w:val="00F169A4"/>
    <w:rsid w:val="00F31234"/>
    <w:rsid w:val="00F3377F"/>
    <w:rsid w:val="00F40BDE"/>
    <w:rsid w:val="00F472C5"/>
    <w:rsid w:val="00F558EA"/>
    <w:rsid w:val="00F62AA9"/>
    <w:rsid w:val="00F654F0"/>
    <w:rsid w:val="00F70C33"/>
    <w:rsid w:val="00F74730"/>
    <w:rsid w:val="00F8093B"/>
    <w:rsid w:val="00F82795"/>
    <w:rsid w:val="00F8626C"/>
    <w:rsid w:val="00F909B2"/>
    <w:rsid w:val="00FA56E3"/>
    <w:rsid w:val="00FA58F8"/>
    <w:rsid w:val="00FB0EC6"/>
    <w:rsid w:val="00FB51E3"/>
    <w:rsid w:val="00FB67F2"/>
    <w:rsid w:val="00FC7D14"/>
    <w:rsid w:val="00FD0CBE"/>
    <w:rsid w:val="00FD0CF8"/>
    <w:rsid w:val="00FD630A"/>
    <w:rsid w:val="00FE17D2"/>
    <w:rsid w:val="00FE1D1E"/>
    <w:rsid w:val="00FE3C54"/>
    <w:rsid w:val="00FE50C9"/>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1"/>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724D7A"/>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724D7A"/>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paragraph" w:customStyle="1" w:styleId="nhsd-t-body">
    <w:name w:val="nhsd-t-body"/>
    <w:basedOn w:val="Normal"/>
    <w:rsid w:val="005362FB"/>
    <w:pPr>
      <w:spacing w:before="100" w:beforeAutospacing="1" w:after="100" w:afterAutospacing="1" w:line="240" w:lineRule="auto"/>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C32008"/>
    <w:rPr>
      <w:color w:val="605E5C"/>
      <w:shd w:val="clear" w:color="auto" w:fill="E1DFDD"/>
    </w:rPr>
  </w:style>
  <w:style w:type="character" w:styleId="Emphasis">
    <w:name w:val="Emphasis"/>
    <w:basedOn w:val="DefaultParagraphFont"/>
    <w:qFormat/>
    <w:rsid w:val="00F74730"/>
    <w:rPr>
      <w:i/>
      <w:iCs/>
    </w:rPr>
  </w:style>
  <w:style w:type="character" w:styleId="FollowedHyperlink">
    <w:name w:val="FollowedHyperlink"/>
    <w:basedOn w:val="DefaultParagraphFont"/>
    <w:semiHidden/>
    <w:unhideWhenUsed/>
    <w:rsid w:val="00180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452408783">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633706537">
      <w:bodyDiv w:val="1"/>
      <w:marLeft w:val="0"/>
      <w:marRight w:val="0"/>
      <w:marTop w:val="0"/>
      <w:marBottom w:val="0"/>
      <w:divBdr>
        <w:top w:val="none" w:sz="0" w:space="0" w:color="auto"/>
        <w:left w:val="none" w:sz="0" w:space="0" w:color="auto"/>
        <w:bottom w:val="none" w:sz="0" w:space="0" w:color="auto"/>
        <w:right w:val="none" w:sz="0" w:space="0" w:color="auto"/>
      </w:divBdr>
    </w:div>
    <w:div w:id="17250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lawful-basis-for-processing/consent/" TargetMode="External"/><Relationship Id="rId18" Type="http://schemas.openxmlformats.org/officeDocument/2006/relationships/hyperlink" Target="https://digital.nhs.uk/services/national-data-opt-out/programmes-to-which-the-national-data-opt-out-should-not-be-appli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portnhsfraud.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igital.nhs.uk/services/e-referral-servi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gital.nhs.uk/services/summary-care-records-scr" TargetMode="External"/><Relationship Id="rId20" Type="http://schemas.openxmlformats.org/officeDocument/2006/relationships/hyperlink" Target="mailto:nikki.cooper1@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igital.nhs.uk/services/demographic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nyicb-ery.ig@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electronic-prescription-servic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2.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3.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4.xml><?xml version="1.0" encoding="utf-8"?>
<ds:datastoreItem xmlns:ds="http://schemas.openxmlformats.org/officeDocument/2006/customXml" ds:itemID="{28E09659-C5E6-4D9A-A722-DCF4CE12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3174</Words>
  <Characters>19822</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22951</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LOWE, Nicky (NHS HUMBER AND NORTH YORKSHIRE ICB - 02Y)</cp:lastModifiedBy>
  <cp:revision>7</cp:revision>
  <cp:lastPrinted>2015-11-09T11:32:00Z</cp:lastPrinted>
  <dcterms:created xsi:type="dcterms:W3CDTF">2023-04-11T10:25:00Z</dcterms:created>
  <dcterms:modified xsi:type="dcterms:W3CDTF">2023-06-27T12:14:00Z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