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F4D7" w14:textId="3C5EC934" w:rsidR="00EC7BEA" w:rsidRPr="00402368" w:rsidRDefault="005F4E82" w:rsidP="00316E2C">
      <w:pPr>
        <w:rPr>
          <w:noProof/>
        </w:rPr>
      </w:pPr>
      <w:r w:rsidRPr="00A21D3C">
        <w:rPr>
          <w:noProof/>
        </w:rPr>
        <w:drawing>
          <wp:anchor distT="0" distB="0" distL="114300" distR="114300" simplePos="0" relativeHeight="251660288" behindDoc="0" locked="0" layoutInCell="1" allowOverlap="1" wp14:anchorId="31472B6A" wp14:editId="2A37105F">
            <wp:simplePos x="0" y="0"/>
            <wp:positionH relativeFrom="margin">
              <wp:align>left</wp:align>
            </wp:positionH>
            <wp:positionV relativeFrom="margin">
              <wp:posOffset>-481965</wp:posOffset>
            </wp:positionV>
            <wp:extent cx="3324225" cy="692150"/>
            <wp:effectExtent l="0" t="0" r="9525"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24225" cy="69215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0" locked="0" layoutInCell="1" allowOverlap="1" wp14:anchorId="7F05DE8B" wp14:editId="7A47A94E">
            <wp:simplePos x="0" y="0"/>
            <wp:positionH relativeFrom="margin">
              <wp:posOffset>4925060</wp:posOffset>
            </wp:positionH>
            <wp:positionV relativeFrom="margin">
              <wp:posOffset>-508000</wp:posOffset>
            </wp:positionV>
            <wp:extent cx="1905000" cy="102870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028700"/>
                    </a:xfrm>
                    <a:prstGeom prst="rect">
                      <a:avLst/>
                    </a:prstGeom>
                    <a:noFill/>
                  </pic:spPr>
                </pic:pic>
              </a:graphicData>
            </a:graphic>
          </wp:anchor>
        </w:drawing>
      </w:r>
    </w:p>
    <w:p w14:paraId="7AA4A8D4" w14:textId="24C2E8E5" w:rsidR="00EC7BEA" w:rsidRPr="00402368" w:rsidRDefault="00EC7BEA" w:rsidP="00316E2C">
      <w:pPr>
        <w:rPr>
          <w:b/>
        </w:rPr>
      </w:pPr>
    </w:p>
    <w:p w14:paraId="19EDCD38" w14:textId="5C12FFA6" w:rsidR="004D7F55" w:rsidRPr="00402368" w:rsidRDefault="004D7F55" w:rsidP="00316E2C">
      <w:pPr>
        <w:rPr>
          <w:b/>
        </w:rPr>
      </w:pPr>
    </w:p>
    <w:p w14:paraId="52E6AF17" w14:textId="118BD45E" w:rsidR="004D7F55" w:rsidRPr="00402368" w:rsidRDefault="004D7F55" w:rsidP="00316E2C">
      <w:pPr>
        <w:rPr>
          <w:b/>
        </w:rPr>
      </w:pPr>
    </w:p>
    <w:p w14:paraId="76D7E5B6" w14:textId="77777777" w:rsidR="004D7F55" w:rsidRPr="00402368" w:rsidRDefault="004D7F55" w:rsidP="00316E2C">
      <w:pPr>
        <w:rPr>
          <w:b/>
        </w:rPr>
      </w:pPr>
    </w:p>
    <w:p w14:paraId="5F8E3F83" w14:textId="77777777" w:rsidR="00AE286E" w:rsidRDefault="00AE286E" w:rsidP="00316E2C">
      <w:pPr>
        <w:jc w:val="center"/>
        <w:rPr>
          <w:b/>
          <w:bCs/>
          <w:color w:val="auto"/>
          <w:sz w:val="48"/>
          <w:szCs w:val="48"/>
        </w:rPr>
      </w:pPr>
    </w:p>
    <w:p w14:paraId="6F275B5B" w14:textId="5C32CC69" w:rsidR="009605B9" w:rsidRDefault="00192077" w:rsidP="00316E2C">
      <w:pPr>
        <w:jc w:val="center"/>
        <w:rPr>
          <w:b/>
          <w:bCs/>
          <w:color w:val="auto"/>
          <w:sz w:val="48"/>
          <w:szCs w:val="48"/>
        </w:rPr>
      </w:pPr>
      <w:r>
        <w:rPr>
          <w:b/>
          <w:bCs/>
          <w:color w:val="auto"/>
          <w:sz w:val="48"/>
          <w:szCs w:val="48"/>
        </w:rPr>
        <w:t>PATIENT SAFETY INCIDENT RESPONSE FRAMEWORK</w:t>
      </w:r>
      <w:r w:rsidR="00193418">
        <w:rPr>
          <w:b/>
          <w:bCs/>
          <w:color w:val="auto"/>
          <w:sz w:val="48"/>
          <w:szCs w:val="48"/>
        </w:rPr>
        <w:t xml:space="preserve"> POLICY</w:t>
      </w:r>
    </w:p>
    <w:p w14:paraId="598CB9C8" w14:textId="77777777" w:rsidR="00192077" w:rsidRDefault="00192077" w:rsidP="00316E2C">
      <w:pPr>
        <w:jc w:val="center"/>
        <w:rPr>
          <w:b/>
          <w:bCs/>
          <w:color w:val="auto"/>
          <w:sz w:val="48"/>
          <w:szCs w:val="48"/>
        </w:rPr>
      </w:pPr>
    </w:p>
    <w:p w14:paraId="35D6C1E1" w14:textId="0BC31664" w:rsidR="009605B9" w:rsidRPr="00402368" w:rsidRDefault="001466C5" w:rsidP="00776DD8">
      <w:pPr>
        <w:jc w:val="center"/>
      </w:pPr>
      <w:r>
        <w:rPr>
          <w:b/>
          <w:bCs/>
          <w:color w:val="auto"/>
          <w:sz w:val="36"/>
          <w:szCs w:val="36"/>
        </w:rPr>
        <w:t>27</w:t>
      </w:r>
      <w:r w:rsidRPr="001466C5">
        <w:rPr>
          <w:b/>
          <w:bCs/>
          <w:color w:val="auto"/>
          <w:sz w:val="36"/>
          <w:szCs w:val="36"/>
          <w:vertAlign w:val="superscript"/>
        </w:rPr>
        <w:t>th</w:t>
      </w:r>
      <w:r>
        <w:rPr>
          <w:b/>
          <w:bCs/>
          <w:color w:val="auto"/>
          <w:sz w:val="36"/>
          <w:szCs w:val="36"/>
        </w:rPr>
        <w:t xml:space="preserve"> of </w:t>
      </w:r>
      <w:r w:rsidR="00776DD8">
        <w:rPr>
          <w:b/>
          <w:bCs/>
          <w:color w:val="auto"/>
          <w:sz w:val="36"/>
          <w:szCs w:val="36"/>
        </w:rPr>
        <w:t>April 2023</w:t>
      </w:r>
    </w:p>
    <w:tbl>
      <w:tblPr>
        <w:tblStyle w:val="TableGrid"/>
        <w:tblpPr w:leftFromText="180" w:rightFromText="180" w:vertAnchor="text" w:tblpX="75" w:tblpY="1"/>
        <w:tblOverlap w:val="never"/>
        <w:tblW w:w="10607" w:type="dxa"/>
        <w:tblLook w:val="04A0" w:firstRow="1" w:lastRow="0" w:firstColumn="1" w:lastColumn="0" w:noHBand="0" w:noVBand="1"/>
      </w:tblPr>
      <w:tblGrid>
        <w:gridCol w:w="4644"/>
        <w:gridCol w:w="5963"/>
      </w:tblGrid>
      <w:tr w:rsidR="003057AE" w:rsidRPr="00402368" w14:paraId="47EBEA0C" w14:textId="77777777" w:rsidTr="00316E2C">
        <w:tc>
          <w:tcPr>
            <w:tcW w:w="4644" w:type="dxa"/>
          </w:tcPr>
          <w:p w14:paraId="0AD8B207" w14:textId="2EB3C3D5" w:rsidR="003057AE" w:rsidRPr="00402368" w:rsidRDefault="003057AE" w:rsidP="00316E2C">
            <w:pPr>
              <w:rPr>
                <w:b/>
                <w:color w:val="auto"/>
              </w:rPr>
            </w:pPr>
            <w:r w:rsidRPr="00402368">
              <w:rPr>
                <w:b/>
                <w:color w:val="auto"/>
              </w:rPr>
              <w:t>Authorship</w:t>
            </w:r>
            <w:r w:rsidR="005F4E82">
              <w:rPr>
                <w:b/>
                <w:color w:val="auto"/>
              </w:rPr>
              <w:t>:</w:t>
            </w:r>
          </w:p>
        </w:tc>
        <w:tc>
          <w:tcPr>
            <w:tcW w:w="5963" w:type="dxa"/>
          </w:tcPr>
          <w:p w14:paraId="36326F7D" w14:textId="60D885B8" w:rsidR="0095282C" w:rsidRPr="005F4E82" w:rsidRDefault="00192077" w:rsidP="00316E2C">
            <w:pPr>
              <w:rPr>
                <w:color w:val="auto"/>
              </w:rPr>
            </w:pPr>
            <w:r>
              <w:rPr>
                <w:color w:val="auto"/>
              </w:rPr>
              <w:t>Deputy Director of Nursing and Quality</w:t>
            </w:r>
            <w:r w:rsidR="00B137C9">
              <w:rPr>
                <w:color w:val="auto"/>
              </w:rPr>
              <w:t xml:space="preserve"> for North East Lincolnshire Place, Integrated Care Board</w:t>
            </w:r>
            <w:r w:rsidR="00222F23">
              <w:rPr>
                <w:color w:val="auto"/>
              </w:rPr>
              <w:t>.</w:t>
            </w:r>
          </w:p>
        </w:tc>
      </w:tr>
      <w:tr w:rsidR="003057AE" w:rsidRPr="00402368" w14:paraId="472249B7" w14:textId="77777777" w:rsidTr="00316E2C">
        <w:tc>
          <w:tcPr>
            <w:tcW w:w="4644" w:type="dxa"/>
          </w:tcPr>
          <w:p w14:paraId="407EADD1" w14:textId="0DA4D42F" w:rsidR="003057AE" w:rsidRPr="00402368" w:rsidRDefault="005F4E82" w:rsidP="00316E2C">
            <w:pPr>
              <w:rPr>
                <w:b/>
                <w:color w:val="auto"/>
              </w:rPr>
            </w:pPr>
            <w:r>
              <w:rPr>
                <w:b/>
                <w:color w:val="auto"/>
              </w:rPr>
              <w:t xml:space="preserve">Committee </w:t>
            </w:r>
            <w:r w:rsidR="003057AE" w:rsidRPr="00402368">
              <w:rPr>
                <w:b/>
                <w:color w:val="auto"/>
              </w:rPr>
              <w:t>Approved</w:t>
            </w:r>
            <w:r>
              <w:rPr>
                <w:b/>
                <w:color w:val="auto"/>
              </w:rPr>
              <w:t>:</w:t>
            </w:r>
          </w:p>
        </w:tc>
        <w:tc>
          <w:tcPr>
            <w:tcW w:w="5963" w:type="dxa"/>
          </w:tcPr>
          <w:p w14:paraId="56DF1480" w14:textId="350A2274" w:rsidR="0095282C" w:rsidRPr="005F4E82" w:rsidRDefault="002423FC" w:rsidP="00A10CE8">
            <w:pPr>
              <w:rPr>
                <w:color w:val="auto"/>
              </w:rPr>
            </w:pPr>
            <w:r>
              <w:rPr>
                <w:color w:val="auto"/>
              </w:rPr>
              <w:t xml:space="preserve">ICB </w:t>
            </w:r>
            <w:r w:rsidR="00CD1F7C">
              <w:rPr>
                <w:color w:val="auto"/>
              </w:rPr>
              <w:t>Quality Committee</w:t>
            </w:r>
            <w:r w:rsidR="00222F23">
              <w:rPr>
                <w:color w:val="auto"/>
              </w:rPr>
              <w:t>.</w:t>
            </w:r>
          </w:p>
        </w:tc>
      </w:tr>
      <w:tr w:rsidR="003057AE" w:rsidRPr="00402368" w14:paraId="11C2BA35" w14:textId="77777777" w:rsidTr="00316E2C">
        <w:tc>
          <w:tcPr>
            <w:tcW w:w="4644" w:type="dxa"/>
          </w:tcPr>
          <w:p w14:paraId="0972DBCF" w14:textId="2F14241B" w:rsidR="003057AE" w:rsidRPr="00402368" w:rsidRDefault="005F4E82" w:rsidP="00316E2C">
            <w:pPr>
              <w:rPr>
                <w:b/>
                <w:color w:val="auto"/>
              </w:rPr>
            </w:pPr>
            <w:r>
              <w:rPr>
                <w:b/>
                <w:color w:val="auto"/>
              </w:rPr>
              <w:t>Approved d</w:t>
            </w:r>
            <w:r w:rsidR="003057AE" w:rsidRPr="00402368">
              <w:rPr>
                <w:b/>
                <w:color w:val="auto"/>
              </w:rPr>
              <w:t>ate</w:t>
            </w:r>
            <w:r>
              <w:rPr>
                <w:b/>
                <w:color w:val="auto"/>
              </w:rPr>
              <w:t>:</w:t>
            </w:r>
          </w:p>
        </w:tc>
        <w:tc>
          <w:tcPr>
            <w:tcW w:w="5963" w:type="dxa"/>
          </w:tcPr>
          <w:p w14:paraId="16673E03" w14:textId="1DC7EBEA" w:rsidR="0095282C" w:rsidRPr="005F4E82" w:rsidRDefault="001466C5" w:rsidP="00316E2C">
            <w:pPr>
              <w:rPr>
                <w:color w:val="auto"/>
              </w:rPr>
            </w:pPr>
            <w:r>
              <w:rPr>
                <w:color w:val="auto"/>
              </w:rPr>
              <w:t>27</w:t>
            </w:r>
            <w:r w:rsidRPr="001466C5">
              <w:rPr>
                <w:color w:val="auto"/>
                <w:vertAlign w:val="superscript"/>
              </w:rPr>
              <w:t>th</w:t>
            </w:r>
            <w:r>
              <w:rPr>
                <w:color w:val="auto"/>
              </w:rPr>
              <w:t xml:space="preserve"> of </w:t>
            </w:r>
            <w:r w:rsidR="00776DD8">
              <w:rPr>
                <w:color w:val="auto"/>
              </w:rPr>
              <w:t>April 2023</w:t>
            </w:r>
          </w:p>
        </w:tc>
      </w:tr>
      <w:tr w:rsidR="003057AE" w:rsidRPr="00402368" w14:paraId="39B4089C" w14:textId="77777777" w:rsidTr="00316E2C">
        <w:tc>
          <w:tcPr>
            <w:tcW w:w="4644" w:type="dxa"/>
          </w:tcPr>
          <w:p w14:paraId="1CAD852F" w14:textId="03EF7EFC" w:rsidR="003057AE" w:rsidRPr="00402368" w:rsidRDefault="003057AE" w:rsidP="00316E2C">
            <w:pPr>
              <w:rPr>
                <w:b/>
                <w:color w:val="auto"/>
              </w:rPr>
            </w:pPr>
            <w:r w:rsidRPr="00402368">
              <w:rPr>
                <w:b/>
                <w:color w:val="auto"/>
              </w:rPr>
              <w:t xml:space="preserve">Equality Impact </w:t>
            </w:r>
            <w:r w:rsidR="00A102B7" w:rsidRPr="00402368">
              <w:rPr>
                <w:b/>
                <w:color w:val="auto"/>
              </w:rPr>
              <w:t>A</w:t>
            </w:r>
            <w:r w:rsidR="005F4E82">
              <w:rPr>
                <w:b/>
                <w:color w:val="auto"/>
              </w:rPr>
              <w:t>ssessment:</w:t>
            </w:r>
          </w:p>
        </w:tc>
        <w:tc>
          <w:tcPr>
            <w:tcW w:w="5963" w:type="dxa"/>
          </w:tcPr>
          <w:p w14:paraId="47DB0DFA" w14:textId="651E9A27" w:rsidR="0095282C" w:rsidRPr="005F4E82" w:rsidRDefault="00776DD8" w:rsidP="00316E2C">
            <w:pPr>
              <w:rPr>
                <w:color w:val="auto"/>
              </w:rPr>
            </w:pPr>
            <w:r>
              <w:rPr>
                <w:color w:val="auto"/>
              </w:rPr>
              <w:t>April 2023</w:t>
            </w:r>
          </w:p>
        </w:tc>
      </w:tr>
      <w:tr w:rsidR="003057AE" w:rsidRPr="00402368" w14:paraId="0BEBC797" w14:textId="77777777" w:rsidTr="00316E2C">
        <w:tc>
          <w:tcPr>
            <w:tcW w:w="4644" w:type="dxa"/>
          </w:tcPr>
          <w:p w14:paraId="31076981" w14:textId="171C15B3" w:rsidR="003057AE" w:rsidRPr="005F4E82" w:rsidRDefault="003057AE" w:rsidP="00316E2C">
            <w:pPr>
              <w:rPr>
                <w:b/>
                <w:color w:val="auto"/>
              </w:rPr>
            </w:pPr>
            <w:r w:rsidRPr="005F4E82">
              <w:rPr>
                <w:b/>
                <w:color w:val="auto"/>
              </w:rPr>
              <w:t>Target Audience</w:t>
            </w:r>
            <w:r w:rsidR="005F4E82" w:rsidRPr="005F4E82">
              <w:rPr>
                <w:b/>
                <w:color w:val="auto"/>
              </w:rPr>
              <w:t>:</w:t>
            </w:r>
          </w:p>
        </w:tc>
        <w:tc>
          <w:tcPr>
            <w:tcW w:w="5963" w:type="dxa"/>
          </w:tcPr>
          <w:p w14:paraId="046759C7" w14:textId="183CF000" w:rsidR="00BB1833" w:rsidRPr="005F4E82" w:rsidRDefault="002D0031" w:rsidP="00AE286E">
            <w:pPr>
              <w:pStyle w:val="ListParagraph"/>
              <w:ind w:left="0"/>
              <w:rPr>
                <w:color w:val="auto"/>
              </w:rPr>
            </w:pPr>
            <w:r>
              <w:rPr>
                <w:color w:val="auto"/>
              </w:rPr>
              <w:t>I</w:t>
            </w:r>
            <w:r w:rsidR="005F4E82" w:rsidRPr="005F4E82">
              <w:rPr>
                <w:color w:val="auto"/>
              </w:rPr>
              <w:t xml:space="preserve">CB and its Committees and Sub-Committees, ICB Staff, </w:t>
            </w:r>
            <w:proofErr w:type="gramStart"/>
            <w:r w:rsidR="005F4E82" w:rsidRPr="005F4E82">
              <w:rPr>
                <w:color w:val="auto"/>
              </w:rPr>
              <w:t>agency</w:t>
            </w:r>
            <w:proofErr w:type="gramEnd"/>
            <w:r w:rsidR="005F4E82" w:rsidRPr="005F4E82">
              <w:rPr>
                <w:color w:val="auto"/>
              </w:rPr>
              <w:t xml:space="preserve"> and temporary staff &amp; third parties under contract</w:t>
            </w:r>
            <w:r w:rsidR="00222F23">
              <w:rPr>
                <w:color w:val="auto"/>
              </w:rPr>
              <w:t>.</w:t>
            </w:r>
          </w:p>
        </w:tc>
      </w:tr>
      <w:tr w:rsidR="003057AE" w:rsidRPr="00402368" w14:paraId="14C1359E" w14:textId="77777777" w:rsidTr="00316E2C">
        <w:tc>
          <w:tcPr>
            <w:tcW w:w="4644" w:type="dxa"/>
          </w:tcPr>
          <w:p w14:paraId="6F54AA58" w14:textId="2B79372A" w:rsidR="003057AE" w:rsidRPr="005F4E82" w:rsidRDefault="005F4E82" w:rsidP="00316E2C">
            <w:pPr>
              <w:rPr>
                <w:b/>
                <w:color w:val="auto"/>
              </w:rPr>
            </w:pPr>
            <w:r w:rsidRPr="005F4E82">
              <w:rPr>
                <w:b/>
                <w:color w:val="auto"/>
              </w:rPr>
              <w:t xml:space="preserve">Policy </w:t>
            </w:r>
            <w:r w:rsidR="003057AE" w:rsidRPr="005F4E82">
              <w:rPr>
                <w:b/>
                <w:color w:val="auto"/>
              </w:rPr>
              <w:t>Number</w:t>
            </w:r>
            <w:r w:rsidRPr="005F4E82">
              <w:rPr>
                <w:b/>
                <w:color w:val="auto"/>
              </w:rPr>
              <w:t>:</w:t>
            </w:r>
          </w:p>
        </w:tc>
        <w:tc>
          <w:tcPr>
            <w:tcW w:w="5963" w:type="dxa"/>
          </w:tcPr>
          <w:p w14:paraId="1E17DE8B" w14:textId="29FF2B49" w:rsidR="004167BD" w:rsidRPr="005F4E82" w:rsidRDefault="00914124" w:rsidP="00316E2C">
            <w:pPr>
              <w:rPr>
                <w:color w:val="auto"/>
              </w:rPr>
            </w:pPr>
            <w:r>
              <w:rPr>
                <w:color w:val="auto"/>
              </w:rPr>
              <w:t>ICB49</w:t>
            </w:r>
          </w:p>
        </w:tc>
      </w:tr>
      <w:tr w:rsidR="003057AE" w:rsidRPr="00402368" w14:paraId="0A809E26" w14:textId="77777777" w:rsidTr="00316E2C">
        <w:tc>
          <w:tcPr>
            <w:tcW w:w="4644" w:type="dxa"/>
          </w:tcPr>
          <w:p w14:paraId="5332ADF0" w14:textId="64461681" w:rsidR="003057AE" w:rsidRPr="005F4E82" w:rsidRDefault="003057AE" w:rsidP="00316E2C">
            <w:pPr>
              <w:rPr>
                <w:b/>
                <w:color w:val="auto"/>
              </w:rPr>
            </w:pPr>
            <w:r w:rsidRPr="005F4E82">
              <w:rPr>
                <w:b/>
                <w:color w:val="auto"/>
              </w:rPr>
              <w:t>Version Number</w:t>
            </w:r>
            <w:r w:rsidR="005F4E82" w:rsidRPr="005F4E82">
              <w:rPr>
                <w:b/>
                <w:color w:val="auto"/>
              </w:rPr>
              <w:t>:</w:t>
            </w:r>
          </w:p>
        </w:tc>
        <w:tc>
          <w:tcPr>
            <w:tcW w:w="5963" w:type="dxa"/>
          </w:tcPr>
          <w:p w14:paraId="5A47AB39" w14:textId="2BE171AF" w:rsidR="004167BD" w:rsidRPr="005F4E82" w:rsidRDefault="005F4E82" w:rsidP="00316E2C">
            <w:pPr>
              <w:rPr>
                <w:color w:val="auto"/>
              </w:rPr>
            </w:pPr>
            <w:r w:rsidRPr="005F4E82">
              <w:rPr>
                <w:color w:val="auto"/>
              </w:rPr>
              <w:t>0.1</w:t>
            </w:r>
          </w:p>
        </w:tc>
      </w:tr>
    </w:tbl>
    <w:p w14:paraId="42F308FB" w14:textId="18850BF4" w:rsidR="006D5E9C" w:rsidRPr="00402368" w:rsidRDefault="00402368" w:rsidP="005F4E82">
      <w:pPr>
        <w:autoSpaceDE w:val="0"/>
        <w:autoSpaceDN w:val="0"/>
        <w:adjustRightInd w:val="0"/>
        <w:spacing w:line="240" w:lineRule="auto"/>
        <w:rPr>
          <w:b/>
          <w:color w:val="auto"/>
        </w:rPr>
      </w:pPr>
      <w:r>
        <w:rPr>
          <w:b/>
          <w:color w:val="auto"/>
        </w:rPr>
        <w:br w:type="textWrapping" w:clear="all"/>
      </w:r>
      <w:r w:rsidR="00B05DC7" w:rsidRPr="00402368">
        <w:rPr>
          <w:b/>
          <w:color w:val="auto"/>
        </w:rPr>
        <w:t>T</w:t>
      </w:r>
      <w:r w:rsidR="006D5E9C" w:rsidRPr="00402368">
        <w:rPr>
          <w:b/>
          <w:color w:val="auto"/>
        </w:rPr>
        <w:t xml:space="preserve">he </w:t>
      </w:r>
      <w:r w:rsidR="00EC7BEA" w:rsidRPr="00402368">
        <w:rPr>
          <w:b/>
          <w:color w:val="auto"/>
        </w:rPr>
        <w:t>on-line</w:t>
      </w:r>
      <w:r w:rsidR="006D5E9C" w:rsidRPr="00402368">
        <w:rPr>
          <w:b/>
          <w:color w:val="auto"/>
        </w:rPr>
        <w:t xml:space="preserve"> version is the only version that is maintained.  Any printed copies should, therefore, be viewed as ‘uncontrolled’ and as such may not necessarily contain the latest updates and amendments.</w:t>
      </w:r>
    </w:p>
    <w:p w14:paraId="00AC6553" w14:textId="77777777" w:rsidR="00A102B7" w:rsidRPr="00402368" w:rsidRDefault="00A102B7" w:rsidP="00316E2C">
      <w:pPr>
        <w:rPr>
          <w:b/>
          <w:bCs/>
          <w:color w:val="auto"/>
          <w:sz w:val="28"/>
          <w:szCs w:val="28"/>
        </w:rPr>
      </w:pPr>
      <w:r w:rsidRPr="00402368">
        <w:rPr>
          <w:b/>
          <w:bCs/>
          <w:color w:val="auto"/>
          <w:sz w:val="28"/>
          <w:szCs w:val="28"/>
        </w:rPr>
        <w:br w:type="page"/>
      </w:r>
    </w:p>
    <w:p w14:paraId="70B7C6FD" w14:textId="77777777" w:rsidR="00E92762" w:rsidRPr="00402368" w:rsidRDefault="00E92762" w:rsidP="00316E2C">
      <w:pPr>
        <w:rPr>
          <w:b/>
          <w:bCs/>
          <w:color w:val="auto"/>
          <w:sz w:val="28"/>
          <w:szCs w:val="28"/>
        </w:rPr>
      </w:pPr>
      <w:r w:rsidRPr="00402368">
        <w:rPr>
          <w:b/>
          <w:bCs/>
          <w:color w:val="auto"/>
          <w:sz w:val="28"/>
          <w:szCs w:val="28"/>
        </w:rPr>
        <w:lastRenderedPageBreak/>
        <w:t>AMENDMENTS</w:t>
      </w:r>
    </w:p>
    <w:p w14:paraId="5559CDB3" w14:textId="77777777" w:rsidR="00E92762" w:rsidRPr="00402368" w:rsidRDefault="005F0E20" w:rsidP="00E91015">
      <w:pPr>
        <w:autoSpaceDE w:val="0"/>
        <w:autoSpaceDN w:val="0"/>
        <w:adjustRightInd w:val="0"/>
        <w:spacing w:line="240" w:lineRule="auto"/>
        <w:rPr>
          <w:color w:val="auto"/>
        </w:rPr>
      </w:pPr>
      <w:r w:rsidRPr="00402368">
        <w:rPr>
          <w:color w:val="auto"/>
        </w:rPr>
        <w:t xml:space="preserve">Amendments to the policy </w:t>
      </w:r>
      <w:r w:rsidR="00E92762" w:rsidRPr="00402368">
        <w:rPr>
          <w:color w:val="auto"/>
        </w:rPr>
        <w:t>may be issued from time to time.  A new amendment history will be issued with each change.</w:t>
      </w:r>
    </w:p>
    <w:p w14:paraId="71351FB8" w14:textId="77777777" w:rsidR="00F169A4" w:rsidRPr="00402368" w:rsidRDefault="00F169A4" w:rsidP="00316E2C">
      <w:pPr>
        <w:autoSpaceDE w:val="0"/>
        <w:autoSpaceDN w:val="0"/>
        <w:adjustRightInd w:val="0"/>
        <w:rPr>
          <w:sz w:val="22"/>
          <w:szCs w:val="22"/>
        </w:rPr>
      </w:pPr>
    </w:p>
    <w:p w14:paraId="1E0ED1ED" w14:textId="77777777" w:rsidR="00E92762" w:rsidRPr="00402368" w:rsidRDefault="00E92762" w:rsidP="00316E2C">
      <w:pPr>
        <w:autoSpaceDE w:val="0"/>
        <w:autoSpaceDN w:val="0"/>
        <w:adjustRightInd w:val="0"/>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1950"/>
        <w:gridCol w:w="2405"/>
        <w:gridCol w:w="2005"/>
        <w:gridCol w:w="1355"/>
        <w:gridCol w:w="1489"/>
      </w:tblGrid>
      <w:tr w:rsidR="00E91015" w:rsidRPr="00402368" w14:paraId="7BF666EB" w14:textId="77777777" w:rsidTr="00E91015">
        <w:tc>
          <w:tcPr>
            <w:tcW w:w="1252" w:type="dxa"/>
          </w:tcPr>
          <w:p w14:paraId="39984325" w14:textId="77777777" w:rsidR="00E91015" w:rsidRPr="00E91015" w:rsidRDefault="00E91015" w:rsidP="00E91015">
            <w:pPr>
              <w:autoSpaceDE w:val="0"/>
              <w:autoSpaceDN w:val="0"/>
              <w:adjustRightInd w:val="0"/>
              <w:spacing w:line="240" w:lineRule="auto"/>
              <w:rPr>
                <w:b/>
                <w:bCs/>
                <w:color w:val="auto"/>
                <w:sz w:val="20"/>
                <w:szCs w:val="20"/>
              </w:rPr>
            </w:pPr>
            <w:r w:rsidRPr="00E91015">
              <w:rPr>
                <w:b/>
                <w:bCs/>
                <w:color w:val="auto"/>
                <w:sz w:val="20"/>
                <w:szCs w:val="20"/>
              </w:rPr>
              <w:t>New Version Number</w:t>
            </w:r>
          </w:p>
        </w:tc>
        <w:tc>
          <w:tcPr>
            <w:tcW w:w="1950" w:type="dxa"/>
          </w:tcPr>
          <w:p w14:paraId="2154B850" w14:textId="7BF6E5BB" w:rsidR="00E91015" w:rsidRPr="00E91015" w:rsidRDefault="00E91015" w:rsidP="00E91015">
            <w:pPr>
              <w:autoSpaceDE w:val="0"/>
              <w:autoSpaceDN w:val="0"/>
              <w:adjustRightInd w:val="0"/>
              <w:spacing w:line="240" w:lineRule="auto"/>
              <w:rPr>
                <w:b/>
                <w:bCs/>
                <w:color w:val="auto"/>
                <w:sz w:val="20"/>
                <w:szCs w:val="20"/>
              </w:rPr>
            </w:pPr>
            <w:r w:rsidRPr="00E91015">
              <w:rPr>
                <w:b/>
                <w:bCs/>
                <w:color w:val="auto"/>
                <w:sz w:val="20"/>
                <w:szCs w:val="20"/>
              </w:rPr>
              <w:t xml:space="preserve">Issued by </w:t>
            </w:r>
          </w:p>
        </w:tc>
        <w:tc>
          <w:tcPr>
            <w:tcW w:w="2405" w:type="dxa"/>
          </w:tcPr>
          <w:p w14:paraId="4A2F8EAF" w14:textId="77777777" w:rsidR="00E91015" w:rsidRPr="00E91015" w:rsidRDefault="00E91015" w:rsidP="00E91015">
            <w:pPr>
              <w:autoSpaceDE w:val="0"/>
              <w:autoSpaceDN w:val="0"/>
              <w:adjustRightInd w:val="0"/>
              <w:spacing w:line="240" w:lineRule="auto"/>
              <w:rPr>
                <w:color w:val="auto"/>
                <w:sz w:val="20"/>
                <w:szCs w:val="20"/>
              </w:rPr>
            </w:pPr>
            <w:r w:rsidRPr="00E91015">
              <w:rPr>
                <w:b/>
                <w:bCs/>
                <w:color w:val="auto"/>
                <w:sz w:val="20"/>
                <w:szCs w:val="20"/>
              </w:rPr>
              <w:t>Nature of Amendment</w:t>
            </w:r>
          </w:p>
        </w:tc>
        <w:tc>
          <w:tcPr>
            <w:tcW w:w="2005" w:type="dxa"/>
          </w:tcPr>
          <w:p w14:paraId="1D819D34" w14:textId="70A01AC4" w:rsidR="00E91015" w:rsidRPr="00E91015" w:rsidRDefault="00E91015" w:rsidP="00E91015">
            <w:pPr>
              <w:autoSpaceDE w:val="0"/>
              <w:autoSpaceDN w:val="0"/>
              <w:adjustRightInd w:val="0"/>
              <w:spacing w:line="240" w:lineRule="auto"/>
              <w:rPr>
                <w:b/>
                <w:color w:val="auto"/>
                <w:sz w:val="20"/>
                <w:szCs w:val="20"/>
              </w:rPr>
            </w:pPr>
            <w:r w:rsidRPr="00E91015">
              <w:rPr>
                <w:b/>
                <w:color w:val="auto"/>
                <w:sz w:val="20"/>
                <w:szCs w:val="20"/>
              </w:rPr>
              <w:t>Approving body</w:t>
            </w:r>
          </w:p>
        </w:tc>
        <w:tc>
          <w:tcPr>
            <w:tcW w:w="1355" w:type="dxa"/>
          </w:tcPr>
          <w:p w14:paraId="49968B8B" w14:textId="2B349553" w:rsidR="00E91015" w:rsidRPr="00E91015" w:rsidRDefault="00E91015" w:rsidP="00E91015">
            <w:pPr>
              <w:autoSpaceDE w:val="0"/>
              <w:autoSpaceDN w:val="0"/>
              <w:adjustRightInd w:val="0"/>
              <w:spacing w:line="240" w:lineRule="auto"/>
              <w:rPr>
                <w:b/>
                <w:color w:val="auto"/>
                <w:sz w:val="20"/>
                <w:szCs w:val="20"/>
              </w:rPr>
            </w:pPr>
            <w:r w:rsidRPr="00E91015">
              <w:rPr>
                <w:b/>
                <w:color w:val="auto"/>
                <w:sz w:val="20"/>
                <w:szCs w:val="20"/>
              </w:rPr>
              <w:t>Approval date</w:t>
            </w:r>
          </w:p>
        </w:tc>
        <w:tc>
          <w:tcPr>
            <w:tcW w:w="1489" w:type="dxa"/>
          </w:tcPr>
          <w:p w14:paraId="10788E43" w14:textId="6217D1D4" w:rsidR="00E91015" w:rsidRPr="00E91015" w:rsidRDefault="00E91015" w:rsidP="00E91015">
            <w:pPr>
              <w:autoSpaceDE w:val="0"/>
              <w:autoSpaceDN w:val="0"/>
              <w:adjustRightInd w:val="0"/>
              <w:spacing w:line="240" w:lineRule="auto"/>
              <w:rPr>
                <w:b/>
                <w:color w:val="auto"/>
                <w:sz w:val="20"/>
                <w:szCs w:val="20"/>
              </w:rPr>
            </w:pPr>
            <w:r w:rsidRPr="00E91015">
              <w:rPr>
                <w:b/>
                <w:color w:val="auto"/>
                <w:sz w:val="20"/>
                <w:szCs w:val="20"/>
              </w:rPr>
              <w:t>Date published on website</w:t>
            </w:r>
          </w:p>
        </w:tc>
      </w:tr>
      <w:tr w:rsidR="00E91015" w:rsidRPr="00402368" w14:paraId="22DC4690" w14:textId="77777777" w:rsidTr="00E91015">
        <w:tc>
          <w:tcPr>
            <w:tcW w:w="1252" w:type="dxa"/>
          </w:tcPr>
          <w:p w14:paraId="36D7499F" w14:textId="5977BE12" w:rsidR="00E91015" w:rsidRPr="00402368" w:rsidRDefault="00C13796" w:rsidP="00316E2C">
            <w:pPr>
              <w:rPr>
                <w:color w:val="000000"/>
              </w:rPr>
            </w:pPr>
            <w:r>
              <w:rPr>
                <w:color w:val="000000"/>
              </w:rPr>
              <w:t>V1</w:t>
            </w:r>
          </w:p>
        </w:tc>
        <w:tc>
          <w:tcPr>
            <w:tcW w:w="1950" w:type="dxa"/>
          </w:tcPr>
          <w:p w14:paraId="7C30232A" w14:textId="2EDE779A" w:rsidR="00E91015" w:rsidRPr="00402368" w:rsidRDefault="00C13796" w:rsidP="00316E2C">
            <w:pPr>
              <w:rPr>
                <w:color w:val="000000"/>
              </w:rPr>
            </w:pPr>
            <w:r>
              <w:rPr>
                <w:color w:val="000000"/>
              </w:rPr>
              <w:t>Quality Team</w:t>
            </w:r>
          </w:p>
        </w:tc>
        <w:tc>
          <w:tcPr>
            <w:tcW w:w="2405" w:type="dxa"/>
          </w:tcPr>
          <w:p w14:paraId="5DC1EA42" w14:textId="6C494351" w:rsidR="00E91015" w:rsidRPr="00402368" w:rsidRDefault="00C13796" w:rsidP="00316E2C">
            <w:pPr>
              <w:rPr>
                <w:color w:val="000000"/>
              </w:rPr>
            </w:pPr>
            <w:r>
              <w:rPr>
                <w:color w:val="000000"/>
              </w:rPr>
              <w:t>New Policy</w:t>
            </w:r>
          </w:p>
        </w:tc>
        <w:tc>
          <w:tcPr>
            <w:tcW w:w="2005" w:type="dxa"/>
          </w:tcPr>
          <w:p w14:paraId="7344C44F" w14:textId="3F9E7B48" w:rsidR="00E91015" w:rsidRPr="00402368" w:rsidRDefault="00C13796" w:rsidP="00316E2C">
            <w:pPr>
              <w:rPr>
                <w:color w:val="000000"/>
              </w:rPr>
            </w:pPr>
            <w:r>
              <w:rPr>
                <w:color w:val="000000"/>
              </w:rPr>
              <w:t>Quality Committee</w:t>
            </w:r>
          </w:p>
        </w:tc>
        <w:tc>
          <w:tcPr>
            <w:tcW w:w="1355" w:type="dxa"/>
          </w:tcPr>
          <w:p w14:paraId="16AB918A" w14:textId="0F572324" w:rsidR="00E91015" w:rsidRPr="00402368" w:rsidRDefault="00C13796" w:rsidP="00316E2C">
            <w:pPr>
              <w:autoSpaceDE w:val="0"/>
              <w:autoSpaceDN w:val="0"/>
              <w:adjustRightInd w:val="0"/>
              <w:rPr>
                <w:color w:val="auto"/>
              </w:rPr>
            </w:pPr>
            <w:r>
              <w:rPr>
                <w:color w:val="auto"/>
              </w:rPr>
              <w:t>27.04.23</w:t>
            </w:r>
          </w:p>
        </w:tc>
        <w:tc>
          <w:tcPr>
            <w:tcW w:w="1489" w:type="dxa"/>
          </w:tcPr>
          <w:p w14:paraId="302BFED7" w14:textId="2F742B3D" w:rsidR="00E91015" w:rsidRPr="00402368" w:rsidRDefault="00E91015" w:rsidP="00316E2C">
            <w:pPr>
              <w:autoSpaceDE w:val="0"/>
              <w:autoSpaceDN w:val="0"/>
              <w:adjustRightInd w:val="0"/>
              <w:rPr>
                <w:color w:val="auto"/>
              </w:rPr>
            </w:pPr>
          </w:p>
        </w:tc>
      </w:tr>
    </w:tbl>
    <w:p w14:paraId="33BB45A3" w14:textId="77777777" w:rsidR="004167BD" w:rsidRPr="00402368" w:rsidRDefault="004167BD" w:rsidP="00316E2C">
      <w:pPr>
        <w:rPr>
          <w:b/>
        </w:rPr>
      </w:pPr>
    </w:p>
    <w:p w14:paraId="326B5116" w14:textId="77777777" w:rsidR="004167BD" w:rsidRPr="00402368" w:rsidRDefault="004167BD" w:rsidP="00316E2C">
      <w:pPr>
        <w:rPr>
          <w:b/>
        </w:rPr>
      </w:pPr>
    </w:p>
    <w:p w14:paraId="5A128EC9" w14:textId="77777777" w:rsidR="004167BD" w:rsidRPr="00402368" w:rsidRDefault="004167BD" w:rsidP="00316E2C"/>
    <w:p w14:paraId="14FC8E0A" w14:textId="77777777" w:rsidR="007D24B2" w:rsidRPr="00402368" w:rsidRDefault="007D24B2" w:rsidP="00316E2C">
      <w:pPr>
        <w:rPr>
          <w:b/>
        </w:rPr>
      </w:pPr>
      <w:r w:rsidRPr="00402368">
        <w:rPr>
          <w:b/>
        </w:rPr>
        <w:br w:type="page"/>
      </w:r>
    </w:p>
    <w:p w14:paraId="3EEAA087" w14:textId="77777777" w:rsidR="00316E2C" w:rsidRPr="00316E2C" w:rsidRDefault="00316E2C" w:rsidP="00316E2C">
      <w:pPr>
        <w:spacing w:line="240" w:lineRule="auto"/>
        <w:ind w:right="-760"/>
        <w:jc w:val="center"/>
        <w:rPr>
          <w:b/>
          <w:color w:val="auto"/>
          <w:szCs w:val="20"/>
          <w:lang w:eastAsia="en-US"/>
        </w:rPr>
      </w:pPr>
    </w:p>
    <w:p w14:paraId="4A1D21A0" w14:textId="77777777" w:rsidR="00F11374" w:rsidRPr="00F11374" w:rsidRDefault="00F11374" w:rsidP="00316E2C">
      <w:pPr>
        <w:spacing w:line="240" w:lineRule="auto"/>
        <w:ind w:right="-760"/>
        <w:jc w:val="center"/>
        <w:rPr>
          <w:b/>
          <w:color w:val="auto"/>
          <w:szCs w:val="20"/>
          <w:lang w:eastAsia="en-US"/>
        </w:rPr>
      </w:pPr>
    </w:p>
    <w:sdt>
      <w:sdtPr>
        <w:rPr>
          <w:rFonts w:ascii="Arial" w:eastAsia="Times New Roman" w:hAnsi="Arial" w:cs="Arial"/>
          <w:b w:val="0"/>
          <w:bCs w:val="0"/>
          <w:color w:val="000000" w:themeColor="text1"/>
          <w:sz w:val="24"/>
          <w:szCs w:val="24"/>
          <w:lang w:val="en-GB" w:eastAsia="en-GB"/>
        </w:rPr>
        <w:id w:val="1739975210"/>
        <w:docPartObj>
          <w:docPartGallery w:val="Table of Contents"/>
          <w:docPartUnique/>
        </w:docPartObj>
      </w:sdtPr>
      <w:sdtEndPr>
        <w:rPr>
          <w:noProof/>
        </w:rPr>
      </w:sdtEndPr>
      <w:sdtContent>
        <w:p w14:paraId="547ABCA8" w14:textId="3BF151C7" w:rsidR="009F2C13" w:rsidRPr="00C13796" w:rsidRDefault="009F2C13" w:rsidP="009F2C13">
          <w:pPr>
            <w:pStyle w:val="TOCHeading"/>
            <w:numPr>
              <w:ilvl w:val="0"/>
              <w:numId w:val="0"/>
            </w:numPr>
            <w:rPr>
              <w:rFonts w:ascii="Arial" w:hAnsi="Arial" w:cs="Arial"/>
              <w:color w:val="000000" w:themeColor="text1"/>
              <w:sz w:val="24"/>
              <w:szCs w:val="24"/>
            </w:rPr>
          </w:pPr>
          <w:r w:rsidRPr="00C13796">
            <w:rPr>
              <w:rFonts w:ascii="Arial" w:hAnsi="Arial" w:cs="Arial"/>
              <w:color w:val="000000" w:themeColor="text1"/>
              <w:sz w:val="24"/>
              <w:szCs w:val="24"/>
            </w:rPr>
            <w:t>Contents</w:t>
          </w:r>
        </w:p>
        <w:p w14:paraId="793FC012" w14:textId="6FEFF116" w:rsidR="003F3A9F" w:rsidRPr="00C13796" w:rsidRDefault="009F2C13">
          <w:pPr>
            <w:pStyle w:val="TOC1"/>
            <w:rPr>
              <w:rFonts w:ascii="Arial" w:hAnsi="Arial" w:cs="Arial"/>
              <w:noProof/>
              <w:color w:val="000000" w:themeColor="text1"/>
              <w:sz w:val="24"/>
              <w:szCs w:val="24"/>
              <w:lang w:val="en-GB" w:eastAsia="en-GB"/>
            </w:rPr>
          </w:pPr>
          <w:r w:rsidRPr="00C13796">
            <w:rPr>
              <w:rFonts w:ascii="Arial" w:hAnsi="Arial" w:cs="Arial"/>
              <w:color w:val="000000" w:themeColor="text1"/>
              <w:sz w:val="24"/>
              <w:szCs w:val="24"/>
            </w:rPr>
            <w:fldChar w:fldCharType="begin"/>
          </w:r>
          <w:r w:rsidRPr="00C13796">
            <w:rPr>
              <w:rFonts w:ascii="Arial" w:hAnsi="Arial" w:cs="Arial"/>
              <w:color w:val="000000" w:themeColor="text1"/>
              <w:sz w:val="24"/>
              <w:szCs w:val="24"/>
            </w:rPr>
            <w:instrText xml:space="preserve"> TOC \o "1-3" \h \z \u </w:instrText>
          </w:r>
          <w:r w:rsidRPr="00C13796">
            <w:rPr>
              <w:rFonts w:ascii="Arial" w:hAnsi="Arial" w:cs="Arial"/>
              <w:color w:val="000000" w:themeColor="text1"/>
              <w:sz w:val="24"/>
              <w:szCs w:val="24"/>
            </w:rPr>
            <w:fldChar w:fldCharType="separate"/>
          </w:r>
          <w:hyperlink w:anchor="_Toc132895826" w:history="1">
            <w:r w:rsidR="003F3A9F" w:rsidRPr="00C13796">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1</w:t>
            </w:r>
            <w:r w:rsidR="003F3A9F" w:rsidRPr="00C13796">
              <w:rPr>
                <w:rFonts w:ascii="Arial" w:hAnsi="Arial" w:cs="Arial"/>
                <w:noProof/>
                <w:color w:val="000000" w:themeColor="text1"/>
                <w:sz w:val="24"/>
                <w:szCs w:val="24"/>
                <w:lang w:val="en-GB" w:eastAsia="en-GB"/>
              </w:rPr>
              <w:tab/>
            </w:r>
            <w:r w:rsidR="003F3A9F" w:rsidRPr="00C13796">
              <w:rPr>
                <w:rStyle w:val="Hyperlink"/>
                <w:rFonts w:ascii="Arial" w:hAnsi="Arial" w:cs="Arial"/>
                <w:noProof/>
                <w:color w:val="000000" w:themeColor="text1"/>
                <w:sz w:val="24"/>
                <w:szCs w:val="24"/>
              </w:rPr>
              <w:t>Organisational Responsibilities - PSIRF</w:t>
            </w:r>
            <w:r w:rsidR="003F3A9F" w:rsidRPr="00C13796">
              <w:rPr>
                <w:rFonts w:ascii="Arial" w:hAnsi="Arial" w:cs="Arial"/>
                <w:noProof/>
                <w:webHidden/>
                <w:color w:val="000000" w:themeColor="text1"/>
                <w:sz w:val="24"/>
                <w:szCs w:val="24"/>
              </w:rPr>
              <w:tab/>
            </w:r>
            <w:r w:rsidR="003F3A9F" w:rsidRPr="00C13796">
              <w:rPr>
                <w:rFonts w:ascii="Arial" w:hAnsi="Arial" w:cs="Arial"/>
                <w:noProof/>
                <w:webHidden/>
                <w:color w:val="000000" w:themeColor="text1"/>
                <w:sz w:val="24"/>
                <w:szCs w:val="24"/>
              </w:rPr>
              <w:fldChar w:fldCharType="begin"/>
            </w:r>
            <w:r w:rsidR="003F3A9F" w:rsidRPr="00C13796">
              <w:rPr>
                <w:rFonts w:ascii="Arial" w:hAnsi="Arial" w:cs="Arial"/>
                <w:noProof/>
                <w:webHidden/>
                <w:color w:val="000000" w:themeColor="text1"/>
                <w:sz w:val="24"/>
                <w:szCs w:val="24"/>
              </w:rPr>
              <w:instrText xml:space="preserve"> PAGEREF _Toc132895826 \h </w:instrText>
            </w:r>
            <w:r w:rsidR="003F3A9F" w:rsidRPr="00C13796">
              <w:rPr>
                <w:rFonts w:ascii="Arial" w:hAnsi="Arial" w:cs="Arial"/>
                <w:noProof/>
                <w:webHidden/>
                <w:color w:val="000000" w:themeColor="text1"/>
                <w:sz w:val="24"/>
                <w:szCs w:val="24"/>
              </w:rPr>
            </w:r>
            <w:r w:rsidR="003F3A9F" w:rsidRPr="00C13796">
              <w:rPr>
                <w:rFonts w:ascii="Arial" w:hAnsi="Arial" w:cs="Arial"/>
                <w:noProof/>
                <w:webHidden/>
                <w:color w:val="000000" w:themeColor="text1"/>
                <w:sz w:val="24"/>
                <w:szCs w:val="24"/>
              </w:rPr>
              <w:fldChar w:fldCharType="separate"/>
            </w:r>
            <w:r w:rsidR="003F3A9F" w:rsidRPr="00C13796">
              <w:rPr>
                <w:rFonts w:ascii="Arial" w:hAnsi="Arial" w:cs="Arial"/>
                <w:noProof/>
                <w:webHidden/>
                <w:color w:val="000000" w:themeColor="text1"/>
                <w:sz w:val="24"/>
                <w:szCs w:val="24"/>
              </w:rPr>
              <w:t>4</w:t>
            </w:r>
            <w:r w:rsidR="003F3A9F" w:rsidRPr="00C13796">
              <w:rPr>
                <w:rFonts w:ascii="Arial" w:hAnsi="Arial" w:cs="Arial"/>
                <w:noProof/>
                <w:webHidden/>
                <w:color w:val="000000" w:themeColor="text1"/>
                <w:sz w:val="24"/>
                <w:szCs w:val="24"/>
              </w:rPr>
              <w:fldChar w:fldCharType="end"/>
            </w:r>
          </w:hyperlink>
        </w:p>
        <w:p w14:paraId="1DB85ED0" w14:textId="6C0B4ECC" w:rsidR="003F3A9F" w:rsidRPr="00C13796" w:rsidRDefault="003A4359">
          <w:pPr>
            <w:pStyle w:val="TOC1"/>
            <w:rPr>
              <w:rFonts w:ascii="Arial" w:hAnsi="Arial" w:cs="Arial"/>
              <w:noProof/>
              <w:color w:val="000000" w:themeColor="text1"/>
              <w:sz w:val="24"/>
              <w:szCs w:val="24"/>
              <w:lang w:val="en-GB" w:eastAsia="en-GB"/>
            </w:rPr>
          </w:pPr>
          <w:hyperlink w:anchor="_Toc132895827" w:history="1">
            <w:r w:rsidR="003F3A9F" w:rsidRPr="00C13796">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2</w:t>
            </w:r>
            <w:r w:rsidR="003F3A9F" w:rsidRPr="00C13796">
              <w:rPr>
                <w:rFonts w:ascii="Arial" w:hAnsi="Arial" w:cs="Arial"/>
                <w:noProof/>
                <w:color w:val="000000" w:themeColor="text1"/>
                <w:sz w:val="24"/>
                <w:szCs w:val="24"/>
                <w:lang w:val="en-GB" w:eastAsia="en-GB"/>
              </w:rPr>
              <w:tab/>
            </w:r>
            <w:r w:rsidR="003F3A9F" w:rsidRPr="00C13796">
              <w:rPr>
                <w:rStyle w:val="Hyperlink"/>
                <w:rFonts w:ascii="Arial" w:hAnsi="Arial" w:cs="Arial"/>
                <w:noProof/>
                <w:color w:val="000000" w:themeColor="text1"/>
                <w:sz w:val="24"/>
                <w:szCs w:val="24"/>
              </w:rPr>
              <w:t>ICB infrastructure to discharge PSIRF responsibilities.</w:t>
            </w:r>
            <w:r w:rsidR="003F3A9F" w:rsidRPr="00C13796">
              <w:rPr>
                <w:rFonts w:ascii="Arial" w:hAnsi="Arial" w:cs="Arial"/>
                <w:noProof/>
                <w:webHidden/>
                <w:color w:val="000000" w:themeColor="text1"/>
                <w:sz w:val="24"/>
                <w:szCs w:val="24"/>
              </w:rPr>
              <w:tab/>
            </w:r>
            <w:r w:rsidR="003F3A9F" w:rsidRPr="00C13796">
              <w:rPr>
                <w:rFonts w:ascii="Arial" w:hAnsi="Arial" w:cs="Arial"/>
                <w:noProof/>
                <w:webHidden/>
                <w:color w:val="000000" w:themeColor="text1"/>
                <w:sz w:val="24"/>
                <w:szCs w:val="24"/>
              </w:rPr>
              <w:fldChar w:fldCharType="begin"/>
            </w:r>
            <w:r w:rsidR="003F3A9F" w:rsidRPr="00C13796">
              <w:rPr>
                <w:rFonts w:ascii="Arial" w:hAnsi="Arial" w:cs="Arial"/>
                <w:noProof/>
                <w:webHidden/>
                <w:color w:val="000000" w:themeColor="text1"/>
                <w:sz w:val="24"/>
                <w:szCs w:val="24"/>
              </w:rPr>
              <w:instrText xml:space="preserve"> PAGEREF _Toc132895827 \h </w:instrText>
            </w:r>
            <w:r w:rsidR="003F3A9F" w:rsidRPr="00C13796">
              <w:rPr>
                <w:rFonts w:ascii="Arial" w:hAnsi="Arial" w:cs="Arial"/>
                <w:noProof/>
                <w:webHidden/>
                <w:color w:val="000000" w:themeColor="text1"/>
                <w:sz w:val="24"/>
                <w:szCs w:val="24"/>
              </w:rPr>
            </w:r>
            <w:r w:rsidR="003F3A9F" w:rsidRPr="00C13796">
              <w:rPr>
                <w:rFonts w:ascii="Arial" w:hAnsi="Arial" w:cs="Arial"/>
                <w:noProof/>
                <w:webHidden/>
                <w:color w:val="000000" w:themeColor="text1"/>
                <w:sz w:val="24"/>
                <w:szCs w:val="24"/>
              </w:rPr>
              <w:fldChar w:fldCharType="separate"/>
            </w:r>
            <w:r w:rsidR="003F3A9F" w:rsidRPr="00C13796">
              <w:rPr>
                <w:rFonts w:ascii="Arial" w:hAnsi="Arial" w:cs="Arial"/>
                <w:noProof/>
                <w:webHidden/>
                <w:color w:val="000000" w:themeColor="text1"/>
                <w:sz w:val="24"/>
                <w:szCs w:val="24"/>
              </w:rPr>
              <w:t>5</w:t>
            </w:r>
            <w:r w:rsidR="003F3A9F" w:rsidRPr="00C13796">
              <w:rPr>
                <w:rFonts w:ascii="Arial" w:hAnsi="Arial" w:cs="Arial"/>
                <w:noProof/>
                <w:webHidden/>
                <w:color w:val="000000" w:themeColor="text1"/>
                <w:sz w:val="24"/>
                <w:szCs w:val="24"/>
              </w:rPr>
              <w:fldChar w:fldCharType="end"/>
            </w:r>
          </w:hyperlink>
        </w:p>
        <w:p w14:paraId="451A172C" w14:textId="0BDE5598" w:rsidR="003F3A9F" w:rsidRPr="00C13796" w:rsidRDefault="003A4359">
          <w:pPr>
            <w:pStyle w:val="TOC1"/>
            <w:rPr>
              <w:rFonts w:ascii="Arial" w:hAnsi="Arial" w:cs="Arial"/>
              <w:noProof/>
              <w:color w:val="000000" w:themeColor="text1"/>
              <w:sz w:val="24"/>
              <w:szCs w:val="24"/>
              <w:lang w:val="en-GB" w:eastAsia="en-GB"/>
            </w:rPr>
          </w:pPr>
          <w:hyperlink w:anchor="_Toc132895828" w:history="1">
            <w:r w:rsidR="003F3A9F" w:rsidRPr="00C13796">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3</w:t>
            </w:r>
            <w:r w:rsidR="003F3A9F" w:rsidRPr="00C13796">
              <w:rPr>
                <w:rFonts w:ascii="Arial" w:hAnsi="Arial" w:cs="Arial"/>
                <w:noProof/>
                <w:color w:val="000000" w:themeColor="text1"/>
                <w:sz w:val="24"/>
                <w:szCs w:val="24"/>
                <w:lang w:val="en-GB" w:eastAsia="en-GB"/>
              </w:rPr>
              <w:tab/>
            </w:r>
            <w:r w:rsidR="003F3A9F" w:rsidRPr="00C13796">
              <w:rPr>
                <w:rStyle w:val="Hyperlink"/>
                <w:rFonts w:ascii="Arial" w:hAnsi="Arial" w:cs="Arial"/>
                <w:noProof/>
                <w:color w:val="000000" w:themeColor="text1"/>
                <w:sz w:val="24"/>
                <w:szCs w:val="24"/>
              </w:rPr>
              <w:t>Introduction</w:t>
            </w:r>
            <w:r w:rsidR="003F3A9F" w:rsidRPr="00C13796">
              <w:rPr>
                <w:rFonts w:ascii="Arial" w:hAnsi="Arial" w:cs="Arial"/>
                <w:noProof/>
                <w:webHidden/>
                <w:color w:val="000000" w:themeColor="text1"/>
                <w:sz w:val="24"/>
                <w:szCs w:val="24"/>
              </w:rPr>
              <w:tab/>
            </w:r>
            <w:r w:rsidR="003F3A9F" w:rsidRPr="00C13796">
              <w:rPr>
                <w:rFonts w:ascii="Arial" w:hAnsi="Arial" w:cs="Arial"/>
                <w:noProof/>
                <w:webHidden/>
                <w:color w:val="000000" w:themeColor="text1"/>
                <w:sz w:val="24"/>
                <w:szCs w:val="24"/>
              </w:rPr>
              <w:fldChar w:fldCharType="begin"/>
            </w:r>
            <w:r w:rsidR="003F3A9F" w:rsidRPr="00C13796">
              <w:rPr>
                <w:rFonts w:ascii="Arial" w:hAnsi="Arial" w:cs="Arial"/>
                <w:noProof/>
                <w:webHidden/>
                <w:color w:val="000000" w:themeColor="text1"/>
                <w:sz w:val="24"/>
                <w:szCs w:val="24"/>
              </w:rPr>
              <w:instrText xml:space="preserve"> PAGEREF _Toc132895828 \h </w:instrText>
            </w:r>
            <w:r w:rsidR="003F3A9F" w:rsidRPr="00C13796">
              <w:rPr>
                <w:rFonts w:ascii="Arial" w:hAnsi="Arial" w:cs="Arial"/>
                <w:noProof/>
                <w:webHidden/>
                <w:color w:val="000000" w:themeColor="text1"/>
                <w:sz w:val="24"/>
                <w:szCs w:val="24"/>
              </w:rPr>
            </w:r>
            <w:r w:rsidR="003F3A9F" w:rsidRPr="00C13796">
              <w:rPr>
                <w:rFonts w:ascii="Arial" w:hAnsi="Arial" w:cs="Arial"/>
                <w:noProof/>
                <w:webHidden/>
                <w:color w:val="000000" w:themeColor="text1"/>
                <w:sz w:val="24"/>
                <w:szCs w:val="24"/>
              </w:rPr>
              <w:fldChar w:fldCharType="separate"/>
            </w:r>
            <w:r w:rsidR="003F3A9F" w:rsidRPr="00C13796">
              <w:rPr>
                <w:rFonts w:ascii="Arial" w:hAnsi="Arial" w:cs="Arial"/>
                <w:noProof/>
                <w:webHidden/>
                <w:color w:val="000000" w:themeColor="text1"/>
                <w:sz w:val="24"/>
                <w:szCs w:val="24"/>
              </w:rPr>
              <w:t>6</w:t>
            </w:r>
            <w:r w:rsidR="003F3A9F" w:rsidRPr="00C13796">
              <w:rPr>
                <w:rFonts w:ascii="Arial" w:hAnsi="Arial" w:cs="Arial"/>
                <w:noProof/>
                <w:webHidden/>
                <w:color w:val="000000" w:themeColor="text1"/>
                <w:sz w:val="24"/>
                <w:szCs w:val="24"/>
              </w:rPr>
              <w:fldChar w:fldCharType="end"/>
            </w:r>
          </w:hyperlink>
        </w:p>
        <w:p w14:paraId="14F7C303" w14:textId="26D152E7" w:rsidR="003F3A9F" w:rsidRPr="00C13796" w:rsidRDefault="003A4359">
          <w:pPr>
            <w:pStyle w:val="TOC1"/>
            <w:rPr>
              <w:rFonts w:ascii="Arial" w:hAnsi="Arial" w:cs="Arial"/>
              <w:noProof/>
              <w:color w:val="000000" w:themeColor="text1"/>
              <w:sz w:val="24"/>
              <w:szCs w:val="24"/>
              <w:lang w:val="en-GB" w:eastAsia="en-GB"/>
            </w:rPr>
          </w:pPr>
          <w:hyperlink w:anchor="_Toc132895829" w:history="1">
            <w:r w:rsidR="003F3A9F" w:rsidRPr="00C13796">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4</w:t>
            </w:r>
            <w:r w:rsidR="003F3A9F" w:rsidRPr="00C13796">
              <w:rPr>
                <w:rFonts w:ascii="Arial" w:hAnsi="Arial" w:cs="Arial"/>
                <w:noProof/>
                <w:color w:val="000000" w:themeColor="text1"/>
                <w:sz w:val="24"/>
                <w:szCs w:val="24"/>
                <w:lang w:val="en-GB" w:eastAsia="en-GB"/>
              </w:rPr>
              <w:tab/>
            </w:r>
            <w:r w:rsidR="003F3A9F" w:rsidRPr="00C13796">
              <w:rPr>
                <w:rStyle w:val="Hyperlink"/>
                <w:rFonts w:ascii="Arial" w:hAnsi="Arial" w:cs="Arial"/>
                <w:noProof/>
                <w:color w:val="000000" w:themeColor="text1"/>
                <w:sz w:val="24"/>
                <w:szCs w:val="24"/>
              </w:rPr>
              <w:t>Purpose</w:t>
            </w:r>
            <w:r w:rsidR="003F3A9F" w:rsidRPr="00C13796">
              <w:rPr>
                <w:rFonts w:ascii="Arial" w:hAnsi="Arial" w:cs="Arial"/>
                <w:noProof/>
                <w:webHidden/>
                <w:color w:val="000000" w:themeColor="text1"/>
                <w:sz w:val="24"/>
                <w:szCs w:val="24"/>
              </w:rPr>
              <w:tab/>
            </w:r>
            <w:r w:rsidR="003F3A9F" w:rsidRPr="00C13796">
              <w:rPr>
                <w:rFonts w:ascii="Arial" w:hAnsi="Arial" w:cs="Arial"/>
                <w:noProof/>
                <w:webHidden/>
                <w:color w:val="000000" w:themeColor="text1"/>
                <w:sz w:val="24"/>
                <w:szCs w:val="24"/>
              </w:rPr>
              <w:fldChar w:fldCharType="begin"/>
            </w:r>
            <w:r w:rsidR="003F3A9F" w:rsidRPr="00C13796">
              <w:rPr>
                <w:rFonts w:ascii="Arial" w:hAnsi="Arial" w:cs="Arial"/>
                <w:noProof/>
                <w:webHidden/>
                <w:color w:val="000000" w:themeColor="text1"/>
                <w:sz w:val="24"/>
                <w:szCs w:val="24"/>
              </w:rPr>
              <w:instrText xml:space="preserve"> PAGEREF _Toc132895829 \h </w:instrText>
            </w:r>
            <w:r w:rsidR="003F3A9F" w:rsidRPr="00C13796">
              <w:rPr>
                <w:rFonts w:ascii="Arial" w:hAnsi="Arial" w:cs="Arial"/>
                <w:noProof/>
                <w:webHidden/>
                <w:color w:val="000000" w:themeColor="text1"/>
                <w:sz w:val="24"/>
                <w:szCs w:val="24"/>
              </w:rPr>
            </w:r>
            <w:r w:rsidR="003F3A9F" w:rsidRPr="00C13796">
              <w:rPr>
                <w:rFonts w:ascii="Arial" w:hAnsi="Arial" w:cs="Arial"/>
                <w:noProof/>
                <w:webHidden/>
                <w:color w:val="000000" w:themeColor="text1"/>
                <w:sz w:val="24"/>
                <w:szCs w:val="24"/>
              </w:rPr>
              <w:fldChar w:fldCharType="separate"/>
            </w:r>
            <w:r w:rsidR="003F3A9F" w:rsidRPr="00C13796">
              <w:rPr>
                <w:rFonts w:ascii="Arial" w:hAnsi="Arial" w:cs="Arial"/>
                <w:noProof/>
                <w:webHidden/>
                <w:color w:val="000000" w:themeColor="text1"/>
                <w:sz w:val="24"/>
                <w:szCs w:val="24"/>
              </w:rPr>
              <w:t>6</w:t>
            </w:r>
            <w:r w:rsidR="003F3A9F" w:rsidRPr="00C13796">
              <w:rPr>
                <w:rFonts w:ascii="Arial" w:hAnsi="Arial" w:cs="Arial"/>
                <w:noProof/>
                <w:webHidden/>
                <w:color w:val="000000" w:themeColor="text1"/>
                <w:sz w:val="24"/>
                <w:szCs w:val="24"/>
              </w:rPr>
              <w:fldChar w:fldCharType="end"/>
            </w:r>
          </w:hyperlink>
        </w:p>
        <w:p w14:paraId="0000FD45" w14:textId="2FBAD46D" w:rsidR="003F3A9F" w:rsidRPr="00C13796" w:rsidRDefault="003A4359">
          <w:pPr>
            <w:pStyle w:val="TOC1"/>
            <w:rPr>
              <w:rFonts w:ascii="Arial" w:hAnsi="Arial" w:cs="Arial"/>
              <w:noProof/>
              <w:color w:val="000000" w:themeColor="text1"/>
              <w:sz w:val="24"/>
              <w:szCs w:val="24"/>
              <w:lang w:val="en-GB" w:eastAsia="en-GB"/>
            </w:rPr>
          </w:pPr>
          <w:hyperlink w:anchor="_Toc132895830" w:history="1">
            <w:r w:rsidR="003F3A9F" w:rsidRPr="00C13796">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5</w:t>
            </w:r>
            <w:r w:rsidR="003F3A9F" w:rsidRPr="00C13796">
              <w:rPr>
                <w:rFonts w:ascii="Arial" w:hAnsi="Arial" w:cs="Arial"/>
                <w:noProof/>
                <w:color w:val="000000" w:themeColor="text1"/>
                <w:sz w:val="24"/>
                <w:szCs w:val="24"/>
                <w:lang w:val="en-GB" w:eastAsia="en-GB"/>
              </w:rPr>
              <w:tab/>
            </w:r>
            <w:r w:rsidR="003F3A9F" w:rsidRPr="00C13796">
              <w:rPr>
                <w:rStyle w:val="Hyperlink"/>
                <w:rFonts w:ascii="Arial" w:hAnsi="Arial" w:cs="Arial"/>
                <w:noProof/>
                <w:color w:val="000000" w:themeColor="text1"/>
                <w:sz w:val="24"/>
                <w:szCs w:val="24"/>
              </w:rPr>
              <w:t>Scope of the Policy</w:t>
            </w:r>
            <w:r w:rsidR="003F3A9F" w:rsidRPr="00C13796">
              <w:rPr>
                <w:rFonts w:ascii="Arial" w:hAnsi="Arial" w:cs="Arial"/>
                <w:noProof/>
                <w:webHidden/>
                <w:color w:val="000000" w:themeColor="text1"/>
                <w:sz w:val="24"/>
                <w:szCs w:val="24"/>
              </w:rPr>
              <w:tab/>
            </w:r>
            <w:r w:rsidR="003F3A9F" w:rsidRPr="00C13796">
              <w:rPr>
                <w:rFonts w:ascii="Arial" w:hAnsi="Arial" w:cs="Arial"/>
                <w:noProof/>
                <w:webHidden/>
                <w:color w:val="000000" w:themeColor="text1"/>
                <w:sz w:val="24"/>
                <w:szCs w:val="24"/>
              </w:rPr>
              <w:fldChar w:fldCharType="begin"/>
            </w:r>
            <w:r w:rsidR="003F3A9F" w:rsidRPr="00C13796">
              <w:rPr>
                <w:rFonts w:ascii="Arial" w:hAnsi="Arial" w:cs="Arial"/>
                <w:noProof/>
                <w:webHidden/>
                <w:color w:val="000000" w:themeColor="text1"/>
                <w:sz w:val="24"/>
                <w:szCs w:val="24"/>
              </w:rPr>
              <w:instrText xml:space="preserve"> PAGEREF _Toc132895830 \h </w:instrText>
            </w:r>
            <w:r w:rsidR="003F3A9F" w:rsidRPr="00C13796">
              <w:rPr>
                <w:rFonts w:ascii="Arial" w:hAnsi="Arial" w:cs="Arial"/>
                <w:noProof/>
                <w:webHidden/>
                <w:color w:val="000000" w:themeColor="text1"/>
                <w:sz w:val="24"/>
                <w:szCs w:val="24"/>
              </w:rPr>
            </w:r>
            <w:r w:rsidR="003F3A9F" w:rsidRPr="00C13796">
              <w:rPr>
                <w:rFonts w:ascii="Arial" w:hAnsi="Arial" w:cs="Arial"/>
                <w:noProof/>
                <w:webHidden/>
                <w:color w:val="000000" w:themeColor="text1"/>
                <w:sz w:val="24"/>
                <w:szCs w:val="24"/>
              </w:rPr>
              <w:fldChar w:fldCharType="separate"/>
            </w:r>
            <w:r w:rsidR="003F3A9F" w:rsidRPr="00C13796">
              <w:rPr>
                <w:rFonts w:ascii="Arial" w:hAnsi="Arial" w:cs="Arial"/>
                <w:noProof/>
                <w:webHidden/>
                <w:color w:val="000000" w:themeColor="text1"/>
                <w:sz w:val="24"/>
                <w:szCs w:val="24"/>
              </w:rPr>
              <w:t>6</w:t>
            </w:r>
            <w:r w:rsidR="003F3A9F" w:rsidRPr="00C13796">
              <w:rPr>
                <w:rFonts w:ascii="Arial" w:hAnsi="Arial" w:cs="Arial"/>
                <w:noProof/>
                <w:webHidden/>
                <w:color w:val="000000" w:themeColor="text1"/>
                <w:sz w:val="24"/>
                <w:szCs w:val="24"/>
              </w:rPr>
              <w:fldChar w:fldCharType="end"/>
            </w:r>
          </w:hyperlink>
        </w:p>
        <w:p w14:paraId="4100F5DD" w14:textId="646867F0" w:rsidR="003F3A9F" w:rsidRPr="00C13796" w:rsidRDefault="003A4359">
          <w:pPr>
            <w:pStyle w:val="TOC1"/>
            <w:rPr>
              <w:rFonts w:ascii="Arial" w:hAnsi="Arial" w:cs="Arial"/>
              <w:noProof/>
              <w:color w:val="000000" w:themeColor="text1"/>
              <w:sz w:val="24"/>
              <w:szCs w:val="24"/>
              <w:lang w:val="en-GB" w:eastAsia="en-GB"/>
            </w:rPr>
          </w:pPr>
          <w:hyperlink w:anchor="_Toc132895831" w:history="1">
            <w:r w:rsidR="003F3A9F" w:rsidRPr="00C13796">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6</w:t>
            </w:r>
            <w:r w:rsidR="003F3A9F" w:rsidRPr="00C13796">
              <w:rPr>
                <w:rFonts w:ascii="Arial" w:hAnsi="Arial" w:cs="Arial"/>
                <w:noProof/>
                <w:color w:val="000000" w:themeColor="text1"/>
                <w:sz w:val="24"/>
                <w:szCs w:val="24"/>
                <w:lang w:val="en-GB" w:eastAsia="en-GB"/>
              </w:rPr>
              <w:tab/>
            </w:r>
            <w:r w:rsidR="003F3A9F" w:rsidRPr="00C13796">
              <w:rPr>
                <w:rStyle w:val="Hyperlink"/>
                <w:rFonts w:ascii="Arial" w:hAnsi="Arial" w:cs="Arial"/>
                <w:noProof/>
                <w:color w:val="000000" w:themeColor="text1"/>
                <w:sz w:val="24"/>
                <w:szCs w:val="24"/>
              </w:rPr>
              <w:t>Duties/ Accountabilities and Responsibilities</w:t>
            </w:r>
            <w:r w:rsidR="003F3A9F" w:rsidRPr="00C13796">
              <w:rPr>
                <w:rFonts w:ascii="Arial" w:hAnsi="Arial" w:cs="Arial"/>
                <w:noProof/>
                <w:webHidden/>
                <w:color w:val="000000" w:themeColor="text1"/>
                <w:sz w:val="24"/>
                <w:szCs w:val="24"/>
              </w:rPr>
              <w:tab/>
            </w:r>
            <w:r w:rsidR="003F3A9F" w:rsidRPr="00C13796">
              <w:rPr>
                <w:rFonts w:ascii="Arial" w:hAnsi="Arial" w:cs="Arial"/>
                <w:noProof/>
                <w:webHidden/>
                <w:color w:val="000000" w:themeColor="text1"/>
                <w:sz w:val="24"/>
                <w:szCs w:val="24"/>
              </w:rPr>
              <w:fldChar w:fldCharType="begin"/>
            </w:r>
            <w:r w:rsidR="003F3A9F" w:rsidRPr="00C13796">
              <w:rPr>
                <w:rFonts w:ascii="Arial" w:hAnsi="Arial" w:cs="Arial"/>
                <w:noProof/>
                <w:webHidden/>
                <w:color w:val="000000" w:themeColor="text1"/>
                <w:sz w:val="24"/>
                <w:szCs w:val="24"/>
              </w:rPr>
              <w:instrText xml:space="preserve"> PAGEREF _Toc132895831 \h </w:instrText>
            </w:r>
            <w:r w:rsidR="003F3A9F" w:rsidRPr="00C13796">
              <w:rPr>
                <w:rFonts w:ascii="Arial" w:hAnsi="Arial" w:cs="Arial"/>
                <w:noProof/>
                <w:webHidden/>
                <w:color w:val="000000" w:themeColor="text1"/>
                <w:sz w:val="24"/>
                <w:szCs w:val="24"/>
              </w:rPr>
            </w:r>
            <w:r w:rsidR="003F3A9F" w:rsidRPr="00C13796">
              <w:rPr>
                <w:rFonts w:ascii="Arial" w:hAnsi="Arial" w:cs="Arial"/>
                <w:noProof/>
                <w:webHidden/>
                <w:color w:val="000000" w:themeColor="text1"/>
                <w:sz w:val="24"/>
                <w:szCs w:val="24"/>
              </w:rPr>
              <w:fldChar w:fldCharType="separate"/>
            </w:r>
            <w:r w:rsidR="003F3A9F" w:rsidRPr="00C13796">
              <w:rPr>
                <w:rFonts w:ascii="Arial" w:hAnsi="Arial" w:cs="Arial"/>
                <w:noProof/>
                <w:webHidden/>
                <w:color w:val="000000" w:themeColor="text1"/>
                <w:sz w:val="24"/>
                <w:szCs w:val="24"/>
              </w:rPr>
              <w:t>7</w:t>
            </w:r>
            <w:r w:rsidR="003F3A9F" w:rsidRPr="00C13796">
              <w:rPr>
                <w:rFonts w:ascii="Arial" w:hAnsi="Arial" w:cs="Arial"/>
                <w:noProof/>
                <w:webHidden/>
                <w:color w:val="000000" w:themeColor="text1"/>
                <w:sz w:val="24"/>
                <w:szCs w:val="24"/>
              </w:rPr>
              <w:fldChar w:fldCharType="end"/>
            </w:r>
          </w:hyperlink>
        </w:p>
        <w:p w14:paraId="5CE50929" w14:textId="0A98A4F6" w:rsidR="003F3A9F" w:rsidRPr="00C13796" w:rsidRDefault="003A4359">
          <w:pPr>
            <w:pStyle w:val="TOC2"/>
            <w:rPr>
              <w:rFonts w:ascii="Arial" w:hAnsi="Arial" w:cs="Arial"/>
              <w:noProof/>
              <w:color w:val="000000" w:themeColor="text1"/>
              <w:sz w:val="24"/>
              <w:szCs w:val="24"/>
              <w:lang w:val="en-GB" w:eastAsia="en-GB"/>
            </w:rPr>
          </w:pPr>
          <w:hyperlink w:anchor="_Toc132895832" w:history="1">
            <w:r w:rsidR="003F3A9F" w:rsidRPr="00C13796">
              <w:rPr>
                <w:rStyle w:val="Hyperlink"/>
                <w:rFonts w:ascii="Arial" w:hAnsi="Arial" w:cs="Arial"/>
                <w:noProof/>
                <w:color w:val="000000" w:themeColor="text1"/>
                <w:sz w:val="24"/>
                <w:szCs w:val="24"/>
              </w:rPr>
              <w:t>6.1</w:t>
            </w:r>
            <w:r w:rsidR="003F3A9F" w:rsidRPr="00C13796">
              <w:rPr>
                <w:rFonts w:ascii="Arial" w:hAnsi="Arial" w:cs="Arial"/>
                <w:noProof/>
                <w:color w:val="000000" w:themeColor="text1"/>
                <w:sz w:val="24"/>
                <w:szCs w:val="24"/>
                <w:lang w:val="en-GB" w:eastAsia="en-GB"/>
              </w:rPr>
              <w:tab/>
            </w:r>
            <w:r w:rsidR="003F3A9F" w:rsidRPr="00C13796">
              <w:rPr>
                <w:rStyle w:val="Hyperlink"/>
                <w:rFonts w:ascii="Arial" w:hAnsi="Arial" w:cs="Arial"/>
                <w:noProof/>
                <w:color w:val="000000" w:themeColor="text1"/>
                <w:sz w:val="24"/>
                <w:szCs w:val="24"/>
              </w:rPr>
              <w:t>Duties within the organisation</w:t>
            </w:r>
            <w:r w:rsidR="003F3A9F" w:rsidRPr="00C13796">
              <w:rPr>
                <w:rFonts w:ascii="Arial" w:hAnsi="Arial" w:cs="Arial"/>
                <w:noProof/>
                <w:webHidden/>
                <w:color w:val="000000" w:themeColor="text1"/>
                <w:sz w:val="24"/>
                <w:szCs w:val="24"/>
              </w:rPr>
              <w:tab/>
            </w:r>
            <w:r w:rsidR="003F3A9F" w:rsidRPr="00C13796">
              <w:rPr>
                <w:rFonts w:ascii="Arial" w:hAnsi="Arial" w:cs="Arial"/>
                <w:noProof/>
                <w:webHidden/>
                <w:color w:val="000000" w:themeColor="text1"/>
                <w:sz w:val="24"/>
                <w:szCs w:val="24"/>
              </w:rPr>
              <w:fldChar w:fldCharType="begin"/>
            </w:r>
            <w:r w:rsidR="003F3A9F" w:rsidRPr="00C13796">
              <w:rPr>
                <w:rFonts w:ascii="Arial" w:hAnsi="Arial" w:cs="Arial"/>
                <w:noProof/>
                <w:webHidden/>
                <w:color w:val="000000" w:themeColor="text1"/>
                <w:sz w:val="24"/>
                <w:szCs w:val="24"/>
              </w:rPr>
              <w:instrText xml:space="preserve"> PAGEREF _Toc132895832 \h </w:instrText>
            </w:r>
            <w:r w:rsidR="003F3A9F" w:rsidRPr="00C13796">
              <w:rPr>
                <w:rFonts w:ascii="Arial" w:hAnsi="Arial" w:cs="Arial"/>
                <w:noProof/>
                <w:webHidden/>
                <w:color w:val="000000" w:themeColor="text1"/>
                <w:sz w:val="24"/>
                <w:szCs w:val="24"/>
              </w:rPr>
            </w:r>
            <w:r w:rsidR="003F3A9F" w:rsidRPr="00C13796">
              <w:rPr>
                <w:rFonts w:ascii="Arial" w:hAnsi="Arial" w:cs="Arial"/>
                <w:noProof/>
                <w:webHidden/>
                <w:color w:val="000000" w:themeColor="text1"/>
                <w:sz w:val="24"/>
                <w:szCs w:val="24"/>
              </w:rPr>
              <w:fldChar w:fldCharType="separate"/>
            </w:r>
            <w:r w:rsidR="003F3A9F" w:rsidRPr="00C13796">
              <w:rPr>
                <w:rFonts w:ascii="Arial" w:hAnsi="Arial" w:cs="Arial"/>
                <w:noProof/>
                <w:webHidden/>
                <w:color w:val="000000" w:themeColor="text1"/>
                <w:sz w:val="24"/>
                <w:szCs w:val="24"/>
              </w:rPr>
              <w:t>7</w:t>
            </w:r>
            <w:r w:rsidR="003F3A9F" w:rsidRPr="00C13796">
              <w:rPr>
                <w:rFonts w:ascii="Arial" w:hAnsi="Arial" w:cs="Arial"/>
                <w:noProof/>
                <w:webHidden/>
                <w:color w:val="000000" w:themeColor="text1"/>
                <w:sz w:val="24"/>
                <w:szCs w:val="24"/>
              </w:rPr>
              <w:fldChar w:fldCharType="end"/>
            </w:r>
          </w:hyperlink>
        </w:p>
        <w:p w14:paraId="599D447B" w14:textId="5DBDCA80" w:rsidR="003F3A9F" w:rsidRPr="00C13796" w:rsidRDefault="003A4359">
          <w:pPr>
            <w:pStyle w:val="TOC2"/>
            <w:rPr>
              <w:rFonts w:ascii="Arial" w:hAnsi="Arial" w:cs="Arial"/>
              <w:noProof/>
              <w:color w:val="000000" w:themeColor="text1"/>
              <w:sz w:val="24"/>
              <w:szCs w:val="24"/>
              <w:lang w:val="en-GB" w:eastAsia="en-GB"/>
            </w:rPr>
          </w:pPr>
          <w:hyperlink w:anchor="_Toc132895833" w:history="1">
            <w:r w:rsidR="003F3A9F" w:rsidRPr="00C13796">
              <w:rPr>
                <w:rStyle w:val="Hyperlink"/>
                <w:rFonts w:ascii="Arial" w:hAnsi="Arial" w:cs="Arial"/>
                <w:noProof/>
                <w:color w:val="000000" w:themeColor="text1"/>
                <w:sz w:val="24"/>
                <w:szCs w:val="24"/>
              </w:rPr>
              <w:t>6.2</w:t>
            </w:r>
            <w:r w:rsidR="003F3A9F" w:rsidRPr="00C13796">
              <w:rPr>
                <w:rFonts w:ascii="Arial" w:hAnsi="Arial" w:cs="Arial"/>
                <w:noProof/>
                <w:color w:val="000000" w:themeColor="text1"/>
                <w:sz w:val="24"/>
                <w:szCs w:val="24"/>
                <w:lang w:val="en-GB" w:eastAsia="en-GB"/>
              </w:rPr>
              <w:tab/>
            </w:r>
            <w:r w:rsidR="003F3A9F" w:rsidRPr="00C13796">
              <w:rPr>
                <w:rStyle w:val="Hyperlink"/>
                <w:rFonts w:ascii="Arial" w:hAnsi="Arial" w:cs="Arial"/>
                <w:noProof/>
                <w:color w:val="000000" w:themeColor="text1"/>
                <w:sz w:val="24"/>
                <w:szCs w:val="24"/>
              </w:rPr>
              <w:t>ICB Executive Director of Nursing</w:t>
            </w:r>
            <w:r w:rsidR="003F3A9F" w:rsidRPr="00C13796">
              <w:rPr>
                <w:rFonts w:ascii="Arial" w:hAnsi="Arial" w:cs="Arial"/>
                <w:noProof/>
                <w:webHidden/>
                <w:color w:val="000000" w:themeColor="text1"/>
                <w:sz w:val="24"/>
                <w:szCs w:val="24"/>
              </w:rPr>
              <w:tab/>
            </w:r>
            <w:r w:rsidR="003F3A9F" w:rsidRPr="00C13796">
              <w:rPr>
                <w:rFonts w:ascii="Arial" w:hAnsi="Arial" w:cs="Arial"/>
                <w:noProof/>
                <w:webHidden/>
                <w:color w:val="000000" w:themeColor="text1"/>
                <w:sz w:val="24"/>
                <w:szCs w:val="24"/>
              </w:rPr>
              <w:fldChar w:fldCharType="begin"/>
            </w:r>
            <w:r w:rsidR="003F3A9F" w:rsidRPr="00C13796">
              <w:rPr>
                <w:rFonts w:ascii="Arial" w:hAnsi="Arial" w:cs="Arial"/>
                <w:noProof/>
                <w:webHidden/>
                <w:color w:val="000000" w:themeColor="text1"/>
                <w:sz w:val="24"/>
                <w:szCs w:val="24"/>
              </w:rPr>
              <w:instrText xml:space="preserve"> PAGEREF _Toc132895833 \h </w:instrText>
            </w:r>
            <w:r w:rsidR="003F3A9F" w:rsidRPr="00C13796">
              <w:rPr>
                <w:rFonts w:ascii="Arial" w:hAnsi="Arial" w:cs="Arial"/>
                <w:noProof/>
                <w:webHidden/>
                <w:color w:val="000000" w:themeColor="text1"/>
                <w:sz w:val="24"/>
                <w:szCs w:val="24"/>
              </w:rPr>
            </w:r>
            <w:r w:rsidR="003F3A9F" w:rsidRPr="00C13796">
              <w:rPr>
                <w:rFonts w:ascii="Arial" w:hAnsi="Arial" w:cs="Arial"/>
                <w:noProof/>
                <w:webHidden/>
                <w:color w:val="000000" w:themeColor="text1"/>
                <w:sz w:val="24"/>
                <w:szCs w:val="24"/>
              </w:rPr>
              <w:fldChar w:fldCharType="separate"/>
            </w:r>
            <w:r w:rsidR="003F3A9F" w:rsidRPr="00C13796">
              <w:rPr>
                <w:rFonts w:ascii="Arial" w:hAnsi="Arial" w:cs="Arial"/>
                <w:noProof/>
                <w:webHidden/>
                <w:color w:val="000000" w:themeColor="text1"/>
                <w:sz w:val="24"/>
                <w:szCs w:val="24"/>
              </w:rPr>
              <w:t>7</w:t>
            </w:r>
            <w:r w:rsidR="003F3A9F" w:rsidRPr="00C13796">
              <w:rPr>
                <w:rFonts w:ascii="Arial" w:hAnsi="Arial" w:cs="Arial"/>
                <w:noProof/>
                <w:webHidden/>
                <w:color w:val="000000" w:themeColor="text1"/>
                <w:sz w:val="24"/>
                <w:szCs w:val="24"/>
              </w:rPr>
              <w:fldChar w:fldCharType="end"/>
            </w:r>
          </w:hyperlink>
        </w:p>
        <w:p w14:paraId="015913AE" w14:textId="5849D744" w:rsidR="003F3A9F" w:rsidRPr="00C13796" w:rsidRDefault="003A4359">
          <w:pPr>
            <w:pStyle w:val="TOC2"/>
            <w:rPr>
              <w:rFonts w:ascii="Arial" w:hAnsi="Arial" w:cs="Arial"/>
              <w:noProof/>
              <w:color w:val="000000" w:themeColor="text1"/>
              <w:sz w:val="24"/>
              <w:szCs w:val="24"/>
              <w:lang w:val="en-GB" w:eastAsia="en-GB"/>
            </w:rPr>
          </w:pPr>
          <w:hyperlink w:anchor="_Toc132895834" w:history="1">
            <w:r w:rsidR="003F3A9F" w:rsidRPr="00C13796">
              <w:rPr>
                <w:rStyle w:val="Hyperlink"/>
                <w:rFonts w:ascii="Arial" w:hAnsi="Arial" w:cs="Arial"/>
                <w:noProof/>
                <w:color w:val="000000" w:themeColor="text1"/>
                <w:sz w:val="24"/>
                <w:szCs w:val="24"/>
              </w:rPr>
              <w:t>6.3</w:t>
            </w:r>
            <w:r w:rsidR="003F3A9F" w:rsidRPr="00C13796">
              <w:rPr>
                <w:rFonts w:ascii="Arial" w:hAnsi="Arial" w:cs="Arial"/>
                <w:noProof/>
                <w:color w:val="000000" w:themeColor="text1"/>
                <w:sz w:val="24"/>
                <w:szCs w:val="24"/>
                <w:lang w:val="en-GB" w:eastAsia="en-GB"/>
              </w:rPr>
              <w:tab/>
            </w:r>
            <w:r w:rsidR="003F3A9F" w:rsidRPr="00C13796">
              <w:rPr>
                <w:rStyle w:val="Hyperlink"/>
                <w:rFonts w:ascii="Arial" w:hAnsi="Arial" w:cs="Arial"/>
                <w:noProof/>
                <w:color w:val="000000" w:themeColor="text1"/>
                <w:sz w:val="24"/>
                <w:szCs w:val="24"/>
              </w:rPr>
              <w:t>ICB PSIRF Lead Director of Nursing and Quality</w:t>
            </w:r>
            <w:r w:rsidR="003F3A9F" w:rsidRPr="00C13796">
              <w:rPr>
                <w:rFonts w:ascii="Arial" w:hAnsi="Arial" w:cs="Arial"/>
                <w:noProof/>
                <w:webHidden/>
                <w:color w:val="000000" w:themeColor="text1"/>
                <w:sz w:val="24"/>
                <w:szCs w:val="24"/>
              </w:rPr>
              <w:tab/>
            </w:r>
            <w:r w:rsidR="003F3A9F" w:rsidRPr="00C13796">
              <w:rPr>
                <w:rFonts w:ascii="Arial" w:hAnsi="Arial" w:cs="Arial"/>
                <w:noProof/>
                <w:webHidden/>
                <w:color w:val="000000" w:themeColor="text1"/>
                <w:sz w:val="24"/>
                <w:szCs w:val="24"/>
              </w:rPr>
              <w:fldChar w:fldCharType="begin"/>
            </w:r>
            <w:r w:rsidR="003F3A9F" w:rsidRPr="00C13796">
              <w:rPr>
                <w:rFonts w:ascii="Arial" w:hAnsi="Arial" w:cs="Arial"/>
                <w:noProof/>
                <w:webHidden/>
                <w:color w:val="000000" w:themeColor="text1"/>
                <w:sz w:val="24"/>
                <w:szCs w:val="24"/>
              </w:rPr>
              <w:instrText xml:space="preserve"> PAGEREF _Toc132895834 \h </w:instrText>
            </w:r>
            <w:r w:rsidR="003F3A9F" w:rsidRPr="00C13796">
              <w:rPr>
                <w:rFonts w:ascii="Arial" w:hAnsi="Arial" w:cs="Arial"/>
                <w:noProof/>
                <w:webHidden/>
                <w:color w:val="000000" w:themeColor="text1"/>
                <w:sz w:val="24"/>
                <w:szCs w:val="24"/>
              </w:rPr>
            </w:r>
            <w:r w:rsidR="003F3A9F" w:rsidRPr="00C13796">
              <w:rPr>
                <w:rFonts w:ascii="Arial" w:hAnsi="Arial" w:cs="Arial"/>
                <w:noProof/>
                <w:webHidden/>
                <w:color w:val="000000" w:themeColor="text1"/>
                <w:sz w:val="24"/>
                <w:szCs w:val="24"/>
              </w:rPr>
              <w:fldChar w:fldCharType="separate"/>
            </w:r>
            <w:r w:rsidR="003F3A9F" w:rsidRPr="00C13796">
              <w:rPr>
                <w:rFonts w:ascii="Arial" w:hAnsi="Arial" w:cs="Arial"/>
                <w:noProof/>
                <w:webHidden/>
                <w:color w:val="000000" w:themeColor="text1"/>
                <w:sz w:val="24"/>
                <w:szCs w:val="24"/>
              </w:rPr>
              <w:t>7</w:t>
            </w:r>
            <w:r w:rsidR="003F3A9F" w:rsidRPr="00C13796">
              <w:rPr>
                <w:rFonts w:ascii="Arial" w:hAnsi="Arial" w:cs="Arial"/>
                <w:noProof/>
                <w:webHidden/>
                <w:color w:val="000000" w:themeColor="text1"/>
                <w:sz w:val="24"/>
                <w:szCs w:val="24"/>
              </w:rPr>
              <w:fldChar w:fldCharType="end"/>
            </w:r>
          </w:hyperlink>
        </w:p>
        <w:p w14:paraId="5154AA64" w14:textId="349DB2BA" w:rsidR="003F3A9F" w:rsidRPr="00C13796" w:rsidRDefault="003A4359">
          <w:pPr>
            <w:pStyle w:val="TOC2"/>
            <w:rPr>
              <w:rFonts w:ascii="Arial" w:hAnsi="Arial" w:cs="Arial"/>
              <w:noProof/>
              <w:color w:val="000000" w:themeColor="text1"/>
              <w:sz w:val="24"/>
              <w:szCs w:val="24"/>
              <w:lang w:val="en-GB" w:eastAsia="en-GB"/>
            </w:rPr>
          </w:pPr>
          <w:hyperlink w:anchor="_Toc132895835" w:history="1">
            <w:r w:rsidR="003F3A9F" w:rsidRPr="00C13796">
              <w:rPr>
                <w:rStyle w:val="Hyperlink"/>
                <w:rFonts w:ascii="Arial" w:hAnsi="Arial" w:cs="Arial"/>
                <w:noProof/>
                <w:color w:val="000000" w:themeColor="text1"/>
                <w:sz w:val="24"/>
                <w:szCs w:val="24"/>
              </w:rPr>
              <w:t>6.4</w:t>
            </w:r>
            <w:r w:rsidR="003F3A9F" w:rsidRPr="00C13796">
              <w:rPr>
                <w:rFonts w:ascii="Arial" w:hAnsi="Arial" w:cs="Arial"/>
                <w:noProof/>
                <w:color w:val="000000" w:themeColor="text1"/>
                <w:sz w:val="24"/>
                <w:szCs w:val="24"/>
                <w:lang w:val="en-GB" w:eastAsia="en-GB"/>
              </w:rPr>
              <w:tab/>
            </w:r>
            <w:r w:rsidR="003F3A9F" w:rsidRPr="00C13796">
              <w:rPr>
                <w:rStyle w:val="Hyperlink"/>
                <w:rFonts w:ascii="Arial" w:hAnsi="Arial" w:cs="Arial"/>
                <w:noProof/>
                <w:color w:val="000000" w:themeColor="text1"/>
                <w:sz w:val="24"/>
                <w:szCs w:val="24"/>
              </w:rPr>
              <w:t>ICB Quality Leads</w:t>
            </w:r>
            <w:r w:rsidR="003F3A9F" w:rsidRPr="00C13796">
              <w:rPr>
                <w:rFonts w:ascii="Arial" w:hAnsi="Arial" w:cs="Arial"/>
                <w:noProof/>
                <w:webHidden/>
                <w:color w:val="000000" w:themeColor="text1"/>
                <w:sz w:val="24"/>
                <w:szCs w:val="24"/>
              </w:rPr>
              <w:tab/>
            </w:r>
            <w:r w:rsidR="003F3A9F" w:rsidRPr="00C13796">
              <w:rPr>
                <w:rFonts w:ascii="Arial" w:hAnsi="Arial" w:cs="Arial"/>
                <w:noProof/>
                <w:webHidden/>
                <w:color w:val="000000" w:themeColor="text1"/>
                <w:sz w:val="24"/>
                <w:szCs w:val="24"/>
              </w:rPr>
              <w:fldChar w:fldCharType="begin"/>
            </w:r>
            <w:r w:rsidR="003F3A9F" w:rsidRPr="00C13796">
              <w:rPr>
                <w:rFonts w:ascii="Arial" w:hAnsi="Arial" w:cs="Arial"/>
                <w:noProof/>
                <w:webHidden/>
                <w:color w:val="000000" w:themeColor="text1"/>
                <w:sz w:val="24"/>
                <w:szCs w:val="24"/>
              </w:rPr>
              <w:instrText xml:space="preserve"> PAGEREF _Toc132895835 \h </w:instrText>
            </w:r>
            <w:r w:rsidR="003F3A9F" w:rsidRPr="00C13796">
              <w:rPr>
                <w:rFonts w:ascii="Arial" w:hAnsi="Arial" w:cs="Arial"/>
                <w:noProof/>
                <w:webHidden/>
                <w:color w:val="000000" w:themeColor="text1"/>
                <w:sz w:val="24"/>
                <w:szCs w:val="24"/>
              </w:rPr>
            </w:r>
            <w:r w:rsidR="003F3A9F" w:rsidRPr="00C13796">
              <w:rPr>
                <w:rFonts w:ascii="Arial" w:hAnsi="Arial" w:cs="Arial"/>
                <w:noProof/>
                <w:webHidden/>
                <w:color w:val="000000" w:themeColor="text1"/>
                <w:sz w:val="24"/>
                <w:szCs w:val="24"/>
              </w:rPr>
              <w:fldChar w:fldCharType="separate"/>
            </w:r>
            <w:r w:rsidR="003F3A9F" w:rsidRPr="00C13796">
              <w:rPr>
                <w:rFonts w:ascii="Arial" w:hAnsi="Arial" w:cs="Arial"/>
                <w:noProof/>
                <w:webHidden/>
                <w:color w:val="000000" w:themeColor="text1"/>
                <w:sz w:val="24"/>
                <w:szCs w:val="24"/>
              </w:rPr>
              <w:t>7</w:t>
            </w:r>
            <w:r w:rsidR="003F3A9F" w:rsidRPr="00C13796">
              <w:rPr>
                <w:rFonts w:ascii="Arial" w:hAnsi="Arial" w:cs="Arial"/>
                <w:noProof/>
                <w:webHidden/>
                <w:color w:val="000000" w:themeColor="text1"/>
                <w:sz w:val="24"/>
                <w:szCs w:val="24"/>
              </w:rPr>
              <w:fldChar w:fldCharType="end"/>
            </w:r>
          </w:hyperlink>
        </w:p>
        <w:p w14:paraId="3819904D" w14:textId="1405E9CA" w:rsidR="003F3A9F" w:rsidRPr="00C13796" w:rsidRDefault="003A4359">
          <w:pPr>
            <w:pStyle w:val="TOC2"/>
            <w:rPr>
              <w:rFonts w:ascii="Arial" w:hAnsi="Arial" w:cs="Arial"/>
              <w:noProof/>
              <w:color w:val="000000" w:themeColor="text1"/>
              <w:sz w:val="24"/>
              <w:szCs w:val="24"/>
              <w:lang w:val="en-GB" w:eastAsia="en-GB"/>
            </w:rPr>
          </w:pPr>
          <w:hyperlink w:anchor="_Toc132895836" w:history="1">
            <w:r w:rsidR="003F3A9F" w:rsidRPr="00C13796">
              <w:rPr>
                <w:rStyle w:val="Hyperlink"/>
                <w:rFonts w:ascii="Arial" w:hAnsi="Arial" w:cs="Arial"/>
                <w:noProof/>
                <w:color w:val="000000" w:themeColor="text1"/>
                <w:sz w:val="24"/>
                <w:szCs w:val="24"/>
              </w:rPr>
              <w:t>6.5</w:t>
            </w:r>
            <w:r w:rsidR="003F3A9F" w:rsidRPr="00C13796">
              <w:rPr>
                <w:rFonts w:ascii="Arial" w:hAnsi="Arial" w:cs="Arial"/>
                <w:noProof/>
                <w:color w:val="000000" w:themeColor="text1"/>
                <w:sz w:val="24"/>
                <w:szCs w:val="24"/>
                <w:lang w:val="en-GB" w:eastAsia="en-GB"/>
              </w:rPr>
              <w:tab/>
            </w:r>
            <w:r w:rsidR="003F3A9F" w:rsidRPr="00C13796">
              <w:rPr>
                <w:rStyle w:val="Hyperlink"/>
                <w:rFonts w:ascii="Arial" w:hAnsi="Arial" w:cs="Arial"/>
                <w:noProof/>
                <w:color w:val="000000" w:themeColor="text1"/>
                <w:sz w:val="24"/>
                <w:szCs w:val="24"/>
              </w:rPr>
              <w:t>ICB Learning Response Leads</w:t>
            </w:r>
            <w:r w:rsidR="003F3A9F" w:rsidRPr="00C13796">
              <w:rPr>
                <w:rFonts w:ascii="Arial" w:hAnsi="Arial" w:cs="Arial"/>
                <w:noProof/>
                <w:webHidden/>
                <w:color w:val="000000" w:themeColor="text1"/>
                <w:sz w:val="24"/>
                <w:szCs w:val="24"/>
              </w:rPr>
              <w:tab/>
            </w:r>
            <w:r w:rsidR="003F3A9F" w:rsidRPr="00C13796">
              <w:rPr>
                <w:rFonts w:ascii="Arial" w:hAnsi="Arial" w:cs="Arial"/>
                <w:noProof/>
                <w:webHidden/>
                <w:color w:val="000000" w:themeColor="text1"/>
                <w:sz w:val="24"/>
                <w:szCs w:val="24"/>
              </w:rPr>
              <w:fldChar w:fldCharType="begin"/>
            </w:r>
            <w:r w:rsidR="003F3A9F" w:rsidRPr="00C13796">
              <w:rPr>
                <w:rFonts w:ascii="Arial" w:hAnsi="Arial" w:cs="Arial"/>
                <w:noProof/>
                <w:webHidden/>
                <w:color w:val="000000" w:themeColor="text1"/>
                <w:sz w:val="24"/>
                <w:szCs w:val="24"/>
              </w:rPr>
              <w:instrText xml:space="preserve"> PAGEREF _Toc132895836 \h </w:instrText>
            </w:r>
            <w:r w:rsidR="003F3A9F" w:rsidRPr="00C13796">
              <w:rPr>
                <w:rFonts w:ascii="Arial" w:hAnsi="Arial" w:cs="Arial"/>
                <w:noProof/>
                <w:webHidden/>
                <w:color w:val="000000" w:themeColor="text1"/>
                <w:sz w:val="24"/>
                <w:szCs w:val="24"/>
              </w:rPr>
            </w:r>
            <w:r w:rsidR="003F3A9F" w:rsidRPr="00C13796">
              <w:rPr>
                <w:rFonts w:ascii="Arial" w:hAnsi="Arial" w:cs="Arial"/>
                <w:noProof/>
                <w:webHidden/>
                <w:color w:val="000000" w:themeColor="text1"/>
                <w:sz w:val="24"/>
                <w:szCs w:val="24"/>
              </w:rPr>
              <w:fldChar w:fldCharType="separate"/>
            </w:r>
            <w:r w:rsidR="003F3A9F" w:rsidRPr="00C13796">
              <w:rPr>
                <w:rFonts w:ascii="Arial" w:hAnsi="Arial" w:cs="Arial"/>
                <w:noProof/>
                <w:webHidden/>
                <w:color w:val="000000" w:themeColor="text1"/>
                <w:sz w:val="24"/>
                <w:szCs w:val="24"/>
              </w:rPr>
              <w:t>7</w:t>
            </w:r>
            <w:r w:rsidR="003F3A9F" w:rsidRPr="00C13796">
              <w:rPr>
                <w:rFonts w:ascii="Arial" w:hAnsi="Arial" w:cs="Arial"/>
                <w:noProof/>
                <w:webHidden/>
                <w:color w:val="000000" w:themeColor="text1"/>
                <w:sz w:val="24"/>
                <w:szCs w:val="24"/>
              </w:rPr>
              <w:fldChar w:fldCharType="end"/>
            </w:r>
          </w:hyperlink>
        </w:p>
        <w:p w14:paraId="47C1B456" w14:textId="4C34C1E7" w:rsidR="003F3A9F" w:rsidRPr="00C13796" w:rsidRDefault="003A4359">
          <w:pPr>
            <w:pStyle w:val="TOC2"/>
            <w:rPr>
              <w:rFonts w:ascii="Arial" w:hAnsi="Arial" w:cs="Arial"/>
              <w:noProof/>
              <w:color w:val="000000" w:themeColor="text1"/>
              <w:sz w:val="24"/>
              <w:szCs w:val="24"/>
              <w:lang w:val="en-GB" w:eastAsia="en-GB"/>
            </w:rPr>
          </w:pPr>
          <w:hyperlink w:anchor="_Toc132895837" w:history="1">
            <w:r w:rsidR="003F3A9F" w:rsidRPr="00C13796">
              <w:rPr>
                <w:rStyle w:val="Hyperlink"/>
                <w:rFonts w:ascii="Arial" w:hAnsi="Arial" w:cs="Arial"/>
                <w:noProof/>
                <w:color w:val="000000" w:themeColor="text1"/>
                <w:sz w:val="24"/>
                <w:szCs w:val="24"/>
              </w:rPr>
              <w:t>6.6</w:t>
            </w:r>
            <w:r w:rsidR="003F3A9F" w:rsidRPr="00C13796">
              <w:rPr>
                <w:rFonts w:ascii="Arial" w:hAnsi="Arial" w:cs="Arial"/>
                <w:noProof/>
                <w:color w:val="000000" w:themeColor="text1"/>
                <w:sz w:val="24"/>
                <w:szCs w:val="24"/>
                <w:lang w:val="en-GB" w:eastAsia="en-GB"/>
              </w:rPr>
              <w:tab/>
            </w:r>
            <w:r w:rsidR="003F3A9F" w:rsidRPr="00C13796">
              <w:rPr>
                <w:rStyle w:val="Hyperlink"/>
                <w:rFonts w:ascii="Arial" w:hAnsi="Arial" w:cs="Arial"/>
                <w:noProof/>
                <w:color w:val="000000" w:themeColor="text1"/>
                <w:sz w:val="24"/>
                <w:szCs w:val="24"/>
              </w:rPr>
              <w:t>Place Quality Groups</w:t>
            </w:r>
            <w:r w:rsidR="003F3A9F" w:rsidRPr="00C13796">
              <w:rPr>
                <w:rFonts w:ascii="Arial" w:hAnsi="Arial" w:cs="Arial"/>
                <w:noProof/>
                <w:webHidden/>
                <w:color w:val="000000" w:themeColor="text1"/>
                <w:sz w:val="24"/>
                <w:szCs w:val="24"/>
              </w:rPr>
              <w:tab/>
            </w:r>
            <w:r w:rsidR="003F3A9F" w:rsidRPr="00C13796">
              <w:rPr>
                <w:rFonts w:ascii="Arial" w:hAnsi="Arial" w:cs="Arial"/>
                <w:noProof/>
                <w:webHidden/>
                <w:color w:val="000000" w:themeColor="text1"/>
                <w:sz w:val="24"/>
                <w:szCs w:val="24"/>
              </w:rPr>
              <w:fldChar w:fldCharType="begin"/>
            </w:r>
            <w:r w:rsidR="003F3A9F" w:rsidRPr="00C13796">
              <w:rPr>
                <w:rFonts w:ascii="Arial" w:hAnsi="Arial" w:cs="Arial"/>
                <w:noProof/>
                <w:webHidden/>
                <w:color w:val="000000" w:themeColor="text1"/>
                <w:sz w:val="24"/>
                <w:szCs w:val="24"/>
              </w:rPr>
              <w:instrText xml:space="preserve"> PAGEREF _Toc132895837 \h </w:instrText>
            </w:r>
            <w:r w:rsidR="003F3A9F" w:rsidRPr="00C13796">
              <w:rPr>
                <w:rFonts w:ascii="Arial" w:hAnsi="Arial" w:cs="Arial"/>
                <w:noProof/>
                <w:webHidden/>
                <w:color w:val="000000" w:themeColor="text1"/>
                <w:sz w:val="24"/>
                <w:szCs w:val="24"/>
              </w:rPr>
            </w:r>
            <w:r w:rsidR="003F3A9F" w:rsidRPr="00C13796">
              <w:rPr>
                <w:rFonts w:ascii="Arial" w:hAnsi="Arial" w:cs="Arial"/>
                <w:noProof/>
                <w:webHidden/>
                <w:color w:val="000000" w:themeColor="text1"/>
                <w:sz w:val="24"/>
                <w:szCs w:val="24"/>
              </w:rPr>
              <w:fldChar w:fldCharType="separate"/>
            </w:r>
            <w:r w:rsidR="003F3A9F" w:rsidRPr="00C13796">
              <w:rPr>
                <w:rFonts w:ascii="Arial" w:hAnsi="Arial" w:cs="Arial"/>
                <w:noProof/>
                <w:webHidden/>
                <w:color w:val="000000" w:themeColor="text1"/>
                <w:sz w:val="24"/>
                <w:szCs w:val="24"/>
              </w:rPr>
              <w:t>8</w:t>
            </w:r>
            <w:r w:rsidR="003F3A9F" w:rsidRPr="00C13796">
              <w:rPr>
                <w:rFonts w:ascii="Arial" w:hAnsi="Arial" w:cs="Arial"/>
                <w:noProof/>
                <w:webHidden/>
                <w:color w:val="000000" w:themeColor="text1"/>
                <w:sz w:val="24"/>
                <w:szCs w:val="24"/>
              </w:rPr>
              <w:fldChar w:fldCharType="end"/>
            </w:r>
          </w:hyperlink>
        </w:p>
        <w:p w14:paraId="6D302354" w14:textId="595D72A1" w:rsidR="003F3A9F" w:rsidRPr="00C13796" w:rsidRDefault="003A4359">
          <w:pPr>
            <w:pStyle w:val="TOC2"/>
            <w:rPr>
              <w:rFonts w:ascii="Arial" w:hAnsi="Arial" w:cs="Arial"/>
              <w:noProof/>
              <w:color w:val="000000" w:themeColor="text1"/>
              <w:sz w:val="24"/>
              <w:szCs w:val="24"/>
              <w:lang w:val="en-GB" w:eastAsia="en-GB"/>
            </w:rPr>
          </w:pPr>
          <w:hyperlink w:anchor="_Toc132895838" w:history="1">
            <w:r w:rsidR="003F3A9F" w:rsidRPr="00C13796">
              <w:rPr>
                <w:rStyle w:val="Hyperlink"/>
                <w:rFonts w:ascii="Arial" w:hAnsi="Arial" w:cs="Arial"/>
                <w:noProof/>
                <w:color w:val="000000" w:themeColor="text1"/>
                <w:sz w:val="24"/>
                <w:szCs w:val="24"/>
              </w:rPr>
              <w:t>6.7</w:t>
            </w:r>
            <w:r w:rsidR="003F3A9F" w:rsidRPr="00C13796">
              <w:rPr>
                <w:rFonts w:ascii="Arial" w:hAnsi="Arial" w:cs="Arial"/>
                <w:noProof/>
                <w:color w:val="000000" w:themeColor="text1"/>
                <w:sz w:val="24"/>
                <w:szCs w:val="24"/>
                <w:lang w:val="en-GB" w:eastAsia="en-GB"/>
              </w:rPr>
              <w:tab/>
            </w:r>
            <w:r w:rsidR="003F3A9F" w:rsidRPr="00C13796">
              <w:rPr>
                <w:rStyle w:val="Hyperlink"/>
                <w:rFonts w:ascii="Arial" w:hAnsi="Arial" w:cs="Arial"/>
                <w:noProof/>
                <w:color w:val="000000" w:themeColor="text1"/>
                <w:sz w:val="24"/>
                <w:szCs w:val="24"/>
              </w:rPr>
              <w:t>System Quality Group</w:t>
            </w:r>
            <w:r w:rsidR="003F3A9F" w:rsidRPr="00C13796">
              <w:rPr>
                <w:rFonts w:ascii="Arial" w:hAnsi="Arial" w:cs="Arial"/>
                <w:noProof/>
                <w:webHidden/>
                <w:color w:val="000000" w:themeColor="text1"/>
                <w:sz w:val="24"/>
                <w:szCs w:val="24"/>
              </w:rPr>
              <w:tab/>
            </w:r>
            <w:r w:rsidR="003F3A9F" w:rsidRPr="00C13796">
              <w:rPr>
                <w:rFonts w:ascii="Arial" w:hAnsi="Arial" w:cs="Arial"/>
                <w:noProof/>
                <w:webHidden/>
                <w:color w:val="000000" w:themeColor="text1"/>
                <w:sz w:val="24"/>
                <w:szCs w:val="24"/>
              </w:rPr>
              <w:fldChar w:fldCharType="begin"/>
            </w:r>
            <w:r w:rsidR="003F3A9F" w:rsidRPr="00C13796">
              <w:rPr>
                <w:rFonts w:ascii="Arial" w:hAnsi="Arial" w:cs="Arial"/>
                <w:noProof/>
                <w:webHidden/>
                <w:color w:val="000000" w:themeColor="text1"/>
                <w:sz w:val="24"/>
                <w:szCs w:val="24"/>
              </w:rPr>
              <w:instrText xml:space="preserve"> PAGEREF _Toc132895838 \h </w:instrText>
            </w:r>
            <w:r w:rsidR="003F3A9F" w:rsidRPr="00C13796">
              <w:rPr>
                <w:rFonts w:ascii="Arial" w:hAnsi="Arial" w:cs="Arial"/>
                <w:noProof/>
                <w:webHidden/>
                <w:color w:val="000000" w:themeColor="text1"/>
                <w:sz w:val="24"/>
                <w:szCs w:val="24"/>
              </w:rPr>
            </w:r>
            <w:r w:rsidR="003F3A9F" w:rsidRPr="00C13796">
              <w:rPr>
                <w:rFonts w:ascii="Arial" w:hAnsi="Arial" w:cs="Arial"/>
                <w:noProof/>
                <w:webHidden/>
                <w:color w:val="000000" w:themeColor="text1"/>
                <w:sz w:val="24"/>
                <w:szCs w:val="24"/>
              </w:rPr>
              <w:fldChar w:fldCharType="separate"/>
            </w:r>
            <w:r w:rsidR="003F3A9F" w:rsidRPr="00C13796">
              <w:rPr>
                <w:rFonts w:ascii="Arial" w:hAnsi="Arial" w:cs="Arial"/>
                <w:noProof/>
                <w:webHidden/>
                <w:color w:val="000000" w:themeColor="text1"/>
                <w:sz w:val="24"/>
                <w:szCs w:val="24"/>
              </w:rPr>
              <w:t>8</w:t>
            </w:r>
            <w:r w:rsidR="003F3A9F" w:rsidRPr="00C13796">
              <w:rPr>
                <w:rFonts w:ascii="Arial" w:hAnsi="Arial" w:cs="Arial"/>
                <w:noProof/>
                <w:webHidden/>
                <w:color w:val="000000" w:themeColor="text1"/>
                <w:sz w:val="24"/>
                <w:szCs w:val="24"/>
              </w:rPr>
              <w:fldChar w:fldCharType="end"/>
            </w:r>
          </w:hyperlink>
        </w:p>
        <w:p w14:paraId="6AC8306B" w14:textId="63E95F0B" w:rsidR="003F3A9F" w:rsidRPr="00C13796" w:rsidRDefault="003A4359">
          <w:pPr>
            <w:pStyle w:val="TOC2"/>
            <w:rPr>
              <w:rFonts w:ascii="Arial" w:hAnsi="Arial" w:cs="Arial"/>
              <w:noProof/>
              <w:color w:val="000000" w:themeColor="text1"/>
              <w:sz w:val="24"/>
              <w:szCs w:val="24"/>
              <w:lang w:val="en-GB" w:eastAsia="en-GB"/>
            </w:rPr>
          </w:pPr>
          <w:hyperlink w:anchor="_Toc132895839" w:history="1">
            <w:r w:rsidR="003F3A9F" w:rsidRPr="00C13796">
              <w:rPr>
                <w:rStyle w:val="Hyperlink"/>
                <w:rFonts w:ascii="Arial" w:hAnsi="Arial" w:cs="Arial"/>
                <w:noProof/>
                <w:color w:val="000000" w:themeColor="text1"/>
                <w:sz w:val="24"/>
                <w:szCs w:val="24"/>
              </w:rPr>
              <w:t>6.8</w:t>
            </w:r>
            <w:r w:rsidR="003F3A9F" w:rsidRPr="00C13796">
              <w:rPr>
                <w:rFonts w:ascii="Arial" w:hAnsi="Arial" w:cs="Arial"/>
                <w:noProof/>
                <w:color w:val="000000" w:themeColor="text1"/>
                <w:sz w:val="24"/>
                <w:szCs w:val="24"/>
                <w:lang w:val="en-GB" w:eastAsia="en-GB"/>
              </w:rPr>
              <w:tab/>
            </w:r>
            <w:r w:rsidR="003F3A9F" w:rsidRPr="00C13796">
              <w:rPr>
                <w:rStyle w:val="Hyperlink"/>
                <w:rFonts w:ascii="Arial" w:hAnsi="Arial" w:cs="Arial"/>
                <w:noProof/>
                <w:color w:val="000000" w:themeColor="text1"/>
                <w:sz w:val="24"/>
                <w:szCs w:val="24"/>
              </w:rPr>
              <w:t>ICB PSIRF Group</w:t>
            </w:r>
            <w:r w:rsidR="003F3A9F" w:rsidRPr="00C13796">
              <w:rPr>
                <w:rFonts w:ascii="Arial" w:hAnsi="Arial" w:cs="Arial"/>
                <w:noProof/>
                <w:webHidden/>
                <w:color w:val="000000" w:themeColor="text1"/>
                <w:sz w:val="24"/>
                <w:szCs w:val="24"/>
              </w:rPr>
              <w:tab/>
            </w:r>
            <w:r w:rsidR="003F3A9F" w:rsidRPr="00C13796">
              <w:rPr>
                <w:rFonts w:ascii="Arial" w:hAnsi="Arial" w:cs="Arial"/>
                <w:noProof/>
                <w:webHidden/>
                <w:color w:val="000000" w:themeColor="text1"/>
                <w:sz w:val="24"/>
                <w:szCs w:val="24"/>
              </w:rPr>
              <w:fldChar w:fldCharType="begin"/>
            </w:r>
            <w:r w:rsidR="003F3A9F" w:rsidRPr="00C13796">
              <w:rPr>
                <w:rFonts w:ascii="Arial" w:hAnsi="Arial" w:cs="Arial"/>
                <w:noProof/>
                <w:webHidden/>
                <w:color w:val="000000" w:themeColor="text1"/>
                <w:sz w:val="24"/>
                <w:szCs w:val="24"/>
              </w:rPr>
              <w:instrText xml:space="preserve"> PAGEREF _Toc132895839 \h </w:instrText>
            </w:r>
            <w:r w:rsidR="003F3A9F" w:rsidRPr="00C13796">
              <w:rPr>
                <w:rFonts w:ascii="Arial" w:hAnsi="Arial" w:cs="Arial"/>
                <w:noProof/>
                <w:webHidden/>
                <w:color w:val="000000" w:themeColor="text1"/>
                <w:sz w:val="24"/>
                <w:szCs w:val="24"/>
              </w:rPr>
            </w:r>
            <w:r w:rsidR="003F3A9F" w:rsidRPr="00C13796">
              <w:rPr>
                <w:rFonts w:ascii="Arial" w:hAnsi="Arial" w:cs="Arial"/>
                <w:noProof/>
                <w:webHidden/>
                <w:color w:val="000000" w:themeColor="text1"/>
                <w:sz w:val="24"/>
                <w:szCs w:val="24"/>
              </w:rPr>
              <w:fldChar w:fldCharType="separate"/>
            </w:r>
            <w:r w:rsidR="003F3A9F" w:rsidRPr="00C13796">
              <w:rPr>
                <w:rFonts w:ascii="Arial" w:hAnsi="Arial" w:cs="Arial"/>
                <w:noProof/>
                <w:webHidden/>
                <w:color w:val="000000" w:themeColor="text1"/>
                <w:sz w:val="24"/>
                <w:szCs w:val="24"/>
              </w:rPr>
              <w:t>8</w:t>
            </w:r>
            <w:r w:rsidR="003F3A9F" w:rsidRPr="00C13796">
              <w:rPr>
                <w:rFonts w:ascii="Arial" w:hAnsi="Arial" w:cs="Arial"/>
                <w:noProof/>
                <w:webHidden/>
                <w:color w:val="000000" w:themeColor="text1"/>
                <w:sz w:val="24"/>
                <w:szCs w:val="24"/>
              </w:rPr>
              <w:fldChar w:fldCharType="end"/>
            </w:r>
          </w:hyperlink>
        </w:p>
        <w:p w14:paraId="1CF67016" w14:textId="525C4862" w:rsidR="003F3A9F" w:rsidRPr="00C13796" w:rsidRDefault="003A4359">
          <w:pPr>
            <w:pStyle w:val="TOC2"/>
            <w:rPr>
              <w:rFonts w:ascii="Arial" w:hAnsi="Arial" w:cs="Arial"/>
              <w:noProof/>
              <w:color w:val="000000" w:themeColor="text1"/>
              <w:sz w:val="24"/>
              <w:szCs w:val="24"/>
              <w:lang w:val="en-GB" w:eastAsia="en-GB"/>
            </w:rPr>
          </w:pPr>
          <w:hyperlink w:anchor="_Toc132895840" w:history="1">
            <w:r w:rsidR="003F3A9F" w:rsidRPr="00C13796">
              <w:rPr>
                <w:rStyle w:val="Hyperlink"/>
                <w:rFonts w:ascii="Arial" w:hAnsi="Arial" w:cs="Arial"/>
                <w:noProof/>
                <w:color w:val="000000" w:themeColor="text1"/>
                <w:sz w:val="24"/>
                <w:szCs w:val="24"/>
              </w:rPr>
              <w:t>6.9</w:t>
            </w:r>
            <w:r w:rsidR="003F3A9F" w:rsidRPr="00C13796">
              <w:rPr>
                <w:rFonts w:ascii="Arial" w:hAnsi="Arial" w:cs="Arial"/>
                <w:noProof/>
                <w:color w:val="000000" w:themeColor="text1"/>
                <w:sz w:val="24"/>
                <w:szCs w:val="24"/>
                <w:lang w:val="en-GB" w:eastAsia="en-GB"/>
              </w:rPr>
              <w:tab/>
            </w:r>
            <w:r w:rsidR="003F3A9F" w:rsidRPr="00C13796">
              <w:rPr>
                <w:rStyle w:val="Hyperlink"/>
                <w:rFonts w:ascii="Arial" w:hAnsi="Arial" w:cs="Arial"/>
                <w:noProof/>
                <w:color w:val="000000" w:themeColor="text1"/>
                <w:sz w:val="24"/>
                <w:szCs w:val="24"/>
              </w:rPr>
              <w:t>ICB Quality Committee</w:t>
            </w:r>
            <w:r w:rsidR="003F3A9F" w:rsidRPr="00C13796">
              <w:rPr>
                <w:rFonts w:ascii="Arial" w:hAnsi="Arial" w:cs="Arial"/>
                <w:noProof/>
                <w:webHidden/>
                <w:color w:val="000000" w:themeColor="text1"/>
                <w:sz w:val="24"/>
                <w:szCs w:val="24"/>
              </w:rPr>
              <w:tab/>
            </w:r>
            <w:r w:rsidR="003F3A9F" w:rsidRPr="00C13796">
              <w:rPr>
                <w:rFonts w:ascii="Arial" w:hAnsi="Arial" w:cs="Arial"/>
                <w:noProof/>
                <w:webHidden/>
                <w:color w:val="000000" w:themeColor="text1"/>
                <w:sz w:val="24"/>
                <w:szCs w:val="24"/>
              </w:rPr>
              <w:fldChar w:fldCharType="begin"/>
            </w:r>
            <w:r w:rsidR="003F3A9F" w:rsidRPr="00C13796">
              <w:rPr>
                <w:rFonts w:ascii="Arial" w:hAnsi="Arial" w:cs="Arial"/>
                <w:noProof/>
                <w:webHidden/>
                <w:color w:val="000000" w:themeColor="text1"/>
                <w:sz w:val="24"/>
                <w:szCs w:val="24"/>
              </w:rPr>
              <w:instrText xml:space="preserve"> PAGEREF _Toc132895840 \h </w:instrText>
            </w:r>
            <w:r w:rsidR="003F3A9F" w:rsidRPr="00C13796">
              <w:rPr>
                <w:rFonts w:ascii="Arial" w:hAnsi="Arial" w:cs="Arial"/>
                <w:noProof/>
                <w:webHidden/>
                <w:color w:val="000000" w:themeColor="text1"/>
                <w:sz w:val="24"/>
                <w:szCs w:val="24"/>
              </w:rPr>
            </w:r>
            <w:r w:rsidR="003F3A9F" w:rsidRPr="00C13796">
              <w:rPr>
                <w:rFonts w:ascii="Arial" w:hAnsi="Arial" w:cs="Arial"/>
                <w:noProof/>
                <w:webHidden/>
                <w:color w:val="000000" w:themeColor="text1"/>
                <w:sz w:val="24"/>
                <w:szCs w:val="24"/>
              </w:rPr>
              <w:fldChar w:fldCharType="separate"/>
            </w:r>
            <w:r w:rsidR="003F3A9F" w:rsidRPr="00C13796">
              <w:rPr>
                <w:rFonts w:ascii="Arial" w:hAnsi="Arial" w:cs="Arial"/>
                <w:noProof/>
                <w:webHidden/>
                <w:color w:val="000000" w:themeColor="text1"/>
                <w:sz w:val="24"/>
                <w:szCs w:val="24"/>
              </w:rPr>
              <w:t>8</w:t>
            </w:r>
            <w:r w:rsidR="003F3A9F" w:rsidRPr="00C13796">
              <w:rPr>
                <w:rFonts w:ascii="Arial" w:hAnsi="Arial" w:cs="Arial"/>
                <w:noProof/>
                <w:webHidden/>
                <w:color w:val="000000" w:themeColor="text1"/>
                <w:sz w:val="24"/>
                <w:szCs w:val="24"/>
              </w:rPr>
              <w:fldChar w:fldCharType="end"/>
            </w:r>
          </w:hyperlink>
        </w:p>
        <w:p w14:paraId="06BE4289" w14:textId="78E7CC93" w:rsidR="003F3A9F" w:rsidRPr="00C13796" w:rsidRDefault="003A4359">
          <w:pPr>
            <w:pStyle w:val="TOC1"/>
            <w:rPr>
              <w:rFonts w:ascii="Arial" w:hAnsi="Arial" w:cs="Arial"/>
              <w:noProof/>
              <w:color w:val="000000" w:themeColor="text1"/>
              <w:sz w:val="24"/>
              <w:szCs w:val="24"/>
              <w:lang w:val="en-GB" w:eastAsia="en-GB"/>
            </w:rPr>
          </w:pPr>
          <w:hyperlink w:anchor="_Toc132895843" w:history="1">
            <w:r w:rsidR="003F3A9F" w:rsidRPr="00C13796">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7</w:t>
            </w:r>
            <w:r w:rsidR="003F3A9F" w:rsidRPr="00C13796">
              <w:rPr>
                <w:rFonts w:ascii="Arial" w:hAnsi="Arial" w:cs="Arial"/>
                <w:noProof/>
                <w:color w:val="000000" w:themeColor="text1"/>
                <w:sz w:val="24"/>
                <w:szCs w:val="24"/>
                <w:lang w:val="en-GB" w:eastAsia="en-GB"/>
              </w:rPr>
              <w:tab/>
            </w:r>
            <w:r w:rsidR="003F3A9F" w:rsidRPr="00C13796">
              <w:rPr>
                <w:rStyle w:val="Hyperlink"/>
                <w:rFonts w:ascii="Arial" w:hAnsi="Arial" w:cs="Arial"/>
                <w:noProof/>
                <w:color w:val="000000" w:themeColor="text1"/>
                <w:sz w:val="24"/>
                <w:szCs w:val="24"/>
              </w:rPr>
              <w:t>Our Patient Safety Culture</w:t>
            </w:r>
            <w:r w:rsidR="003F3A9F" w:rsidRPr="00C13796">
              <w:rPr>
                <w:rFonts w:ascii="Arial" w:hAnsi="Arial" w:cs="Arial"/>
                <w:noProof/>
                <w:webHidden/>
                <w:color w:val="000000" w:themeColor="text1"/>
                <w:sz w:val="24"/>
                <w:szCs w:val="24"/>
              </w:rPr>
              <w:tab/>
            </w:r>
            <w:r w:rsidR="003F3A9F" w:rsidRPr="00C13796">
              <w:rPr>
                <w:rFonts w:ascii="Arial" w:hAnsi="Arial" w:cs="Arial"/>
                <w:noProof/>
                <w:webHidden/>
                <w:color w:val="000000" w:themeColor="text1"/>
                <w:sz w:val="24"/>
                <w:szCs w:val="24"/>
              </w:rPr>
              <w:fldChar w:fldCharType="begin"/>
            </w:r>
            <w:r w:rsidR="003F3A9F" w:rsidRPr="00C13796">
              <w:rPr>
                <w:rFonts w:ascii="Arial" w:hAnsi="Arial" w:cs="Arial"/>
                <w:noProof/>
                <w:webHidden/>
                <w:color w:val="000000" w:themeColor="text1"/>
                <w:sz w:val="24"/>
                <w:szCs w:val="24"/>
              </w:rPr>
              <w:instrText xml:space="preserve"> PAGEREF _Toc132895843 \h </w:instrText>
            </w:r>
            <w:r w:rsidR="003F3A9F" w:rsidRPr="00C13796">
              <w:rPr>
                <w:rFonts w:ascii="Arial" w:hAnsi="Arial" w:cs="Arial"/>
                <w:noProof/>
                <w:webHidden/>
                <w:color w:val="000000" w:themeColor="text1"/>
                <w:sz w:val="24"/>
                <w:szCs w:val="24"/>
              </w:rPr>
            </w:r>
            <w:r w:rsidR="003F3A9F" w:rsidRPr="00C13796">
              <w:rPr>
                <w:rFonts w:ascii="Arial" w:hAnsi="Arial" w:cs="Arial"/>
                <w:noProof/>
                <w:webHidden/>
                <w:color w:val="000000" w:themeColor="text1"/>
                <w:sz w:val="24"/>
                <w:szCs w:val="24"/>
              </w:rPr>
              <w:fldChar w:fldCharType="separate"/>
            </w:r>
            <w:r w:rsidR="003F3A9F" w:rsidRPr="00C13796">
              <w:rPr>
                <w:rFonts w:ascii="Arial" w:hAnsi="Arial" w:cs="Arial"/>
                <w:noProof/>
                <w:webHidden/>
                <w:color w:val="000000" w:themeColor="text1"/>
                <w:sz w:val="24"/>
                <w:szCs w:val="24"/>
              </w:rPr>
              <w:t>8</w:t>
            </w:r>
            <w:r w:rsidR="003F3A9F" w:rsidRPr="00C13796">
              <w:rPr>
                <w:rFonts w:ascii="Arial" w:hAnsi="Arial" w:cs="Arial"/>
                <w:noProof/>
                <w:webHidden/>
                <w:color w:val="000000" w:themeColor="text1"/>
                <w:sz w:val="24"/>
                <w:szCs w:val="24"/>
              </w:rPr>
              <w:fldChar w:fldCharType="end"/>
            </w:r>
          </w:hyperlink>
        </w:p>
        <w:p w14:paraId="4C0B2822" w14:textId="2156D6CF" w:rsidR="003F3A9F" w:rsidRPr="00C13796" w:rsidRDefault="003A4359">
          <w:pPr>
            <w:pStyle w:val="TOC1"/>
            <w:rPr>
              <w:rFonts w:ascii="Arial" w:hAnsi="Arial" w:cs="Arial"/>
              <w:noProof/>
              <w:color w:val="000000" w:themeColor="text1"/>
              <w:sz w:val="24"/>
              <w:szCs w:val="24"/>
              <w:lang w:val="en-GB" w:eastAsia="en-GB"/>
            </w:rPr>
          </w:pPr>
          <w:hyperlink w:anchor="_Toc132895844" w:history="1">
            <w:r w:rsidR="003F3A9F" w:rsidRPr="00C13796">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8</w:t>
            </w:r>
            <w:r w:rsidR="003F3A9F" w:rsidRPr="00C13796">
              <w:rPr>
                <w:rFonts w:ascii="Arial" w:hAnsi="Arial" w:cs="Arial"/>
                <w:noProof/>
                <w:color w:val="000000" w:themeColor="text1"/>
                <w:sz w:val="24"/>
                <w:szCs w:val="24"/>
                <w:lang w:val="en-GB" w:eastAsia="en-GB"/>
              </w:rPr>
              <w:tab/>
            </w:r>
            <w:r w:rsidR="003F3A9F" w:rsidRPr="00C13796">
              <w:rPr>
                <w:rStyle w:val="Hyperlink"/>
                <w:rFonts w:ascii="Arial" w:hAnsi="Arial" w:cs="Arial"/>
                <w:noProof/>
                <w:color w:val="000000" w:themeColor="text1"/>
                <w:sz w:val="24"/>
                <w:szCs w:val="24"/>
              </w:rPr>
              <w:t>Collaboration</w:t>
            </w:r>
            <w:r w:rsidR="003F3A9F" w:rsidRPr="00C13796">
              <w:rPr>
                <w:rFonts w:ascii="Arial" w:hAnsi="Arial" w:cs="Arial"/>
                <w:noProof/>
                <w:webHidden/>
                <w:color w:val="000000" w:themeColor="text1"/>
                <w:sz w:val="24"/>
                <w:szCs w:val="24"/>
              </w:rPr>
              <w:tab/>
            </w:r>
            <w:r w:rsidR="003F3A9F" w:rsidRPr="00C13796">
              <w:rPr>
                <w:rFonts w:ascii="Arial" w:hAnsi="Arial" w:cs="Arial"/>
                <w:noProof/>
                <w:webHidden/>
                <w:color w:val="000000" w:themeColor="text1"/>
                <w:sz w:val="24"/>
                <w:szCs w:val="24"/>
              </w:rPr>
              <w:fldChar w:fldCharType="begin"/>
            </w:r>
            <w:r w:rsidR="003F3A9F" w:rsidRPr="00C13796">
              <w:rPr>
                <w:rFonts w:ascii="Arial" w:hAnsi="Arial" w:cs="Arial"/>
                <w:noProof/>
                <w:webHidden/>
                <w:color w:val="000000" w:themeColor="text1"/>
                <w:sz w:val="24"/>
                <w:szCs w:val="24"/>
              </w:rPr>
              <w:instrText xml:space="preserve"> PAGEREF _Toc132895844 \h </w:instrText>
            </w:r>
            <w:r w:rsidR="003F3A9F" w:rsidRPr="00C13796">
              <w:rPr>
                <w:rFonts w:ascii="Arial" w:hAnsi="Arial" w:cs="Arial"/>
                <w:noProof/>
                <w:webHidden/>
                <w:color w:val="000000" w:themeColor="text1"/>
                <w:sz w:val="24"/>
                <w:szCs w:val="24"/>
              </w:rPr>
            </w:r>
            <w:r w:rsidR="003F3A9F" w:rsidRPr="00C13796">
              <w:rPr>
                <w:rFonts w:ascii="Arial" w:hAnsi="Arial" w:cs="Arial"/>
                <w:noProof/>
                <w:webHidden/>
                <w:color w:val="000000" w:themeColor="text1"/>
                <w:sz w:val="24"/>
                <w:szCs w:val="24"/>
              </w:rPr>
              <w:fldChar w:fldCharType="separate"/>
            </w:r>
            <w:r w:rsidR="003F3A9F" w:rsidRPr="00C13796">
              <w:rPr>
                <w:rFonts w:ascii="Arial" w:hAnsi="Arial" w:cs="Arial"/>
                <w:noProof/>
                <w:webHidden/>
                <w:color w:val="000000" w:themeColor="text1"/>
                <w:sz w:val="24"/>
                <w:szCs w:val="24"/>
              </w:rPr>
              <w:t>8</w:t>
            </w:r>
            <w:r w:rsidR="003F3A9F" w:rsidRPr="00C13796">
              <w:rPr>
                <w:rFonts w:ascii="Arial" w:hAnsi="Arial" w:cs="Arial"/>
                <w:noProof/>
                <w:webHidden/>
                <w:color w:val="000000" w:themeColor="text1"/>
                <w:sz w:val="24"/>
                <w:szCs w:val="24"/>
              </w:rPr>
              <w:fldChar w:fldCharType="end"/>
            </w:r>
          </w:hyperlink>
        </w:p>
        <w:p w14:paraId="630F7A30" w14:textId="152F088A" w:rsidR="003F3A9F" w:rsidRPr="00C13796" w:rsidRDefault="003A4359">
          <w:pPr>
            <w:pStyle w:val="TOC1"/>
            <w:rPr>
              <w:rFonts w:ascii="Arial" w:hAnsi="Arial" w:cs="Arial"/>
              <w:noProof/>
              <w:color w:val="000000" w:themeColor="text1"/>
              <w:sz w:val="24"/>
              <w:szCs w:val="24"/>
              <w:lang w:val="en-GB" w:eastAsia="en-GB"/>
            </w:rPr>
          </w:pPr>
          <w:hyperlink w:anchor="_Toc132895845" w:history="1">
            <w:r w:rsidR="003F3A9F" w:rsidRPr="00C13796">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9</w:t>
            </w:r>
            <w:r w:rsidR="003F3A9F" w:rsidRPr="00C13796">
              <w:rPr>
                <w:rFonts w:ascii="Arial" w:hAnsi="Arial" w:cs="Arial"/>
                <w:noProof/>
                <w:color w:val="000000" w:themeColor="text1"/>
                <w:sz w:val="24"/>
                <w:szCs w:val="24"/>
                <w:lang w:val="en-GB" w:eastAsia="en-GB"/>
              </w:rPr>
              <w:tab/>
            </w:r>
            <w:r w:rsidR="003F3A9F" w:rsidRPr="00C13796">
              <w:rPr>
                <w:rStyle w:val="Hyperlink"/>
                <w:rFonts w:ascii="Arial" w:hAnsi="Arial" w:cs="Arial"/>
                <w:noProof/>
                <w:color w:val="000000" w:themeColor="text1"/>
                <w:sz w:val="24"/>
                <w:szCs w:val="24"/>
              </w:rPr>
              <w:t>Oversight Roles and Responsibilities</w:t>
            </w:r>
            <w:r w:rsidR="003F3A9F" w:rsidRPr="00C13796">
              <w:rPr>
                <w:rFonts w:ascii="Arial" w:hAnsi="Arial" w:cs="Arial"/>
                <w:noProof/>
                <w:webHidden/>
                <w:color w:val="000000" w:themeColor="text1"/>
                <w:sz w:val="24"/>
                <w:szCs w:val="24"/>
              </w:rPr>
              <w:tab/>
            </w:r>
            <w:r w:rsidR="003F3A9F" w:rsidRPr="00C13796">
              <w:rPr>
                <w:rFonts w:ascii="Arial" w:hAnsi="Arial" w:cs="Arial"/>
                <w:noProof/>
                <w:webHidden/>
                <w:color w:val="000000" w:themeColor="text1"/>
                <w:sz w:val="24"/>
                <w:szCs w:val="24"/>
              </w:rPr>
              <w:fldChar w:fldCharType="begin"/>
            </w:r>
            <w:r w:rsidR="003F3A9F" w:rsidRPr="00C13796">
              <w:rPr>
                <w:rFonts w:ascii="Arial" w:hAnsi="Arial" w:cs="Arial"/>
                <w:noProof/>
                <w:webHidden/>
                <w:color w:val="000000" w:themeColor="text1"/>
                <w:sz w:val="24"/>
                <w:szCs w:val="24"/>
              </w:rPr>
              <w:instrText xml:space="preserve"> PAGEREF _Toc132895845 \h </w:instrText>
            </w:r>
            <w:r w:rsidR="003F3A9F" w:rsidRPr="00C13796">
              <w:rPr>
                <w:rFonts w:ascii="Arial" w:hAnsi="Arial" w:cs="Arial"/>
                <w:noProof/>
                <w:webHidden/>
                <w:color w:val="000000" w:themeColor="text1"/>
                <w:sz w:val="24"/>
                <w:szCs w:val="24"/>
              </w:rPr>
            </w:r>
            <w:r w:rsidR="003F3A9F" w:rsidRPr="00C13796">
              <w:rPr>
                <w:rFonts w:ascii="Arial" w:hAnsi="Arial" w:cs="Arial"/>
                <w:noProof/>
                <w:webHidden/>
                <w:color w:val="000000" w:themeColor="text1"/>
                <w:sz w:val="24"/>
                <w:szCs w:val="24"/>
              </w:rPr>
              <w:fldChar w:fldCharType="separate"/>
            </w:r>
            <w:r w:rsidR="003F3A9F" w:rsidRPr="00C13796">
              <w:rPr>
                <w:rFonts w:ascii="Arial" w:hAnsi="Arial" w:cs="Arial"/>
                <w:noProof/>
                <w:webHidden/>
                <w:color w:val="000000" w:themeColor="text1"/>
                <w:sz w:val="24"/>
                <w:szCs w:val="24"/>
              </w:rPr>
              <w:t>8</w:t>
            </w:r>
            <w:r w:rsidR="003F3A9F" w:rsidRPr="00C13796">
              <w:rPr>
                <w:rFonts w:ascii="Arial" w:hAnsi="Arial" w:cs="Arial"/>
                <w:noProof/>
                <w:webHidden/>
                <w:color w:val="000000" w:themeColor="text1"/>
                <w:sz w:val="24"/>
                <w:szCs w:val="24"/>
              </w:rPr>
              <w:fldChar w:fldCharType="end"/>
            </w:r>
          </w:hyperlink>
        </w:p>
        <w:p w14:paraId="63CF7B79" w14:textId="599E9945" w:rsidR="003F3A9F" w:rsidRPr="00C13796" w:rsidRDefault="003A4359">
          <w:pPr>
            <w:pStyle w:val="TOC1"/>
            <w:rPr>
              <w:rFonts w:ascii="Arial" w:hAnsi="Arial" w:cs="Arial"/>
              <w:noProof/>
              <w:color w:val="000000" w:themeColor="text1"/>
              <w:sz w:val="24"/>
              <w:szCs w:val="24"/>
              <w:lang w:val="en-GB" w:eastAsia="en-GB"/>
            </w:rPr>
          </w:pPr>
          <w:hyperlink w:anchor="_Toc132895846" w:history="1">
            <w:r w:rsidR="003F3A9F" w:rsidRPr="00C13796">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10</w:t>
            </w:r>
            <w:r w:rsidR="003F3A9F" w:rsidRPr="00C13796">
              <w:rPr>
                <w:rFonts w:ascii="Arial" w:hAnsi="Arial" w:cs="Arial"/>
                <w:noProof/>
                <w:color w:val="000000" w:themeColor="text1"/>
                <w:sz w:val="24"/>
                <w:szCs w:val="24"/>
                <w:lang w:val="en-GB" w:eastAsia="en-GB"/>
              </w:rPr>
              <w:tab/>
            </w:r>
            <w:r w:rsidR="003F3A9F" w:rsidRPr="00C13796">
              <w:rPr>
                <w:rStyle w:val="Hyperlink"/>
                <w:rFonts w:ascii="Arial" w:hAnsi="Arial" w:cs="Arial"/>
                <w:noProof/>
                <w:color w:val="000000" w:themeColor="text1"/>
                <w:sz w:val="24"/>
                <w:szCs w:val="24"/>
              </w:rPr>
              <w:t>Responding to/Learning from cross-system incidents/issues</w:t>
            </w:r>
            <w:r w:rsidR="003F3A9F" w:rsidRPr="00C13796">
              <w:rPr>
                <w:rFonts w:ascii="Arial" w:hAnsi="Arial" w:cs="Arial"/>
                <w:noProof/>
                <w:webHidden/>
                <w:color w:val="000000" w:themeColor="text1"/>
                <w:sz w:val="24"/>
                <w:szCs w:val="24"/>
              </w:rPr>
              <w:tab/>
            </w:r>
            <w:r w:rsidR="003F3A9F" w:rsidRPr="00C13796">
              <w:rPr>
                <w:rFonts w:ascii="Arial" w:hAnsi="Arial" w:cs="Arial"/>
                <w:noProof/>
                <w:webHidden/>
                <w:color w:val="000000" w:themeColor="text1"/>
                <w:sz w:val="24"/>
                <w:szCs w:val="24"/>
              </w:rPr>
              <w:fldChar w:fldCharType="begin"/>
            </w:r>
            <w:r w:rsidR="003F3A9F" w:rsidRPr="00C13796">
              <w:rPr>
                <w:rFonts w:ascii="Arial" w:hAnsi="Arial" w:cs="Arial"/>
                <w:noProof/>
                <w:webHidden/>
                <w:color w:val="000000" w:themeColor="text1"/>
                <w:sz w:val="24"/>
                <w:szCs w:val="24"/>
              </w:rPr>
              <w:instrText xml:space="preserve"> PAGEREF _Toc132895846 \h </w:instrText>
            </w:r>
            <w:r w:rsidR="003F3A9F" w:rsidRPr="00C13796">
              <w:rPr>
                <w:rFonts w:ascii="Arial" w:hAnsi="Arial" w:cs="Arial"/>
                <w:noProof/>
                <w:webHidden/>
                <w:color w:val="000000" w:themeColor="text1"/>
                <w:sz w:val="24"/>
                <w:szCs w:val="24"/>
              </w:rPr>
            </w:r>
            <w:r w:rsidR="003F3A9F" w:rsidRPr="00C13796">
              <w:rPr>
                <w:rFonts w:ascii="Arial" w:hAnsi="Arial" w:cs="Arial"/>
                <w:noProof/>
                <w:webHidden/>
                <w:color w:val="000000" w:themeColor="text1"/>
                <w:sz w:val="24"/>
                <w:szCs w:val="24"/>
              </w:rPr>
              <w:fldChar w:fldCharType="separate"/>
            </w:r>
            <w:r w:rsidR="003F3A9F" w:rsidRPr="00C13796">
              <w:rPr>
                <w:rFonts w:ascii="Arial" w:hAnsi="Arial" w:cs="Arial"/>
                <w:noProof/>
                <w:webHidden/>
                <w:color w:val="000000" w:themeColor="text1"/>
                <w:sz w:val="24"/>
                <w:szCs w:val="24"/>
              </w:rPr>
              <w:t>9</w:t>
            </w:r>
            <w:r w:rsidR="003F3A9F" w:rsidRPr="00C13796">
              <w:rPr>
                <w:rFonts w:ascii="Arial" w:hAnsi="Arial" w:cs="Arial"/>
                <w:noProof/>
                <w:webHidden/>
                <w:color w:val="000000" w:themeColor="text1"/>
                <w:sz w:val="24"/>
                <w:szCs w:val="24"/>
              </w:rPr>
              <w:fldChar w:fldCharType="end"/>
            </w:r>
          </w:hyperlink>
        </w:p>
        <w:p w14:paraId="29C0AA59" w14:textId="6A31BB83" w:rsidR="003F3A9F" w:rsidRPr="00C13796" w:rsidRDefault="003A4359">
          <w:pPr>
            <w:pStyle w:val="TOC1"/>
            <w:rPr>
              <w:rFonts w:ascii="Arial" w:hAnsi="Arial" w:cs="Arial"/>
              <w:noProof/>
              <w:color w:val="000000" w:themeColor="text1"/>
              <w:sz w:val="24"/>
              <w:szCs w:val="24"/>
              <w:lang w:val="en-GB" w:eastAsia="en-GB"/>
            </w:rPr>
          </w:pPr>
          <w:hyperlink w:anchor="_Toc132895847" w:history="1">
            <w:r w:rsidR="003F3A9F" w:rsidRPr="00C13796">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11</w:t>
            </w:r>
            <w:r w:rsidR="003F3A9F" w:rsidRPr="00C13796">
              <w:rPr>
                <w:rFonts w:ascii="Arial" w:hAnsi="Arial" w:cs="Arial"/>
                <w:noProof/>
                <w:color w:val="000000" w:themeColor="text1"/>
                <w:sz w:val="24"/>
                <w:szCs w:val="24"/>
                <w:lang w:val="en-GB" w:eastAsia="en-GB"/>
              </w:rPr>
              <w:tab/>
            </w:r>
            <w:r w:rsidR="003F3A9F" w:rsidRPr="00C13796">
              <w:rPr>
                <w:rStyle w:val="Hyperlink"/>
                <w:rFonts w:ascii="Arial" w:hAnsi="Arial" w:cs="Arial"/>
                <w:noProof/>
                <w:color w:val="000000" w:themeColor="text1"/>
                <w:sz w:val="24"/>
                <w:szCs w:val="24"/>
              </w:rPr>
              <w:t>Patient Safety Plan</w:t>
            </w:r>
            <w:r w:rsidR="003F3A9F" w:rsidRPr="00C13796">
              <w:rPr>
                <w:rFonts w:ascii="Arial" w:hAnsi="Arial" w:cs="Arial"/>
                <w:noProof/>
                <w:webHidden/>
                <w:color w:val="000000" w:themeColor="text1"/>
                <w:sz w:val="24"/>
                <w:szCs w:val="24"/>
              </w:rPr>
              <w:tab/>
            </w:r>
            <w:r w:rsidR="003F3A9F" w:rsidRPr="00C13796">
              <w:rPr>
                <w:rFonts w:ascii="Arial" w:hAnsi="Arial" w:cs="Arial"/>
                <w:noProof/>
                <w:webHidden/>
                <w:color w:val="000000" w:themeColor="text1"/>
                <w:sz w:val="24"/>
                <w:szCs w:val="24"/>
              </w:rPr>
              <w:fldChar w:fldCharType="begin"/>
            </w:r>
            <w:r w:rsidR="003F3A9F" w:rsidRPr="00C13796">
              <w:rPr>
                <w:rFonts w:ascii="Arial" w:hAnsi="Arial" w:cs="Arial"/>
                <w:noProof/>
                <w:webHidden/>
                <w:color w:val="000000" w:themeColor="text1"/>
                <w:sz w:val="24"/>
                <w:szCs w:val="24"/>
              </w:rPr>
              <w:instrText xml:space="preserve"> PAGEREF _Toc132895847 \h </w:instrText>
            </w:r>
            <w:r w:rsidR="003F3A9F" w:rsidRPr="00C13796">
              <w:rPr>
                <w:rFonts w:ascii="Arial" w:hAnsi="Arial" w:cs="Arial"/>
                <w:noProof/>
                <w:webHidden/>
                <w:color w:val="000000" w:themeColor="text1"/>
                <w:sz w:val="24"/>
                <w:szCs w:val="24"/>
              </w:rPr>
            </w:r>
            <w:r w:rsidR="003F3A9F" w:rsidRPr="00C13796">
              <w:rPr>
                <w:rFonts w:ascii="Arial" w:hAnsi="Arial" w:cs="Arial"/>
                <w:noProof/>
                <w:webHidden/>
                <w:color w:val="000000" w:themeColor="text1"/>
                <w:sz w:val="24"/>
                <w:szCs w:val="24"/>
              </w:rPr>
              <w:fldChar w:fldCharType="separate"/>
            </w:r>
            <w:r w:rsidR="003F3A9F" w:rsidRPr="00C13796">
              <w:rPr>
                <w:rFonts w:ascii="Arial" w:hAnsi="Arial" w:cs="Arial"/>
                <w:noProof/>
                <w:webHidden/>
                <w:color w:val="000000" w:themeColor="text1"/>
                <w:sz w:val="24"/>
                <w:szCs w:val="24"/>
              </w:rPr>
              <w:t>10</w:t>
            </w:r>
            <w:r w:rsidR="003F3A9F" w:rsidRPr="00C13796">
              <w:rPr>
                <w:rFonts w:ascii="Arial" w:hAnsi="Arial" w:cs="Arial"/>
                <w:noProof/>
                <w:webHidden/>
                <w:color w:val="000000" w:themeColor="text1"/>
                <w:sz w:val="24"/>
                <w:szCs w:val="24"/>
              </w:rPr>
              <w:fldChar w:fldCharType="end"/>
            </w:r>
          </w:hyperlink>
        </w:p>
        <w:p w14:paraId="5F53E68E" w14:textId="3A6B8FA2" w:rsidR="003F3A9F" w:rsidRPr="00C13796" w:rsidRDefault="003A4359">
          <w:pPr>
            <w:pStyle w:val="TOC1"/>
            <w:rPr>
              <w:rFonts w:ascii="Arial" w:hAnsi="Arial" w:cs="Arial"/>
              <w:noProof/>
              <w:color w:val="000000" w:themeColor="text1"/>
              <w:sz w:val="24"/>
              <w:szCs w:val="24"/>
              <w:lang w:val="en-GB" w:eastAsia="en-GB"/>
            </w:rPr>
          </w:pPr>
          <w:hyperlink w:anchor="_Toc132895848" w:history="1">
            <w:r w:rsidR="003F3A9F" w:rsidRPr="00C13796">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12</w:t>
            </w:r>
            <w:r w:rsidR="003F3A9F" w:rsidRPr="00C13796">
              <w:rPr>
                <w:rFonts w:ascii="Arial" w:hAnsi="Arial" w:cs="Arial"/>
                <w:noProof/>
                <w:color w:val="000000" w:themeColor="text1"/>
                <w:sz w:val="24"/>
                <w:szCs w:val="24"/>
                <w:lang w:val="en-GB" w:eastAsia="en-GB"/>
              </w:rPr>
              <w:tab/>
            </w:r>
            <w:r w:rsidR="003F3A9F" w:rsidRPr="00C13796">
              <w:rPr>
                <w:rStyle w:val="Hyperlink"/>
                <w:rFonts w:ascii="Arial" w:hAnsi="Arial" w:cs="Arial"/>
                <w:noProof/>
                <w:color w:val="000000" w:themeColor="text1"/>
                <w:sz w:val="24"/>
                <w:szCs w:val="24"/>
              </w:rPr>
              <w:t>Consultation</w:t>
            </w:r>
            <w:r w:rsidR="003F3A9F" w:rsidRPr="00C13796">
              <w:rPr>
                <w:rFonts w:ascii="Arial" w:hAnsi="Arial" w:cs="Arial"/>
                <w:noProof/>
                <w:webHidden/>
                <w:color w:val="000000" w:themeColor="text1"/>
                <w:sz w:val="24"/>
                <w:szCs w:val="24"/>
              </w:rPr>
              <w:tab/>
            </w:r>
            <w:r w:rsidR="003F3A9F" w:rsidRPr="00C13796">
              <w:rPr>
                <w:rFonts w:ascii="Arial" w:hAnsi="Arial" w:cs="Arial"/>
                <w:noProof/>
                <w:webHidden/>
                <w:color w:val="000000" w:themeColor="text1"/>
                <w:sz w:val="24"/>
                <w:szCs w:val="24"/>
              </w:rPr>
              <w:fldChar w:fldCharType="begin"/>
            </w:r>
            <w:r w:rsidR="003F3A9F" w:rsidRPr="00C13796">
              <w:rPr>
                <w:rFonts w:ascii="Arial" w:hAnsi="Arial" w:cs="Arial"/>
                <w:noProof/>
                <w:webHidden/>
                <w:color w:val="000000" w:themeColor="text1"/>
                <w:sz w:val="24"/>
                <w:szCs w:val="24"/>
              </w:rPr>
              <w:instrText xml:space="preserve"> PAGEREF _Toc132895848 \h </w:instrText>
            </w:r>
            <w:r w:rsidR="003F3A9F" w:rsidRPr="00C13796">
              <w:rPr>
                <w:rFonts w:ascii="Arial" w:hAnsi="Arial" w:cs="Arial"/>
                <w:noProof/>
                <w:webHidden/>
                <w:color w:val="000000" w:themeColor="text1"/>
                <w:sz w:val="24"/>
                <w:szCs w:val="24"/>
              </w:rPr>
            </w:r>
            <w:r w:rsidR="003F3A9F" w:rsidRPr="00C13796">
              <w:rPr>
                <w:rFonts w:ascii="Arial" w:hAnsi="Arial" w:cs="Arial"/>
                <w:noProof/>
                <w:webHidden/>
                <w:color w:val="000000" w:themeColor="text1"/>
                <w:sz w:val="24"/>
                <w:szCs w:val="24"/>
              </w:rPr>
              <w:fldChar w:fldCharType="separate"/>
            </w:r>
            <w:r w:rsidR="003F3A9F" w:rsidRPr="00C13796">
              <w:rPr>
                <w:rFonts w:ascii="Arial" w:hAnsi="Arial" w:cs="Arial"/>
                <w:noProof/>
                <w:webHidden/>
                <w:color w:val="000000" w:themeColor="text1"/>
                <w:sz w:val="24"/>
                <w:szCs w:val="24"/>
              </w:rPr>
              <w:t>10</w:t>
            </w:r>
            <w:r w:rsidR="003F3A9F" w:rsidRPr="00C13796">
              <w:rPr>
                <w:rFonts w:ascii="Arial" w:hAnsi="Arial" w:cs="Arial"/>
                <w:noProof/>
                <w:webHidden/>
                <w:color w:val="000000" w:themeColor="text1"/>
                <w:sz w:val="24"/>
                <w:szCs w:val="24"/>
              </w:rPr>
              <w:fldChar w:fldCharType="end"/>
            </w:r>
          </w:hyperlink>
        </w:p>
        <w:p w14:paraId="30C0C7B4" w14:textId="122DA0AF" w:rsidR="003F3A9F" w:rsidRPr="00C13796" w:rsidRDefault="003A4359">
          <w:pPr>
            <w:pStyle w:val="TOC1"/>
            <w:rPr>
              <w:rFonts w:ascii="Arial" w:hAnsi="Arial" w:cs="Arial"/>
              <w:noProof/>
              <w:color w:val="000000" w:themeColor="text1"/>
              <w:sz w:val="24"/>
              <w:szCs w:val="24"/>
              <w:lang w:val="en-GB" w:eastAsia="en-GB"/>
            </w:rPr>
          </w:pPr>
          <w:hyperlink w:anchor="_Toc132895849" w:history="1">
            <w:r w:rsidR="003F3A9F" w:rsidRPr="00C13796">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13</w:t>
            </w:r>
            <w:r w:rsidR="003F3A9F" w:rsidRPr="00C13796">
              <w:rPr>
                <w:rFonts w:ascii="Arial" w:hAnsi="Arial" w:cs="Arial"/>
                <w:noProof/>
                <w:color w:val="000000" w:themeColor="text1"/>
                <w:sz w:val="24"/>
                <w:szCs w:val="24"/>
                <w:lang w:val="en-GB" w:eastAsia="en-GB"/>
              </w:rPr>
              <w:tab/>
            </w:r>
            <w:r w:rsidR="003F3A9F" w:rsidRPr="00C13796">
              <w:rPr>
                <w:rStyle w:val="Hyperlink"/>
                <w:rFonts w:ascii="Arial" w:hAnsi="Arial" w:cs="Arial"/>
                <w:noProof/>
                <w:color w:val="000000" w:themeColor="text1"/>
                <w:sz w:val="24"/>
                <w:szCs w:val="24"/>
              </w:rPr>
              <w:t>Training</w:t>
            </w:r>
            <w:r w:rsidR="003F3A9F" w:rsidRPr="00C13796">
              <w:rPr>
                <w:rFonts w:ascii="Arial" w:hAnsi="Arial" w:cs="Arial"/>
                <w:noProof/>
                <w:webHidden/>
                <w:color w:val="000000" w:themeColor="text1"/>
                <w:sz w:val="24"/>
                <w:szCs w:val="24"/>
              </w:rPr>
              <w:tab/>
            </w:r>
            <w:r w:rsidR="003F3A9F" w:rsidRPr="00C13796">
              <w:rPr>
                <w:rFonts w:ascii="Arial" w:hAnsi="Arial" w:cs="Arial"/>
                <w:noProof/>
                <w:webHidden/>
                <w:color w:val="000000" w:themeColor="text1"/>
                <w:sz w:val="24"/>
                <w:szCs w:val="24"/>
              </w:rPr>
              <w:fldChar w:fldCharType="begin"/>
            </w:r>
            <w:r w:rsidR="003F3A9F" w:rsidRPr="00C13796">
              <w:rPr>
                <w:rFonts w:ascii="Arial" w:hAnsi="Arial" w:cs="Arial"/>
                <w:noProof/>
                <w:webHidden/>
                <w:color w:val="000000" w:themeColor="text1"/>
                <w:sz w:val="24"/>
                <w:szCs w:val="24"/>
              </w:rPr>
              <w:instrText xml:space="preserve"> PAGEREF _Toc132895849 \h </w:instrText>
            </w:r>
            <w:r w:rsidR="003F3A9F" w:rsidRPr="00C13796">
              <w:rPr>
                <w:rFonts w:ascii="Arial" w:hAnsi="Arial" w:cs="Arial"/>
                <w:noProof/>
                <w:webHidden/>
                <w:color w:val="000000" w:themeColor="text1"/>
                <w:sz w:val="24"/>
                <w:szCs w:val="24"/>
              </w:rPr>
            </w:r>
            <w:r w:rsidR="003F3A9F" w:rsidRPr="00C13796">
              <w:rPr>
                <w:rFonts w:ascii="Arial" w:hAnsi="Arial" w:cs="Arial"/>
                <w:noProof/>
                <w:webHidden/>
                <w:color w:val="000000" w:themeColor="text1"/>
                <w:sz w:val="24"/>
                <w:szCs w:val="24"/>
              </w:rPr>
              <w:fldChar w:fldCharType="separate"/>
            </w:r>
            <w:r w:rsidR="003F3A9F" w:rsidRPr="00C13796">
              <w:rPr>
                <w:rFonts w:ascii="Arial" w:hAnsi="Arial" w:cs="Arial"/>
                <w:noProof/>
                <w:webHidden/>
                <w:color w:val="000000" w:themeColor="text1"/>
                <w:sz w:val="24"/>
                <w:szCs w:val="24"/>
              </w:rPr>
              <w:t>10</w:t>
            </w:r>
            <w:r w:rsidR="003F3A9F" w:rsidRPr="00C13796">
              <w:rPr>
                <w:rFonts w:ascii="Arial" w:hAnsi="Arial" w:cs="Arial"/>
                <w:noProof/>
                <w:webHidden/>
                <w:color w:val="000000" w:themeColor="text1"/>
                <w:sz w:val="24"/>
                <w:szCs w:val="24"/>
              </w:rPr>
              <w:fldChar w:fldCharType="end"/>
            </w:r>
          </w:hyperlink>
        </w:p>
        <w:p w14:paraId="6EBA105E" w14:textId="1300081D" w:rsidR="003F3A9F" w:rsidRPr="00C13796" w:rsidRDefault="003A4359">
          <w:pPr>
            <w:pStyle w:val="TOC1"/>
            <w:rPr>
              <w:rFonts w:ascii="Arial" w:hAnsi="Arial" w:cs="Arial"/>
              <w:noProof/>
              <w:color w:val="000000" w:themeColor="text1"/>
              <w:sz w:val="24"/>
              <w:szCs w:val="24"/>
              <w:lang w:val="en-GB" w:eastAsia="en-GB"/>
            </w:rPr>
          </w:pPr>
          <w:hyperlink w:anchor="_Toc132895850" w:history="1">
            <w:r w:rsidR="003F3A9F" w:rsidRPr="00C13796">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14</w:t>
            </w:r>
            <w:r w:rsidR="003F3A9F" w:rsidRPr="00C13796">
              <w:rPr>
                <w:rFonts w:ascii="Arial" w:hAnsi="Arial" w:cs="Arial"/>
                <w:noProof/>
                <w:color w:val="000000" w:themeColor="text1"/>
                <w:sz w:val="24"/>
                <w:szCs w:val="24"/>
                <w:lang w:val="en-GB" w:eastAsia="en-GB"/>
              </w:rPr>
              <w:tab/>
            </w:r>
            <w:r w:rsidR="003F3A9F" w:rsidRPr="00C13796">
              <w:rPr>
                <w:rStyle w:val="Hyperlink"/>
                <w:rFonts w:ascii="Arial" w:hAnsi="Arial" w:cs="Arial"/>
                <w:noProof/>
                <w:color w:val="000000" w:themeColor="text1"/>
                <w:sz w:val="24"/>
                <w:szCs w:val="24"/>
              </w:rPr>
              <w:t>Monitoring Compliance</w:t>
            </w:r>
            <w:r w:rsidR="003F3A9F" w:rsidRPr="00C13796">
              <w:rPr>
                <w:rFonts w:ascii="Arial" w:hAnsi="Arial" w:cs="Arial"/>
                <w:noProof/>
                <w:webHidden/>
                <w:color w:val="000000" w:themeColor="text1"/>
                <w:sz w:val="24"/>
                <w:szCs w:val="24"/>
              </w:rPr>
              <w:tab/>
            </w:r>
            <w:r w:rsidR="003F3A9F" w:rsidRPr="00C13796">
              <w:rPr>
                <w:rFonts w:ascii="Arial" w:hAnsi="Arial" w:cs="Arial"/>
                <w:noProof/>
                <w:webHidden/>
                <w:color w:val="000000" w:themeColor="text1"/>
                <w:sz w:val="24"/>
                <w:szCs w:val="24"/>
              </w:rPr>
              <w:fldChar w:fldCharType="begin"/>
            </w:r>
            <w:r w:rsidR="003F3A9F" w:rsidRPr="00C13796">
              <w:rPr>
                <w:rFonts w:ascii="Arial" w:hAnsi="Arial" w:cs="Arial"/>
                <w:noProof/>
                <w:webHidden/>
                <w:color w:val="000000" w:themeColor="text1"/>
                <w:sz w:val="24"/>
                <w:szCs w:val="24"/>
              </w:rPr>
              <w:instrText xml:space="preserve"> PAGEREF _Toc132895850 \h </w:instrText>
            </w:r>
            <w:r w:rsidR="003F3A9F" w:rsidRPr="00C13796">
              <w:rPr>
                <w:rFonts w:ascii="Arial" w:hAnsi="Arial" w:cs="Arial"/>
                <w:noProof/>
                <w:webHidden/>
                <w:color w:val="000000" w:themeColor="text1"/>
                <w:sz w:val="24"/>
                <w:szCs w:val="24"/>
              </w:rPr>
            </w:r>
            <w:r w:rsidR="003F3A9F" w:rsidRPr="00C13796">
              <w:rPr>
                <w:rFonts w:ascii="Arial" w:hAnsi="Arial" w:cs="Arial"/>
                <w:noProof/>
                <w:webHidden/>
                <w:color w:val="000000" w:themeColor="text1"/>
                <w:sz w:val="24"/>
                <w:szCs w:val="24"/>
              </w:rPr>
              <w:fldChar w:fldCharType="separate"/>
            </w:r>
            <w:r w:rsidR="003F3A9F" w:rsidRPr="00C13796">
              <w:rPr>
                <w:rFonts w:ascii="Arial" w:hAnsi="Arial" w:cs="Arial"/>
                <w:noProof/>
                <w:webHidden/>
                <w:color w:val="000000" w:themeColor="text1"/>
                <w:sz w:val="24"/>
                <w:szCs w:val="24"/>
              </w:rPr>
              <w:t>11</w:t>
            </w:r>
            <w:r w:rsidR="003F3A9F" w:rsidRPr="00C13796">
              <w:rPr>
                <w:rFonts w:ascii="Arial" w:hAnsi="Arial" w:cs="Arial"/>
                <w:noProof/>
                <w:webHidden/>
                <w:color w:val="000000" w:themeColor="text1"/>
                <w:sz w:val="24"/>
                <w:szCs w:val="24"/>
              </w:rPr>
              <w:fldChar w:fldCharType="end"/>
            </w:r>
          </w:hyperlink>
        </w:p>
        <w:p w14:paraId="7312C707" w14:textId="714D9338" w:rsidR="003F3A9F" w:rsidRPr="00C13796" w:rsidRDefault="003A4359">
          <w:pPr>
            <w:pStyle w:val="TOC1"/>
            <w:rPr>
              <w:rFonts w:ascii="Arial" w:hAnsi="Arial" w:cs="Arial"/>
              <w:noProof/>
              <w:color w:val="000000" w:themeColor="text1"/>
              <w:sz w:val="24"/>
              <w:szCs w:val="24"/>
              <w:lang w:val="en-GB" w:eastAsia="en-GB"/>
            </w:rPr>
          </w:pPr>
          <w:hyperlink w:anchor="_Toc132895851" w:history="1">
            <w:r w:rsidR="003F3A9F" w:rsidRPr="00C13796">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15</w:t>
            </w:r>
            <w:r w:rsidR="003F3A9F" w:rsidRPr="00C13796">
              <w:rPr>
                <w:rFonts w:ascii="Arial" w:hAnsi="Arial" w:cs="Arial"/>
                <w:noProof/>
                <w:color w:val="000000" w:themeColor="text1"/>
                <w:sz w:val="24"/>
                <w:szCs w:val="24"/>
                <w:lang w:val="en-GB" w:eastAsia="en-GB"/>
              </w:rPr>
              <w:tab/>
            </w:r>
            <w:r w:rsidR="003F3A9F" w:rsidRPr="00C13796">
              <w:rPr>
                <w:rStyle w:val="Hyperlink"/>
                <w:rFonts w:ascii="Arial" w:hAnsi="Arial" w:cs="Arial"/>
                <w:noProof/>
                <w:color w:val="000000" w:themeColor="text1"/>
                <w:sz w:val="24"/>
                <w:szCs w:val="24"/>
              </w:rPr>
              <w:t>Arrangements for Review</w:t>
            </w:r>
            <w:r w:rsidR="003F3A9F" w:rsidRPr="00C13796">
              <w:rPr>
                <w:rFonts w:ascii="Arial" w:hAnsi="Arial" w:cs="Arial"/>
                <w:noProof/>
                <w:webHidden/>
                <w:color w:val="000000" w:themeColor="text1"/>
                <w:sz w:val="24"/>
                <w:szCs w:val="24"/>
              </w:rPr>
              <w:tab/>
            </w:r>
            <w:r w:rsidR="003F3A9F" w:rsidRPr="00C13796">
              <w:rPr>
                <w:rFonts w:ascii="Arial" w:hAnsi="Arial" w:cs="Arial"/>
                <w:noProof/>
                <w:webHidden/>
                <w:color w:val="000000" w:themeColor="text1"/>
                <w:sz w:val="24"/>
                <w:szCs w:val="24"/>
              </w:rPr>
              <w:fldChar w:fldCharType="begin"/>
            </w:r>
            <w:r w:rsidR="003F3A9F" w:rsidRPr="00C13796">
              <w:rPr>
                <w:rFonts w:ascii="Arial" w:hAnsi="Arial" w:cs="Arial"/>
                <w:noProof/>
                <w:webHidden/>
                <w:color w:val="000000" w:themeColor="text1"/>
                <w:sz w:val="24"/>
                <w:szCs w:val="24"/>
              </w:rPr>
              <w:instrText xml:space="preserve"> PAGEREF _Toc132895851 \h </w:instrText>
            </w:r>
            <w:r w:rsidR="003F3A9F" w:rsidRPr="00C13796">
              <w:rPr>
                <w:rFonts w:ascii="Arial" w:hAnsi="Arial" w:cs="Arial"/>
                <w:noProof/>
                <w:webHidden/>
                <w:color w:val="000000" w:themeColor="text1"/>
                <w:sz w:val="24"/>
                <w:szCs w:val="24"/>
              </w:rPr>
            </w:r>
            <w:r w:rsidR="003F3A9F" w:rsidRPr="00C13796">
              <w:rPr>
                <w:rFonts w:ascii="Arial" w:hAnsi="Arial" w:cs="Arial"/>
                <w:noProof/>
                <w:webHidden/>
                <w:color w:val="000000" w:themeColor="text1"/>
                <w:sz w:val="24"/>
                <w:szCs w:val="24"/>
              </w:rPr>
              <w:fldChar w:fldCharType="separate"/>
            </w:r>
            <w:r w:rsidR="003F3A9F" w:rsidRPr="00C13796">
              <w:rPr>
                <w:rFonts w:ascii="Arial" w:hAnsi="Arial" w:cs="Arial"/>
                <w:noProof/>
                <w:webHidden/>
                <w:color w:val="000000" w:themeColor="text1"/>
                <w:sz w:val="24"/>
                <w:szCs w:val="24"/>
              </w:rPr>
              <w:t>11</w:t>
            </w:r>
            <w:r w:rsidR="003F3A9F" w:rsidRPr="00C13796">
              <w:rPr>
                <w:rFonts w:ascii="Arial" w:hAnsi="Arial" w:cs="Arial"/>
                <w:noProof/>
                <w:webHidden/>
                <w:color w:val="000000" w:themeColor="text1"/>
                <w:sz w:val="24"/>
                <w:szCs w:val="24"/>
              </w:rPr>
              <w:fldChar w:fldCharType="end"/>
            </w:r>
          </w:hyperlink>
        </w:p>
        <w:p w14:paraId="326A5280" w14:textId="4D80E5D3" w:rsidR="003F3A9F" w:rsidRPr="00C13796" w:rsidRDefault="003A4359">
          <w:pPr>
            <w:pStyle w:val="TOC1"/>
            <w:rPr>
              <w:rFonts w:ascii="Arial" w:hAnsi="Arial" w:cs="Arial"/>
              <w:noProof/>
              <w:color w:val="000000" w:themeColor="text1"/>
              <w:sz w:val="24"/>
              <w:szCs w:val="24"/>
              <w:lang w:val="en-GB" w:eastAsia="en-GB"/>
            </w:rPr>
          </w:pPr>
          <w:hyperlink w:anchor="_Toc132895852" w:history="1">
            <w:r w:rsidR="003F3A9F" w:rsidRPr="00C13796">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16</w:t>
            </w:r>
            <w:r w:rsidR="003F3A9F" w:rsidRPr="00C13796">
              <w:rPr>
                <w:rFonts w:ascii="Arial" w:hAnsi="Arial" w:cs="Arial"/>
                <w:noProof/>
                <w:color w:val="000000" w:themeColor="text1"/>
                <w:sz w:val="24"/>
                <w:szCs w:val="24"/>
                <w:lang w:val="en-GB" w:eastAsia="en-GB"/>
              </w:rPr>
              <w:tab/>
            </w:r>
            <w:r w:rsidR="003F3A9F" w:rsidRPr="00C13796">
              <w:rPr>
                <w:rStyle w:val="Hyperlink"/>
                <w:rFonts w:ascii="Arial" w:hAnsi="Arial" w:cs="Arial"/>
                <w:noProof/>
                <w:color w:val="000000" w:themeColor="text1"/>
                <w:sz w:val="24"/>
                <w:szCs w:val="24"/>
              </w:rPr>
              <w:t>References</w:t>
            </w:r>
            <w:r w:rsidR="003F3A9F" w:rsidRPr="00C13796">
              <w:rPr>
                <w:rFonts w:ascii="Arial" w:hAnsi="Arial" w:cs="Arial"/>
                <w:noProof/>
                <w:webHidden/>
                <w:color w:val="000000" w:themeColor="text1"/>
                <w:sz w:val="24"/>
                <w:szCs w:val="24"/>
              </w:rPr>
              <w:tab/>
            </w:r>
            <w:r w:rsidR="003F3A9F" w:rsidRPr="00C13796">
              <w:rPr>
                <w:rFonts w:ascii="Arial" w:hAnsi="Arial" w:cs="Arial"/>
                <w:noProof/>
                <w:webHidden/>
                <w:color w:val="000000" w:themeColor="text1"/>
                <w:sz w:val="24"/>
                <w:szCs w:val="24"/>
              </w:rPr>
              <w:fldChar w:fldCharType="begin"/>
            </w:r>
            <w:r w:rsidR="003F3A9F" w:rsidRPr="00C13796">
              <w:rPr>
                <w:rFonts w:ascii="Arial" w:hAnsi="Arial" w:cs="Arial"/>
                <w:noProof/>
                <w:webHidden/>
                <w:color w:val="000000" w:themeColor="text1"/>
                <w:sz w:val="24"/>
                <w:szCs w:val="24"/>
              </w:rPr>
              <w:instrText xml:space="preserve"> PAGEREF _Toc132895852 \h </w:instrText>
            </w:r>
            <w:r w:rsidR="003F3A9F" w:rsidRPr="00C13796">
              <w:rPr>
                <w:rFonts w:ascii="Arial" w:hAnsi="Arial" w:cs="Arial"/>
                <w:noProof/>
                <w:webHidden/>
                <w:color w:val="000000" w:themeColor="text1"/>
                <w:sz w:val="24"/>
                <w:szCs w:val="24"/>
              </w:rPr>
            </w:r>
            <w:r w:rsidR="003F3A9F" w:rsidRPr="00C13796">
              <w:rPr>
                <w:rFonts w:ascii="Arial" w:hAnsi="Arial" w:cs="Arial"/>
                <w:noProof/>
                <w:webHidden/>
                <w:color w:val="000000" w:themeColor="text1"/>
                <w:sz w:val="24"/>
                <w:szCs w:val="24"/>
              </w:rPr>
              <w:fldChar w:fldCharType="separate"/>
            </w:r>
            <w:r w:rsidR="003F3A9F" w:rsidRPr="00C13796">
              <w:rPr>
                <w:rFonts w:ascii="Arial" w:hAnsi="Arial" w:cs="Arial"/>
                <w:noProof/>
                <w:webHidden/>
                <w:color w:val="000000" w:themeColor="text1"/>
                <w:sz w:val="24"/>
                <w:szCs w:val="24"/>
              </w:rPr>
              <w:t>11</w:t>
            </w:r>
            <w:r w:rsidR="003F3A9F" w:rsidRPr="00C13796">
              <w:rPr>
                <w:rFonts w:ascii="Arial" w:hAnsi="Arial" w:cs="Arial"/>
                <w:noProof/>
                <w:webHidden/>
                <w:color w:val="000000" w:themeColor="text1"/>
                <w:sz w:val="24"/>
                <w:szCs w:val="24"/>
              </w:rPr>
              <w:fldChar w:fldCharType="end"/>
            </w:r>
          </w:hyperlink>
        </w:p>
        <w:p w14:paraId="33EBD530" w14:textId="36C77F45" w:rsidR="003F3A9F" w:rsidRPr="00C13796" w:rsidRDefault="003A4359">
          <w:pPr>
            <w:pStyle w:val="TOC1"/>
            <w:rPr>
              <w:rFonts w:ascii="Arial" w:hAnsi="Arial" w:cs="Arial"/>
              <w:noProof/>
              <w:color w:val="000000" w:themeColor="text1"/>
              <w:sz w:val="24"/>
              <w:szCs w:val="24"/>
              <w:lang w:val="en-GB" w:eastAsia="en-GB"/>
            </w:rPr>
          </w:pPr>
          <w:hyperlink w:anchor="_Toc132895853" w:history="1">
            <w:r w:rsidR="003F3A9F" w:rsidRPr="00C13796">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17</w:t>
            </w:r>
            <w:r w:rsidR="003F3A9F" w:rsidRPr="00C13796">
              <w:rPr>
                <w:rFonts w:ascii="Arial" w:hAnsi="Arial" w:cs="Arial"/>
                <w:noProof/>
                <w:color w:val="000000" w:themeColor="text1"/>
                <w:sz w:val="24"/>
                <w:szCs w:val="24"/>
                <w:lang w:val="en-GB" w:eastAsia="en-GB"/>
              </w:rPr>
              <w:tab/>
            </w:r>
            <w:r w:rsidR="003F3A9F" w:rsidRPr="00C13796">
              <w:rPr>
                <w:rStyle w:val="Hyperlink"/>
                <w:rFonts w:ascii="Arial" w:hAnsi="Arial" w:cs="Arial"/>
                <w:noProof/>
                <w:color w:val="000000" w:themeColor="text1"/>
                <w:sz w:val="24"/>
                <w:szCs w:val="24"/>
              </w:rPr>
              <w:t>Appendices</w:t>
            </w:r>
            <w:r w:rsidR="003F3A9F" w:rsidRPr="00C13796">
              <w:rPr>
                <w:rFonts w:ascii="Arial" w:hAnsi="Arial" w:cs="Arial"/>
                <w:noProof/>
                <w:webHidden/>
                <w:color w:val="000000" w:themeColor="text1"/>
                <w:sz w:val="24"/>
                <w:szCs w:val="24"/>
              </w:rPr>
              <w:tab/>
            </w:r>
            <w:r w:rsidR="003F3A9F" w:rsidRPr="00C13796">
              <w:rPr>
                <w:rFonts w:ascii="Arial" w:hAnsi="Arial" w:cs="Arial"/>
                <w:noProof/>
                <w:webHidden/>
                <w:color w:val="000000" w:themeColor="text1"/>
                <w:sz w:val="24"/>
                <w:szCs w:val="24"/>
              </w:rPr>
              <w:fldChar w:fldCharType="begin"/>
            </w:r>
            <w:r w:rsidR="003F3A9F" w:rsidRPr="00C13796">
              <w:rPr>
                <w:rFonts w:ascii="Arial" w:hAnsi="Arial" w:cs="Arial"/>
                <w:noProof/>
                <w:webHidden/>
                <w:color w:val="000000" w:themeColor="text1"/>
                <w:sz w:val="24"/>
                <w:szCs w:val="24"/>
              </w:rPr>
              <w:instrText xml:space="preserve"> PAGEREF _Toc132895853 \h </w:instrText>
            </w:r>
            <w:r w:rsidR="003F3A9F" w:rsidRPr="00C13796">
              <w:rPr>
                <w:rFonts w:ascii="Arial" w:hAnsi="Arial" w:cs="Arial"/>
                <w:noProof/>
                <w:webHidden/>
                <w:color w:val="000000" w:themeColor="text1"/>
                <w:sz w:val="24"/>
                <w:szCs w:val="24"/>
              </w:rPr>
            </w:r>
            <w:r w:rsidR="003F3A9F" w:rsidRPr="00C13796">
              <w:rPr>
                <w:rFonts w:ascii="Arial" w:hAnsi="Arial" w:cs="Arial"/>
                <w:noProof/>
                <w:webHidden/>
                <w:color w:val="000000" w:themeColor="text1"/>
                <w:sz w:val="24"/>
                <w:szCs w:val="24"/>
              </w:rPr>
              <w:fldChar w:fldCharType="separate"/>
            </w:r>
            <w:r w:rsidR="003F3A9F" w:rsidRPr="00C13796">
              <w:rPr>
                <w:rFonts w:ascii="Arial" w:hAnsi="Arial" w:cs="Arial"/>
                <w:noProof/>
                <w:webHidden/>
                <w:color w:val="000000" w:themeColor="text1"/>
                <w:sz w:val="24"/>
                <w:szCs w:val="24"/>
              </w:rPr>
              <w:t>12</w:t>
            </w:r>
            <w:r w:rsidR="003F3A9F" w:rsidRPr="00C13796">
              <w:rPr>
                <w:rFonts w:ascii="Arial" w:hAnsi="Arial" w:cs="Arial"/>
                <w:noProof/>
                <w:webHidden/>
                <w:color w:val="000000" w:themeColor="text1"/>
                <w:sz w:val="24"/>
                <w:szCs w:val="24"/>
              </w:rPr>
              <w:fldChar w:fldCharType="end"/>
            </w:r>
          </w:hyperlink>
        </w:p>
        <w:p w14:paraId="795E605C" w14:textId="070B0537" w:rsidR="003F3A9F" w:rsidRPr="00C13796" w:rsidRDefault="003A4359">
          <w:pPr>
            <w:pStyle w:val="TOC1"/>
            <w:rPr>
              <w:rFonts w:ascii="Arial" w:hAnsi="Arial" w:cs="Arial"/>
              <w:noProof/>
              <w:color w:val="000000" w:themeColor="text1"/>
              <w:sz w:val="24"/>
              <w:szCs w:val="24"/>
              <w:lang w:val="en-GB" w:eastAsia="en-GB"/>
            </w:rPr>
          </w:pPr>
          <w:hyperlink w:anchor="_Toc132895854" w:history="1">
            <w:r w:rsidR="003F3A9F" w:rsidRPr="00C13796">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18</w:t>
            </w:r>
            <w:r w:rsidR="003F3A9F" w:rsidRPr="00C13796">
              <w:rPr>
                <w:rFonts w:ascii="Arial" w:hAnsi="Arial" w:cs="Arial"/>
                <w:noProof/>
                <w:color w:val="000000" w:themeColor="text1"/>
                <w:sz w:val="24"/>
                <w:szCs w:val="24"/>
                <w:lang w:val="en-GB" w:eastAsia="en-GB"/>
              </w:rPr>
              <w:tab/>
            </w:r>
            <w:r w:rsidR="003F3A9F" w:rsidRPr="00C13796">
              <w:rPr>
                <w:rStyle w:val="Hyperlink"/>
                <w:rFonts w:ascii="Arial" w:hAnsi="Arial" w:cs="Arial"/>
                <w:noProof/>
                <w:color w:val="000000" w:themeColor="text1"/>
                <w:sz w:val="24"/>
                <w:szCs w:val="24"/>
              </w:rPr>
              <w:t>Impact Assessments</w:t>
            </w:r>
            <w:r w:rsidR="003F3A9F" w:rsidRPr="00C13796">
              <w:rPr>
                <w:rFonts w:ascii="Arial" w:hAnsi="Arial" w:cs="Arial"/>
                <w:noProof/>
                <w:webHidden/>
                <w:color w:val="000000" w:themeColor="text1"/>
                <w:sz w:val="24"/>
                <w:szCs w:val="24"/>
              </w:rPr>
              <w:tab/>
            </w:r>
            <w:r w:rsidR="003F3A9F" w:rsidRPr="00C13796">
              <w:rPr>
                <w:rFonts w:ascii="Arial" w:hAnsi="Arial" w:cs="Arial"/>
                <w:noProof/>
                <w:webHidden/>
                <w:color w:val="000000" w:themeColor="text1"/>
                <w:sz w:val="24"/>
                <w:szCs w:val="24"/>
              </w:rPr>
              <w:fldChar w:fldCharType="begin"/>
            </w:r>
            <w:r w:rsidR="003F3A9F" w:rsidRPr="00C13796">
              <w:rPr>
                <w:rFonts w:ascii="Arial" w:hAnsi="Arial" w:cs="Arial"/>
                <w:noProof/>
                <w:webHidden/>
                <w:color w:val="000000" w:themeColor="text1"/>
                <w:sz w:val="24"/>
                <w:szCs w:val="24"/>
              </w:rPr>
              <w:instrText xml:space="preserve"> PAGEREF _Toc132895854 \h </w:instrText>
            </w:r>
            <w:r w:rsidR="003F3A9F" w:rsidRPr="00C13796">
              <w:rPr>
                <w:rFonts w:ascii="Arial" w:hAnsi="Arial" w:cs="Arial"/>
                <w:noProof/>
                <w:webHidden/>
                <w:color w:val="000000" w:themeColor="text1"/>
                <w:sz w:val="24"/>
                <w:szCs w:val="24"/>
              </w:rPr>
            </w:r>
            <w:r w:rsidR="003F3A9F" w:rsidRPr="00C13796">
              <w:rPr>
                <w:rFonts w:ascii="Arial" w:hAnsi="Arial" w:cs="Arial"/>
                <w:noProof/>
                <w:webHidden/>
                <w:color w:val="000000" w:themeColor="text1"/>
                <w:sz w:val="24"/>
                <w:szCs w:val="24"/>
              </w:rPr>
              <w:fldChar w:fldCharType="separate"/>
            </w:r>
            <w:r w:rsidR="003F3A9F" w:rsidRPr="00C13796">
              <w:rPr>
                <w:rFonts w:ascii="Arial" w:hAnsi="Arial" w:cs="Arial"/>
                <w:noProof/>
                <w:webHidden/>
                <w:color w:val="000000" w:themeColor="text1"/>
                <w:sz w:val="24"/>
                <w:szCs w:val="24"/>
              </w:rPr>
              <w:t>12</w:t>
            </w:r>
            <w:r w:rsidR="003F3A9F" w:rsidRPr="00C13796">
              <w:rPr>
                <w:rFonts w:ascii="Arial" w:hAnsi="Arial" w:cs="Arial"/>
                <w:noProof/>
                <w:webHidden/>
                <w:color w:val="000000" w:themeColor="text1"/>
                <w:sz w:val="24"/>
                <w:szCs w:val="24"/>
              </w:rPr>
              <w:fldChar w:fldCharType="end"/>
            </w:r>
          </w:hyperlink>
        </w:p>
        <w:p w14:paraId="34A3A607" w14:textId="04B10484" w:rsidR="003F3A9F" w:rsidRPr="00C13796" w:rsidRDefault="003A4359">
          <w:pPr>
            <w:pStyle w:val="TOC2"/>
            <w:rPr>
              <w:rFonts w:ascii="Arial" w:hAnsi="Arial" w:cs="Arial"/>
              <w:noProof/>
              <w:color w:val="000000" w:themeColor="text1"/>
              <w:sz w:val="24"/>
              <w:szCs w:val="24"/>
              <w:lang w:val="en-GB" w:eastAsia="en-GB"/>
            </w:rPr>
          </w:pPr>
          <w:hyperlink w:anchor="_Toc132895855" w:history="1">
            <w:r w:rsidR="003F3A9F" w:rsidRPr="00C13796">
              <w:rPr>
                <w:rStyle w:val="Hyperlink"/>
                <w:rFonts w:ascii="Arial" w:hAnsi="Arial" w:cs="Arial"/>
                <w:noProof/>
                <w:color w:val="000000" w:themeColor="text1"/>
                <w:sz w:val="24"/>
                <w:szCs w:val="24"/>
              </w:rPr>
              <w:t>18.1</w:t>
            </w:r>
            <w:r w:rsidR="003F3A9F" w:rsidRPr="00C13796">
              <w:rPr>
                <w:rFonts w:ascii="Arial" w:hAnsi="Arial" w:cs="Arial"/>
                <w:noProof/>
                <w:color w:val="000000" w:themeColor="text1"/>
                <w:sz w:val="24"/>
                <w:szCs w:val="24"/>
                <w:lang w:val="en-GB" w:eastAsia="en-GB"/>
              </w:rPr>
              <w:tab/>
            </w:r>
            <w:r w:rsidR="003F3A9F" w:rsidRPr="00C13796">
              <w:rPr>
                <w:rStyle w:val="Hyperlink"/>
                <w:rFonts w:ascii="Arial" w:hAnsi="Arial" w:cs="Arial"/>
                <w:noProof/>
                <w:color w:val="000000" w:themeColor="text1"/>
                <w:sz w:val="24"/>
                <w:szCs w:val="24"/>
              </w:rPr>
              <w:t>Equality</w:t>
            </w:r>
            <w:r w:rsidR="003F3A9F" w:rsidRPr="00C13796">
              <w:rPr>
                <w:rFonts w:ascii="Arial" w:hAnsi="Arial" w:cs="Arial"/>
                <w:noProof/>
                <w:webHidden/>
                <w:color w:val="000000" w:themeColor="text1"/>
                <w:sz w:val="24"/>
                <w:szCs w:val="24"/>
              </w:rPr>
              <w:tab/>
            </w:r>
            <w:r w:rsidR="003F3A9F" w:rsidRPr="00C13796">
              <w:rPr>
                <w:rFonts w:ascii="Arial" w:hAnsi="Arial" w:cs="Arial"/>
                <w:noProof/>
                <w:webHidden/>
                <w:color w:val="000000" w:themeColor="text1"/>
                <w:sz w:val="24"/>
                <w:szCs w:val="24"/>
              </w:rPr>
              <w:fldChar w:fldCharType="begin"/>
            </w:r>
            <w:r w:rsidR="003F3A9F" w:rsidRPr="00C13796">
              <w:rPr>
                <w:rFonts w:ascii="Arial" w:hAnsi="Arial" w:cs="Arial"/>
                <w:noProof/>
                <w:webHidden/>
                <w:color w:val="000000" w:themeColor="text1"/>
                <w:sz w:val="24"/>
                <w:szCs w:val="24"/>
              </w:rPr>
              <w:instrText xml:space="preserve"> PAGEREF _Toc132895855 \h </w:instrText>
            </w:r>
            <w:r w:rsidR="003F3A9F" w:rsidRPr="00C13796">
              <w:rPr>
                <w:rFonts w:ascii="Arial" w:hAnsi="Arial" w:cs="Arial"/>
                <w:noProof/>
                <w:webHidden/>
                <w:color w:val="000000" w:themeColor="text1"/>
                <w:sz w:val="24"/>
                <w:szCs w:val="24"/>
              </w:rPr>
            </w:r>
            <w:r w:rsidR="003F3A9F" w:rsidRPr="00C13796">
              <w:rPr>
                <w:rFonts w:ascii="Arial" w:hAnsi="Arial" w:cs="Arial"/>
                <w:noProof/>
                <w:webHidden/>
                <w:color w:val="000000" w:themeColor="text1"/>
                <w:sz w:val="24"/>
                <w:szCs w:val="24"/>
              </w:rPr>
              <w:fldChar w:fldCharType="separate"/>
            </w:r>
            <w:r w:rsidR="003F3A9F" w:rsidRPr="00C13796">
              <w:rPr>
                <w:rFonts w:ascii="Arial" w:hAnsi="Arial" w:cs="Arial"/>
                <w:noProof/>
                <w:webHidden/>
                <w:color w:val="000000" w:themeColor="text1"/>
                <w:sz w:val="24"/>
                <w:szCs w:val="24"/>
              </w:rPr>
              <w:t>12</w:t>
            </w:r>
            <w:r w:rsidR="003F3A9F" w:rsidRPr="00C13796">
              <w:rPr>
                <w:rFonts w:ascii="Arial" w:hAnsi="Arial" w:cs="Arial"/>
                <w:noProof/>
                <w:webHidden/>
                <w:color w:val="000000" w:themeColor="text1"/>
                <w:sz w:val="24"/>
                <w:szCs w:val="24"/>
              </w:rPr>
              <w:fldChar w:fldCharType="end"/>
            </w:r>
          </w:hyperlink>
        </w:p>
        <w:p w14:paraId="05253715" w14:textId="131BA8FE" w:rsidR="003F3A9F" w:rsidRPr="00C13796" w:rsidRDefault="003A4359">
          <w:pPr>
            <w:pStyle w:val="TOC2"/>
            <w:rPr>
              <w:rFonts w:ascii="Arial" w:hAnsi="Arial" w:cs="Arial"/>
              <w:noProof/>
              <w:color w:val="000000" w:themeColor="text1"/>
              <w:sz w:val="24"/>
              <w:szCs w:val="24"/>
              <w:lang w:val="en-GB" w:eastAsia="en-GB"/>
            </w:rPr>
          </w:pPr>
          <w:hyperlink w:anchor="_Toc132895856" w:history="1">
            <w:r w:rsidR="003F3A9F" w:rsidRPr="00C13796">
              <w:rPr>
                <w:rStyle w:val="Hyperlink"/>
                <w:rFonts w:ascii="Arial" w:hAnsi="Arial" w:cs="Arial"/>
                <w:noProof/>
                <w:color w:val="000000" w:themeColor="text1"/>
                <w:sz w:val="24"/>
                <w:szCs w:val="24"/>
              </w:rPr>
              <w:t>18.2</w:t>
            </w:r>
            <w:r w:rsidR="003F3A9F" w:rsidRPr="00C13796">
              <w:rPr>
                <w:rFonts w:ascii="Arial" w:hAnsi="Arial" w:cs="Arial"/>
                <w:noProof/>
                <w:color w:val="000000" w:themeColor="text1"/>
                <w:sz w:val="24"/>
                <w:szCs w:val="24"/>
                <w:lang w:val="en-GB" w:eastAsia="en-GB"/>
              </w:rPr>
              <w:tab/>
            </w:r>
            <w:r w:rsidR="003F3A9F" w:rsidRPr="00C13796">
              <w:rPr>
                <w:rStyle w:val="Hyperlink"/>
                <w:rFonts w:ascii="Arial" w:hAnsi="Arial" w:cs="Arial"/>
                <w:noProof/>
                <w:color w:val="000000" w:themeColor="text1"/>
                <w:sz w:val="24"/>
                <w:szCs w:val="24"/>
              </w:rPr>
              <w:t>Sustainability</w:t>
            </w:r>
            <w:r w:rsidR="003F3A9F" w:rsidRPr="00C13796">
              <w:rPr>
                <w:rFonts w:ascii="Arial" w:hAnsi="Arial" w:cs="Arial"/>
                <w:noProof/>
                <w:webHidden/>
                <w:color w:val="000000" w:themeColor="text1"/>
                <w:sz w:val="24"/>
                <w:szCs w:val="24"/>
              </w:rPr>
              <w:tab/>
            </w:r>
            <w:r w:rsidR="003F3A9F" w:rsidRPr="00C13796">
              <w:rPr>
                <w:rFonts w:ascii="Arial" w:hAnsi="Arial" w:cs="Arial"/>
                <w:noProof/>
                <w:webHidden/>
                <w:color w:val="000000" w:themeColor="text1"/>
                <w:sz w:val="24"/>
                <w:szCs w:val="24"/>
              </w:rPr>
              <w:fldChar w:fldCharType="begin"/>
            </w:r>
            <w:r w:rsidR="003F3A9F" w:rsidRPr="00C13796">
              <w:rPr>
                <w:rFonts w:ascii="Arial" w:hAnsi="Arial" w:cs="Arial"/>
                <w:noProof/>
                <w:webHidden/>
                <w:color w:val="000000" w:themeColor="text1"/>
                <w:sz w:val="24"/>
                <w:szCs w:val="24"/>
              </w:rPr>
              <w:instrText xml:space="preserve"> PAGEREF _Toc132895856 \h </w:instrText>
            </w:r>
            <w:r w:rsidR="003F3A9F" w:rsidRPr="00C13796">
              <w:rPr>
                <w:rFonts w:ascii="Arial" w:hAnsi="Arial" w:cs="Arial"/>
                <w:noProof/>
                <w:webHidden/>
                <w:color w:val="000000" w:themeColor="text1"/>
                <w:sz w:val="24"/>
                <w:szCs w:val="24"/>
              </w:rPr>
            </w:r>
            <w:r w:rsidR="003F3A9F" w:rsidRPr="00C13796">
              <w:rPr>
                <w:rFonts w:ascii="Arial" w:hAnsi="Arial" w:cs="Arial"/>
                <w:noProof/>
                <w:webHidden/>
                <w:color w:val="000000" w:themeColor="text1"/>
                <w:sz w:val="24"/>
                <w:szCs w:val="24"/>
              </w:rPr>
              <w:fldChar w:fldCharType="separate"/>
            </w:r>
            <w:r w:rsidR="003F3A9F" w:rsidRPr="00C13796">
              <w:rPr>
                <w:rFonts w:ascii="Arial" w:hAnsi="Arial" w:cs="Arial"/>
                <w:noProof/>
                <w:webHidden/>
                <w:color w:val="000000" w:themeColor="text1"/>
                <w:sz w:val="24"/>
                <w:szCs w:val="24"/>
              </w:rPr>
              <w:t>12</w:t>
            </w:r>
            <w:r w:rsidR="003F3A9F" w:rsidRPr="00C13796">
              <w:rPr>
                <w:rFonts w:ascii="Arial" w:hAnsi="Arial" w:cs="Arial"/>
                <w:noProof/>
                <w:webHidden/>
                <w:color w:val="000000" w:themeColor="text1"/>
                <w:sz w:val="24"/>
                <w:szCs w:val="24"/>
              </w:rPr>
              <w:fldChar w:fldCharType="end"/>
            </w:r>
          </w:hyperlink>
        </w:p>
        <w:p w14:paraId="7FBEE09D" w14:textId="646B7D53" w:rsidR="003F3A9F" w:rsidRPr="00C13796" w:rsidRDefault="003A4359">
          <w:pPr>
            <w:pStyle w:val="TOC2"/>
            <w:rPr>
              <w:rFonts w:ascii="Arial" w:hAnsi="Arial" w:cs="Arial"/>
              <w:noProof/>
              <w:color w:val="000000" w:themeColor="text1"/>
              <w:sz w:val="24"/>
              <w:szCs w:val="24"/>
              <w:lang w:val="en-GB" w:eastAsia="en-GB"/>
            </w:rPr>
          </w:pPr>
          <w:hyperlink w:anchor="_Toc132895857" w:history="1">
            <w:r w:rsidR="003F3A9F" w:rsidRPr="00C13796">
              <w:rPr>
                <w:rStyle w:val="Hyperlink"/>
                <w:rFonts w:ascii="Arial" w:hAnsi="Arial" w:cs="Arial"/>
                <w:noProof/>
                <w:color w:val="000000" w:themeColor="text1"/>
                <w:sz w:val="24"/>
                <w:szCs w:val="24"/>
              </w:rPr>
              <w:t>18.3</w:t>
            </w:r>
            <w:r w:rsidR="003F3A9F" w:rsidRPr="00C13796">
              <w:rPr>
                <w:rFonts w:ascii="Arial" w:hAnsi="Arial" w:cs="Arial"/>
                <w:noProof/>
                <w:color w:val="000000" w:themeColor="text1"/>
                <w:sz w:val="24"/>
                <w:szCs w:val="24"/>
                <w:lang w:val="en-GB" w:eastAsia="en-GB"/>
              </w:rPr>
              <w:tab/>
            </w:r>
            <w:r w:rsidR="003F3A9F" w:rsidRPr="00C13796">
              <w:rPr>
                <w:rStyle w:val="Hyperlink"/>
                <w:rFonts w:ascii="Arial" w:hAnsi="Arial" w:cs="Arial"/>
                <w:noProof/>
                <w:color w:val="000000" w:themeColor="text1"/>
                <w:sz w:val="24"/>
                <w:szCs w:val="24"/>
              </w:rPr>
              <w:t>Bribery Act 2010</w:t>
            </w:r>
            <w:r w:rsidR="003F3A9F" w:rsidRPr="00C13796">
              <w:rPr>
                <w:rFonts w:ascii="Arial" w:hAnsi="Arial" w:cs="Arial"/>
                <w:noProof/>
                <w:webHidden/>
                <w:color w:val="000000" w:themeColor="text1"/>
                <w:sz w:val="24"/>
                <w:szCs w:val="24"/>
              </w:rPr>
              <w:tab/>
            </w:r>
            <w:r w:rsidR="003F3A9F" w:rsidRPr="00C13796">
              <w:rPr>
                <w:rFonts w:ascii="Arial" w:hAnsi="Arial" w:cs="Arial"/>
                <w:noProof/>
                <w:webHidden/>
                <w:color w:val="000000" w:themeColor="text1"/>
                <w:sz w:val="24"/>
                <w:szCs w:val="24"/>
              </w:rPr>
              <w:fldChar w:fldCharType="begin"/>
            </w:r>
            <w:r w:rsidR="003F3A9F" w:rsidRPr="00C13796">
              <w:rPr>
                <w:rFonts w:ascii="Arial" w:hAnsi="Arial" w:cs="Arial"/>
                <w:noProof/>
                <w:webHidden/>
                <w:color w:val="000000" w:themeColor="text1"/>
                <w:sz w:val="24"/>
                <w:szCs w:val="24"/>
              </w:rPr>
              <w:instrText xml:space="preserve"> PAGEREF _Toc132895857 \h </w:instrText>
            </w:r>
            <w:r w:rsidR="003F3A9F" w:rsidRPr="00C13796">
              <w:rPr>
                <w:rFonts w:ascii="Arial" w:hAnsi="Arial" w:cs="Arial"/>
                <w:noProof/>
                <w:webHidden/>
                <w:color w:val="000000" w:themeColor="text1"/>
                <w:sz w:val="24"/>
                <w:szCs w:val="24"/>
              </w:rPr>
            </w:r>
            <w:r w:rsidR="003F3A9F" w:rsidRPr="00C13796">
              <w:rPr>
                <w:rFonts w:ascii="Arial" w:hAnsi="Arial" w:cs="Arial"/>
                <w:noProof/>
                <w:webHidden/>
                <w:color w:val="000000" w:themeColor="text1"/>
                <w:sz w:val="24"/>
                <w:szCs w:val="24"/>
              </w:rPr>
              <w:fldChar w:fldCharType="separate"/>
            </w:r>
            <w:r w:rsidR="003F3A9F" w:rsidRPr="00C13796">
              <w:rPr>
                <w:rFonts w:ascii="Arial" w:hAnsi="Arial" w:cs="Arial"/>
                <w:noProof/>
                <w:webHidden/>
                <w:color w:val="000000" w:themeColor="text1"/>
                <w:sz w:val="24"/>
                <w:szCs w:val="24"/>
              </w:rPr>
              <w:t>12</w:t>
            </w:r>
            <w:r w:rsidR="003F3A9F" w:rsidRPr="00C13796">
              <w:rPr>
                <w:rFonts w:ascii="Arial" w:hAnsi="Arial" w:cs="Arial"/>
                <w:noProof/>
                <w:webHidden/>
                <w:color w:val="000000" w:themeColor="text1"/>
                <w:sz w:val="24"/>
                <w:szCs w:val="24"/>
              </w:rPr>
              <w:fldChar w:fldCharType="end"/>
            </w:r>
          </w:hyperlink>
        </w:p>
        <w:p w14:paraId="58BBEBE2" w14:textId="14A258C8" w:rsidR="003F3A9F" w:rsidRPr="00C13796" w:rsidRDefault="003A4359">
          <w:pPr>
            <w:pStyle w:val="TOC2"/>
            <w:rPr>
              <w:rFonts w:ascii="Arial" w:hAnsi="Arial" w:cs="Arial"/>
              <w:noProof/>
              <w:color w:val="auto"/>
              <w:sz w:val="24"/>
              <w:szCs w:val="24"/>
              <w:lang w:val="en-GB" w:eastAsia="en-GB"/>
            </w:rPr>
          </w:pPr>
          <w:hyperlink w:anchor="_Toc132895858" w:history="1">
            <w:r w:rsidR="003F3A9F" w:rsidRPr="00C13796">
              <w:rPr>
                <w:rStyle w:val="Hyperlink"/>
                <w:rFonts w:ascii="Arial" w:hAnsi="Arial" w:cs="Arial"/>
                <w:noProof/>
                <w:color w:val="000000" w:themeColor="text1"/>
                <w:sz w:val="24"/>
                <w:szCs w:val="24"/>
              </w:rPr>
              <w:t>18.4</w:t>
            </w:r>
            <w:r w:rsidR="003F3A9F" w:rsidRPr="00C13796">
              <w:rPr>
                <w:rFonts w:ascii="Arial" w:hAnsi="Arial" w:cs="Arial"/>
                <w:noProof/>
                <w:color w:val="000000" w:themeColor="text1"/>
                <w:sz w:val="24"/>
                <w:szCs w:val="24"/>
                <w:lang w:val="en-GB" w:eastAsia="en-GB"/>
              </w:rPr>
              <w:tab/>
            </w:r>
            <w:r w:rsidR="003F3A9F" w:rsidRPr="00C13796">
              <w:rPr>
                <w:rStyle w:val="Hyperlink"/>
                <w:rFonts w:ascii="Arial" w:hAnsi="Arial" w:cs="Arial"/>
                <w:noProof/>
                <w:color w:val="000000" w:themeColor="text1"/>
                <w:sz w:val="24"/>
                <w:szCs w:val="24"/>
              </w:rPr>
              <w:t>General Data Protection Regulations (GDPR)</w:t>
            </w:r>
            <w:r w:rsidR="003F3A9F" w:rsidRPr="00C13796">
              <w:rPr>
                <w:rFonts w:ascii="Arial" w:hAnsi="Arial" w:cs="Arial"/>
                <w:noProof/>
                <w:webHidden/>
                <w:color w:val="000000" w:themeColor="text1"/>
                <w:sz w:val="24"/>
                <w:szCs w:val="24"/>
              </w:rPr>
              <w:tab/>
            </w:r>
            <w:r w:rsidR="003F3A9F" w:rsidRPr="00C13796">
              <w:rPr>
                <w:rFonts w:ascii="Arial" w:hAnsi="Arial" w:cs="Arial"/>
                <w:noProof/>
                <w:webHidden/>
                <w:color w:val="000000" w:themeColor="text1"/>
                <w:sz w:val="24"/>
                <w:szCs w:val="24"/>
              </w:rPr>
              <w:fldChar w:fldCharType="begin"/>
            </w:r>
            <w:r w:rsidR="003F3A9F" w:rsidRPr="00C13796">
              <w:rPr>
                <w:rFonts w:ascii="Arial" w:hAnsi="Arial" w:cs="Arial"/>
                <w:noProof/>
                <w:webHidden/>
                <w:color w:val="000000" w:themeColor="text1"/>
                <w:sz w:val="24"/>
                <w:szCs w:val="24"/>
              </w:rPr>
              <w:instrText xml:space="preserve"> PAGEREF _Toc132895858 \h </w:instrText>
            </w:r>
            <w:r w:rsidR="003F3A9F" w:rsidRPr="00C13796">
              <w:rPr>
                <w:rFonts w:ascii="Arial" w:hAnsi="Arial" w:cs="Arial"/>
                <w:noProof/>
                <w:webHidden/>
                <w:color w:val="000000" w:themeColor="text1"/>
                <w:sz w:val="24"/>
                <w:szCs w:val="24"/>
              </w:rPr>
            </w:r>
            <w:r w:rsidR="003F3A9F" w:rsidRPr="00C13796">
              <w:rPr>
                <w:rFonts w:ascii="Arial" w:hAnsi="Arial" w:cs="Arial"/>
                <w:noProof/>
                <w:webHidden/>
                <w:color w:val="000000" w:themeColor="text1"/>
                <w:sz w:val="24"/>
                <w:szCs w:val="24"/>
              </w:rPr>
              <w:fldChar w:fldCharType="separate"/>
            </w:r>
            <w:r w:rsidR="003F3A9F" w:rsidRPr="00C13796">
              <w:rPr>
                <w:rFonts w:ascii="Arial" w:hAnsi="Arial" w:cs="Arial"/>
                <w:noProof/>
                <w:webHidden/>
                <w:color w:val="000000" w:themeColor="text1"/>
                <w:sz w:val="24"/>
                <w:szCs w:val="24"/>
              </w:rPr>
              <w:t>12</w:t>
            </w:r>
            <w:r w:rsidR="003F3A9F" w:rsidRPr="00C13796">
              <w:rPr>
                <w:rFonts w:ascii="Arial" w:hAnsi="Arial" w:cs="Arial"/>
                <w:noProof/>
                <w:webHidden/>
                <w:color w:val="000000" w:themeColor="text1"/>
                <w:sz w:val="24"/>
                <w:szCs w:val="24"/>
              </w:rPr>
              <w:fldChar w:fldCharType="end"/>
            </w:r>
          </w:hyperlink>
        </w:p>
        <w:p w14:paraId="03A45DAA" w14:textId="3C5518E4" w:rsidR="009F2C13" w:rsidRPr="0032084D" w:rsidRDefault="009F2C13">
          <w:pPr>
            <w:rPr>
              <w:color w:val="000000" w:themeColor="text1"/>
            </w:rPr>
          </w:pPr>
          <w:r w:rsidRPr="00C13796">
            <w:rPr>
              <w:b/>
              <w:bCs/>
              <w:noProof/>
              <w:color w:val="000000" w:themeColor="text1"/>
            </w:rPr>
            <w:fldChar w:fldCharType="end"/>
          </w:r>
        </w:p>
      </w:sdtContent>
    </w:sdt>
    <w:p w14:paraId="37134A2E" w14:textId="76F9B403" w:rsidR="00DD443C" w:rsidRDefault="00DD443C">
      <w:pPr>
        <w:spacing w:line="240" w:lineRule="auto"/>
      </w:pPr>
      <w:r>
        <w:br w:type="page"/>
      </w:r>
    </w:p>
    <w:p w14:paraId="647BDE1C" w14:textId="2A9FC7D6" w:rsidR="00F54356" w:rsidRDefault="00F54356" w:rsidP="00FE3894">
      <w:pPr>
        <w:pStyle w:val="Heading1"/>
      </w:pPr>
      <w:bookmarkStart w:id="0" w:name="_Toc132895826"/>
      <w:r>
        <w:lastRenderedPageBreak/>
        <w:t xml:space="preserve">Organisational Responsibilities </w:t>
      </w:r>
      <w:r w:rsidR="00FE3894">
        <w:t>- PSIRF</w:t>
      </w:r>
      <w:bookmarkEnd w:id="0"/>
    </w:p>
    <w:p w14:paraId="7CFBAB56" w14:textId="5D51FC5D" w:rsidR="00AA5A45" w:rsidRDefault="00AA5A45" w:rsidP="00AA5A45">
      <w:pPr>
        <w:spacing w:line="240" w:lineRule="auto"/>
        <w:jc w:val="center"/>
        <w:rPr>
          <w:b/>
          <w:color w:val="auto"/>
          <w:sz w:val="28"/>
          <w:szCs w:val="22"/>
        </w:rPr>
      </w:pPr>
      <w:r w:rsidRPr="00AA5A45">
        <w:rPr>
          <w:b/>
          <w:noProof/>
          <w:color w:val="auto"/>
          <w:sz w:val="28"/>
          <w:szCs w:val="22"/>
        </w:rPr>
        <w:drawing>
          <wp:inline distT="0" distB="0" distL="0" distR="0" wp14:anchorId="011A5360" wp14:editId="1D7BC9E1">
            <wp:extent cx="5868219" cy="6801799"/>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3"/>
                    <a:stretch>
                      <a:fillRect/>
                    </a:stretch>
                  </pic:blipFill>
                  <pic:spPr>
                    <a:xfrm>
                      <a:off x="0" y="0"/>
                      <a:ext cx="5868219" cy="6801799"/>
                    </a:xfrm>
                    <a:prstGeom prst="rect">
                      <a:avLst/>
                    </a:prstGeom>
                  </pic:spPr>
                </pic:pic>
              </a:graphicData>
            </a:graphic>
          </wp:inline>
        </w:drawing>
      </w:r>
    </w:p>
    <w:p w14:paraId="519B2E1E" w14:textId="1CEBDF11" w:rsidR="00C13796" w:rsidRDefault="00C13796">
      <w:pPr>
        <w:spacing w:line="240" w:lineRule="auto"/>
        <w:rPr>
          <w:b/>
          <w:color w:val="FF0000"/>
          <w:sz w:val="28"/>
          <w:szCs w:val="22"/>
        </w:rPr>
      </w:pPr>
      <w:r>
        <w:rPr>
          <w:b/>
          <w:color w:val="FF0000"/>
          <w:sz w:val="28"/>
          <w:szCs w:val="22"/>
        </w:rPr>
        <w:br w:type="page"/>
      </w:r>
    </w:p>
    <w:p w14:paraId="1FD9517D" w14:textId="77777777" w:rsidR="00FE3894" w:rsidRDefault="00FE3894" w:rsidP="00AA5A45">
      <w:pPr>
        <w:spacing w:line="240" w:lineRule="auto"/>
        <w:jc w:val="center"/>
        <w:rPr>
          <w:b/>
          <w:color w:val="FF0000"/>
          <w:sz w:val="28"/>
          <w:szCs w:val="22"/>
        </w:rPr>
      </w:pPr>
    </w:p>
    <w:p w14:paraId="7A5CB14F" w14:textId="7DD47F19" w:rsidR="001F1632" w:rsidRDefault="00C353D9" w:rsidP="001F1632">
      <w:pPr>
        <w:pStyle w:val="Heading1"/>
      </w:pPr>
      <w:bookmarkStart w:id="1" w:name="_Toc132895827"/>
      <w:r>
        <w:t xml:space="preserve">ICB </w:t>
      </w:r>
      <w:r w:rsidR="0012601C">
        <w:t>i</w:t>
      </w:r>
      <w:r>
        <w:t xml:space="preserve">nfrastructure to </w:t>
      </w:r>
      <w:r w:rsidR="00F02414">
        <w:t xml:space="preserve">discharge </w:t>
      </w:r>
      <w:r>
        <w:t>PSIRF</w:t>
      </w:r>
      <w:r w:rsidR="00F02414">
        <w:t xml:space="preserve"> responsibilities.</w:t>
      </w:r>
      <w:bookmarkEnd w:id="1"/>
    </w:p>
    <w:p w14:paraId="699EFB15" w14:textId="170D62BB" w:rsidR="00FE3894" w:rsidRDefault="00FE3894" w:rsidP="00AA5A45">
      <w:pPr>
        <w:spacing w:line="240" w:lineRule="auto"/>
        <w:jc w:val="center"/>
        <w:rPr>
          <w:b/>
          <w:color w:val="auto"/>
          <w:sz w:val="28"/>
          <w:szCs w:val="22"/>
        </w:rPr>
      </w:pPr>
    </w:p>
    <w:p w14:paraId="694FC528" w14:textId="6A21134C" w:rsidR="00FF5A34" w:rsidRDefault="00BC1E00" w:rsidP="00AA5A45">
      <w:pPr>
        <w:spacing w:line="240" w:lineRule="auto"/>
        <w:jc w:val="center"/>
        <w:rPr>
          <w:b/>
          <w:color w:val="auto"/>
          <w:sz w:val="28"/>
          <w:szCs w:val="22"/>
        </w:rPr>
      </w:pPr>
      <w:r w:rsidRPr="00BC1E00">
        <w:rPr>
          <w:b/>
          <w:noProof/>
          <w:color w:val="auto"/>
          <w:sz w:val="28"/>
          <w:szCs w:val="22"/>
        </w:rPr>
        <w:drawing>
          <wp:inline distT="0" distB="0" distL="0" distR="0" wp14:anchorId="11EE2AD2" wp14:editId="30FC8D83">
            <wp:extent cx="4886325" cy="7278376"/>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4"/>
                    <a:stretch>
                      <a:fillRect/>
                    </a:stretch>
                  </pic:blipFill>
                  <pic:spPr>
                    <a:xfrm>
                      <a:off x="0" y="0"/>
                      <a:ext cx="4886953" cy="7279312"/>
                    </a:xfrm>
                    <a:prstGeom prst="rect">
                      <a:avLst/>
                    </a:prstGeom>
                  </pic:spPr>
                </pic:pic>
              </a:graphicData>
            </a:graphic>
          </wp:inline>
        </w:drawing>
      </w:r>
    </w:p>
    <w:p w14:paraId="4FA28A51" w14:textId="29A120EA" w:rsidR="00FF5A34" w:rsidRDefault="00FF5A34" w:rsidP="00AA5A45">
      <w:pPr>
        <w:spacing w:line="240" w:lineRule="auto"/>
        <w:jc w:val="center"/>
        <w:rPr>
          <w:b/>
          <w:color w:val="auto"/>
          <w:sz w:val="28"/>
          <w:szCs w:val="22"/>
        </w:rPr>
      </w:pPr>
    </w:p>
    <w:p w14:paraId="25788288" w14:textId="1B3466DD" w:rsidR="00FF5A34" w:rsidRDefault="00FF5A34" w:rsidP="00AA5A45">
      <w:pPr>
        <w:spacing w:line="240" w:lineRule="auto"/>
        <w:jc w:val="center"/>
        <w:rPr>
          <w:b/>
          <w:color w:val="auto"/>
          <w:sz w:val="28"/>
          <w:szCs w:val="22"/>
        </w:rPr>
      </w:pPr>
    </w:p>
    <w:p w14:paraId="445ADC64" w14:textId="6CC5B354" w:rsidR="00FF5A34" w:rsidRDefault="00FF5A34" w:rsidP="00AA5A45">
      <w:pPr>
        <w:spacing w:line="240" w:lineRule="auto"/>
        <w:jc w:val="center"/>
        <w:rPr>
          <w:b/>
          <w:color w:val="auto"/>
          <w:sz w:val="28"/>
          <w:szCs w:val="22"/>
        </w:rPr>
      </w:pPr>
    </w:p>
    <w:p w14:paraId="777D96E5" w14:textId="2812D949" w:rsidR="00FF5A34" w:rsidRDefault="00FF5A34" w:rsidP="00AA5A45">
      <w:pPr>
        <w:spacing w:line="240" w:lineRule="auto"/>
        <w:jc w:val="center"/>
        <w:rPr>
          <w:b/>
          <w:color w:val="auto"/>
          <w:sz w:val="28"/>
          <w:szCs w:val="22"/>
        </w:rPr>
      </w:pPr>
    </w:p>
    <w:p w14:paraId="7626965D" w14:textId="77777777" w:rsidR="00FF5A34" w:rsidRDefault="00FF5A34" w:rsidP="00AA5A45">
      <w:pPr>
        <w:spacing w:line="240" w:lineRule="auto"/>
        <w:jc w:val="center"/>
        <w:rPr>
          <w:b/>
          <w:color w:val="auto"/>
          <w:sz w:val="28"/>
          <w:szCs w:val="22"/>
        </w:rPr>
      </w:pPr>
    </w:p>
    <w:p w14:paraId="106FC13D" w14:textId="1C09B232" w:rsidR="00FE3894" w:rsidRDefault="00FE3894" w:rsidP="00AA5A45">
      <w:pPr>
        <w:spacing w:line="240" w:lineRule="auto"/>
        <w:jc w:val="center"/>
        <w:rPr>
          <w:b/>
          <w:color w:val="auto"/>
          <w:sz w:val="28"/>
          <w:szCs w:val="22"/>
        </w:rPr>
      </w:pPr>
    </w:p>
    <w:p w14:paraId="3B05DC04" w14:textId="6AD6539A" w:rsidR="003D1DFA" w:rsidRDefault="003D1DFA" w:rsidP="00AA5A45">
      <w:pPr>
        <w:spacing w:line="240" w:lineRule="auto"/>
        <w:jc w:val="center"/>
        <w:rPr>
          <w:b/>
          <w:color w:val="auto"/>
          <w:sz w:val="28"/>
          <w:szCs w:val="22"/>
        </w:rPr>
      </w:pPr>
    </w:p>
    <w:p w14:paraId="3B522618" w14:textId="598C36F7" w:rsidR="003D1DFA" w:rsidRDefault="003D1DFA" w:rsidP="00AA5A45">
      <w:pPr>
        <w:spacing w:line="240" w:lineRule="auto"/>
        <w:jc w:val="center"/>
        <w:rPr>
          <w:b/>
          <w:color w:val="auto"/>
          <w:sz w:val="28"/>
          <w:szCs w:val="22"/>
        </w:rPr>
      </w:pPr>
    </w:p>
    <w:p w14:paraId="7A119E60" w14:textId="33237877" w:rsidR="00824982" w:rsidRDefault="00BE1D7D" w:rsidP="00AE286E">
      <w:pPr>
        <w:pStyle w:val="Heading1"/>
      </w:pPr>
      <w:bookmarkStart w:id="2" w:name="_Toc132895828"/>
      <w:r w:rsidRPr="00402368">
        <w:t>I</w:t>
      </w:r>
      <w:r w:rsidR="00E91015">
        <w:t>ntroduction</w:t>
      </w:r>
      <w:bookmarkEnd w:id="2"/>
    </w:p>
    <w:p w14:paraId="10F5B6A6" w14:textId="4F25EF63" w:rsidR="00DD443C" w:rsidRPr="00E91015" w:rsidRDefault="008D6097" w:rsidP="003D7B46">
      <w:pPr>
        <w:spacing w:line="240" w:lineRule="auto"/>
        <w:ind w:left="431"/>
        <w:rPr>
          <w:color w:val="000000" w:themeColor="text1"/>
        </w:rPr>
      </w:pPr>
      <w:r>
        <w:rPr>
          <w:color w:val="000000" w:themeColor="text1"/>
        </w:rPr>
        <w:t xml:space="preserve">This </w:t>
      </w:r>
      <w:r w:rsidR="00212789">
        <w:rPr>
          <w:color w:val="000000" w:themeColor="text1"/>
        </w:rPr>
        <w:t xml:space="preserve">document is a policy </w:t>
      </w:r>
      <w:r w:rsidR="003C6F11">
        <w:rPr>
          <w:color w:val="000000" w:themeColor="text1"/>
        </w:rPr>
        <w:t>which is a set of statements of principles</w:t>
      </w:r>
      <w:r w:rsidR="000345BD">
        <w:rPr>
          <w:color w:val="000000" w:themeColor="text1"/>
        </w:rPr>
        <w:t>, values,</w:t>
      </w:r>
      <w:r w:rsidR="003C6F11">
        <w:rPr>
          <w:color w:val="000000" w:themeColor="text1"/>
        </w:rPr>
        <w:t xml:space="preserve"> and intent</w:t>
      </w:r>
      <w:r w:rsidR="00AE28A0">
        <w:rPr>
          <w:color w:val="000000" w:themeColor="text1"/>
        </w:rPr>
        <w:t xml:space="preserve"> in relation to</w:t>
      </w:r>
      <w:r w:rsidR="000345BD">
        <w:rPr>
          <w:color w:val="000000" w:themeColor="text1"/>
        </w:rPr>
        <w:t xml:space="preserve"> the Humber and North Yorkshire Integrated Care Board’s adoption of</w:t>
      </w:r>
      <w:r w:rsidR="00AE28A0">
        <w:rPr>
          <w:color w:val="000000" w:themeColor="text1"/>
        </w:rPr>
        <w:t xml:space="preserve"> the </w:t>
      </w:r>
      <w:r w:rsidR="000345BD">
        <w:rPr>
          <w:color w:val="000000" w:themeColor="text1"/>
        </w:rPr>
        <w:t xml:space="preserve">National Patient Safety Incident Response Framework.  </w:t>
      </w:r>
      <w:r w:rsidR="003C6F11">
        <w:rPr>
          <w:color w:val="000000" w:themeColor="text1"/>
        </w:rPr>
        <w:t xml:space="preserve"> </w:t>
      </w:r>
    </w:p>
    <w:p w14:paraId="44658BBF" w14:textId="77777777" w:rsidR="00E91015" w:rsidRPr="00DD443C" w:rsidRDefault="00E91015" w:rsidP="00E91015">
      <w:pPr>
        <w:ind w:left="432"/>
      </w:pPr>
    </w:p>
    <w:p w14:paraId="3D6CB5D4" w14:textId="457226D2" w:rsidR="008C26B8" w:rsidRDefault="00E91015" w:rsidP="00AE286E">
      <w:pPr>
        <w:pStyle w:val="Heading1"/>
      </w:pPr>
      <w:bookmarkStart w:id="3" w:name="_Toc132895829"/>
      <w:r>
        <w:t>Purpose</w:t>
      </w:r>
      <w:bookmarkEnd w:id="3"/>
    </w:p>
    <w:p w14:paraId="56D367F5" w14:textId="05DB38BD" w:rsidR="00240155" w:rsidRPr="00240155" w:rsidRDefault="00240155" w:rsidP="00CE574A">
      <w:pPr>
        <w:spacing w:line="240" w:lineRule="auto"/>
        <w:ind w:left="432"/>
        <w:rPr>
          <w:color w:val="000000" w:themeColor="text1"/>
        </w:rPr>
      </w:pPr>
      <w:r w:rsidRPr="00240155">
        <w:rPr>
          <w:color w:val="000000" w:themeColor="text1"/>
        </w:rPr>
        <w:t xml:space="preserve">This policy supports the requirements of the Patient Safety Incident Response Framework (PSIRF) and sets out </w:t>
      </w:r>
      <w:r w:rsidR="005A7FB6">
        <w:rPr>
          <w:color w:val="000000" w:themeColor="text1"/>
        </w:rPr>
        <w:t xml:space="preserve">the </w:t>
      </w:r>
      <w:r w:rsidR="001C0535">
        <w:rPr>
          <w:color w:val="000000" w:themeColor="text1"/>
        </w:rPr>
        <w:t xml:space="preserve">NHS </w:t>
      </w:r>
      <w:r w:rsidR="005A7FB6">
        <w:rPr>
          <w:color w:val="000000" w:themeColor="text1"/>
        </w:rPr>
        <w:t xml:space="preserve">Humber and North Yorkshire Integrated Care Board’s </w:t>
      </w:r>
      <w:r w:rsidRPr="00240155">
        <w:rPr>
          <w:color w:val="000000" w:themeColor="text1"/>
        </w:rPr>
        <w:t>approach to developing and maintaining effective systems and processes for responding to patient safety incidents and issues for the purpose of learning and improving patient safety.</w:t>
      </w:r>
    </w:p>
    <w:p w14:paraId="0747F39B" w14:textId="77777777" w:rsidR="00240155" w:rsidRPr="00240155" w:rsidRDefault="00240155" w:rsidP="00CE574A">
      <w:pPr>
        <w:spacing w:line="240" w:lineRule="auto"/>
        <w:ind w:left="432"/>
        <w:rPr>
          <w:color w:val="000000" w:themeColor="text1"/>
        </w:rPr>
      </w:pPr>
    </w:p>
    <w:p w14:paraId="6E592D5D" w14:textId="77777777" w:rsidR="00240155" w:rsidRPr="00240155" w:rsidRDefault="00240155" w:rsidP="00CE574A">
      <w:pPr>
        <w:spacing w:line="240" w:lineRule="auto"/>
        <w:ind w:left="432"/>
        <w:rPr>
          <w:color w:val="000000" w:themeColor="text1"/>
        </w:rPr>
      </w:pPr>
      <w:r w:rsidRPr="00240155">
        <w:rPr>
          <w:color w:val="000000" w:themeColor="text1"/>
        </w:rPr>
        <w:t>The PSIRF advocates a co-ordinated and data-driven response to patient safety incidents. It embeds patient safety incident response within a wider system of improvement and prompts a significant cultural shift towards systematic patient safety management.</w:t>
      </w:r>
    </w:p>
    <w:p w14:paraId="6E2E417E" w14:textId="77777777" w:rsidR="00240155" w:rsidRPr="00240155" w:rsidRDefault="00240155" w:rsidP="00CE574A">
      <w:pPr>
        <w:spacing w:line="240" w:lineRule="auto"/>
        <w:ind w:left="432"/>
        <w:rPr>
          <w:color w:val="000000" w:themeColor="text1"/>
        </w:rPr>
      </w:pPr>
    </w:p>
    <w:p w14:paraId="56532766" w14:textId="356DAC47" w:rsidR="00240155" w:rsidRPr="00240155" w:rsidRDefault="00240155" w:rsidP="00CE574A">
      <w:pPr>
        <w:spacing w:line="240" w:lineRule="auto"/>
        <w:ind w:left="432"/>
        <w:rPr>
          <w:color w:val="000000" w:themeColor="text1"/>
        </w:rPr>
      </w:pPr>
      <w:r w:rsidRPr="00240155">
        <w:rPr>
          <w:color w:val="000000" w:themeColor="text1"/>
        </w:rPr>
        <w:t>This policy supports development and maintenance of an effective patient safety incident response system that integrates the four key aims of the PSIRF:</w:t>
      </w:r>
    </w:p>
    <w:p w14:paraId="672B66B7" w14:textId="63080ECC" w:rsidR="005A7FB6" w:rsidRDefault="00240155" w:rsidP="00CE574A">
      <w:pPr>
        <w:pStyle w:val="ListParagraph"/>
        <w:numPr>
          <w:ilvl w:val="0"/>
          <w:numId w:val="25"/>
        </w:numPr>
        <w:spacing w:line="240" w:lineRule="auto"/>
        <w:rPr>
          <w:color w:val="000000" w:themeColor="text1"/>
        </w:rPr>
      </w:pPr>
      <w:r w:rsidRPr="005A7FB6">
        <w:rPr>
          <w:color w:val="000000" w:themeColor="text1"/>
        </w:rPr>
        <w:t>compassionate engagement and involvement of those affected by patient safety incidents</w:t>
      </w:r>
      <w:r w:rsidR="00942D87">
        <w:rPr>
          <w:color w:val="000000" w:themeColor="text1"/>
        </w:rPr>
        <w:t>.</w:t>
      </w:r>
    </w:p>
    <w:p w14:paraId="4D64CD09" w14:textId="472C8DF0" w:rsidR="005A7FB6" w:rsidRDefault="00240155" w:rsidP="00CE574A">
      <w:pPr>
        <w:pStyle w:val="ListParagraph"/>
        <w:numPr>
          <w:ilvl w:val="0"/>
          <w:numId w:val="25"/>
        </w:numPr>
        <w:spacing w:line="240" w:lineRule="auto"/>
        <w:rPr>
          <w:color w:val="000000" w:themeColor="text1"/>
        </w:rPr>
      </w:pPr>
      <w:r w:rsidRPr="005A7FB6">
        <w:rPr>
          <w:color w:val="000000" w:themeColor="text1"/>
        </w:rPr>
        <w:t>application of a range of system-based approaches to learning from patient safety incidents</w:t>
      </w:r>
      <w:r w:rsidR="00942D87">
        <w:rPr>
          <w:color w:val="000000" w:themeColor="text1"/>
        </w:rPr>
        <w:t>.</w:t>
      </w:r>
    </w:p>
    <w:p w14:paraId="03261F8B" w14:textId="134E0443" w:rsidR="005A7FB6" w:rsidRDefault="00240155" w:rsidP="00CE574A">
      <w:pPr>
        <w:pStyle w:val="ListParagraph"/>
        <w:numPr>
          <w:ilvl w:val="0"/>
          <w:numId w:val="25"/>
        </w:numPr>
        <w:spacing w:line="240" w:lineRule="auto"/>
        <w:rPr>
          <w:color w:val="000000" w:themeColor="text1"/>
        </w:rPr>
      </w:pPr>
      <w:r w:rsidRPr="005A7FB6">
        <w:rPr>
          <w:color w:val="000000" w:themeColor="text1"/>
        </w:rPr>
        <w:t>considered and proportionate responses to patient safety incidents and safety issues</w:t>
      </w:r>
      <w:r w:rsidR="00942D87">
        <w:rPr>
          <w:color w:val="000000" w:themeColor="text1"/>
        </w:rPr>
        <w:t>.</w:t>
      </w:r>
    </w:p>
    <w:p w14:paraId="0E885059" w14:textId="6894B7A3" w:rsidR="00DD443C" w:rsidRDefault="00240155" w:rsidP="00CE574A">
      <w:pPr>
        <w:pStyle w:val="ListParagraph"/>
        <w:numPr>
          <w:ilvl w:val="0"/>
          <w:numId w:val="25"/>
        </w:numPr>
        <w:spacing w:line="240" w:lineRule="auto"/>
        <w:rPr>
          <w:color w:val="000000" w:themeColor="text1"/>
        </w:rPr>
      </w:pPr>
      <w:r w:rsidRPr="005A7FB6">
        <w:rPr>
          <w:color w:val="000000" w:themeColor="text1"/>
        </w:rPr>
        <w:t>supportive oversight focused on strengthening response system functioning and improvement.</w:t>
      </w:r>
    </w:p>
    <w:p w14:paraId="0E21DF76" w14:textId="77777777" w:rsidR="00DD443C" w:rsidRPr="00DD443C" w:rsidRDefault="00DD443C" w:rsidP="00B277C6"/>
    <w:p w14:paraId="448658E8" w14:textId="5E393F76" w:rsidR="00CE68BF" w:rsidRPr="00CE68BF" w:rsidRDefault="00E91015" w:rsidP="00CE68BF">
      <w:pPr>
        <w:pStyle w:val="Heading1"/>
      </w:pPr>
      <w:bookmarkStart w:id="4" w:name="_Toc430791102"/>
      <w:bookmarkStart w:id="5" w:name="_Toc132895830"/>
      <w:r>
        <w:t xml:space="preserve">Scope of the </w:t>
      </w:r>
      <w:r w:rsidR="00AE286E" w:rsidRPr="00EE7401">
        <w:t>P</w:t>
      </w:r>
      <w:bookmarkEnd w:id="4"/>
      <w:r>
        <w:t>olicy</w:t>
      </w:r>
      <w:bookmarkEnd w:id="5"/>
    </w:p>
    <w:p w14:paraId="1FBF50A9" w14:textId="0E8CBDCB" w:rsidR="00E91015" w:rsidRDefault="00E91015" w:rsidP="00CE574A">
      <w:pPr>
        <w:spacing w:line="240" w:lineRule="auto"/>
        <w:ind w:left="431"/>
        <w:rPr>
          <w:color w:val="000000" w:themeColor="text1"/>
        </w:rPr>
      </w:pPr>
      <w:r w:rsidRPr="00E91015">
        <w:rPr>
          <w:color w:val="000000" w:themeColor="text1"/>
        </w:rPr>
        <w:t>The policy applies to NHS Humber and North Yorkshire</w:t>
      </w:r>
      <w:r w:rsidR="003C06DD">
        <w:rPr>
          <w:color w:val="000000" w:themeColor="text1"/>
        </w:rPr>
        <w:t xml:space="preserve"> Integrated Care Board</w:t>
      </w:r>
      <w:r w:rsidRPr="00E91015">
        <w:rPr>
          <w:color w:val="000000" w:themeColor="text1"/>
        </w:rPr>
        <w:t xml:space="preserve"> and all its employees and must be followed by all those who work for the organisation, including the Integrated Care Board, Integrated Care Partnership, those on temporary or honorary</w:t>
      </w:r>
      <w:r w:rsidR="00942D87">
        <w:rPr>
          <w:color w:val="000000" w:themeColor="text1"/>
        </w:rPr>
        <w:t xml:space="preserve"> </w:t>
      </w:r>
      <w:r w:rsidRPr="00E91015">
        <w:rPr>
          <w:color w:val="000000" w:themeColor="text1"/>
        </w:rPr>
        <w:t xml:space="preserve">contracts, secondments, pool staff, </w:t>
      </w:r>
      <w:proofErr w:type="gramStart"/>
      <w:r w:rsidRPr="00E91015">
        <w:rPr>
          <w:color w:val="000000" w:themeColor="text1"/>
        </w:rPr>
        <w:t>contractors</w:t>
      </w:r>
      <w:proofErr w:type="gramEnd"/>
      <w:r w:rsidRPr="00E91015">
        <w:rPr>
          <w:color w:val="000000" w:themeColor="text1"/>
        </w:rPr>
        <w:t xml:space="preserve"> and students. </w:t>
      </w:r>
    </w:p>
    <w:p w14:paraId="7AF11A9C" w14:textId="77777777" w:rsidR="00E91015" w:rsidRDefault="00E91015" w:rsidP="00CE574A">
      <w:pPr>
        <w:spacing w:line="240" w:lineRule="auto"/>
        <w:ind w:left="431"/>
        <w:rPr>
          <w:color w:val="000000" w:themeColor="text1"/>
        </w:rPr>
      </w:pPr>
    </w:p>
    <w:p w14:paraId="6AB616CD" w14:textId="41B7355B" w:rsidR="00C86506" w:rsidRPr="00C86506" w:rsidRDefault="00C86506" w:rsidP="00CE574A">
      <w:pPr>
        <w:spacing w:line="240" w:lineRule="auto"/>
        <w:ind w:left="432"/>
        <w:rPr>
          <w:color w:val="000000" w:themeColor="text1"/>
        </w:rPr>
      </w:pPr>
      <w:r w:rsidRPr="00C86506">
        <w:rPr>
          <w:color w:val="000000" w:themeColor="text1"/>
        </w:rPr>
        <w:t xml:space="preserve">This policy is specific to patient safety incident responses conducted solely for the purpose of learning and improvement across </w:t>
      </w:r>
      <w:r w:rsidR="00B669B4">
        <w:rPr>
          <w:color w:val="000000" w:themeColor="text1"/>
        </w:rPr>
        <w:t xml:space="preserve">Humber and North Yorkshire Integrated Care Board.  </w:t>
      </w:r>
    </w:p>
    <w:p w14:paraId="6695B387" w14:textId="77777777" w:rsidR="00C86506" w:rsidRPr="00C86506" w:rsidRDefault="00C86506" w:rsidP="00CE574A">
      <w:pPr>
        <w:spacing w:line="240" w:lineRule="auto"/>
        <w:ind w:left="432"/>
        <w:rPr>
          <w:color w:val="000000" w:themeColor="text1"/>
        </w:rPr>
      </w:pPr>
    </w:p>
    <w:p w14:paraId="181521F4" w14:textId="77777777" w:rsidR="00C86506" w:rsidRPr="00C86506" w:rsidRDefault="00C86506" w:rsidP="00CE574A">
      <w:pPr>
        <w:spacing w:line="240" w:lineRule="auto"/>
        <w:ind w:left="432"/>
        <w:rPr>
          <w:color w:val="000000" w:themeColor="text1"/>
        </w:rPr>
      </w:pPr>
      <w:r w:rsidRPr="00C86506">
        <w:rPr>
          <w:color w:val="000000" w:themeColor="text1"/>
        </w:rPr>
        <w:t>Responses under this policy follow a systems-based approach. This recognises that patient safety is an emergent property of the healthcare system: that is, safety is provided by interactions between components and not from a single component. Responses do not take a ‘person-focused’ approach where the actions or inactions of people, or ‘human error’, are stated as the cause of an incident.</w:t>
      </w:r>
    </w:p>
    <w:p w14:paraId="7DC4544B" w14:textId="77777777" w:rsidR="00C86506" w:rsidRPr="00C86506" w:rsidRDefault="00C86506" w:rsidP="00C86506">
      <w:pPr>
        <w:ind w:left="432"/>
        <w:rPr>
          <w:color w:val="000000" w:themeColor="text1"/>
        </w:rPr>
      </w:pPr>
    </w:p>
    <w:p w14:paraId="4BC5EF34" w14:textId="2C86AADE" w:rsidR="00E91015" w:rsidRDefault="00C86506" w:rsidP="00CE574A">
      <w:pPr>
        <w:spacing w:line="240" w:lineRule="auto"/>
        <w:ind w:left="432"/>
        <w:rPr>
          <w:color w:val="000000" w:themeColor="text1"/>
        </w:rPr>
      </w:pPr>
      <w:r w:rsidRPr="00C86506">
        <w:rPr>
          <w:color w:val="000000" w:themeColor="text1"/>
        </w:rPr>
        <w:t xml:space="preserve">There is no remit to apportion blame or determine liability, preventability or cause of death in a response conducted for the purpose of learning and improvement. Other processes, such as claims handling, human resources investigations into employment concerns, professional standards investigations, coronial </w:t>
      </w:r>
      <w:proofErr w:type="gramStart"/>
      <w:r w:rsidRPr="00C86506">
        <w:rPr>
          <w:color w:val="000000" w:themeColor="text1"/>
        </w:rPr>
        <w:t>inquests</w:t>
      </w:r>
      <w:proofErr w:type="gramEnd"/>
      <w:r w:rsidRPr="00C86506">
        <w:rPr>
          <w:color w:val="000000" w:themeColor="text1"/>
        </w:rPr>
        <w:t xml:space="preserve"> and criminal investigations, exist for that purpose. The principle aims of each of these responses differ from those of a patient safety response and are outside the scope of this policy.</w:t>
      </w:r>
    </w:p>
    <w:p w14:paraId="4555D313" w14:textId="16A59DA0" w:rsidR="00B669B4" w:rsidRDefault="00B669B4" w:rsidP="00CE574A">
      <w:pPr>
        <w:spacing w:line="240" w:lineRule="auto"/>
        <w:ind w:left="432"/>
        <w:rPr>
          <w:color w:val="000000" w:themeColor="text1"/>
        </w:rPr>
      </w:pPr>
    </w:p>
    <w:p w14:paraId="6A9CB94C" w14:textId="7DA23A9A" w:rsidR="00ED7FBF" w:rsidRDefault="00ED7FBF" w:rsidP="00CE574A">
      <w:pPr>
        <w:spacing w:line="240" w:lineRule="auto"/>
        <w:ind w:left="432"/>
        <w:rPr>
          <w:color w:val="000000" w:themeColor="text1"/>
        </w:rPr>
      </w:pPr>
      <w:r w:rsidRPr="00ED7FBF">
        <w:rPr>
          <w:color w:val="000000" w:themeColor="text1"/>
        </w:rPr>
        <w:lastRenderedPageBreak/>
        <w:t>Information from a patient safety response process can be shared with those leading other types of responses, but other processes should not influence the remit of a patient safety incident response</w:t>
      </w:r>
      <w:r>
        <w:rPr>
          <w:color w:val="000000" w:themeColor="text1"/>
        </w:rPr>
        <w:t>.</w:t>
      </w:r>
    </w:p>
    <w:p w14:paraId="5E51E8DA" w14:textId="77777777" w:rsidR="00ED7FBF" w:rsidRPr="00C86506" w:rsidRDefault="00ED7FBF" w:rsidP="00C86506">
      <w:pPr>
        <w:ind w:left="432"/>
        <w:rPr>
          <w:color w:val="000000" w:themeColor="text1"/>
        </w:rPr>
      </w:pPr>
    </w:p>
    <w:p w14:paraId="09703A50" w14:textId="7C36A1A6" w:rsidR="00E91015" w:rsidRPr="00E91015" w:rsidRDefault="00E91015" w:rsidP="00CE68BF">
      <w:pPr>
        <w:pStyle w:val="Heading1"/>
      </w:pPr>
      <w:bookmarkStart w:id="6" w:name="_Toc132895831"/>
      <w:r>
        <w:t>Duties/ Accountabilities and Responsibilities</w:t>
      </w:r>
      <w:bookmarkEnd w:id="6"/>
      <w:r w:rsidR="006E35D3" w:rsidRPr="006E35D3">
        <w:rPr>
          <w:b w:val="0"/>
          <w:sz w:val="24"/>
          <w:szCs w:val="24"/>
        </w:rPr>
        <w:t xml:space="preserve">     </w:t>
      </w:r>
    </w:p>
    <w:p w14:paraId="35FB6EE5" w14:textId="37630E1D" w:rsidR="008F16A6" w:rsidRDefault="00694ABB" w:rsidP="00942D87">
      <w:pPr>
        <w:pStyle w:val="Heading2"/>
        <w:ind w:left="856" w:hanging="431"/>
      </w:pPr>
      <w:bookmarkStart w:id="7" w:name="_Toc430791104"/>
      <w:bookmarkStart w:id="8" w:name="_Toc132895832"/>
      <w:r>
        <w:t>Duties within the organisation</w:t>
      </w:r>
      <w:bookmarkEnd w:id="7"/>
      <w:bookmarkEnd w:id="8"/>
    </w:p>
    <w:p w14:paraId="6E215050" w14:textId="399BC516" w:rsidR="002F355F" w:rsidRPr="00091ADF" w:rsidRDefault="002F355F" w:rsidP="00091ADF">
      <w:pPr>
        <w:spacing w:line="240" w:lineRule="auto"/>
        <w:ind w:left="720"/>
        <w:rPr>
          <w:color w:val="000000" w:themeColor="text1"/>
        </w:rPr>
      </w:pPr>
      <w:r w:rsidRPr="00091ADF">
        <w:rPr>
          <w:color w:val="000000" w:themeColor="text1"/>
        </w:rPr>
        <w:t xml:space="preserve">It is the responsibility of all staff to </w:t>
      </w:r>
      <w:r w:rsidR="00091ADF" w:rsidRPr="00091ADF">
        <w:rPr>
          <w:color w:val="000000" w:themeColor="text1"/>
        </w:rPr>
        <w:t>support the delivery of the patient safety incident response framework</w:t>
      </w:r>
      <w:r w:rsidR="001E5DB5">
        <w:rPr>
          <w:color w:val="000000" w:themeColor="text1"/>
        </w:rPr>
        <w:t>.</w:t>
      </w:r>
    </w:p>
    <w:p w14:paraId="6D69D2DB" w14:textId="3AA511F5" w:rsidR="00694ABB" w:rsidRDefault="00E13D3C" w:rsidP="00694ABB">
      <w:pPr>
        <w:pStyle w:val="Heading2"/>
        <w:ind w:left="856" w:hanging="431"/>
      </w:pPr>
      <w:bookmarkStart w:id="9" w:name="_Toc132895833"/>
      <w:r>
        <w:t xml:space="preserve">ICB </w:t>
      </w:r>
      <w:r w:rsidR="00C41583">
        <w:t>Executive Director of Nursing</w:t>
      </w:r>
      <w:bookmarkEnd w:id="9"/>
    </w:p>
    <w:p w14:paraId="57911085" w14:textId="5F3E141E" w:rsidR="00694ABB" w:rsidRPr="00694ABB" w:rsidRDefault="00694ABB" w:rsidP="003C23BC">
      <w:pPr>
        <w:ind w:left="425" w:firstLine="295"/>
        <w:rPr>
          <w:color w:val="auto"/>
        </w:rPr>
      </w:pPr>
      <w:r w:rsidRPr="00694ABB">
        <w:rPr>
          <w:color w:val="auto"/>
        </w:rPr>
        <w:t>This is the person with overall accountability for this policy.</w:t>
      </w:r>
    </w:p>
    <w:p w14:paraId="223863D3" w14:textId="5F1B7748" w:rsidR="00694ABB" w:rsidRPr="00F96CA8" w:rsidRDefault="00F41CCF" w:rsidP="00F96CA8">
      <w:pPr>
        <w:pStyle w:val="Heading2"/>
        <w:ind w:left="856" w:hanging="431"/>
      </w:pPr>
      <w:bookmarkStart w:id="10" w:name="_Toc132895834"/>
      <w:r>
        <w:t xml:space="preserve">ICB PSIRF Lead </w:t>
      </w:r>
      <w:r w:rsidR="00694ABB">
        <w:t xml:space="preserve">Director </w:t>
      </w:r>
      <w:r w:rsidR="002A4285">
        <w:t>of Nursing and Quality</w:t>
      </w:r>
      <w:bookmarkEnd w:id="10"/>
    </w:p>
    <w:p w14:paraId="20CC3DDC" w14:textId="77777777" w:rsidR="00847B15" w:rsidRDefault="007C43D6" w:rsidP="00694ABB">
      <w:pPr>
        <w:spacing w:line="240" w:lineRule="auto"/>
        <w:ind w:left="1151" w:hanging="431"/>
        <w:rPr>
          <w:color w:val="auto"/>
        </w:rPr>
      </w:pPr>
      <w:r>
        <w:rPr>
          <w:color w:val="auto"/>
        </w:rPr>
        <w:t xml:space="preserve">The Director of Nursing and Quality is </w:t>
      </w:r>
      <w:r w:rsidR="00694ABB" w:rsidRPr="00694ABB">
        <w:rPr>
          <w:color w:val="auto"/>
        </w:rPr>
        <w:t>responsible for the administrative co</w:t>
      </w:r>
      <w:r w:rsidR="00694ABB" w:rsidRPr="00694ABB">
        <w:rPr>
          <w:rFonts w:ascii="Cambria Math" w:hAnsi="Cambria Math" w:cs="Cambria Math"/>
          <w:color w:val="auto"/>
        </w:rPr>
        <w:t>‐</w:t>
      </w:r>
      <w:r w:rsidR="00694ABB" w:rsidRPr="00694ABB">
        <w:rPr>
          <w:color w:val="auto"/>
        </w:rPr>
        <w:t>ordination of</w:t>
      </w:r>
    </w:p>
    <w:p w14:paraId="6F7B1A5D" w14:textId="539F494F" w:rsidR="00694ABB" w:rsidRPr="00694ABB" w:rsidRDefault="00694ABB" w:rsidP="00694ABB">
      <w:pPr>
        <w:spacing w:line="240" w:lineRule="auto"/>
        <w:ind w:left="1151" w:hanging="431"/>
        <w:rPr>
          <w:color w:val="auto"/>
        </w:rPr>
      </w:pPr>
      <w:r w:rsidRPr="00694ABB">
        <w:rPr>
          <w:color w:val="auto"/>
        </w:rPr>
        <w:t>this policy.</w:t>
      </w:r>
    </w:p>
    <w:p w14:paraId="6D9147AE" w14:textId="77777777" w:rsidR="00694ABB" w:rsidRDefault="00694ABB" w:rsidP="00694ABB">
      <w:pPr>
        <w:spacing w:line="240" w:lineRule="auto"/>
        <w:ind w:left="1151" w:hanging="431"/>
        <w:rPr>
          <w:color w:val="auto"/>
        </w:rPr>
      </w:pPr>
    </w:p>
    <w:p w14:paraId="08F94A9B" w14:textId="5864C542" w:rsidR="00694ABB" w:rsidRDefault="00303433" w:rsidP="00694ABB">
      <w:pPr>
        <w:spacing w:line="240" w:lineRule="auto"/>
        <w:ind w:left="720"/>
        <w:rPr>
          <w:color w:val="auto"/>
        </w:rPr>
      </w:pPr>
      <w:r>
        <w:rPr>
          <w:color w:val="auto"/>
        </w:rPr>
        <w:t xml:space="preserve">The Director of Nursing and Quality is responsible for ensuring staff, providers of NHS </w:t>
      </w:r>
      <w:r w:rsidR="007C43D6">
        <w:rPr>
          <w:color w:val="auto"/>
        </w:rPr>
        <w:t>funded activity</w:t>
      </w:r>
      <w:r>
        <w:rPr>
          <w:color w:val="auto"/>
        </w:rPr>
        <w:t xml:space="preserve"> and st</w:t>
      </w:r>
      <w:r w:rsidR="007C43D6">
        <w:rPr>
          <w:color w:val="auto"/>
        </w:rPr>
        <w:t>akeholders</w:t>
      </w:r>
      <w:r>
        <w:rPr>
          <w:color w:val="auto"/>
        </w:rPr>
        <w:t xml:space="preserve"> </w:t>
      </w:r>
      <w:r w:rsidR="00694ABB" w:rsidRPr="00694ABB">
        <w:rPr>
          <w:color w:val="auto"/>
        </w:rPr>
        <w:t>are aware of this policy and processes to be followed.</w:t>
      </w:r>
    </w:p>
    <w:p w14:paraId="2CF06C7D" w14:textId="1E7EC663" w:rsidR="005E1326" w:rsidRDefault="005E1326" w:rsidP="00694ABB">
      <w:pPr>
        <w:spacing w:line="240" w:lineRule="auto"/>
        <w:ind w:left="720"/>
        <w:rPr>
          <w:color w:val="auto"/>
        </w:rPr>
      </w:pPr>
    </w:p>
    <w:p w14:paraId="008D88AE" w14:textId="6E837201" w:rsidR="005E1326" w:rsidRDefault="005E1326" w:rsidP="00694ABB">
      <w:pPr>
        <w:spacing w:line="240" w:lineRule="auto"/>
        <w:ind w:left="720"/>
        <w:rPr>
          <w:color w:val="auto"/>
        </w:rPr>
      </w:pPr>
      <w:r>
        <w:rPr>
          <w:color w:val="auto"/>
        </w:rPr>
        <w:t xml:space="preserve">The ICB PSIRF </w:t>
      </w:r>
      <w:r w:rsidR="0092775B">
        <w:rPr>
          <w:color w:val="auto"/>
        </w:rPr>
        <w:t>L</w:t>
      </w:r>
      <w:r>
        <w:rPr>
          <w:color w:val="auto"/>
        </w:rPr>
        <w:t>ead</w:t>
      </w:r>
      <w:r w:rsidR="0092775B">
        <w:rPr>
          <w:color w:val="auto"/>
        </w:rPr>
        <w:t xml:space="preserve"> Director of Nursing and Quality</w:t>
      </w:r>
      <w:r>
        <w:rPr>
          <w:color w:val="auto"/>
        </w:rPr>
        <w:t xml:space="preserve"> is responsible for:</w:t>
      </w:r>
    </w:p>
    <w:p w14:paraId="356617DC" w14:textId="2A56B2CC" w:rsidR="005E1326" w:rsidRDefault="008B7C11" w:rsidP="005E1326">
      <w:pPr>
        <w:pStyle w:val="ListParagraph"/>
        <w:numPr>
          <w:ilvl w:val="0"/>
          <w:numId w:val="26"/>
        </w:numPr>
        <w:spacing w:line="240" w:lineRule="auto"/>
        <w:rPr>
          <w:color w:val="auto"/>
        </w:rPr>
      </w:pPr>
      <w:r>
        <w:rPr>
          <w:color w:val="auto"/>
        </w:rPr>
        <w:t>Ensuring there are ICB arrangements in place for c</w:t>
      </w:r>
      <w:r w:rsidR="005E1326" w:rsidRPr="005E1326">
        <w:rPr>
          <w:color w:val="auto"/>
        </w:rPr>
        <w:t>ollaborat</w:t>
      </w:r>
      <w:r w:rsidR="005E1326">
        <w:rPr>
          <w:color w:val="auto"/>
        </w:rPr>
        <w:t>ing</w:t>
      </w:r>
      <w:r w:rsidR="005E1326" w:rsidRPr="005E1326">
        <w:rPr>
          <w:color w:val="auto"/>
        </w:rPr>
        <w:t xml:space="preserve"> with </w:t>
      </w:r>
      <w:r>
        <w:rPr>
          <w:color w:val="auto"/>
        </w:rPr>
        <w:t>NHS</w:t>
      </w:r>
      <w:r w:rsidR="005E1326" w:rsidRPr="005E1326">
        <w:rPr>
          <w:color w:val="auto"/>
        </w:rPr>
        <w:t xml:space="preserve"> </w:t>
      </w:r>
      <w:r>
        <w:rPr>
          <w:color w:val="auto"/>
        </w:rPr>
        <w:t xml:space="preserve">healthcare </w:t>
      </w:r>
      <w:r w:rsidR="005E1326" w:rsidRPr="005E1326">
        <w:rPr>
          <w:color w:val="auto"/>
        </w:rPr>
        <w:t>providers in the development, maintenance and review of provider patient safety incident response policies and plans</w:t>
      </w:r>
      <w:r w:rsidR="005E1326">
        <w:rPr>
          <w:color w:val="auto"/>
        </w:rPr>
        <w:t>.</w:t>
      </w:r>
    </w:p>
    <w:p w14:paraId="36CD2F80" w14:textId="1BAD9088" w:rsidR="005E1326" w:rsidRDefault="00533C96" w:rsidP="005E1326">
      <w:pPr>
        <w:pStyle w:val="ListParagraph"/>
        <w:numPr>
          <w:ilvl w:val="0"/>
          <w:numId w:val="26"/>
        </w:numPr>
        <w:spacing w:line="240" w:lineRule="auto"/>
        <w:rPr>
          <w:color w:val="auto"/>
        </w:rPr>
      </w:pPr>
      <w:r>
        <w:rPr>
          <w:color w:val="auto"/>
        </w:rPr>
        <w:t>Recommending the approval of</w:t>
      </w:r>
      <w:r w:rsidR="00247AC2" w:rsidRPr="00247AC2">
        <w:rPr>
          <w:color w:val="auto"/>
        </w:rPr>
        <w:t xml:space="preserve"> provider patient safety incident response policies and plans</w:t>
      </w:r>
      <w:r w:rsidR="00247AC2">
        <w:rPr>
          <w:color w:val="auto"/>
        </w:rPr>
        <w:t>.</w:t>
      </w:r>
    </w:p>
    <w:p w14:paraId="274E60A4" w14:textId="5D94C416" w:rsidR="00247AC2" w:rsidRDefault="00247AC2" w:rsidP="00247AC2">
      <w:pPr>
        <w:pStyle w:val="ListParagraph"/>
        <w:numPr>
          <w:ilvl w:val="0"/>
          <w:numId w:val="26"/>
        </w:numPr>
        <w:spacing w:line="240" w:lineRule="auto"/>
        <w:rPr>
          <w:color w:val="auto"/>
        </w:rPr>
      </w:pPr>
      <w:r w:rsidRPr="00247AC2">
        <w:rPr>
          <w:color w:val="auto"/>
        </w:rPr>
        <w:t>Oversee</w:t>
      </w:r>
      <w:r>
        <w:rPr>
          <w:color w:val="auto"/>
        </w:rPr>
        <w:t>ing</w:t>
      </w:r>
      <w:r w:rsidRPr="00247AC2">
        <w:rPr>
          <w:color w:val="auto"/>
        </w:rPr>
        <w:t xml:space="preserve"> and support</w:t>
      </w:r>
      <w:r>
        <w:rPr>
          <w:color w:val="auto"/>
        </w:rPr>
        <w:t>ing</w:t>
      </w:r>
      <w:r w:rsidRPr="00247AC2">
        <w:rPr>
          <w:color w:val="auto"/>
        </w:rPr>
        <w:t xml:space="preserve"> effectiveness of systems to achieve improvement following patient safety incidents</w:t>
      </w:r>
      <w:r>
        <w:rPr>
          <w:color w:val="auto"/>
        </w:rPr>
        <w:t>.</w:t>
      </w:r>
    </w:p>
    <w:p w14:paraId="5B25D4F5" w14:textId="38CB17F1" w:rsidR="009F2C13" w:rsidRDefault="00077712" w:rsidP="00077712">
      <w:pPr>
        <w:pStyle w:val="ListParagraph"/>
        <w:numPr>
          <w:ilvl w:val="0"/>
          <w:numId w:val="26"/>
        </w:numPr>
        <w:spacing w:line="240" w:lineRule="auto"/>
        <w:rPr>
          <w:color w:val="auto"/>
        </w:rPr>
      </w:pPr>
      <w:r w:rsidRPr="00077712">
        <w:rPr>
          <w:color w:val="auto"/>
        </w:rPr>
        <w:t>Support</w:t>
      </w:r>
      <w:r>
        <w:rPr>
          <w:color w:val="auto"/>
        </w:rPr>
        <w:t>ing the</w:t>
      </w:r>
      <w:r w:rsidRPr="00077712">
        <w:rPr>
          <w:color w:val="auto"/>
        </w:rPr>
        <w:t xml:space="preserve"> co-ordination of cross-system learning responses</w:t>
      </w:r>
      <w:r>
        <w:rPr>
          <w:color w:val="auto"/>
        </w:rPr>
        <w:t>.</w:t>
      </w:r>
    </w:p>
    <w:p w14:paraId="62624CFE" w14:textId="5E403EEF" w:rsidR="00077712" w:rsidRDefault="00FC03BB" w:rsidP="00FC03BB">
      <w:pPr>
        <w:pStyle w:val="ListParagraph"/>
        <w:numPr>
          <w:ilvl w:val="0"/>
          <w:numId w:val="26"/>
        </w:numPr>
        <w:spacing w:line="240" w:lineRule="auto"/>
        <w:rPr>
          <w:color w:val="auto"/>
        </w:rPr>
      </w:pPr>
      <w:r w:rsidRPr="00FC03BB">
        <w:rPr>
          <w:color w:val="auto"/>
        </w:rPr>
        <w:t>Shar</w:t>
      </w:r>
      <w:r>
        <w:rPr>
          <w:color w:val="auto"/>
        </w:rPr>
        <w:t>ing</w:t>
      </w:r>
      <w:r w:rsidRPr="00FC03BB">
        <w:rPr>
          <w:color w:val="auto"/>
        </w:rPr>
        <w:t xml:space="preserve"> insights and information across organisations/services to improve safety</w:t>
      </w:r>
      <w:r>
        <w:rPr>
          <w:color w:val="auto"/>
        </w:rPr>
        <w:t>.</w:t>
      </w:r>
    </w:p>
    <w:p w14:paraId="61BB3190" w14:textId="53EFEAB3" w:rsidR="00836F5F" w:rsidRDefault="00836F5F" w:rsidP="00836F5F">
      <w:pPr>
        <w:spacing w:line="240" w:lineRule="auto"/>
        <w:rPr>
          <w:color w:val="auto"/>
        </w:rPr>
      </w:pPr>
    </w:p>
    <w:p w14:paraId="360BBC81" w14:textId="7D6BE51E" w:rsidR="00836F5F" w:rsidRDefault="00836F5F" w:rsidP="00836F5F">
      <w:pPr>
        <w:pStyle w:val="Heading2"/>
      </w:pPr>
      <w:bookmarkStart w:id="11" w:name="_Toc132895835"/>
      <w:r>
        <w:t>ICB Quality Lead</w:t>
      </w:r>
      <w:r w:rsidR="00251CEA">
        <w:t>s</w:t>
      </w:r>
      <w:bookmarkEnd w:id="11"/>
    </w:p>
    <w:p w14:paraId="212623D7" w14:textId="6C434FA7" w:rsidR="00251CEA" w:rsidRPr="000D5638" w:rsidRDefault="00196BAA" w:rsidP="000D5638">
      <w:pPr>
        <w:spacing w:line="240" w:lineRule="auto"/>
        <w:ind w:left="718"/>
        <w:rPr>
          <w:color w:val="000000" w:themeColor="text1"/>
        </w:rPr>
      </w:pPr>
      <w:r w:rsidRPr="000D5638">
        <w:rPr>
          <w:color w:val="000000" w:themeColor="text1"/>
        </w:rPr>
        <w:t xml:space="preserve">Named </w:t>
      </w:r>
      <w:r w:rsidR="004C3360" w:rsidRPr="000D5638">
        <w:rPr>
          <w:color w:val="000000" w:themeColor="text1"/>
        </w:rPr>
        <w:t xml:space="preserve">Quality Leads within the ICB will be identified </w:t>
      </w:r>
      <w:r w:rsidRPr="000D5638">
        <w:rPr>
          <w:color w:val="000000" w:themeColor="text1"/>
        </w:rPr>
        <w:t>to be responsible for:</w:t>
      </w:r>
    </w:p>
    <w:p w14:paraId="5A6A9A5F" w14:textId="684FCE26" w:rsidR="00196BAA" w:rsidRPr="000D5638" w:rsidRDefault="00470A67" w:rsidP="000D5638">
      <w:pPr>
        <w:pStyle w:val="ListParagraph"/>
        <w:numPr>
          <w:ilvl w:val="0"/>
          <w:numId w:val="33"/>
        </w:numPr>
        <w:spacing w:line="240" w:lineRule="auto"/>
        <w:rPr>
          <w:color w:val="000000" w:themeColor="text1"/>
        </w:rPr>
      </w:pPr>
      <w:r w:rsidRPr="000D5638">
        <w:rPr>
          <w:color w:val="000000" w:themeColor="text1"/>
        </w:rPr>
        <w:t>Collaborating with</w:t>
      </w:r>
      <w:r w:rsidR="00295226" w:rsidRPr="000D5638">
        <w:rPr>
          <w:color w:val="000000" w:themeColor="text1"/>
        </w:rPr>
        <w:t xml:space="preserve"> named</w:t>
      </w:r>
      <w:r w:rsidRPr="000D5638">
        <w:rPr>
          <w:color w:val="000000" w:themeColor="text1"/>
        </w:rPr>
        <w:t xml:space="preserve"> providers</w:t>
      </w:r>
      <w:r w:rsidR="00204CDD">
        <w:rPr>
          <w:color w:val="000000" w:themeColor="text1"/>
        </w:rPr>
        <w:t>/</w:t>
      </w:r>
      <w:r w:rsidR="00204CDD" w:rsidRPr="00903E20">
        <w:rPr>
          <w:color w:val="auto"/>
        </w:rPr>
        <w:t xml:space="preserve">provider </w:t>
      </w:r>
      <w:r w:rsidR="00FE7742" w:rsidRPr="00903E20">
        <w:rPr>
          <w:color w:val="auto"/>
        </w:rPr>
        <w:t>collaboratives.</w:t>
      </w:r>
      <w:r w:rsidRPr="00903E20">
        <w:rPr>
          <w:color w:val="auto"/>
        </w:rPr>
        <w:t xml:space="preserve">  </w:t>
      </w:r>
    </w:p>
    <w:p w14:paraId="34981E17" w14:textId="768024F7" w:rsidR="00470A67" w:rsidRPr="000D5638" w:rsidRDefault="004A7031" w:rsidP="000D5638">
      <w:pPr>
        <w:pStyle w:val="ListParagraph"/>
        <w:numPr>
          <w:ilvl w:val="0"/>
          <w:numId w:val="33"/>
        </w:numPr>
        <w:spacing w:line="240" w:lineRule="auto"/>
        <w:rPr>
          <w:color w:val="000000" w:themeColor="text1"/>
        </w:rPr>
      </w:pPr>
      <w:r w:rsidRPr="000D5638">
        <w:rPr>
          <w:color w:val="000000" w:themeColor="text1"/>
        </w:rPr>
        <w:t>Overseeing and supporting</w:t>
      </w:r>
      <w:r w:rsidR="0041106D" w:rsidRPr="000D5638">
        <w:rPr>
          <w:color w:val="000000" w:themeColor="text1"/>
        </w:rPr>
        <w:t xml:space="preserve"> effectiveness of the Place system to achieve improvement following patient safety incidents. </w:t>
      </w:r>
    </w:p>
    <w:p w14:paraId="2D1707D3" w14:textId="44E2F817" w:rsidR="0041106D" w:rsidRPr="000D5638" w:rsidRDefault="0041106D" w:rsidP="000D5638">
      <w:pPr>
        <w:pStyle w:val="ListParagraph"/>
        <w:numPr>
          <w:ilvl w:val="0"/>
          <w:numId w:val="33"/>
        </w:numPr>
        <w:spacing w:line="240" w:lineRule="auto"/>
        <w:rPr>
          <w:color w:val="000000" w:themeColor="text1"/>
        </w:rPr>
      </w:pPr>
      <w:r w:rsidRPr="000D5638">
        <w:rPr>
          <w:color w:val="000000" w:themeColor="text1"/>
        </w:rPr>
        <w:t>Identifying</w:t>
      </w:r>
      <w:r w:rsidR="00DB29E8" w:rsidRPr="000D5638">
        <w:rPr>
          <w:color w:val="000000" w:themeColor="text1"/>
        </w:rPr>
        <w:t xml:space="preserve"> </w:t>
      </w:r>
      <w:r w:rsidR="005744C0" w:rsidRPr="000D5638">
        <w:rPr>
          <w:color w:val="000000" w:themeColor="text1"/>
        </w:rPr>
        <w:t xml:space="preserve">learning and improvement agendas to be shared </w:t>
      </w:r>
      <w:r w:rsidR="00DB29E8" w:rsidRPr="000D5638">
        <w:rPr>
          <w:color w:val="000000" w:themeColor="text1"/>
        </w:rPr>
        <w:t xml:space="preserve">within Place at the Place Quality Group. </w:t>
      </w:r>
    </w:p>
    <w:p w14:paraId="76CC5E5E" w14:textId="4901614D" w:rsidR="00DB29E8" w:rsidRPr="000D5638" w:rsidRDefault="00DB29E8" w:rsidP="000D5638">
      <w:pPr>
        <w:pStyle w:val="ListParagraph"/>
        <w:numPr>
          <w:ilvl w:val="0"/>
          <w:numId w:val="33"/>
        </w:numPr>
        <w:spacing w:line="240" w:lineRule="auto"/>
        <w:rPr>
          <w:color w:val="000000" w:themeColor="text1"/>
        </w:rPr>
      </w:pPr>
      <w:r w:rsidRPr="000D5638">
        <w:rPr>
          <w:color w:val="000000" w:themeColor="text1"/>
        </w:rPr>
        <w:t xml:space="preserve">Identifying </w:t>
      </w:r>
      <w:r w:rsidR="00E02DD9" w:rsidRPr="000D5638">
        <w:rPr>
          <w:color w:val="000000" w:themeColor="text1"/>
        </w:rPr>
        <w:t xml:space="preserve">incidents that require an ICS response. </w:t>
      </w:r>
    </w:p>
    <w:p w14:paraId="54FE93B3" w14:textId="3AA04A39" w:rsidR="00E02DD9" w:rsidRPr="000D5638" w:rsidRDefault="00E02DD9" w:rsidP="000D5638">
      <w:pPr>
        <w:pStyle w:val="ListParagraph"/>
        <w:numPr>
          <w:ilvl w:val="0"/>
          <w:numId w:val="33"/>
        </w:numPr>
        <w:spacing w:line="240" w:lineRule="auto"/>
        <w:rPr>
          <w:color w:val="000000" w:themeColor="text1"/>
        </w:rPr>
      </w:pPr>
      <w:r w:rsidRPr="000D5638">
        <w:rPr>
          <w:color w:val="000000" w:themeColor="text1"/>
        </w:rPr>
        <w:t>Supporting the identification of</w:t>
      </w:r>
      <w:r w:rsidR="00C51501">
        <w:rPr>
          <w:color w:val="000000" w:themeColor="text1"/>
        </w:rPr>
        <w:t xml:space="preserve"> </w:t>
      </w:r>
      <w:r w:rsidRPr="000D5638">
        <w:rPr>
          <w:color w:val="000000" w:themeColor="text1"/>
        </w:rPr>
        <w:t>learning</w:t>
      </w:r>
      <w:r w:rsidR="00C51501">
        <w:rPr>
          <w:color w:val="000000" w:themeColor="text1"/>
        </w:rPr>
        <w:t xml:space="preserve"> </w:t>
      </w:r>
      <w:r w:rsidR="00D3172F">
        <w:rPr>
          <w:color w:val="000000" w:themeColor="text1"/>
        </w:rPr>
        <w:t>to be shared across the ICS</w:t>
      </w:r>
      <w:r w:rsidR="000D5638" w:rsidRPr="000D5638">
        <w:rPr>
          <w:color w:val="000000" w:themeColor="text1"/>
        </w:rPr>
        <w:t xml:space="preserve">.  </w:t>
      </w:r>
    </w:p>
    <w:p w14:paraId="1A90D4C8" w14:textId="311171F5" w:rsidR="009B62C9" w:rsidRDefault="009B62C9" w:rsidP="009B62C9">
      <w:pPr>
        <w:spacing w:line="240" w:lineRule="auto"/>
        <w:rPr>
          <w:color w:val="auto"/>
        </w:rPr>
      </w:pPr>
    </w:p>
    <w:p w14:paraId="054D8977" w14:textId="324C481F" w:rsidR="000D5638" w:rsidRDefault="000D5638" w:rsidP="000D5638">
      <w:pPr>
        <w:pStyle w:val="Heading2"/>
      </w:pPr>
      <w:bookmarkStart w:id="12" w:name="_Toc132895836"/>
      <w:r>
        <w:t>ICB Learning Response Leads</w:t>
      </w:r>
      <w:bookmarkEnd w:id="12"/>
    </w:p>
    <w:p w14:paraId="337797D1" w14:textId="0EFE3134" w:rsidR="00D3172F" w:rsidRDefault="00D3172F" w:rsidP="00D406A3">
      <w:pPr>
        <w:spacing w:line="240" w:lineRule="auto"/>
        <w:ind w:left="720"/>
        <w:rPr>
          <w:color w:val="000000" w:themeColor="text1"/>
        </w:rPr>
      </w:pPr>
      <w:r w:rsidRPr="00D406A3">
        <w:rPr>
          <w:color w:val="000000" w:themeColor="text1"/>
        </w:rPr>
        <w:t xml:space="preserve">ICB Learning Response Leads will be identified across the directorates to lead </w:t>
      </w:r>
      <w:r w:rsidR="00D406A3" w:rsidRPr="00D406A3">
        <w:rPr>
          <w:color w:val="000000" w:themeColor="text1"/>
        </w:rPr>
        <w:t>and implement Quality Improvement at Place or across the system</w:t>
      </w:r>
      <w:r w:rsidR="00CC2086">
        <w:rPr>
          <w:color w:val="000000" w:themeColor="text1"/>
        </w:rPr>
        <w:t xml:space="preserve"> (This role is not specific to a job title but is identified within Job Descriptions</w:t>
      </w:r>
      <w:r w:rsidR="003F7D04">
        <w:rPr>
          <w:color w:val="000000" w:themeColor="text1"/>
        </w:rPr>
        <w:t>/functions of roles</w:t>
      </w:r>
      <w:r w:rsidR="00CC2086">
        <w:rPr>
          <w:color w:val="000000" w:themeColor="text1"/>
        </w:rPr>
        <w:t xml:space="preserve"> where the </w:t>
      </w:r>
      <w:r w:rsidR="00D23FD0">
        <w:rPr>
          <w:color w:val="000000" w:themeColor="text1"/>
        </w:rPr>
        <w:t xml:space="preserve">staff member is required to lead quality improvement/learning responses).  </w:t>
      </w:r>
    </w:p>
    <w:p w14:paraId="48B24D3D" w14:textId="77777777" w:rsidR="00985232" w:rsidRDefault="00985232" w:rsidP="00D406A3">
      <w:pPr>
        <w:spacing w:line="240" w:lineRule="auto"/>
        <w:ind w:left="720"/>
        <w:rPr>
          <w:color w:val="000000" w:themeColor="text1"/>
        </w:rPr>
      </w:pPr>
    </w:p>
    <w:p w14:paraId="01363DCB" w14:textId="26BA72E9" w:rsidR="00D23FD0" w:rsidRDefault="00D23FD0" w:rsidP="00D406A3">
      <w:pPr>
        <w:spacing w:line="240" w:lineRule="auto"/>
        <w:ind w:left="720"/>
        <w:rPr>
          <w:color w:val="000000" w:themeColor="text1"/>
        </w:rPr>
      </w:pPr>
      <w:r>
        <w:rPr>
          <w:color w:val="000000" w:themeColor="text1"/>
        </w:rPr>
        <w:t>ICB Learning Response Leads</w:t>
      </w:r>
      <w:r w:rsidR="00C22638">
        <w:rPr>
          <w:color w:val="000000" w:themeColor="text1"/>
        </w:rPr>
        <w:t xml:space="preserve"> are responsible for: </w:t>
      </w:r>
    </w:p>
    <w:p w14:paraId="59D70F63" w14:textId="55964A05" w:rsidR="00C22638" w:rsidRPr="00C22638" w:rsidRDefault="004D0E4F" w:rsidP="00C22638">
      <w:pPr>
        <w:pStyle w:val="ListParagraph"/>
        <w:numPr>
          <w:ilvl w:val="0"/>
          <w:numId w:val="34"/>
        </w:numPr>
        <w:spacing w:line="240" w:lineRule="auto"/>
        <w:rPr>
          <w:color w:val="000000" w:themeColor="text1"/>
        </w:rPr>
      </w:pPr>
      <w:r>
        <w:rPr>
          <w:color w:val="000000" w:themeColor="text1"/>
        </w:rPr>
        <w:lastRenderedPageBreak/>
        <w:t>Leading the</w:t>
      </w:r>
      <w:r w:rsidR="002E309E">
        <w:rPr>
          <w:color w:val="000000" w:themeColor="text1"/>
        </w:rPr>
        <w:t xml:space="preserve"> response to learning within the ICB</w:t>
      </w:r>
      <w:r w:rsidR="00693AAF">
        <w:rPr>
          <w:color w:val="000000" w:themeColor="text1"/>
        </w:rPr>
        <w:t>, across Places or Systems.</w:t>
      </w:r>
    </w:p>
    <w:p w14:paraId="722AE912" w14:textId="73600B4F" w:rsidR="000D5638" w:rsidRDefault="00D11AF9" w:rsidP="00D11AF9">
      <w:pPr>
        <w:pStyle w:val="Heading2"/>
      </w:pPr>
      <w:bookmarkStart w:id="13" w:name="_Toc132895837"/>
      <w:r>
        <w:t>Place Quality Groups</w:t>
      </w:r>
      <w:bookmarkEnd w:id="13"/>
    </w:p>
    <w:p w14:paraId="469EB801" w14:textId="5A0255A9" w:rsidR="00D11AF9" w:rsidRPr="00631538" w:rsidRDefault="00693AAF" w:rsidP="00631538">
      <w:pPr>
        <w:spacing w:line="240" w:lineRule="auto"/>
        <w:ind w:left="720"/>
        <w:rPr>
          <w:color w:val="000000" w:themeColor="text1"/>
        </w:rPr>
      </w:pPr>
      <w:r w:rsidRPr="00631538">
        <w:rPr>
          <w:color w:val="000000" w:themeColor="text1"/>
        </w:rPr>
        <w:t>The Place Quality Group is responsible</w:t>
      </w:r>
      <w:r w:rsidR="001B73F3" w:rsidRPr="00631538">
        <w:rPr>
          <w:color w:val="000000" w:themeColor="text1"/>
        </w:rPr>
        <w:t xml:space="preserve"> for</w:t>
      </w:r>
      <w:r w:rsidRPr="00631538">
        <w:rPr>
          <w:color w:val="000000" w:themeColor="text1"/>
        </w:rPr>
        <w:t>:</w:t>
      </w:r>
    </w:p>
    <w:p w14:paraId="24688184" w14:textId="7E30A7A1" w:rsidR="00693AAF" w:rsidRPr="00631538" w:rsidRDefault="001B73F3" w:rsidP="00631538">
      <w:pPr>
        <w:pStyle w:val="ListParagraph"/>
        <w:numPr>
          <w:ilvl w:val="0"/>
          <w:numId w:val="34"/>
        </w:numPr>
        <w:spacing w:line="240" w:lineRule="auto"/>
        <w:rPr>
          <w:color w:val="000000" w:themeColor="text1"/>
        </w:rPr>
      </w:pPr>
      <w:r w:rsidRPr="00631538">
        <w:rPr>
          <w:color w:val="000000" w:themeColor="text1"/>
        </w:rPr>
        <w:t>Overseeing learning responses within Place.</w:t>
      </w:r>
    </w:p>
    <w:p w14:paraId="0F56832F" w14:textId="6BF94ECF" w:rsidR="00631538" w:rsidRDefault="001B73F3" w:rsidP="00631538">
      <w:pPr>
        <w:pStyle w:val="ListParagraph"/>
        <w:numPr>
          <w:ilvl w:val="0"/>
          <w:numId w:val="34"/>
        </w:numPr>
        <w:spacing w:line="240" w:lineRule="auto"/>
        <w:rPr>
          <w:color w:val="000000" w:themeColor="text1"/>
        </w:rPr>
      </w:pPr>
      <w:r w:rsidRPr="00631538">
        <w:rPr>
          <w:color w:val="000000" w:themeColor="text1"/>
        </w:rPr>
        <w:t>Receiving learning</w:t>
      </w:r>
      <w:r w:rsidR="00631538" w:rsidRPr="00631538">
        <w:rPr>
          <w:color w:val="000000" w:themeColor="text1"/>
        </w:rPr>
        <w:t xml:space="preserve"> and </w:t>
      </w:r>
      <w:r w:rsidRPr="00631538">
        <w:rPr>
          <w:color w:val="000000" w:themeColor="text1"/>
        </w:rPr>
        <w:t>identifying learning for Place</w:t>
      </w:r>
      <w:r w:rsidR="00631538" w:rsidRPr="00631538">
        <w:rPr>
          <w:color w:val="000000" w:themeColor="text1"/>
        </w:rPr>
        <w:t>.</w:t>
      </w:r>
    </w:p>
    <w:p w14:paraId="565149A4" w14:textId="4D3C66DD" w:rsidR="00631538" w:rsidRPr="00631538" w:rsidRDefault="00631538" w:rsidP="00631538">
      <w:pPr>
        <w:pStyle w:val="ListParagraph"/>
        <w:numPr>
          <w:ilvl w:val="0"/>
          <w:numId w:val="34"/>
        </w:numPr>
        <w:spacing w:line="240" w:lineRule="auto"/>
        <w:rPr>
          <w:color w:val="000000" w:themeColor="text1"/>
        </w:rPr>
      </w:pPr>
      <w:r>
        <w:rPr>
          <w:color w:val="000000" w:themeColor="text1"/>
        </w:rPr>
        <w:t xml:space="preserve">Identifying and recommending learning for System.  </w:t>
      </w:r>
    </w:p>
    <w:p w14:paraId="470FFFDF" w14:textId="73191959" w:rsidR="00D11AF9" w:rsidRDefault="00D11AF9" w:rsidP="00D11AF9">
      <w:pPr>
        <w:pStyle w:val="Heading2"/>
      </w:pPr>
      <w:bookmarkStart w:id="14" w:name="_Toc132895838"/>
      <w:r>
        <w:t>System Quality Group</w:t>
      </w:r>
      <w:bookmarkEnd w:id="14"/>
    </w:p>
    <w:p w14:paraId="24EE6E62" w14:textId="0DB88C85" w:rsidR="00631538" w:rsidRPr="00631538" w:rsidRDefault="00631538" w:rsidP="00631538">
      <w:pPr>
        <w:spacing w:line="240" w:lineRule="auto"/>
        <w:ind w:left="718"/>
        <w:rPr>
          <w:color w:val="000000" w:themeColor="text1"/>
        </w:rPr>
      </w:pPr>
      <w:r w:rsidRPr="00631538">
        <w:rPr>
          <w:color w:val="000000" w:themeColor="text1"/>
        </w:rPr>
        <w:t>The System Quality Group is responsible for:</w:t>
      </w:r>
    </w:p>
    <w:p w14:paraId="7BF377DF" w14:textId="782F7A49" w:rsidR="00631538" w:rsidRPr="00631538" w:rsidRDefault="00631538" w:rsidP="00631538">
      <w:pPr>
        <w:pStyle w:val="ListParagraph"/>
        <w:numPr>
          <w:ilvl w:val="0"/>
          <w:numId w:val="35"/>
        </w:numPr>
        <w:spacing w:line="240" w:lineRule="auto"/>
        <w:rPr>
          <w:color w:val="000000" w:themeColor="text1"/>
        </w:rPr>
      </w:pPr>
      <w:r w:rsidRPr="00631538">
        <w:rPr>
          <w:color w:val="000000" w:themeColor="text1"/>
        </w:rPr>
        <w:t xml:space="preserve">Overseeing ICS learning responses. </w:t>
      </w:r>
    </w:p>
    <w:p w14:paraId="507329C5" w14:textId="153E1361" w:rsidR="00631538" w:rsidRPr="00631538" w:rsidRDefault="00631538" w:rsidP="00631538">
      <w:pPr>
        <w:pStyle w:val="ListParagraph"/>
        <w:numPr>
          <w:ilvl w:val="0"/>
          <w:numId w:val="35"/>
        </w:numPr>
        <w:spacing w:line="240" w:lineRule="auto"/>
        <w:rPr>
          <w:color w:val="000000" w:themeColor="text1"/>
        </w:rPr>
      </w:pPr>
      <w:r w:rsidRPr="00631538">
        <w:rPr>
          <w:color w:val="000000" w:themeColor="text1"/>
        </w:rPr>
        <w:t xml:space="preserve">Receiving learning and identifying learning for System.  </w:t>
      </w:r>
    </w:p>
    <w:p w14:paraId="6C499BC1" w14:textId="4AB8550A" w:rsidR="00D11AF9" w:rsidRPr="00D11AF9" w:rsidRDefault="00D11AF9" w:rsidP="00D11AF9">
      <w:pPr>
        <w:pStyle w:val="Heading2"/>
      </w:pPr>
      <w:bookmarkStart w:id="15" w:name="_Toc132895839"/>
      <w:r>
        <w:t>ICB PSIRF Group</w:t>
      </w:r>
      <w:bookmarkEnd w:id="15"/>
    </w:p>
    <w:p w14:paraId="2EE2D92D" w14:textId="3F716B61" w:rsidR="00631538" w:rsidRPr="00FB67BB" w:rsidRDefault="00631538" w:rsidP="00FB67BB">
      <w:pPr>
        <w:spacing w:line="240" w:lineRule="auto"/>
        <w:ind w:left="718"/>
        <w:rPr>
          <w:color w:val="000000" w:themeColor="text1"/>
        </w:rPr>
      </w:pPr>
      <w:r w:rsidRPr="00FB67BB">
        <w:rPr>
          <w:color w:val="000000" w:themeColor="text1"/>
        </w:rPr>
        <w:t>The ICB PSIRF Group is responsible for:</w:t>
      </w:r>
    </w:p>
    <w:p w14:paraId="7D31333D" w14:textId="29F73255" w:rsidR="0006396F" w:rsidRPr="00FB67BB" w:rsidRDefault="005D3B0E" w:rsidP="00FB67BB">
      <w:pPr>
        <w:pStyle w:val="ListParagraph"/>
        <w:numPr>
          <w:ilvl w:val="0"/>
          <w:numId w:val="37"/>
        </w:numPr>
        <w:spacing w:line="240" w:lineRule="auto"/>
        <w:rPr>
          <w:color w:val="000000" w:themeColor="text1"/>
        </w:rPr>
      </w:pPr>
      <w:r w:rsidRPr="00FB67BB">
        <w:rPr>
          <w:color w:val="000000" w:themeColor="text1"/>
        </w:rPr>
        <w:t xml:space="preserve">Ensuring compliance with the ICB Policy.  </w:t>
      </w:r>
    </w:p>
    <w:p w14:paraId="0B52C01F" w14:textId="0AFAE92D" w:rsidR="005D3B0E" w:rsidRPr="00FB67BB" w:rsidRDefault="00C3153A" w:rsidP="00FB67BB">
      <w:pPr>
        <w:pStyle w:val="ListParagraph"/>
        <w:numPr>
          <w:ilvl w:val="0"/>
          <w:numId w:val="37"/>
        </w:numPr>
        <w:spacing w:line="240" w:lineRule="auto"/>
        <w:rPr>
          <w:color w:val="000000" w:themeColor="text1"/>
        </w:rPr>
      </w:pPr>
      <w:r w:rsidRPr="00FB67BB">
        <w:rPr>
          <w:color w:val="000000" w:themeColor="text1"/>
        </w:rPr>
        <w:t xml:space="preserve">Overseeing the discharge of the ICB’s responsibilities. </w:t>
      </w:r>
    </w:p>
    <w:p w14:paraId="3C919DA8" w14:textId="25F9D2EB" w:rsidR="00C3153A" w:rsidRPr="00FB67BB" w:rsidRDefault="00C3153A" w:rsidP="00FB67BB">
      <w:pPr>
        <w:pStyle w:val="ListParagraph"/>
        <w:numPr>
          <w:ilvl w:val="0"/>
          <w:numId w:val="37"/>
        </w:numPr>
        <w:spacing w:line="240" w:lineRule="auto"/>
        <w:rPr>
          <w:color w:val="000000" w:themeColor="text1"/>
        </w:rPr>
      </w:pPr>
      <w:r w:rsidRPr="00FB67BB">
        <w:rPr>
          <w:color w:val="000000" w:themeColor="text1"/>
        </w:rPr>
        <w:t xml:space="preserve">Forming </w:t>
      </w:r>
      <w:r w:rsidR="00FB67BB" w:rsidRPr="00FB67BB">
        <w:rPr>
          <w:color w:val="000000" w:themeColor="text1"/>
        </w:rPr>
        <w:t xml:space="preserve">an oversight statement for the Quality Committee. </w:t>
      </w:r>
    </w:p>
    <w:p w14:paraId="5D44C4D0" w14:textId="77777777" w:rsidR="00FB67BB" w:rsidRDefault="00D11AF9" w:rsidP="00CD4EEF">
      <w:pPr>
        <w:pStyle w:val="Heading2"/>
        <w:spacing w:line="240" w:lineRule="auto"/>
      </w:pPr>
      <w:bookmarkStart w:id="16" w:name="_Toc132895840"/>
      <w:r>
        <w:t>ICB Quality Committee</w:t>
      </w:r>
      <w:bookmarkEnd w:id="16"/>
    </w:p>
    <w:p w14:paraId="7657943F" w14:textId="77777777" w:rsidR="00821565" w:rsidRDefault="003C23BC" w:rsidP="00CD4EEF">
      <w:pPr>
        <w:pStyle w:val="Heading2"/>
        <w:numPr>
          <w:ilvl w:val="0"/>
          <w:numId w:val="0"/>
        </w:numPr>
        <w:spacing w:line="240" w:lineRule="auto"/>
        <w:ind w:left="142" w:firstLine="576"/>
        <w:rPr>
          <w:b w:val="0"/>
          <w:bCs w:val="0"/>
        </w:rPr>
      </w:pPr>
      <w:bookmarkStart w:id="17" w:name="_Toc132895841"/>
      <w:r w:rsidRPr="00821565">
        <w:rPr>
          <w:b w:val="0"/>
          <w:bCs w:val="0"/>
        </w:rPr>
        <w:t xml:space="preserve">The </w:t>
      </w:r>
      <w:r w:rsidR="00A1258A" w:rsidRPr="00821565">
        <w:rPr>
          <w:b w:val="0"/>
          <w:bCs w:val="0"/>
        </w:rPr>
        <w:t xml:space="preserve">ICB </w:t>
      </w:r>
      <w:r w:rsidRPr="00821565">
        <w:rPr>
          <w:b w:val="0"/>
          <w:bCs w:val="0"/>
        </w:rPr>
        <w:t xml:space="preserve">Quality Committee is </w:t>
      </w:r>
      <w:r w:rsidR="00694ABB" w:rsidRPr="00821565">
        <w:rPr>
          <w:b w:val="0"/>
          <w:bCs w:val="0"/>
        </w:rPr>
        <w:t>responsible for</w:t>
      </w:r>
      <w:r w:rsidR="00FB67BB" w:rsidRPr="00821565">
        <w:rPr>
          <w:b w:val="0"/>
          <w:bCs w:val="0"/>
        </w:rPr>
        <w:t>:</w:t>
      </w:r>
      <w:bookmarkEnd w:id="17"/>
    </w:p>
    <w:p w14:paraId="362B439B" w14:textId="0F5A0A56" w:rsidR="00694ABB" w:rsidRDefault="00821565" w:rsidP="00CD4EEF">
      <w:pPr>
        <w:pStyle w:val="Heading2"/>
        <w:numPr>
          <w:ilvl w:val="0"/>
          <w:numId w:val="38"/>
        </w:numPr>
        <w:spacing w:line="240" w:lineRule="auto"/>
        <w:rPr>
          <w:b w:val="0"/>
          <w:bCs w:val="0"/>
        </w:rPr>
      </w:pPr>
      <w:bookmarkStart w:id="18" w:name="_Toc132895842"/>
      <w:r>
        <w:rPr>
          <w:b w:val="0"/>
          <w:bCs w:val="0"/>
        </w:rPr>
        <w:t>T</w:t>
      </w:r>
      <w:r w:rsidR="00694ABB" w:rsidRPr="00821565">
        <w:rPr>
          <w:b w:val="0"/>
          <w:bCs w:val="0"/>
        </w:rPr>
        <w:t>he approval of this policy document.</w:t>
      </w:r>
      <w:bookmarkEnd w:id="18"/>
    </w:p>
    <w:p w14:paraId="66A1D27B" w14:textId="3CE8DBC8" w:rsidR="00694ABB" w:rsidRDefault="004F3CC5" w:rsidP="00CD4EEF">
      <w:pPr>
        <w:pStyle w:val="ListParagraph"/>
        <w:numPr>
          <w:ilvl w:val="0"/>
          <w:numId w:val="38"/>
        </w:numPr>
        <w:spacing w:line="240" w:lineRule="auto"/>
        <w:rPr>
          <w:color w:val="000000" w:themeColor="text1"/>
        </w:rPr>
      </w:pPr>
      <w:r>
        <w:rPr>
          <w:color w:val="000000" w:themeColor="text1"/>
        </w:rPr>
        <w:t xml:space="preserve">Seeking assurance that the ICB is discharging its duties in relation to PSIRF. </w:t>
      </w:r>
    </w:p>
    <w:p w14:paraId="4C445C1A" w14:textId="77777777" w:rsidR="004F3CC5" w:rsidRPr="00853F2B" w:rsidRDefault="004F3CC5" w:rsidP="004F3CC5">
      <w:pPr>
        <w:pStyle w:val="ListParagraph"/>
        <w:spacing w:line="240" w:lineRule="auto"/>
        <w:ind w:left="1438"/>
        <w:rPr>
          <w:color w:val="000000" w:themeColor="text1"/>
        </w:rPr>
      </w:pPr>
    </w:p>
    <w:p w14:paraId="47BF8089" w14:textId="4EEFE9B9" w:rsidR="00694ABB" w:rsidRDefault="0060549C" w:rsidP="00694ABB">
      <w:pPr>
        <w:pStyle w:val="Heading1"/>
      </w:pPr>
      <w:bookmarkStart w:id="19" w:name="_Toc132895843"/>
      <w:r>
        <w:t>Our Patient Safety Culture</w:t>
      </w:r>
      <w:bookmarkEnd w:id="19"/>
      <w:r>
        <w:t xml:space="preserve"> </w:t>
      </w:r>
    </w:p>
    <w:p w14:paraId="3C82264A" w14:textId="1034F4FD" w:rsidR="00C5162E" w:rsidRPr="00FB53F0" w:rsidRDefault="00A86A40" w:rsidP="00FB53F0">
      <w:pPr>
        <w:spacing w:line="240" w:lineRule="auto"/>
        <w:ind w:left="858"/>
        <w:rPr>
          <w:color w:val="000000" w:themeColor="text1"/>
        </w:rPr>
      </w:pPr>
      <w:r w:rsidRPr="00FB53F0">
        <w:rPr>
          <w:color w:val="000000" w:themeColor="text1"/>
        </w:rPr>
        <w:t xml:space="preserve">Humber and North Yorkshire Integrated Care Board </w:t>
      </w:r>
      <w:r w:rsidR="008D47F6" w:rsidRPr="00FB53F0">
        <w:rPr>
          <w:color w:val="000000" w:themeColor="text1"/>
        </w:rPr>
        <w:t xml:space="preserve">supports open and transparent reporting.  </w:t>
      </w:r>
      <w:r w:rsidR="00FB53F0" w:rsidRPr="00FB53F0">
        <w:rPr>
          <w:color w:val="000000" w:themeColor="text1"/>
        </w:rPr>
        <w:t xml:space="preserve">The organisation strives to create a climate that fosters a just and open safety culture.  </w:t>
      </w:r>
    </w:p>
    <w:p w14:paraId="4BF0400E" w14:textId="5AD63D44" w:rsidR="00443AE2" w:rsidRDefault="00443AE2" w:rsidP="002E29FE">
      <w:pPr>
        <w:ind w:left="858"/>
      </w:pPr>
    </w:p>
    <w:p w14:paraId="67F92DEC" w14:textId="05B661F6" w:rsidR="00443AE2" w:rsidRPr="00E41DC2" w:rsidRDefault="00443AE2" w:rsidP="00E41DC2">
      <w:pPr>
        <w:pStyle w:val="Heading1"/>
        <w:spacing w:line="240" w:lineRule="auto"/>
        <w:rPr>
          <w:color w:val="000000" w:themeColor="text1"/>
        </w:rPr>
      </w:pPr>
      <w:bookmarkStart w:id="20" w:name="_Toc132895844"/>
      <w:r w:rsidRPr="00E41DC2">
        <w:rPr>
          <w:color w:val="000000" w:themeColor="text1"/>
        </w:rPr>
        <w:t>Collaboration</w:t>
      </w:r>
      <w:bookmarkEnd w:id="20"/>
    </w:p>
    <w:p w14:paraId="459C4D37" w14:textId="77777777" w:rsidR="00BD0740" w:rsidRPr="00BD0740" w:rsidRDefault="00BD0740" w:rsidP="00BD0740">
      <w:pPr>
        <w:spacing w:line="240" w:lineRule="auto"/>
        <w:ind w:left="858"/>
        <w:rPr>
          <w:color w:val="000000" w:themeColor="text1"/>
        </w:rPr>
      </w:pPr>
      <w:r w:rsidRPr="00BD0740">
        <w:rPr>
          <w:color w:val="000000" w:themeColor="text1"/>
        </w:rPr>
        <w:t xml:space="preserve">The National Patient Safety Incident Response Standards (NHSE, 2022) place a responsibility upon ICB’s to collaborate with Providers. </w:t>
      </w:r>
    </w:p>
    <w:p w14:paraId="184AFDB7" w14:textId="77777777" w:rsidR="00BD0740" w:rsidRPr="00BD0740" w:rsidRDefault="00BD0740" w:rsidP="00BD0740">
      <w:pPr>
        <w:spacing w:line="240" w:lineRule="auto"/>
        <w:ind w:left="858"/>
        <w:rPr>
          <w:color w:val="000000" w:themeColor="text1"/>
        </w:rPr>
      </w:pPr>
    </w:p>
    <w:p w14:paraId="0FF41AF1" w14:textId="77777777" w:rsidR="00BD0740" w:rsidRPr="00BD0740" w:rsidRDefault="00BD0740" w:rsidP="00BD0740">
      <w:pPr>
        <w:spacing w:line="240" w:lineRule="auto"/>
        <w:ind w:left="858"/>
        <w:rPr>
          <w:color w:val="000000" w:themeColor="text1"/>
        </w:rPr>
      </w:pPr>
      <w:r w:rsidRPr="00BD0740">
        <w:rPr>
          <w:color w:val="000000" w:themeColor="text1"/>
        </w:rPr>
        <w:t xml:space="preserve">Collaboration is described as the act of working together to achieve or create something.   </w:t>
      </w:r>
    </w:p>
    <w:p w14:paraId="22BA51A4" w14:textId="77777777" w:rsidR="00BD0740" w:rsidRPr="00BD0740" w:rsidRDefault="00BD0740" w:rsidP="00BD0740">
      <w:pPr>
        <w:spacing w:line="240" w:lineRule="auto"/>
        <w:ind w:left="858"/>
        <w:rPr>
          <w:color w:val="000000" w:themeColor="text1"/>
        </w:rPr>
      </w:pPr>
    </w:p>
    <w:p w14:paraId="60DABBFF" w14:textId="77777777" w:rsidR="00BD0740" w:rsidRPr="00BD0740" w:rsidRDefault="00BD0740" w:rsidP="00BD0740">
      <w:pPr>
        <w:spacing w:line="240" w:lineRule="auto"/>
        <w:ind w:left="858"/>
        <w:rPr>
          <w:color w:val="000000" w:themeColor="text1"/>
        </w:rPr>
      </w:pPr>
      <w:r w:rsidRPr="00BD0740">
        <w:rPr>
          <w:color w:val="000000" w:themeColor="text1"/>
        </w:rPr>
        <w:t>To enable effective collaboration:</w:t>
      </w:r>
    </w:p>
    <w:p w14:paraId="6239E65E" w14:textId="77777777" w:rsidR="00BD0740" w:rsidRDefault="00BD0740" w:rsidP="00BD0740">
      <w:pPr>
        <w:pStyle w:val="ListParagraph"/>
        <w:numPr>
          <w:ilvl w:val="0"/>
          <w:numId w:val="31"/>
        </w:numPr>
        <w:spacing w:line="240" w:lineRule="auto"/>
        <w:rPr>
          <w:color w:val="000000" w:themeColor="text1"/>
        </w:rPr>
      </w:pPr>
      <w:r w:rsidRPr="00BD0740">
        <w:rPr>
          <w:color w:val="000000" w:themeColor="text1"/>
        </w:rPr>
        <w:t>Trust and respect must be established.</w:t>
      </w:r>
    </w:p>
    <w:p w14:paraId="7E4ADF27" w14:textId="77777777" w:rsidR="00BD0740" w:rsidRDefault="00BD0740" w:rsidP="00BD0740">
      <w:pPr>
        <w:pStyle w:val="ListParagraph"/>
        <w:numPr>
          <w:ilvl w:val="0"/>
          <w:numId w:val="31"/>
        </w:numPr>
        <w:spacing w:line="240" w:lineRule="auto"/>
        <w:rPr>
          <w:color w:val="000000" w:themeColor="text1"/>
        </w:rPr>
      </w:pPr>
      <w:r w:rsidRPr="00BD0740">
        <w:rPr>
          <w:color w:val="000000" w:themeColor="text1"/>
        </w:rPr>
        <w:t>There must be a willingness to work together.</w:t>
      </w:r>
    </w:p>
    <w:p w14:paraId="18415C8C" w14:textId="77777777" w:rsidR="00BD0740" w:rsidRDefault="00BD0740" w:rsidP="00BD0740">
      <w:pPr>
        <w:pStyle w:val="ListParagraph"/>
        <w:numPr>
          <w:ilvl w:val="0"/>
          <w:numId w:val="31"/>
        </w:numPr>
        <w:spacing w:line="240" w:lineRule="auto"/>
        <w:rPr>
          <w:color w:val="000000" w:themeColor="text1"/>
        </w:rPr>
      </w:pPr>
      <w:r w:rsidRPr="00BD0740">
        <w:rPr>
          <w:color w:val="000000" w:themeColor="text1"/>
        </w:rPr>
        <w:t xml:space="preserve">Communication must be effective. </w:t>
      </w:r>
    </w:p>
    <w:p w14:paraId="56B428D5" w14:textId="4C0FE141" w:rsidR="00E41DC2" w:rsidRPr="00BD0740" w:rsidRDefault="00BD0740" w:rsidP="00BD0740">
      <w:pPr>
        <w:pStyle w:val="ListParagraph"/>
        <w:numPr>
          <w:ilvl w:val="0"/>
          <w:numId w:val="31"/>
        </w:numPr>
        <w:spacing w:line="240" w:lineRule="auto"/>
        <w:rPr>
          <w:color w:val="000000" w:themeColor="text1"/>
        </w:rPr>
      </w:pPr>
      <w:r w:rsidRPr="00BD0740">
        <w:rPr>
          <w:color w:val="000000" w:themeColor="text1"/>
        </w:rPr>
        <w:t>Both parties must feel empowered.</w:t>
      </w:r>
    </w:p>
    <w:p w14:paraId="6ADB17B6" w14:textId="77777777" w:rsidR="00A13C58" w:rsidRDefault="00A13C58" w:rsidP="00A13C58">
      <w:pPr>
        <w:ind w:firstLine="720"/>
      </w:pPr>
    </w:p>
    <w:p w14:paraId="10040F97" w14:textId="5700B9E9" w:rsidR="00903E20" w:rsidRPr="00D20394" w:rsidRDefault="009F3BC9" w:rsidP="00D20394">
      <w:pPr>
        <w:spacing w:line="240" w:lineRule="auto"/>
        <w:ind w:left="720"/>
        <w:rPr>
          <w:color w:val="auto"/>
        </w:rPr>
      </w:pPr>
      <w:r w:rsidRPr="00D20394">
        <w:rPr>
          <w:color w:val="auto"/>
        </w:rPr>
        <w:t>The ICB’s responsibility to collaborate with providers</w:t>
      </w:r>
      <w:r w:rsidR="00A13C58" w:rsidRPr="00D20394">
        <w:rPr>
          <w:color w:val="auto"/>
        </w:rPr>
        <w:t xml:space="preserve"> </w:t>
      </w:r>
      <w:r w:rsidRPr="00D20394">
        <w:rPr>
          <w:color w:val="auto"/>
        </w:rPr>
        <w:t xml:space="preserve">will require the ICB to </w:t>
      </w:r>
      <w:r w:rsidR="00D20394" w:rsidRPr="00D20394">
        <w:rPr>
          <w:color w:val="auto"/>
        </w:rPr>
        <w:t xml:space="preserve">work with the </w:t>
      </w:r>
      <w:r w:rsidR="00A13C58" w:rsidRPr="00D20394">
        <w:rPr>
          <w:color w:val="auto"/>
        </w:rPr>
        <w:t>relevant provider collaborative arrangements</w:t>
      </w:r>
      <w:r w:rsidR="00D20394" w:rsidRPr="00D20394">
        <w:rPr>
          <w:color w:val="auto"/>
        </w:rPr>
        <w:t xml:space="preserve"> as well as with individual providers. </w:t>
      </w:r>
    </w:p>
    <w:p w14:paraId="0843FF82" w14:textId="77777777" w:rsidR="00D20394" w:rsidRPr="00903E20" w:rsidRDefault="00D20394" w:rsidP="00A13C58">
      <w:pPr>
        <w:ind w:left="720"/>
      </w:pPr>
    </w:p>
    <w:p w14:paraId="3E0A7242" w14:textId="43D8C1EA" w:rsidR="004E412D" w:rsidRDefault="004E412D" w:rsidP="004E412D">
      <w:pPr>
        <w:pStyle w:val="Heading1"/>
      </w:pPr>
      <w:bookmarkStart w:id="21" w:name="_Toc132895845"/>
      <w:r>
        <w:t>Oversight</w:t>
      </w:r>
      <w:r w:rsidR="003B5FA4">
        <w:t xml:space="preserve"> Roles and Responsibilities</w:t>
      </w:r>
      <w:bookmarkEnd w:id="21"/>
      <w:r w:rsidR="003B5FA4">
        <w:t xml:space="preserve"> </w:t>
      </w:r>
    </w:p>
    <w:p w14:paraId="7C0FA4E9" w14:textId="74DD2142" w:rsidR="000D2CE0" w:rsidRPr="0034544E" w:rsidRDefault="00A31717" w:rsidP="00602180">
      <w:pPr>
        <w:spacing w:line="240" w:lineRule="auto"/>
        <w:ind w:left="858"/>
        <w:rPr>
          <w:color w:val="000000" w:themeColor="text1"/>
        </w:rPr>
      </w:pPr>
      <w:r w:rsidRPr="0034544E">
        <w:rPr>
          <w:color w:val="000000" w:themeColor="text1"/>
        </w:rPr>
        <w:t xml:space="preserve">ICB’s are responsible </w:t>
      </w:r>
      <w:r w:rsidR="00F95530" w:rsidRPr="0034544E">
        <w:rPr>
          <w:color w:val="000000" w:themeColor="text1"/>
        </w:rPr>
        <w:t xml:space="preserve">for agreeing provider incident response plans and policies.  </w:t>
      </w:r>
      <w:r w:rsidR="00780AFA" w:rsidRPr="0034544E">
        <w:rPr>
          <w:color w:val="000000" w:themeColor="text1"/>
        </w:rPr>
        <w:t>This responsibility must be discharged prior to implementation</w:t>
      </w:r>
      <w:r w:rsidR="00A1258A">
        <w:rPr>
          <w:color w:val="000000" w:themeColor="text1"/>
        </w:rPr>
        <w:t xml:space="preserve"> of </w:t>
      </w:r>
      <w:r w:rsidR="00E57519">
        <w:rPr>
          <w:color w:val="000000" w:themeColor="text1"/>
        </w:rPr>
        <w:t>PSIRF,</w:t>
      </w:r>
      <w:r w:rsidR="00780AFA" w:rsidRPr="0034544E">
        <w:rPr>
          <w:color w:val="000000" w:themeColor="text1"/>
        </w:rPr>
        <w:t xml:space="preserve"> and the oversight function must be maintained post implementation.  </w:t>
      </w:r>
    </w:p>
    <w:p w14:paraId="177B8CAD" w14:textId="45FA3033" w:rsidR="00780AFA" w:rsidRPr="0034544E" w:rsidRDefault="00780AFA" w:rsidP="00602180">
      <w:pPr>
        <w:spacing w:line="240" w:lineRule="auto"/>
        <w:ind w:left="858"/>
        <w:rPr>
          <w:color w:val="000000" w:themeColor="text1"/>
        </w:rPr>
      </w:pPr>
    </w:p>
    <w:p w14:paraId="2A17E108" w14:textId="7D523763" w:rsidR="00C85270" w:rsidRPr="0034544E" w:rsidRDefault="00C85270" w:rsidP="00602180">
      <w:pPr>
        <w:spacing w:line="240" w:lineRule="auto"/>
        <w:ind w:left="858"/>
        <w:rPr>
          <w:color w:val="000000" w:themeColor="text1"/>
        </w:rPr>
      </w:pPr>
      <w:r w:rsidRPr="0034544E">
        <w:rPr>
          <w:color w:val="000000" w:themeColor="text1"/>
        </w:rPr>
        <w:t>Oversight must be:</w:t>
      </w:r>
    </w:p>
    <w:p w14:paraId="5623C70D" w14:textId="48C1779A" w:rsidR="00C85270" w:rsidRPr="0034544E" w:rsidRDefault="00C85270" w:rsidP="00602180">
      <w:pPr>
        <w:pStyle w:val="ListParagraph"/>
        <w:numPr>
          <w:ilvl w:val="0"/>
          <w:numId w:val="27"/>
        </w:numPr>
        <w:spacing w:line="240" w:lineRule="auto"/>
        <w:rPr>
          <w:color w:val="000000" w:themeColor="text1"/>
        </w:rPr>
      </w:pPr>
      <w:r w:rsidRPr="0034544E">
        <w:rPr>
          <w:color w:val="000000" w:themeColor="text1"/>
        </w:rPr>
        <w:t>Proportionate</w:t>
      </w:r>
      <w:r w:rsidR="00FB1989">
        <w:rPr>
          <w:color w:val="000000" w:themeColor="text1"/>
        </w:rPr>
        <w:t>.</w:t>
      </w:r>
    </w:p>
    <w:p w14:paraId="2B92E6FE" w14:textId="41161DEC" w:rsidR="00C85270" w:rsidRPr="0034544E" w:rsidRDefault="00C85270" w:rsidP="00602180">
      <w:pPr>
        <w:pStyle w:val="ListParagraph"/>
        <w:numPr>
          <w:ilvl w:val="0"/>
          <w:numId w:val="27"/>
        </w:numPr>
        <w:spacing w:line="240" w:lineRule="auto"/>
        <w:rPr>
          <w:color w:val="000000" w:themeColor="text1"/>
        </w:rPr>
      </w:pPr>
      <w:r w:rsidRPr="0034544E">
        <w:rPr>
          <w:color w:val="000000" w:themeColor="text1"/>
        </w:rPr>
        <w:t>Appropriate</w:t>
      </w:r>
      <w:r w:rsidR="00FB1989">
        <w:rPr>
          <w:color w:val="000000" w:themeColor="text1"/>
        </w:rPr>
        <w:t>.</w:t>
      </w:r>
      <w:r w:rsidRPr="0034544E">
        <w:rPr>
          <w:color w:val="000000" w:themeColor="text1"/>
        </w:rPr>
        <w:t xml:space="preserve"> </w:t>
      </w:r>
    </w:p>
    <w:p w14:paraId="24EF15FB" w14:textId="0886AB73" w:rsidR="00C85270" w:rsidRPr="0034544E" w:rsidRDefault="00C85270" w:rsidP="00602180">
      <w:pPr>
        <w:pStyle w:val="ListParagraph"/>
        <w:numPr>
          <w:ilvl w:val="0"/>
          <w:numId w:val="27"/>
        </w:numPr>
        <w:spacing w:line="240" w:lineRule="auto"/>
        <w:rPr>
          <w:color w:val="000000" w:themeColor="text1"/>
        </w:rPr>
      </w:pPr>
      <w:r w:rsidRPr="0034544E">
        <w:rPr>
          <w:color w:val="000000" w:themeColor="text1"/>
        </w:rPr>
        <w:t>Mutually Agreed</w:t>
      </w:r>
      <w:r w:rsidR="00FB1989">
        <w:rPr>
          <w:color w:val="000000" w:themeColor="text1"/>
        </w:rPr>
        <w:t>.</w:t>
      </w:r>
    </w:p>
    <w:p w14:paraId="77F5C271" w14:textId="695046BF" w:rsidR="00C85270" w:rsidRDefault="00C85270" w:rsidP="00602180">
      <w:pPr>
        <w:spacing w:line="240" w:lineRule="auto"/>
      </w:pPr>
    </w:p>
    <w:p w14:paraId="47B70965" w14:textId="4A7B0DF5" w:rsidR="006E7F92" w:rsidRDefault="006E7F92" w:rsidP="00602180">
      <w:pPr>
        <w:spacing w:line="240" w:lineRule="auto"/>
        <w:ind w:left="858"/>
        <w:rPr>
          <w:color w:val="000000" w:themeColor="text1"/>
        </w:rPr>
      </w:pPr>
      <w:r w:rsidRPr="006E7F92">
        <w:rPr>
          <w:color w:val="000000" w:themeColor="text1"/>
        </w:rPr>
        <w:t>The focus should be on collaboratio</w:t>
      </w:r>
      <w:r w:rsidR="00F51499">
        <w:rPr>
          <w:color w:val="000000" w:themeColor="text1"/>
        </w:rPr>
        <w:t>n and learning</w:t>
      </w:r>
      <w:r w:rsidR="00945C98">
        <w:rPr>
          <w:color w:val="000000" w:themeColor="text1"/>
        </w:rPr>
        <w:t>, and it must not add</w:t>
      </w:r>
      <w:r w:rsidR="00431A43">
        <w:rPr>
          <w:color w:val="000000" w:themeColor="text1"/>
        </w:rPr>
        <w:t xml:space="preserve"> burden to any</w:t>
      </w:r>
      <w:r w:rsidR="00DF4B13">
        <w:rPr>
          <w:color w:val="000000" w:themeColor="text1"/>
        </w:rPr>
        <w:t xml:space="preserve"> </w:t>
      </w:r>
      <w:r w:rsidR="00431A43">
        <w:rPr>
          <w:color w:val="000000" w:themeColor="text1"/>
        </w:rPr>
        <w:t xml:space="preserve">party. </w:t>
      </w:r>
    </w:p>
    <w:p w14:paraId="7B3BBBFA" w14:textId="3DA75F94" w:rsidR="00DE2569" w:rsidRDefault="00DE2569" w:rsidP="00602180">
      <w:pPr>
        <w:spacing w:line="240" w:lineRule="auto"/>
        <w:ind w:left="858"/>
        <w:rPr>
          <w:color w:val="000000" w:themeColor="text1"/>
        </w:rPr>
      </w:pPr>
    </w:p>
    <w:p w14:paraId="6673F62F" w14:textId="4FCA4BD1" w:rsidR="000D2CE0" w:rsidRDefault="00DE2569" w:rsidP="00602180">
      <w:pPr>
        <w:spacing w:line="240" w:lineRule="auto"/>
        <w:ind w:left="858"/>
        <w:rPr>
          <w:color w:val="000000" w:themeColor="text1"/>
        </w:rPr>
      </w:pPr>
      <w:r>
        <w:rPr>
          <w:color w:val="000000" w:themeColor="text1"/>
        </w:rPr>
        <w:t xml:space="preserve">There must be a clear understanding </w:t>
      </w:r>
      <w:r w:rsidR="00220266">
        <w:rPr>
          <w:color w:val="000000" w:themeColor="text1"/>
        </w:rPr>
        <w:t xml:space="preserve">of the oversight role and function.  To support this an implementation </w:t>
      </w:r>
      <w:r w:rsidR="00253100">
        <w:rPr>
          <w:color w:val="000000" w:themeColor="text1"/>
        </w:rPr>
        <w:t xml:space="preserve">checklist </w:t>
      </w:r>
      <w:r w:rsidR="00E45C91">
        <w:rPr>
          <w:color w:val="000000" w:themeColor="text1"/>
        </w:rPr>
        <w:t xml:space="preserve">is </w:t>
      </w:r>
      <w:r w:rsidR="00253100">
        <w:rPr>
          <w:color w:val="000000" w:themeColor="text1"/>
        </w:rPr>
        <w:t>in place</w:t>
      </w:r>
      <w:r w:rsidR="00E45C91">
        <w:rPr>
          <w:color w:val="000000" w:themeColor="text1"/>
        </w:rPr>
        <w:t xml:space="preserve"> (please see appendix two)</w:t>
      </w:r>
      <w:r w:rsidR="00253100">
        <w:rPr>
          <w:color w:val="000000" w:themeColor="text1"/>
        </w:rPr>
        <w:t xml:space="preserve">.  </w:t>
      </w:r>
    </w:p>
    <w:p w14:paraId="30CC7850" w14:textId="77777777" w:rsidR="00602180" w:rsidRPr="00602180" w:rsidRDefault="00602180" w:rsidP="00602180">
      <w:pPr>
        <w:spacing w:line="240" w:lineRule="auto"/>
        <w:ind w:left="858"/>
        <w:rPr>
          <w:color w:val="000000" w:themeColor="text1"/>
        </w:rPr>
      </w:pPr>
    </w:p>
    <w:p w14:paraId="1A1775BD" w14:textId="5B9E149F" w:rsidR="004E412D" w:rsidRPr="00602180" w:rsidRDefault="00662E6A" w:rsidP="00253100">
      <w:pPr>
        <w:spacing w:line="240" w:lineRule="auto"/>
        <w:ind w:left="858"/>
        <w:rPr>
          <w:b/>
          <w:bCs/>
          <w:i/>
          <w:iCs/>
          <w:color w:val="000000" w:themeColor="text1"/>
        </w:rPr>
      </w:pPr>
      <w:r w:rsidRPr="00602180">
        <w:rPr>
          <w:b/>
          <w:bCs/>
          <w:i/>
          <w:iCs/>
          <w:color w:val="000000" w:themeColor="text1"/>
        </w:rPr>
        <w:t>Oversight role during the implementation phase</w:t>
      </w:r>
      <w:r w:rsidR="009B2E8F">
        <w:rPr>
          <w:b/>
          <w:bCs/>
          <w:i/>
          <w:iCs/>
          <w:color w:val="000000" w:themeColor="text1"/>
        </w:rPr>
        <w:t>.</w:t>
      </w:r>
    </w:p>
    <w:p w14:paraId="0D65FDFD" w14:textId="51E8FD87" w:rsidR="00602180" w:rsidRDefault="000A7000" w:rsidP="00253100">
      <w:pPr>
        <w:spacing w:line="240" w:lineRule="auto"/>
        <w:ind w:left="858"/>
        <w:rPr>
          <w:color w:val="000000" w:themeColor="text1"/>
        </w:rPr>
      </w:pPr>
      <w:r w:rsidRPr="000A7000">
        <w:rPr>
          <w:color w:val="000000" w:themeColor="text1"/>
        </w:rPr>
        <w:t xml:space="preserve">An ICB Quality Lead will be identified to engage with a named provider.  The ICB Quality Lead will join provider meetings to support collaboration and to enable the oversight responsibility to be discharged. The Provider Quality Lead and ICB Quality Lead will mutually agree the ‘ready to implement’ status by reviewing the criteria and evidence against the implementation checklist.  The Provider Quality Lead and ICB Quality Lead will present the ‘ready to implement’ case to the ICB PSIRF group and, once supported, the ICB PSIRF lead will present the recommendation to implement to the ICB Quality Committee for formal sign off.  </w:t>
      </w:r>
    </w:p>
    <w:p w14:paraId="73ED8ED5" w14:textId="77777777" w:rsidR="000A7000" w:rsidRPr="00253100" w:rsidRDefault="000A7000" w:rsidP="00253100">
      <w:pPr>
        <w:spacing w:line="240" w:lineRule="auto"/>
        <w:ind w:left="858"/>
        <w:rPr>
          <w:color w:val="000000" w:themeColor="text1"/>
        </w:rPr>
      </w:pPr>
    </w:p>
    <w:p w14:paraId="5B000DA9" w14:textId="0EC5F6E9" w:rsidR="00662E6A" w:rsidRPr="00602180" w:rsidRDefault="00662E6A" w:rsidP="00253100">
      <w:pPr>
        <w:spacing w:line="240" w:lineRule="auto"/>
        <w:ind w:left="858"/>
        <w:rPr>
          <w:b/>
          <w:bCs/>
          <w:i/>
          <w:iCs/>
          <w:color w:val="000000" w:themeColor="text1"/>
        </w:rPr>
      </w:pPr>
      <w:r w:rsidRPr="00602180">
        <w:rPr>
          <w:b/>
          <w:bCs/>
          <w:i/>
          <w:iCs/>
          <w:color w:val="000000" w:themeColor="text1"/>
        </w:rPr>
        <w:t xml:space="preserve">Oversight </w:t>
      </w:r>
      <w:proofErr w:type="gramStart"/>
      <w:r w:rsidRPr="00602180">
        <w:rPr>
          <w:b/>
          <w:bCs/>
          <w:i/>
          <w:iCs/>
          <w:color w:val="000000" w:themeColor="text1"/>
        </w:rPr>
        <w:t>role</w:t>
      </w:r>
      <w:proofErr w:type="gramEnd"/>
      <w:r w:rsidRPr="00602180">
        <w:rPr>
          <w:b/>
          <w:bCs/>
          <w:i/>
          <w:iCs/>
          <w:color w:val="000000" w:themeColor="text1"/>
        </w:rPr>
        <w:t xml:space="preserve"> post the implementation </w:t>
      </w:r>
      <w:r w:rsidR="009B2E8F" w:rsidRPr="00602180">
        <w:rPr>
          <w:b/>
          <w:bCs/>
          <w:i/>
          <w:iCs/>
          <w:color w:val="000000" w:themeColor="text1"/>
        </w:rPr>
        <w:t>phase.</w:t>
      </w:r>
    </w:p>
    <w:p w14:paraId="225823C7" w14:textId="3A22D350" w:rsidR="002C2C71" w:rsidRPr="00724068" w:rsidRDefault="00E60E54" w:rsidP="00724068">
      <w:pPr>
        <w:spacing w:line="240" w:lineRule="auto"/>
        <w:ind w:left="858"/>
        <w:rPr>
          <w:color w:val="000000" w:themeColor="text1"/>
        </w:rPr>
      </w:pPr>
      <w:r w:rsidRPr="00724068">
        <w:rPr>
          <w:color w:val="000000" w:themeColor="text1"/>
        </w:rPr>
        <w:t xml:space="preserve">The ICB Quality Leads will maintain </w:t>
      </w:r>
      <w:r w:rsidR="004D23DA" w:rsidRPr="00724068">
        <w:rPr>
          <w:color w:val="000000" w:themeColor="text1"/>
        </w:rPr>
        <w:t xml:space="preserve">relationships with the providers to enable </w:t>
      </w:r>
      <w:r w:rsidR="002C2C71" w:rsidRPr="00724068">
        <w:rPr>
          <w:color w:val="000000" w:themeColor="text1"/>
        </w:rPr>
        <w:t xml:space="preserve">the </w:t>
      </w:r>
      <w:r w:rsidR="004D23DA" w:rsidRPr="00724068">
        <w:rPr>
          <w:color w:val="000000" w:themeColor="text1"/>
        </w:rPr>
        <w:t xml:space="preserve">ongoing oversight of </w:t>
      </w:r>
      <w:r w:rsidR="002C2C71" w:rsidRPr="00724068">
        <w:rPr>
          <w:color w:val="000000" w:themeColor="text1"/>
        </w:rPr>
        <w:t xml:space="preserve">provider incident response plans and policy implementation.  </w:t>
      </w:r>
      <w:r w:rsidR="004C3632" w:rsidRPr="00724068">
        <w:rPr>
          <w:color w:val="000000" w:themeColor="text1"/>
        </w:rPr>
        <w:t xml:space="preserve">For each provider this is likely to be a different arrangement, which will be proportionate, </w:t>
      </w:r>
      <w:r w:rsidR="00D274CA" w:rsidRPr="00724068">
        <w:rPr>
          <w:color w:val="000000" w:themeColor="text1"/>
        </w:rPr>
        <w:t>appropriate,</w:t>
      </w:r>
      <w:r w:rsidR="000012C1" w:rsidRPr="00724068">
        <w:rPr>
          <w:color w:val="000000" w:themeColor="text1"/>
        </w:rPr>
        <w:t xml:space="preserve"> and mutually agreed</w:t>
      </w:r>
      <w:r w:rsidR="00204CDD" w:rsidRPr="00DB5CB4">
        <w:rPr>
          <w:color w:val="auto"/>
        </w:rPr>
        <w:t xml:space="preserve"> and will take account of provider collaborative arrangements where these exist</w:t>
      </w:r>
      <w:r w:rsidR="000012C1" w:rsidRPr="00DB5CB4">
        <w:rPr>
          <w:color w:val="auto"/>
        </w:rPr>
        <w:t xml:space="preserve">.  </w:t>
      </w:r>
      <w:r w:rsidR="00064E10">
        <w:rPr>
          <w:color w:val="000000" w:themeColor="text1"/>
        </w:rPr>
        <w:t>The ICB Quality Committee will receive a regular repor</w:t>
      </w:r>
      <w:r w:rsidR="00AA66D2">
        <w:rPr>
          <w:color w:val="000000" w:themeColor="text1"/>
        </w:rPr>
        <w:t xml:space="preserve">t on the discharge of the organisational responsibilities from the </w:t>
      </w:r>
      <w:r w:rsidR="00D274CA">
        <w:rPr>
          <w:color w:val="000000" w:themeColor="text1"/>
        </w:rPr>
        <w:t xml:space="preserve">ICB PSIRF Lead.  </w:t>
      </w:r>
    </w:p>
    <w:p w14:paraId="6A3FA927" w14:textId="77777777" w:rsidR="002C2C71" w:rsidRDefault="002C2C71" w:rsidP="002C2C71">
      <w:pPr>
        <w:ind w:left="858"/>
      </w:pPr>
    </w:p>
    <w:p w14:paraId="29A05044" w14:textId="2F4FC57D" w:rsidR="004E412D" w:rsidRDefault="00217B37" w:rsidP="00A160BF">
      <w:pPr>
        <w:pStyle w:val="Heading1"/>
      </w:pPr>
      <w:bookmarkStart w:id="22" w:name="_Toc132895846"/>
      <w:r>
        <w:t>Respondi</w:t>
      </w:r>
      <w:r w:rsidR="0091174F">
        <w:t>ng</w:t>
      </w:r>
      <w:r>
        <w:t xml:space="preserve"> to</w:t>
      </w:r>
      <w:r w:rsidR="0091174F">
        <w:t>/Learning from</w:t>
      </w:r>
      <w:r>
        <w:t xml:space="preserve"> cross-system incidents/issues</w:t>
      </w:r>
      <w:bookmarkEnd w:id="22"/>
    </w:p>
    <w:p w14:paraId="4C2756DF" w14:textId="77777777" w:rsidR="003A2390" w:rsidRPr="003A2390" w:rsidRDefault="003A2390" w:rsidP="003A2390">
      <w:pPr>
        <w:spacing w:line="240" w:lineRule="auto"/>
        <w:ind w:left="858"/>
        <w:rPr>
          <w:color w:val="000000" w:themeColor="text1"/>
        </w:rPr>
      </w:pPr>
      <w:r w:rsidRPr="003A2390">
        <w:rPr>
          <w:color w:val="000000" w:themeColor="text1"/>
        </w:rPr>
        <w:t xml:space="preserve">All providers must have a process to recognise incidents or issues that require a </w:t>
      </w:r>
    </w:p>
    <w:p w14:paraId="1C3C7451" w14:textId="77777777" w:rsidR="003A2390" w:rsidRPr="003A2390" w:rsidRDefault="003A2390" w:rsidP="003A2390">
      <w:pPr>
        <w:spacing w:line="240" w:lineRule="auto"/>
        <w:ind w:left="858"/>
        <w:rPr>
          <w:color w:val="000000" w:themeColor="text1"/>
        </w:rPr>
      </w:pPr>
      <w:r w:rsidRPr="003A2390">
        <w:rPr>
          <w:color w:val="000000" w:themeColor="text1"/>
        </w:rPr>
        <w:t xml:space="preserve">cross-system learning response. They must use their judgement and seek the views of </w:t>
      </w:r>
    </w:p>
    <w:p w14:paraId="3B6F5286" w14:textId="542C3452" w:rsidR="003A2390" w:rsidRDefault="003A2390" w:rsidP="005C1FE3">
      <w:pPr>
        <w:spacing w:line="240" w:lineRule="auto"/>
        <w:ind w:left="858"/>
        <w:rPr>
          <w:color w:val="000000" w:themeColor="text1"/>
        </w:rPr>
      </w:pPr>
      <w:r w:rsidRPr="003A2390">
        <w:rPr>
          <w:color w:val="000000" w:themeColor="text1"/>
        </w:rPr>
        <w:t>local partners to ensure learning responses are co-ordinated at the most appropriate level of the system. Where there is insufficient capacity and/or capability, providers must engage early with their ICB, which can identify the right person to support the co</w:t>
      </w:r>
      <w:r>
        <w:rPr>
          <w:color w:val="000000" w:themeColor="text1"/>
        </w:rPr>
        <w:t>-</w:t>
      </w:r>
      <w:r w:rsidRPr="003A2390">
        <w:rPr>
          <w:color w:val="000000" w:themeColor="text1"/>
        </w:rPr>
        <w:t xml:space="preserve">ordination of a cross-system learning response. </w:t>
      </w:r>
    </w:p>
    <w:p w14:paraId="473275FD" w14:textId="77777777" w:rsidR="003A2390" w:rsidRPr="00DB5CB4" w:rsidRDefault="003A2390" w:rsidP="003A2390">
      <w:pPr>
        <w:spacing w:line="240" w:lineRule="auto"/>
        <w:ind w:left="858"/>
        <w:rPr>
          <w:color w:val="auto"/>
        </w:rPr>
      </w:pPr>
    </w:p>
    <w:p w14:paraId="16753AB5" w14:textId="651176A2" w:rsidR="003A2390" w:rsidRDefault="003A2390" w:rsidP="005C1FE3">
      <w:pPr>
        <w:spacing w:line="240" w:lineRule="auto"/>
        <w:ind w:left="858"/>
        <w:rPr>
          <w:color w:val="000000" w:themeColor="text1"/>
        </w:rPr>
      </w:pPr>
      <w:r w:rsidRPr="00DB5CB4">
        <w:rPr>
          <w:color w:val="auto"/>
        </w:rPr>
        <w:t>The ICB lead will liaise with relevant providers</w:t>
      </w:r>
      <w:r w:rsidR="00204CDD" w:rsidRPr="00DB5CB4">
        <w:rPr>
          <w:color w:val="auto"/>
        </w:rPr>
        <w:t>/provider collaboratives</w:t>
      </w:r>
      <w:r w:rsidRPr="00DB5CB4">
        <w:rPr>
          <w:color w:val="auto"/>
        </w:rPr>
        <w:t xml:space="preserve"> (and other ICBs if necessary) to agree how the learning response </w:t>
      </w:r>
      <w:r w:rsidRPr="003A2390">
        <w:rPr>
          <w:color w:val="000000" w:themeColor="text1"/>
        </w:rPr>
        <w:t>will be led and managed, how safety actions will be developed, and how the implemented actions will be monitored for sustainable change and improvement. ICB leads appointed to support cross system learning responses must have the required time and training</w:t>
      </w:r>
      <w:r>
        <w:rPr>
          <w:color w:val="000000" w:themeColor="text1"/>
        </w:rPr>
        <w:t>.</w:t>
      </w:r>
    </w:p>
    <w:p w14:paraId="66709B7F" w14:textId="77777777" w:rsidR="003A2390" w:rsidRPr="003A2390" w:rsidRDefault="003A2390" w:rsidP="003A2390">
      <w:pPr>
        <w:spacing w:line="240" w:lineRule="auto"/>
        <w:ind w:left="858"/>
        <w:rPr>
          <w:color w:val="000000" w:themeColor="text1"/>
        </w:rPr>
      </w:pPr>
    </w:p>
    <w:p w14:paraId="2D3EA97E" w14:textId="578CAC2C" w:rsidR="00217B37" w:rsidRDefault="003A2390" w:rsidP="005C1FE3">
      <w:pPr>
        <w:spacing w:line="240" w:lineRule="auto"/>
        <w:ind w:left="858"/>
        <w:rPr>
          <w:color w:val="000000" w:themeColor="text1"/>
        </w:rPr>
      </w:pPr>
      <w:r w:rsidRPr="003A2390">
        <w:rPr>
          <w:color w:val="000000" w:themeColor="text1"/>
        </w:rPr>
        <w:t>Providers and ICBs are expected to work together to establish and undertake cross</w:t>
      </w:r>
      <w:r w:rsidR="00B944B9">
        <w:rPr>
          <w:color w:val="000000" w:themeColor="text1"/>
        </w:rPr>
        <w:t>-</w:t>
      </w:r>
      <w:r w:rsidRPr="003A2390">
        <w:rPr>
          <w:color w:val="000000" w:themeColor="text1"/>
        </w:rPr>
        <w:t>system learning responses, but where issues arise, support</w:t>
      </w:r>
      <w:r w:rsidR="00B944B9">
        <w:rPr>
          <w:color w:val="000000" w:themeColor="text1"/>
        </w:rPr>
        <w:t xml:space="preserve"> must be sought from</w:t>
      </w:r>
      <w:r w:rsidRPr="003A2390">
        <w:rPr>
          <w:color w:val="000000" w:themeColor="text1"/>
        </w:rPr>
        <w:t xml:space="preserve"> </w:t>
      </w:r>
      <w:r w:rsidR="00D82E3E">
        <w:rPr>
          <w:color w:val="000000" w:themeColor="text1"/>
        </w:rPr>
        <w:t xml:space="preserve">the </w:t>
      </w:r>
      <w:r w:rsidRPr="003A2390">
        <w:rPr>
          <w:color w:val="000000" w:themeColor="text1"/>
        </w:rPr>
        <w:t>NHS England regional team</w:t>
      </w:r>
      <w:r w:rsidR="00D82E3E">
        <w:rPr>
          <w:color w:val="000000" w:themeColor="text1"/>
        </w:rPr>
        <w:t>.</w:t>
      </w:r>
    </w:p>
    <w:p w14:paraId="3588C34D" w14:textId="03D2BC39" w:rsidR="00171BB2" w:rsidRDefault="00171BB2" w:rsidP="003A2390">
      <w:pPr>
        <w:spacing w:line="240" w:lineRule="auto"/>
        <w:ind w:left="858"/>
        <w:rPr>
          <w:color w:val="000000" w:themeColor="text1"/>
        </w:rPr>
      </w:pPr>
    </w:p>
    <w:p w14:paraId="5AEABC08" w14:textId="52859646" w:rsidR="00305304" w:rsidRDefault="00171BB2" w:rsidP="00346164">
      <w:pPr>
        <w:spacing w:line="240" w:lineRule="auto"/>
        <w:ind w:left="858"/>
        <w:rPr>
          <w:color w:val="000000" w:themeColor="text1"/>
        </w:rPr>
      </w:pPr>
      <w:r>
        <w:rPr>
          <w:color w:val="000000" w:themeColor="text1"/>
        </w:rPr>
        <w:t xml:space="preserve">The infrastructure </w:t>
      </w:r>
      <w:r w:rsidR="00305304">
        <w:rPr>
          <w:color w:val="000000" w:themeColor="text1"/>
        </w:rPr>
        <w:t xml:space="preserve">to support learning responses to cross-system incidents is as follows: </w:t>
      </w:r>
    </w:p>
    <w:p w14:paraId="7CA33553" w14:textId="4A31CE2E" w:rsidR="00305304" w:rsidRDefault="004A4007" w:rsidP="004A4007">
      <w:pPr>
        <w:pStyle w:val="ListParagraph"/>
        <w:numPr>
          <w:ilvl w:val="0"/>
          <w:numId w:val="29"/>
        </w:numPr>
        <w:spacing w:line="240" w:lineRule="auto"/>
        <w:rPr>
          <w:color w:val="000000" w:themeColor="text1"/>
        </w:rPr>
      </w:pPr>
      <w:r>
        <w:rPr>
          <w:color w:val="000000" w:themeColor="text1"/>
        </w:rPr>
        <w:t xml:space="preserve">Place learning response required – Place based Quality Groups. </w:t>
      </w:r>
    </w:p>
    <w:p w14:paraId="284C1397" w14:textId="0768A55F" w:rsidR="00BE4107" w:rsidRDefault="004A4007" w:rsidP="00BE4107">
      <w:pPr>
        <w:pStyle w:val="ListParagraph"/>
        <w:numPr>
          <w:ilvl w:val="0"/>
          <w:numId w:val="29"/>
        </w:numPr>
        <w:spacing w:line="240" w:lineRule="auto"/>
        <w:rPr>
          <w:color w:val="000000" w:themeColor="text1"/>
        </w:rPr>
      </w:pPr>
      <w:r>
        <w:rPr>
          <w:color w:val="000000" w:themeColor="text1"/>
        </w:rPr>
        <w:t>Cross-</w:t>
      </w:r>
      <w:r w:rsidR="00503220">
        <w:rPr>
          <w:color w:val="000000" w:themeColor="text1"/>
        </w:rPr>
        <w:t xml:space="preserve">places learning response required – System Quality Group. </w:t>
      </w:r>
    </w:p>
    <w:p w14:paraId="549CD286" w14:textId="2EEF7324" w:rsidR="00BE4107" w:rsidRDefault="00BE4107" w:rsidP="00BE4107">
      <w:pPr>
        <w:pStyle w:val="ListParagraph"/>
        <w:numPr>
          <w:ilvl w:val="0"/>
          <w:numId w:val="29"/>
        </w:numPr>
        <w:spacing w:line="240" w:lineRule="auto"/>
        <w:rPr>
          <w:color w:val="000000" w:themeColor="text1"/>
        </w:rPr>
      </w:pPr>
      <w:r>
        <w:rPr>
          <w:color w:val="000000" w:themeColor="text1"/>
        </w:rPr>
        <w:lastRenderedPageBreak/>
        <w:t>Cross-ICB learning response required – System Quality Group</w:t>
      </w:r>
      <w:r w:rsidR="00B205FF">
        <w:rPr>
          <w:color w:val="000000" w:themeColor="text1"/>
        </w:rPr>
        <w:t xml:space="preserve"> to System Quality Group</w:t>
      </w:r>
      <w:r>
        <w:rPr>
          <w:color w:val="000000" w:themeColor="text1"/>
        </w:rPr>
        <w:t xml:space="preserve">.  </w:t>
      </w:r>
    </w:p>
    <w:p w14:paraId="725BEFF4" w14:textId="1C0EEA1C" w:rsidR="0062794C" w:rsidRDefault="0062794C" w:rsidP="0062794C">
      <w:pPr>
        <w:spacing w:line="240" w:lineRule="auto"/>
        <w:rPr>
          <w:color w:val="000000" w:themeColor="text1"/>
        </w:rPr>
      </w:pPr>
    </w:p>
    <w:p w14:paraId="655E6CDE" w14:textId="77777777" w:rsidR="00C639FC" w:rsidRPr="00C639FC" w:rsidRDefault="00C639FC" w:rsidP="00C639FC">
      <w:pPr>
        <w:spacing w:line="240" w:lineRule="auto"/>
        <w:ind w:left="858"/>
        <w:rPr>
          <w:color w:val="000000" w:themeColor="text1"/>
        </w:rPr>
      </w:pPr>
      <w:r w:rsidRPr="00C639FC">
        <w:rPr>
          <w:color w:val="000000" w:themeColor="text1"/>
        </w:rPr>
        <w:t>Where required an ICB can commission an investigation (or other learning response)</w:t>
      </w:r>
    </w:p>
    <w:p w14:paraId="7FE4C9AC" w14:textId="77777777" w:rsidR="00C639FC" w:rsidRDefault="00C639FC" w:rsidP="00C639FC">
      <w:pPr>
        <w:spacing w:line="240" w:lineRule="auto"/>
        <w:ind w:left="858"/>
        <w:rPr>
          <w:color w:val="000000" w:themeColor="text1"/>
        </w:rPr>
      </w:pPr>
      <w:r w:rsidRPr="00C639FC">
        <w:rPr>
          <w:color w:val="000000" w:themeColor="text1"/>
        </w:rPr>
        <w:t>that is independent of the provider. This may occur when:</w:t>
      </w:r>
    </w:p>
    <w:p w14:paraId="7AC74EDC" w14:textId="4ED2C14F" w:rsidR="00C639FC" w:rsidRDefault="00C639FC" w:rsidP="00C639FC">
      <w:pPr>
        <w:pStyle w:val="ListParagraph"/>
        <w:numPr>
          <w:ilvl w:val="0"/>
          <w:numId w:val="30"/>
        </w:numPr>
        <w:spacing w:line="240" w:lineRule="auto"/>
        <w:rPr>
          <w:color w:val="000000" w:themeColor="text1"/>
        </w:rPr>
      </w:pPr>
      <w:r w:rsidRPr="00C639FC">
        <w:rPr>
          <w:color w:val="000000" w:themeColor="text1"/>
        </w:rPr>
        <w:t>an organisation is too small (</w:t>
      </w:r>
      <w:r w:rsidR="002844E3">
        <w:rPr>
          <w:color w:val="000000" w:themeColor="text1"/>
        </w:rPr>
        <w:t>for example,</w:t>
      </w:r>
      <w:r w:rsidRPr="00C639FC">
        <w:rPr>
          <w:color w:val="000000" w:themeColor="text1"/>
        </w:rPr>
        <w:t xml:space="preserve"> does not have the workforce) to provide an objective response and analysis</w:t>
      </w:r>
      <w:r>
        <w:rPr>
          <w:color w:val="000000" w:themeColor="text1"/>
        </w:rPr>
        <w:t>.</w:t>
      </w:r>
    </w:p>
    <w:p w14:paraId="7908657B" w14:textId="72D9DB20" w:rsidR="00C639FC" w:rsidRDefault="00C639FC" w:rsidP="00C639FC">
      <w:pPr>
        <w:pStyle w:val="ListParagraph"/>
        <w:numPr>
          <w:ilvl w:val="0"/>
          <w:numId w:val="30"/>
        </w:numPr>
        <w:spacing w:line="240" w:lineRule="auto"/>
        <w:rPr>
          <w:color w:val="000000" w:themeColor="text1"/>
        </w:rPr>
      </w:pPr>
      <w:r w:rsidRPr="00C639FC">
        <w:rPr>
          <w:color w:val="000000" w:themeColor="text1"/>
        </w:rPr>
        <w:t>an investigation independent of the provider is deemed necessary to ensure public confidence in the investigation integrity</w:t>
      </w:r>
      <w:r>
        <w:rPr>
          <w:color w:val="000000" w:themeColor="text1"/>
        </w:rPr>
        <w:t>.</w:t>
      </w:r>
    </w:p>
    <w:p w14:paraId="178C08A1" w14:textId="2AB84E2B" w:rsidR="00C639FC" w:rsidRDefault="00C639FC" w:rsidP="00C639FC">
      <w:pPr>
        <w:pStyle w:val="ListParagraph"/>
        <w:numPr>
          <w:ilvl w:val="0"/>
          <w:numId w:val="30"/>
        </w:numPr>
        <w:spacing w:line="240" w:lineRule="auto"/>
        <w:rPr>
          <w:color w:val="000000" w:themeColor="text1"/>
        </w:rPr>
      </w:pPr>
      <w:r w:rsidRPr="00C639FC">
        <w:rPr>
          <w:color w:val="000000" w:themeColor="text1"/>
        </w:rPr>
        <w:t>a multi-agency incident occurs, and no single provider is the clear lead for an investigation</w:t>
      </w:r>
      <w:r>
        <w:rPr>
          <w:color w:val="000000" w:themeColor="text1"/>
        </w:rPr>
        <w:t>.</w:t>
      </w:r>
    </w:p>
    <w:p w14:paraId="0337F5F7" w14:textId="1037BE36" w:rsidR="0062794C" w:rsidRDefault="00C639FC" w:rsidP="00C639FC">
      <w:pPr>
        <w:pStyle w:val="ListParagraph"/>
        <w:numPr>
          <w:ilvl w:val="0"/>
          <w:numId w:val="30"/>
        </w:numPr>
        <w:spacing w:line="240" w:lineRule="auto"/>
        <w:rPr>
          <w:color w:val="000000" w:themeColor="text1"/>
        </w:rPr>
      </w:pPr>
      <w:r w:rsidRPr="00C639FC">
        <w:rPr>
          <w:color w:val="000000" w:themeColor="text1"/>
        </w:rPr>
        <w:t>the incident(s) represent significant learning potential for the wider system (regional or national).</w:t>
      </w:r>
    </w:p>
    <w:p w14:paraId="4588C794" w14:textId="523F9FF9" w:rsidR="00E160DC" w:rsidRDefault="00E160DC" w:rsidP="00E160DC">
      <w:pPr>
        <w:spacing w:line="240" w:lineRule="auto"/>
        <w:rPr>
          <w:color w:val="000000" w:themeColor="text1"/>
        </w:rPr>
      </w:pPr>
    </w:p>
    <w:p w14:paraId="6DE8F324" w14:textId="2C6A3482" w:rsidR="00E160DC" w:rsidRDefault="00E160DC" w:rsidP="00E160DC">
      <w:pPr>
        <w:spacing w:line="240" w:lineRule="auto"/>
        <w:ind w:left="858"/>
        <w:rPr>
          <w:color w:val="000000" w:themeColor="text1"/>
        </w:rPr>
      </w:pPr>
      <w:r>
        <w:rPr>
          <w:color w:val="000000" w:themeColor="text1"/>
        </w:rPr>
        <w:t>A</w:t>
      </w:r>
      <w:r w:rsidRPr="00E160DC">
        <w:rPr>
          <w:color w:val="000000" w:themeColor="text1"/>
        </w:rPr>
        <w:t xml:space="preserve">dvice </w:t>
      </w:r>
      <w:r>
        <w:rPr>
          <w:color w:val="000000" w:themeColor="text1"/>
        </w:rPr>
        <w:t>must be</w:t>
      </w:r>
      <w:r w:rsidRPr="00E160DC">
        <w:rPr>
          <w:color w:val="000000" w:themeColor="text1"/>
        </w:rPr>
        <w:t xml:space="preserve"> sought on accessing relevant procurement frameworks from the NHS England Regional Independent Investigation Team (RIIT). All multi</w:t>
      </w:r>
      <w:r w:rsidR="00665B9D">
        <w:rPr>
          <w:color w:val="000000" w:themeColor="text1"/>
        </w:rPr>
        <w:t>-</w:t>
      </w:r>
      <w:r w:rsidRPr="00E160DC">
        <w:rPr>
          <w:color w:val="000000" w:themeColor="text1"/>
        </w:rPr>
        <w:t>agency incidents and those representing significant learning potential for the wider system should be discussed with the RIIT. This includes all incidents of mental healt</w:t>
      </w:r>
      <w:r>
        <w:rPr>
          <w:color w:val="000000" w:themeColor="text1"/>
        </w:rPr>
        <w:t>h</w:t>
      </w:r>
      <w:r w:rsidR="006B3F30">
        <w:rPr>
          <w:color w:val="000000" w:themeColor="text1"/>
        </w:rPr>
        <w:t xml:space="preserve"> </w:t>
      </w:r>
      <w:r w:rsidRPr="00E160DC">
        <w:rPr>
          <w:color w:val="000000" w:themeColor="text1"/>
        </w:rPr>
        <w:t>related homicide.</w:t>
      </w:r>
    </w:p>
    <w:p w14:paraId="1964BB43" w14:textId="4870C5C4" w:rsidR="006B3F30" w:rsidRDefault="006B3F30" w:rsidP="00E160DC">
      <w:pPr>
        <w:spacing w:line="240" w:lineRule="auto"/>
        <w:ind w:left="858"/>
        <w:rPr>
          <w:color w:val="000000" w:themeColor="text1"/>
        </w:rPr>
      </w:pPr>
    </w:p>
    <w:p w14:paraId="295FD489" w14:textId="016D18A0" w:rsidR="006B3F30" w:rsidRPr="00E160DC" w:rsidRDefault="000C6A99" w:rsidP="000C6A99">
      <w:pPr>
        <w:spacing w:line="240" w:lineRule="auto"/>
        <w:ind w:left="858"/>
        <w:rPr>
          <w:color w:val="000000" w:themeColor="text1"/>
        </w:rPr>
      </w:pPr>
      <w:r>
        <w:rPr>
          <w:color w:val="000000" w:themeColor="text1"/>
        </w:rPr>
        <w:t xml:space="preserve">The </w:t>
      </w:r>
      <w:r w:rsidRPr="000C6A99">
        <w:rPr>
          <w:color w:val="000000" w:themeColor="text1"/>
        </w:rPr>
        <w:t xml:space="preserve">ICB </w:t>
      </w:r>
      <w:r>
        <w:rPr>
          <w:color w:val="000000" w:themeColor="text1"/>
        </w:rPr>
        <w:t xml:space="preserve">must </w:t>
      </w:r>
      <w:r w:rsidRPr="000C6A99">
        <w:rPr>
          <w:color w:val="000000" w:themeColor="text1"/>
        </w:rPr>
        <w:t>seek to identify and share areas of good practice in relation to patient safety incident response.</w:t>
      </w:r>
    </w:p>
    <w:p w14:paraId="2827469B" w14:textId="77777777" w:rsidR="00B944B9" w:rsidRPr="003A2390" w:rsidRDefault="00B944B9" w:rsidP="003A2390">
      <w:pPr>
        <w:spacing w:line="240" w:lineRule="auto"/>
        <w:ind w:left="858"/>
        <w:rPr>
          <w:color w:val="000000" w:themeColor="text1"/>
        </w:rPr>
      </w:pPr>
    </w:p>
    <w:p w14:paraId="5DBEA7F7" w14:textId="6A6C088C" w:rsidR="0060549C" w:rsidRPr="0060549C" w:rsidRDefault="003F3A9F" w:rsidP="0060549C">
      <w:pPr>
        <w:pStyle w:val="Heading1"/>
      </w:pPr>
      <w:bookmarkStart w:id="23" w:name="_Toc132895847"/>
      <w:r>
        <w:t>Patient Safety Plan</w:t>
      </w:r>
      <w:bookmarkEnd w:id="23"/>
    </w:p>
    <w:p w14:paraId="3A1A6B20" w14:textId="305565C0" w:rsidR="00DD443C" w:rsidRDefault="00CD248E" w:rsidP="00B579B6">
      <w:pPr>
        <w:spacing w:line="240" w:lineRule="auto"/>
        <w:ind w:left="858"/>
        <w:rPr>
          <w:color w:val="auto"/>
        </w:rPr>
      </w:pPr>
      <w:r w:rsidRPr="00B579B6">
        <w:rPr>
          <w:color w:val="auto"/>
        </w:rPr>
        <w:t xml:space="preserve">The ICB will work with providers to support the development and oversight of their </w:t>
      </w:r>
      <w:r w:rsidR="003F3A9F">
        <w:rPr>
          <w:color w:val="auto"/>
        </w:rPr>
        <w:t>Patient Safety Plans</w:t>
      </w:r>
      <w:r w:rsidRPr="00B579B6">
        <w:rPr>
          <w:color w:val="auto"/>
        </w:rPr>
        <w:t xml:space="preserve">.  </w:t>
      </w:r>
      <w:r w:rsidR="00C9598E">
        <w:rPr>
          <w:color w:val="auto"/>
        </w:rPr>
        <w:t xml:space="preserve">Oversight arrangements must be focused on </w:t>
      </w:r>
      <w:r w:rsidR="008A2AC8">
        <w:rPr>
          <w:color w:val="auto"/>
        </w:rPr>
        <w:t xml:space="preserve">enabling demonstration of improvement, and therefore arrangements are likely to be different </w:t>
      </w:r>
      <w:r w:rsidR="003A64E8">
        <w:rPr>
          <w:color w:val="auto"/>
        </w:rPr>
        <w:t xml:space="preserve">for each of the NHS providers.  </w:t>
      </w:r>
    </w:p>
    <w:p w14:paraId="5B1664B0" w14:textId="77777777" w:rsidR="00B579B6" w:rsidRPr="00B579B6" w:rsidRDefault="00B579B6" w:rsidP="00B579B6">
      <w:pPr>
        <w:spacing w:line="240" w:lineRule="auto"/>
        <w:ind w:left="858"/>
        <w:rPr>
          <w:color w:val="auto"/>
        </w:rPr>
      </w:pPr>
    </w:p>
    <w:p w14:paraId="41D76D86" w14:textId="2357677D" w:rsidR="00AE286E" w:rsidRDefault="00F12FE9" w:rsidP="00AE286E">
      <w:pPr>
        <w:pStyle w:val="Heading1"/>
      </w:pPr>
      <w:bookmarkStart w:id="24" w:name="_Toc132895848"/>
      <w:bookmarkStart w:id="25" w:name="_Toc430791106"/>
      <w:r>
        <w:t>Consultation</w:t>
      </w:r>
      <w:bookmarkEnd w:id="24"/>
      <w:r>
        <w:t xml:space="preserve"> </w:t>
      </w:r>
      <w:bookmarkEnd w:id="25"/>
    </w:p>
    <w:p w14:paraId="0B142847" w14:textId="22081923" w:rsidR="00F12FE9" w:rsidRDefault="0010238B" w:rsidP="00F12FE9">
      <w:pPr>
        <w:spacing w:line="240" w:lineRule="auto"/>
        <w:ind w:left="856"/>
        <w:rPr>
          <w:color w:val="auto"/>
        </w:rPr>
      </w:pPr>
      <w:r>
        <w:rPr>
          <w:color w:val="auto"/>
        </w:rPr>
        <w:t xml:space="preserve">This policy has been formed from a </w:t>
      </w:r>
      <w:proofErr w:type="gramStart"/>
      <w:r>
        <w:rPr>
          <w:color w:val="auto"/>
        </w:rPr>
        <w:t>National</w:t>
      </w:r>
      <w:proofErr w:type="gramEnd"/>
      <w:r>
        <w:rPr>
          <w:color w:val="auto"/>
        </w:rPr>
        <w:t xml:space="preserve"> </w:t>
      </w:r>
      <w:r w:rsidR="00890906">
        <w:rPr>
          <w:color w:val="auto"/>
        </w:rPr>
        <w:t>d</w:t>
      </w:r>
      <w:r>
        <w:rPr>
          <w:color w:val="auto"/>
        </w:rPr>
        <w:t xml:space="preserve">irective to implement PSIRF.  PSIRF has been consulted upon nationally.  </w:t>
      </w:r>
      <w:r w:rsidR="006E02B9">
        <w:rPr>
          <w:color w:val="auto"/>
        </w:rPr>
        <w:t>Locally the ICB has engaged with ICB Quality Leads and staff with an executive responsibility for quality within provision. We intend to con</w:t>
      </w:r>
      <w:r w:rsidR="00DB3794">
        <w:rPr>
          <w:color w:val="auto"/>
        </w:rPr>
        <w:t xml:space="preserve">tinue an open dialogue with stakeholders as we implement PSIRF.  </w:t>
      </w:r>
    </w:p>
    <w:p w14:paraId="5F236C73" w14:textId="77777777" w:rsidR="006E02B9" w:rsidRPr="00F12FE9" w:rsidRDefault="006E02B9" w:rsidP="00F12FE9">
      <w:pPr>
        <w:spacing w:line="240" w:lineRule="auto"/>
        <w:ind w:left="856"/>
        <w:rPr>
          <w:color w:val="auto"/>
        </w:rPr>
      </w:pPr>
    </w:p>
    <w:p w14:paraId="6C13F373" w14:textId="185FAFBE" w:rsidR="00AE286E" w:rsidRDefault="00F12FE9" w:rsidP="00AE286E">
      <w:pPr>
        <w:pStyle w:val="Heading1"/>
      </w:pPr>
      <w:bookmarkStart w:id="26" w:name="_Toc430791107"/>
      <w:bookmarkStart w:id="27" w:name="_Toc132895849"/>
      <w:r>
        <w:t>Training</w:t>
      </w:r>
      <w:bookmarkEnd w:id="26"/>
      <w:bookmarkEnd w:id="27"/>
    </w:p>
    <w:p w14:paraId="7E5E2E1A" w14:textId="04BC9DA1" w:rsidR="00576D1C" w:rsidRDefault="00576D1C" w:rsidP="00B93457">
      <w:pPr>
        <w:spacing w:line="240" w:lineRule="auto"/>
        <w:ind w:left="858"/>
        <w:rPr>
          <w:color w:val="000000" w:themeColor="text1"/>
        </w:rPr>
      </w:pPr>
      <w:r w:rsidRPr="00576D1C">
        <w:rPr>
          <w:color w:val="000000" w:themeColor="text1"/>
        </w:rPr>
        <w:t>Specific knowledge and experience are required for those leading learning responses and those in oversight roles. This includes knowledge of systems thinking and system-based approaches to learning from patient safety incidents</w:t>
      </w:r>
      <w:r>
        <w:rPr>
          <w:color w:val="000000" w:themeColor="text1"/>
        </w:rPr>
        <w:t xml:space="preserve">.  </w:t>
      </w:r>
    </w:p>
    <w:p w14:paraId="2893CCF8" w14:textId="37226417" w:rsidR="000D0899" w:rsidRDefault="000D0899" w:rsidP="00576D1C">
      <w:pPr>
        <w:spacing w:line="240" w:lineRule="auto"/>
        <w:ind w:left="858"/>
        <w:rPr>
          <w:color w:val="000000" w:themeColor="text1"/>
        </w:rPr>
      </w:pPr>
    </w:p>
    <w:p w14:paraId="3D668BBD" w14:textId="53C95C4E" w:rsidR="00B93457" w:rsidRDefault="00B93457" w:rsidP="00B93457">
      <w:pPr>
        <w:spacing w:line="240" w:lineRule="auto"/>
        <w:ind w:left="858"/>
        <w:rPr>
          <w:color w:val="000000" w:themeColor="text1"/>
        </w:rPr>
      </w:pPr>
      <w:r w:rsidRPr="00B93457">
        <w:rPr>
          <w:color w:val="000000" w:themeColor="text1"/>
        </w:rPr>
        <w:t>Those in system oversight roles must have knowledge of effective oversight and supporting processes, including effective use of data for assurance and patient safety incident response system development. Staff in oversight roles must be appropriately trained to support the practical application of PSIRF oversight principles and standards.</w:t>
      </w:r>
    </w:p>
    <w:p w14:paraId="14C5B8E6" w14:textId="77777777" w:rsidR="000D0899" w:rsidRPr="00576D1C" w:rsidRDefault="000D0899" w:rsidP="00576D1C">
      <w:pPr>
        <w:spacing w:line="240" w:lineRule="auto"/>
        <w:ind w:left="858"/>
        <w:rPr>
          <w:color w:val="000000" w:themeColor="text1"/>
        </w:rPr>
      </w:pPr>
    </w:p>
    <w:tbl>
      <w:tblPr>
        <w:tblStyle w:val="TableGrid"/>
        <w:tblW w:w="0" w:type="auto"/>
        <w:tblInd w:w="858" w:type="dxa"/>
        <w:tblLook w:val="04A0" w:firstRow="1" w:lastRow="0" w:firstColumn="1" w:lastColumn="0" w:noHBand="0" w:noVBand="1"/>
      </w:tblPr>
      <w:tblGrid>
        <w:gridCol w:w="1942"/>
        <w:gridCol w:w="1511"/>
        <w:gridCol w:w="1363"/>
        <w:gridCol w:w="1337"/>
        <w:gridCol w:w="1767"/>
        <w:gridCol w:w="1678"/>
      </w:tblGrid>
      <w:tr w:rsidR="00956F4C" w14:paraId="54604031" w14:textId="77777777" w:rsidTr="00956F4C">
        <w:tc>
          <w:tcPr>
            <w:tcW w:w="1942" w:type="dxa"/>
          </w:tcPr>
          <w:p w14:paraId="51221990" w14:textId="77777777" w:rsidR="00956F4C" w:rsidRPr="007803F7" w:rsidRDefault="00956F4C" w:rsidP="00576D1C">
            <w:pPr>
              <w:spacing w:line="240" w:lineRule="auto"/>
              <w:rPr>
                <w:color w:val="auto"/>
              </w:rPr>
            </w:pPr>
          </w:p>
        </w:tc>
        <w:tc>
          <w:tcPr>
            <w:tcW w:w="1511" w:type="dxa"/>
          </w:tcPr>
          <w:p w14:paraId="28E55545" w14:textId="05A5704A" w:rsidR="00956F4C" w:rsidRPr="007803F7" w:rsidRDefault="00956F4C" w:rsidP="00576D1C">
            <w:pPr>
              <w:spacing w:line="240" w:lineRule="auto"/>
              <w:rPr>
                <w:color w:val="auto"/>
              </w:rPr>
            </w:pPr>
            <w:r>
              <w:rPr>
                <w:color w:val="auto"/>
              </w:rPr>
              <w:t>Frequency</w:t>
            </w:r>
          </w:p>
        </w:tc>
        <w:tc>
          <w:tcPr>
            <w:tcW w:w="1363" w:type="dxa"/>
          </w:tcPr>
          <w:p w14:paraId="243B99A2" w14:textId="4200846E" w:rsidR="00956F4C" w:rsidRPr="007803F7" w:rsidRDefault="00956F4C" w:rsidP="00576D1C">
            <w:pPr>
              <w:spacing w:line="240" w:lineRule="auto"/>
              <w:rPr>
                <w:color w:val="auto"/>
              </w:rPr>
            </w:pPr>
            <w:r w:rsidRPr="007803F7">
              <w:rPr>
                <w:color w:val="auto"/>
              </w:rPr>
              <w:t>All Staff</w:t>
            </w:r>
          </w:p>
        </w:tc>
        <w:tc>
          <w:tcPr>
            <w:tcW w:w="1337" w:type="dxa"/>
          </w:tcPr>
          <w:p w14:paraId="0FE38547" w14:textId="6562A973" w:rsidR="00956F4C" w:rsidRPr="007803F7" w:rsidRDefault="00956F4C" w:rsidP="00576D1C">
            <w:pPr>
              <w:spacing w:line="240" w:lineRule="auto"/>
              <w:rPr>
                <w:color w:val="auto"/>
              </w:rPr>
            </w:pPr>
            <w:r>
              <w:rPr>
                <w:color w:val="auto"/>
              </w:rPr>
              <w:t>Board Members</w:t>
            </w:r>
          </w:p>
        </w:tc>
        <w:tc>
          <w:tcPr>
            <w:tcW w:w="1767" w:type="dxa"/>
          </w:tcPr>
          <w:p w14:paraId="1D819A0B" w14:textId="1E431E06" w:rsidR="00956F4C" w:rsidRPr="007803F7" w:rsidRDefault="00956F4C" w:rsidP="00576D1C">
            <w:pPr>
              <w:spacing w:line="240" w:lineRule="auto"/>
              <w:rPr>
                <w:color w:val="auto"/>
              </w:rPr>
            </w:pPr>
            <w:r w:rsidRPr="007803F7">
              <w:rPr>
                <w:color w:val="auto"/>
              </w:rPr>
              <w:t>Staff leading learning responses</w:t>
            </w:r>
          </w:p>
        </w:tc>
        <w:tc>
          <w:tcPr>
            <w:tcW w:w="1678" w:type="dxa"/>
          </w:tcPr>
          <w:p w14:paraId="0FFF68B2" w14:textId="7A875965" w:rsidR="00956F4C" w:rsidRPr="007803F7" w:rsidRDefault="00956F4C" w:rsidP="00576D1C">
            <w:pPr>
              <w:spacing w:line="240" w:lineRule="auto"/>
              <w:rPr>
                <w:color w:val="auto"/>
              </w:rPr>
            </w:pPr>
            <w:r w:rsidRPr="007803F7">
              <w:rPr>
                <w:color w:val="auto"/>
              </w:rPr>
              <w:t>Those in a PSIRF oversight role</w:t>
            </w:r>
          </w:p>
        </w:tc>
      </w:tr>
      <w:tr w:rsidR="00956F4C" w14:paraId="4C8D81AC" w14:textId="77777777" w:rsidTr="00C051CA">
        <w:tc>
          <w:tcPr>
            <w:tcW w:w="1942" w:type="dxa"/>
          </w:tcPr>
          <w:p w14:paraId="72063DE4" w14:textId="77777777" w:rsidR="00956F4C" w:rsidRPr="007803F7" w:rsidRDefault="00956F4C" w:rsidP="00576D1C">
            <w:pPr>
              <w:spacing w:line="240" w:lineRule="auto"/>
              <w:rPr>
                <w:color w:val="auto"/>
              </w:rPr>
            </w:pPr>
            <w:r w:rsidRPr="007803F7">
              <w:rPr>
                <w:color w:val="auto"/>
              </w:rPr>
              <w:t xml:space="preserve">Patient safety </w:t>
            </w:r>
          </w:p>
          <w:p w14:paraId="74813BE7" w14:textId="77777777" w:rsidR="00956F4C" w:rsidRPr="007803F7" w:rsidRDefault="00956F4C" w:rsidP="00576D1C">
            <w:pPr>
              <w:spacing w:line="240" w:lineRule="auto"/>
              <w:rPr>
                <w:color w:val="auto"/>
              </w:rPr>
            </w:pPr>
            <w:r w:rsidRPr="007803F7">
              <w:rPr>
                <w:color w:val="auto"/>
              </w:rPr>
              <w:t xml:space="preserve">syllabus level 1: </w:t>
            </w:r>
          </w:p>
          <w:p w14:paraId="1CE3F24C" w14:textId="77777777" w:rsidR="00956F4C" w:rsidRPr="007803F7" w:rsidRDefault="00956F4C" w:rsidP="00576D1C">
            <w:pPr>
              <w:spacing w:line="240" w:lineRule="auto"/>
              <w:rPr>
                <w:color w:val="auto"/>
              </w:rPr>
            </w:pPr>
            <w:r w:rsidRPr="007803F7">
              <w:rPr>
                <w:color w:val="auto"/>
              </w:rPr>
              <w:t xml:space="preserve">Essentials for </w:t>
            </w:r>
          </w:p>
          <w:p w14:paraId="0B8B753D" w14:textId="34AFEFEE" w:rsidR="00956F4C" w:rsidRPr="007803F7" w:rsidRDefault="00956F4C" w:rsidP="00576D1C">
            <w:pPr>
              <w:spacing w:line="240" w:lineRule="auto"/>
              <w:rPr>
                <w:color w:val="auto"/>
              </w:rPr>
            </w:pPr>
            <w:r w:rsidRPr="007803F7">
              <w:rPr>
                <w:color w:val="auto"/>
              </w:rPr>
              <w:t>patient safety</w:t>
            </w:r>
          </w:p>
        </w:tc>
        <w:tc>
          <w:tcPr>
            <w:tcW w:w="1511" w:type="dxa"/>
            <w:shd w:val="clear" w:color="auto" w:fill="FFFFFF" w:themeFill="background1"/>
          </w:tcPr>
          <w:p w14:paraId="06FBFB3C" w14:textId="2CB92071" w:rsidR="00956F4C" w:rsidRPr="007803F7" w:rsidRDefault="00956F4C" w:rsidP="00576D1C">
            <w:pPr>
              <w:spacing w:line="240" w:lineRule="auto"/>
              <w:rPr>
                <w:b/>
                <w:bCs/>
                <w:color w:val="auto"/>
              </w:rPr>
            </w:pPr>
            <w:r>
              <w:rPr>
                <w:b/>
                <w:bCs/>
                <w:color w:val="auto"/>
              </w:rPr>
              <w:t>Annual</w:t>
            </w:r>
          </w:p>
        </w:tc>
        <w:tc>
          <w:tcPr>
            <w:tcW w:w="1363" w:type="dxa"/>
            <w:shd w:val="clear" w:color="auto" w:fill="D9D9D9" w:themeFill="background1" w:themeFillShade="D9"/>
          </w:tcPr>
          <w:p w14:paraId="001D6C0C" w14:textId="6B53C00F" w:rsidR="00956F4C" w:rsidRPr="007803F7" w:rsidRDefault="00956F4C" w:rsidP="00576D1C">
            <w:pPr>
              <w:spacing w:line="240" w:lineRule="auto"/>
              <w:rPr>
                <w:b/>
                <w:bCs/>
                <w:color w:val="auto"/>
              </w:rPr>
            </w:pPr>
            <w:r w:rsidRPr="007803F7">
              <w:rPr>
                <w:b/>
                <w:bCs/>
                <w:color w:val="auto"/>
              </w:rPr>
              <w:t>X</w:t>
            </w:r>
          </w:p>
        </w:tc>
        <w:tc>
          <w:tcPr>
            <w:tcW w:w="1337" w:type="dxa"/>
            <w:shd w:val="clear" w:color="auto" w:fill="D9D9D9" w:themeFill="background1" w:themeFillShade="D9"/>
          </w:tcPr>
          <w:p w14:paraId="1B8B3788" w14:textId="53FD6A13" w:rsidR="00956F4C" w:rsidRPr="007803F7" w:rsidRDefault="00C051CA" w:rsidP="00576D1C">
            <w:pPr>
              <w:spacing w:line="240" w:lineRule="auto"/>
              <w:rPr>
                <w:b/>
                <w:bCs/>
                <w:color w:val="auto"/>
              </w:rPr>
            </w:pPr>
            <w:r>
              <w:rPr>
                <w:b/>
                <w:bCs/>
                <w:color w:val="auto"/>
              </w:rPr>
              <w:t>X</w:t>
            </w:r>
          </w:p>
        </w:tc>
        <w:tc>
          <w:tcPr>
            <w:tcW w:w="1767" w:type="dxa"/>
            <w:shd w:val="clear" w:color="auto" w:fill="D9D9D9" w:themeFill="background1" w:themeFillShade="D9"/>
          </w:tcPr>
          <w:p w14:paraId="03C6B565" w14:textId="702D7916" w:rsidR="00956F4C" w:rsidRPr="007803F7" w:rsidRDefault="00956F4C" w:rsidP="00576D1C">
            <w:pPr>
              <w:spacing w:line="240" w:lineRule="auto"/>
              <w:rPr>
                <w:b/>
                <w:bCs/>
                <w:color w:val="auto"/>
              </w:rPr>
            </w:pPr>
            <w:r w:rsidRPr="007803F7">
              <w:rPr>
                <w:b/>
                <w:bCs/>
                <w:color w:val="auto"/>
              </w:rPr>
              <w:t>X</w:t>
            </w:r>
          </w:p>
        </w:tc>
        <w:tc>
          <w:tcPr>
            <w:tcW w:w="1678" w:type="dxa"/>
            <w:shd w:val="clear" w:color="auto" w:fill="D9D9D9" w:themeFill="background1" w:themeFillShade="D9"/>
          </w:tcPr>
          <w:p w14:paraId="79299D89" w14:textId="174122C4" w:rsidR="00956F4C" w:rsidRPr="007803F7" w:rsidRDefault="00956F4C" w:rsidP="00576D1C">
            <w:pPr>
              <w:spacing w:line="240" w:lineRule="auto"/>
              <w:rPr>
                <w:b/>
                <w:bCs/>
                <w:color w:val="auto"/>
              </w:rPr>
            </w:pPr>
            <w:r w:rsidRPr="007803F7">
              <w:rPr>
                <w:b/>
                <w:bCs/>
                <w:color w:val="auto"/>
              </w:rPr>
              <w:t>X</w:t>
            </w:r>
          </w:p>
        </w:tc>
      </w:tr>
      <w:tr w:rsidR="00956F4C" w14:paraId="664F11E2" w14:textId="77777777" w:rsidTr="00956F4C">
        <w:tc>
          <w:tcPr>
            <w:tcW w:w="1942" w:type="dxa"/>
          </w:tcPr>
          <w:p w14:paraId="4B1F0820" w14:textId="09286E61" w:rsidR="00956F4C" w:rsidRPr="007803F7" w:rsidRDefault="00956F4C" w:rsidP="00576D1C">
            <w:pPr>
              <w:spacing w:line="240" w:lineRule="auto"/>
              <w:rPr>
                <w:color w:val="auto"/>
              </w:rPr>
            </w:pPr>
            <w:r>
              <w:rPr>
                <w:color w:val="auto"/>
              </w:rPr>
              <w:lastRenderedPageBreak/>
              <w:t>Patient safety syllabus level 1: Essential of patient safety for boards and senior leadership teams</w:t>
            </w:r>
          </w:p>
        </w:tc>
        <w:tc>
          <w:tcPr>
            <w:tcW w:w="1511" w:type="dxa"/>
            <w:shd w:val="clear" w:color="auto" w:fill="FFFFFF" w:themeFill="background1"/>
          </w:tcPr>
          <w:p w14:paraId="0087A260" w14:textId="725D6558" w:rsidR="00956F4C" w:rsidRDefault="00956F4C" w:rsidP="00576D1C">
            <w:pPr>
              <w:spacing w:line="240" w:lineRule="auto"/>
              <w:rPr>
                <w:b/>
                <w:bCs/>
                <w:color w:val="auto"/>
              </w:rPr>
            </w:pPr>
            <w:r>
              <w:rPr>
                <w:b/>
                <w:bCs/>
                <w:color w:val="auto"/>
              </w:rPr>
              <w:t>Annual</w:t>
            </w:r>
          </w:p>
        </w:tc>
        <w:tc>
          <w:tcPr>
            <w:tcW w:w="1363" w:type="dxa"/>
            <w:shd w:val="clear" w:color="auto" w:fill="auto"/>
          </w:tcPr>
          <w:p w14:paraId="6E6CDBD1" w14:textId="77777777" w:rsidR="00956F4C" w:rsidRPr="007803F7" w:rsidRDefault="00956F4C" w:rsidP="00576D1C">
            <w:pPr>
              <w:spacing w:line="240" w:lineRule="auto"/>
              <w:rPr>
                <w:b/>
                <w:bCs/>
                <w:color w:val="auto"/>
              </w:rPr>
            </w:pPr>
          </w:p>
        </w:tc>
        <w:tc>
          <w:tcPr>
            <w:tcW w:w="1337" w:type="dxa"/>
            <w:shd w:val="clear" w:color="auto" w:fill="D9D9D9" w:themeFill="background1" w:themeFillShade="D9"/>
          </w:tcPr>
          <w:p w14:paraId="430BC053" w14:textId="150B7B5E" w:rsidR="00956F4C" w:rsidRPr="007803F7" w:rsidRDefault="00956F4C" w:rsidP="00576D1C">
            <w:pPr>
              <w:spacing w:line="240" w:lineRule="auto"/>
              <w:rPr>
                <w:b/>
                <w:bCs/>
                <w:color w:val="auto"/>
              </w:rPr>
            </w:pPr>
            <w:r>
              <w:rPr>
                <w:b/>
                <w:bCs/>
                <w:color w:val="auto"/>
              </w:rPr>
              <w:t>X</w:t>
            </w:r>
          </w:p>
        </w:tc>
        <w:tc>
          <w:tcPr>
            <w:tcW w:w="1767" w:type="dxa"/>
            <w:shd w:val="clear" w:color="auto" w:fill="D9D9D9" w:themeFill="background1" w:themeFillShade="D9"/>
          </w:tcPr>
          <w:p w14:paraId="6139E1CD" w14:textId="7222FB33" w:rsidR="00956F4C" w:rsidRPr="007803F7" w:rsidRDefault="00956F4C" w:rsidP="00576D1C">
            <w:pPr>
              <w:spacing w:line="240" w:lineRule="auto"/>
              <w:rPr>
                <w:b/>
                <w:bCs/>
                <w:color w:val="auto"/>
              </w:rPr>
            </w:pPr>
          </w:p>
        </w:tc>
        <w:tc>
          <w:tcPr>
            <w:tcW w:w="1678" w:type="dxa"/>
            <w:shd w:val="clear" w:color="auto" w:fill="D9D9D9" w:themeFill="background1" w:themeFillShade="D9"/>
          </w:tcPr>
          <w:p w14:paraId="04986B0A" w14:textId="77777777" w:rsidR="00956F4C" w:rsidRPr="007803F7" w:rsidRDefault="00956F4C" w:rsidP="00576D1C">
            <w:pPr>
              <w:spacing w:line="240" w:lineRule="auto"/>
              <w:rPr>
                <w:b/>
                <w:bCs/>
                <w:color w:val="auto"/>
              </w:rPr>
            </w:pPr>
          </w:p>
        </w:tc>
      </w:tr>
      <w:tr w:rsidR="00956F4C" w14:paraId="18F5E871" w14:textId="77777777" w:rsidTr="00CF5F6E">
        <w:tc>
          <w:tcPr>
            <w:tcW w:w="1942" w:type="dxa"/>
          </w:tcPr>
          <w:p w14:paraId="17A86E64" w14:textId="77777777" w:rsidR="00956F4C" w:rsidRPr="007803F7" w:rsidRDefault="00956F4C" w:rsidP="00576D1C">
            <w:pPr>
              <w:spacing w:line="240" w:lineRule="auto"/>
              <w:rPr>
                <w:color w:val="auto"/>
              </w:rPr>
            </w:pPr>
            <w:r w:rsidRPr="007803F7">
              <w:rPr>
                <w:color w:val="auto"/>
              </w:rPr>
              <w:t xml:space="preserve">Patient safety </w:t>
            </w:r>
          </w:p>
          <w:p w14:paraId="339FB5C4" w14:textId="77777777" w:rsidR="00956F4C" w:rsidRPr="007803F7" w:rsidRDefault="00956F4C" w:rsidP="00576D1C">
            <w:pPr>
              <w:spacing w:line="240" w:lineRule="auto"/>
              <w:rPr>
                <w:color w:val="auto"/>
              </w:rPr>
            </w:pPr>
            <w:r w:rsidRPr="007803F7">
              <w:rPr>
                <w:color w:val="auto"/>
              </w:rPr>
              <w:t xml:space="preserve">syllabus level 2: </w:t>
            </w:r>
          </w:p>
          <w:p w14:paraId="110CE5F7" w14:textId="77777777" w:rsidR="00956F4C" w:rsidRPr="007803F7" w:rsidRDefault="00956F4C" w:rsidP="00576D1C">
            <w:pPr>
              <w:spacing w:line="240" w:lineRule="auto"/>
              <w:rPr>
                <w:color w:val="auto"/>
              </w:rPr>
            </w:pPr>
            <w:r w:rsidRPr="007803F7">
              <w:rPr>
                <w:color w:val="auto"/>
              </w:rPr>
              <w:t xml:space="preserve">Access to </w:t>
            </w:r>
          </w:p>
          <w:p w14:paraId="6BB48291" w14:textId="36DEEC54" w:rsidR="00956F4C" w:rsidRPr="007803F7" w:rsidRDefault="00956F4C" w:rsidP="00576D1C">
            <w:pPr>
              <w:spacing w:line="240" w:lineRule="auto"/>
              <w:rPr>
                <w:color w:val="auto"/>
              </w:rPr>
            </w:pPr>
            <w:r w:rsidRPr="007803F7">
              <w:rPr>
                <w:color w:val="auto"/>
              </w:rPr>
              <w:t>practice</w:t>
            </w:r>
          </w:p>
        </w:tc>
        <w:tc>
          <w:tcPr>
            <w:tcW w:w="1511" w:type="dxa"/>
            <w:shd w:val="clear" w:color="auto" w:fill="FFFFFF" w:themeFill="background1"/>
          </w:tcPr>
          <w:p w14:paraId="213A9458" w14:textId="2FB282EF" w:rsidR="00956F4C" w:rsidRDefault="00956F4C" w:rsidP="00576D1C">
            <w:pPr>
              <w:spacing w:line="240" w:lineRule="auto"/>
              <w:rPr>
                <w:b/>
                <w:bCs/>
                <w:color w:val="auto"/>
              </w:rPr>
            </w:pPr>
            <w:r>
              <w:rPr>
                <w:b/>
                <w:bCs/>
                <w:color w:val="auto"/>
              </w:rPr>
              <w:t>Annual</w:t>
            </w:r>
          </w:p>
        </w:tc>
        <w:tc>
          <w:tcPr>
            <w:tcW w:w="1363" w:type="dxa"/>
            <w:shd w:val="clear" w:color="auto" w:fill="auto"/>
          </w:tcPr>
          <w:p w14:paraId="0701E1C6" w14:textId="089449BE" w:rsidR="00956F4C" w:rsidRPr="007803F7" w:rsidRDefault="00956F4C" w:rsidP="00576D1C">
            <w:pPr>
              <w:spacing w:line="240" w:lineRule="auto"/>
              <w:rPr>
                <w:b/>
                <w:bCs/>
                <w:color w:val="auto"/>
              </w:rPr>
            </w:pPr>
          </w:p>
        </w:tc>
        <w:tc>
          <w:tcPr>
            <w:tcW w:w="1337" w:type="dxa"/>
            <w:shd w:val="clear" w:color="auto" w:fill="auto"/>
          </w:tcPr>
          <w:p w14:paraId="475282CC" w14:textId="77777777" w:rsidR="00956F4C" w:rsidRPr="007803F7" w:rsidRDefault="00956F4C" w:rsidP="00576D1C">
            <w:pPr>
              <w:spacing w:line="240" w:lineRule="auto"/>
              <w:rPr>
                <w:b/>
                <w:bCs/>
                <w:color w:val="auto"/>
              </w:rPr>
            </w:pPr>
          </w:p>
        </w:tc>
        <w:tc>
          <w:tcPr>
            <w:tcW w:w="1767" w:type="dxa"/>
            <w:shd w:val="clear" w:color="auto" w:fill="D9D9D9" w:themeFill="background1" w:themeFillShade="D9"/>
          </w:tcPr>
          <w:p w14:paraId="6E3F2E63" w14:textId="53BE51BC" w:rsidR="00956F4C" w:rsidRPr="007803F7" w:rsidRDefault="00956F4C" w:rsidP="00576D1C">
            <w:pPr>
              <w:spacing w:line="240" w:lineRule="auto"/>
              <w:rPr>
                <w:b/>
                <w:bCs/>
                <w:color w:val="auto"/>
              </w:rPr>
            </w:pPr>
            <w:r w:rsidRPr="007803F7">
              <w:rPr>
                <w:b/>
                <w:bCs/>
                <w:color w:val="auto"/>
              </w:rPr>
              <w:t>X</w:t>
            </w:r>
          </w:p>
        </w:tc>
        <w:tc>
          <w:tcPr>
            <w:tcW w:w="1678" w:type="dxa"/>
            <w:shd w:val="clear" w:color="auto" w:fill="D9D9D9" w:themeFill="background1" w:themeFillShade="D9"/>
          </w:tcPr>
          <w:p w14:paraId="08E3746B" w14:textId="0BA13BB6" w:rsidR="00956F4C" w:rsidRPr="007803F7" w:rsidRDefault="00956F4C" w:rsidP="00576D1C">
            <w:pPr>
              <w:spacing w:line="240" w:lineRule="auto"/>
              <w:rPr>
                <w:b/>
                <w:bCs/>
                <w:color w:val="auto"/>
              </w:rPr>
            </w:pPr>
            <w:r w:rsidRPr="007803F7">
              <w:rPr>
                <w:b/>
                <w:bCs/>
                <w:color w:val="auto"/>
              </w:rPr>
              <w:t>X</w:t>
            </w:r>
          </w:p>
        </w:tc>
      </w:tr>
      <w:tr w:rsidR="00956F4C" w14:paraId="0CEE82F0" w14:textId="77777777" w:rsidTr="00956F4C">
        <w:tc>
          <w:tcPr>
            <w:tcW w:w="1942" w:type="dxa"/>
          </w:tcPr>
          <w:p w14:paraId="3A985FCA" w14:textId="77777777" w:rsidR="00956F4C" w:rsidRPr="007803F7" w:rsidRDefault="00956F4C" w:rsidP="00576D1C">
            <w:pPr>
              <w:spacing w:line="240" w:lineRule="auto"/>
              <w:rPr>
                <w:color w:val="auto"/>
              </w:rPr>
            </w:pPr>
            <w:r w:rsidRPr="007803F7">
              <w:rPr>
                <w:color w:val="auto"/>
              </w:rPr>
              <w:t xml:space="preserve">Continuing </w:t>
            </w:r>
          </w:p>
          <w:p w14:paraId="029FA4B3" w14:textId="77777777" w:rsidR="00956F4C" w:rsidRPr="007803F7" w:rsidRDefault="00956F4C" w:rsidP="00576D1C">
            <w:pPr>
              <w:spacing w:line="240" w:lineRule="auto"/>
              <w:rPr>
                <w:color w:val="auto"/>
              </w:rPr>
            </w:pPr>
            <w:r w:rsidRPr="007803F7">
              <w:rPr>
                <w:color w:val="auto"/>
              </w:rPr>
              <w:t xml:space="preserve">professional </w:t>
            </w:r>
          </w:p>
          <w:p w14:paraId="417E121D" w14:textId="77777777" w:rsidR="00956F4C" w:rsidRPr="007803F7" w:rsidRDefault="00956F4C" w:rsidP="00576D1C">
            <w:pPr>
              <w:spacing w:line="240" w:lineRule="auto"/>
              <w:rPr>
                <w:color w:val="auto"/>
              </w:rPr>
            </w:pPr>
            <w:r w:rsidRPr="007803F7">
              <w:rPr>
                <w:color w:val="auto"/>
              </w:rPr>
              <w:t>development</w:t>
            </w:r>
          </w:p>
          <w:p w14:paraId="1C300302" w14:textId="67D95C68" w:rsidR="00956F4C" w:rsidRPr="007803F7" w:rsidRDefault="00956F4C" w:rsidP="00576D1C">
            <w:pPr>
              <w:spacing w:line="240" w:lineRule="auto"/>
              <w:rPr>
                <w:color w:val="auto"/>
              </w:rPr>
            </w:pPr>
            <w:r w:rsidRPr="007803F7">
              <w:rPr>
                <w:color w:val="auto"/>
              </w:rPr>
              <w:t>(CPD)</w:t>
            </w:r>
          </w:p>
        </w:tc>
        <w:tc>
          <w:tcPr>
            <w:tcW w:w="1511" w:type="dxa"/>
            <w:shd w:val="clear" w:color="auto" w:fill="FFFFFF" w:themeFill="background1"/>
          </w:tcPr>
          <w:p w14:paraId="758255BF" w14:textId="381D70D8" w:rsidR="00956F4C" w:rsidRPr="007803F7" w:rsidRDefault="00956F4C" w:rsidP="00576D1C">
            <w:pPr>
              <w:spacing w:line="240" w:lineRule="auto"/>
              <w:rPr>
                <w:b/>
                <w:bCs/>
                <w:color w:val="auto"/>
              </w:rPr>
            </w:pPr>
            <w:r>
              <w:rPr>
                <w:b/>
                <w:bCs/>
                <w:color w:val="auto"/>
              </w:rPr>
              <w:t>Annual</w:t>
            </w:r>
          </w:p>
        </w:tc>
        <w:tc>
          <w:tcPr>
            <w:tcW w:w="1363" w:type="dxa"/>
          </w:tcPr>
          <w:p w14:paraId="78F01879" w14:textId="79B024D7" w:rsidR="00956F4C" w:rsidRPr="007803F7" w:rsidRDefault="00956F4C" w:rsidP="00576D1C">
            <w:pPr>
              <w:spacing w:line="240" w:lineRule="auto"/>
              <w:rPr>
                <w:b/>
                <w:bCs/>
                <w:color w:val="auto"/>
              </w:rPr>
            </w:pPr>
          </w:p>
        </w:tc>
        <w:tc>
          <w:tcPr>
            <w:tcW w:w="1337" w:type="dxa"/>
            <w:shd w:val="clear" w:color="auto" w:fill="auto"/>
          </w:tcPr>
          <w:p w14:paraId="2E273765" w14:textId="77777777" w:rsidR="00956F4C" w:rsidRPr="007803F7" w:rsidRDefault="00956F4C" w:rsidP="00576D1C">
            <w:pPr>
              <w:spacing w:line="240" w:lineRule="auto"/>
              <w:rPr>
                <w:b/>
                <w:bCs/>
                <w:color w:val="auto"/>
              </w:rPr>
            </w:pPr>
          </w:p>
        </w:tc>
        <w:tc>
          <w:tcPr>
            <w:tcW w:w="1767" w:type="dxa"/>
            <w:shd w:val="clear" w:color="auto" w:fill="D9D9D9" w:themeFill="background1" w:themeFillShade="D9"/>
          </w:tcPr>
          <w:p w14:paraId="2DE7D55E" w14:textId="5FE34DA9" w:rsidR="00956F4C" w:rsidRPr="007803F7" w:rsidRDefault="00956F4C" w:rsidP="00576D1C">
            <w:pPr>
              <w:spacing w:line="240" w:lineRule="auto"/>
              <w:rPr>
                <w:b/>
                <w:bCs/>
                <w:color w:val="auto"/>
              </w:rPr>
            </w:pPr>
            <w:r w:rsidRPr="007803F7">
              <w:rPr>
                <w:b/>
                <w:bCs/>
                <w:color w:val="auto"/>
              </w:rPr>
              <w:t>X</w:t>
            </w:r>
          </w:p>
        </w:tc>
        <w:tc>
          <w:tcPr>
            <w:tcW w:w="1678" w:type="dxa"/>
            <w:shd w:val="clear" w:color="auto" w:fill="D9D9D9" w:themeFill="background1" w:themeFillShade="D9"/>
          </w:tcPr>
          <w:p w14:paraId="31F130EB" w14:textId="1CD707D9" w:rsidR="00956F4C" w:rsidRPr="007803F7" w:rsidRDefault="00956F4C" w:rsidP="00576D1C">
            <w:pPr>
              <w:spacing w:line="240" w:lineRule="auto"/>
              <w:rPr>
                <w:b/>
                <w:bCs/>
                <w:color w:val="auto"/>
              </w:rPr>
            </w:pPr>
            <w:r w:rsidRPr="007803F7">
              <w:rPr>
                <w:b/>
                <w:bCs/>
                <w:color w:val="auto"/>
              </w:rPr>
              <w:t>X</w:t>
            </w:r>
          </w:p>
        </w:tc>
      </w:tr>
      <w:tr w:rsidR="00956F4C" w14:paraId="6A200632" w14:textId="77777777" w:rsidTr="00956F4C">
        <w:tc>
          <w:tcPr>
            <w:tcW w:w="1942" w:type="dxa"/>
          </w:tcPr>
          <w:p w14:paraId="726387B1" w14:textId="77777777" w:rsidR="00956F4C" w:rsidRPr="007803F7" w:rsidRDefault="00956F4C" w:rsidP="00576D1C">
            <w:pPr>
              <w:spacing w:line="240" w:lineRule="auto"/>
              <w:rPr>
                <w:color w:val="auto"/>
              </w:rPr>
            </w:pPr>
            <w:r w:rsidRPr="007803F7">
              <w:rPr>
                <w:color w:val="auto"/>
              </w:rPr>
              <w:t xml:space="preserve">Systems </w:t>
            </w:r>
          </w:p>
          <w:p w14:paraId="6F5976AD" w14:textId="77777777" w:rsidR="00956F4C" w:rsidRPr="007803F7" w:rsidRDefault="00956F4C" w:rsidP="00576D1C">
            <w:pPr>
              <w:spacing w:line="240" w:lineRule="auto"/>
              <w:rPr>
                <w:color w:val="auto"/>
              </w:rPr>
            </w:pPr>
            <w:r w:rsidRPr="007803F7">
              <w:rPr>
                <w:color w:val="auto"/>
              </w:rPr>
              <w:t xml:space="preserve">approach to </w:t>
            </w:r>
          </w:p>
          <w:p w14:paraId="562AC1E8" w14:textId="77777777" w:rsidR="00956F4C" w:rsidRPr="007803F7" w:rsidRDefault="00956F4C" w:rsidP="00576D1C">
            <w:pPr>
              <w:spacing w:line="240" w:lineRule="auto"/>
              <w:rPr>
                <w:color w:val="auto"/>
              </w:rPr>
            </w:pPr>
            <w:r w:rsidRPr="007803F7">
              <w:rPr>
                <w:color w:val="auto"/>
              </w:rPr>
              <w:t xml:space="preserve">learning from </w:t>
            </w:r>
          </w:p>
          <w:p w14:paraId="415DD33F" w14:textId="77777777" w:rsidR="00956F4C" w:rsidRPr="007803F7" w:rsidRDefault="00956F4C" w:rsidP="00576D1C">
            <w:pPr>
              <w:spacing w:line="240" w:lineRule="auto"/>
              <w:rPr>
                <w:color w:val="auto"/>
              </w:rPr>
            </w:pPr>
            <w:r w:rsidRPr="007803F7">
              <w:rPr>
                <w:color w:val="auto"/>
              </w:rPr>
              <w:t xml:space="preserve">patient safety </w:t>
            </w:r>
          </w:p>
          <w:p w14:paraId="625916A0" w14:textId="47448C02" w:rsidR="00956F4C" w:rsidRPr="007803F7" w:rsidRDefault="00956F4C" w:rsidP="00576D1C">
            <w:pPr>
              <w:spacing w:line="240" w:lineRule="auto"/>
              <w:rPr>
                <w:color w:val="auto"/>
              </w:rPr>
            </w:pPr>
            <w:r w:rsidRPr="007803F7">
              <w:rPr>
                <w:color w:val="auto"/>
              </w:rPr>
              <w:t>Incidents</w:t>
            </w:r>
          </w:p>
        </w:tc>
        <w:tc>
          <w:tcPr>
            <w:tcW w:w="1511" w:type="dxa"/>
            <w:shd w:val="clear" w:color="auto" w:fill="FFFFFF" w:themeFill="background1"/>
          </w:tcPr>
          <w:p w14:paraId="4A851EC8" w14:textId="543B7ABA" w:rsidR="00956F4C" w:rsidRPr="007803F7" w:rsidRDefault="00956F4C" w:rsidP="00576D1C">
            <w:pPr>
              <w:spacing w:line="240" w:lineRule="auto"/>
              <w:rPr>
                <w:b/>
                <w:bCs/>
                <w:color w:val="auto"/>
              </w:rPr>
            </w:pPr>
            <w:r>
              <w:rPr>
                <w:b/>
                <w:bCs/>
                <w:color w:val="auto"/>
              </w:rPr>
              <w:t>Once</w:t>
            </w:r>
          </w:p>
        </w:tc>
        <w:tc>
          <w:tcPr>
            <w:tcW w:w="1363" w:type="dxa"/>
          </w:tcPr>
          <w:p w14:paraId="0EC5E6F3" w14:textId="144C3475" w:rsidR="00956F4C" w:rsidRPr="007803F7" w:rsidRDefault="00956F4C" w:rsidP="00576D1C">
            <w:pPr>
              <w:spacing w:line="240" w:lineRule="auto"/>
              <w:rPr>
                <w:b/>
                <w:bCs/>
                <w:color w:val="auto"/>
              </w:rPr>
            </w:pPr>
          </w:p>
        </w:tc>
        <w:tc>
          <w:tcPr>
            <w:tcW w:w="1337" w:type="dxa"/>
            <w:shd w:val="clear" w:color="auto" w:fill="auto"/>
          </w:tcPr>
          <w:p w14:paraId="020D5130" w14:textId="77777777" w:rsidR="00956F4C" w:rsidRPr="007803F7" w:rsidRDefault="00956F4C" w:rsidP="00576D1C">
            <w:pPr>
              <w:spacing w:line="240" w:lineRule="auto"/>
              <w:rPr>
                <w:b/>
                <w:bCs/>
                <w:color w:val="auto"/>
              </w:rPr>
            </w:pPr>
          </w:p>
        </w:tc>
        <w:tc>
          <w:tcPr>
            <w:tcW w:w="1767" w:type="dxa"/>
            <w:shd w:val="clear" w:color="auto" w:fill="D9D9D9" w:themeFill="background1" w:themeFillShade="D9"/>
          </w:tcPr>
          <w:p w14:paraId="59399E31" w14:textId="19879935" w:rsidR="00956F4C" w:rsidRPr="007803F7" w:rsidRDefault="00956F4C" w:rsidP="00576D1C">
            <w:pPr>
              <w:spacing w:line="240" w:lineRule="auto"/>
              <w:rPr>
                <w:b/>
                <w:bCs/>
                <w:color w:val="auto"/>
              </w:rPr>
            </w:pPr>
            <w:r w:rsidRPr="007803F7">
              <w:rPr>
                <w:b/>
                <w:bCs/>
                <w:color w:val="auto"/>
              </w:rPr>
              <w:t>X</w:t>
            </w:r>
          </w:p>
        </w:tc>
        <w:tc>
          <w:tcPr>
            <w:tcW w:w="1678" w:type="dxa"/>
            <w:shd w:val="clear" w:color="auto" w:fill="D9D9D9" w:themeFill="background1" w:themeFillShade="D9"/>
          </w:tcPr>
          <w:p w14:paraId="12769432" w14:textId="149CEB34" w:rsidR="00956F4C" w:rsidRPr="007803F7" w:rsidRDefault="00956F4C" w:rsidP="00576D1C">
            <w:pPr>
              <w:spacing w:line="240" w:lineRule="auto"/>
              <w:rPr>
                <w:b/>
                <w:bCs/>
                <w:color w:val="auto"/>
              </w:rPr>
            </w:pPr>
            <w:r w:rsidRPr="007803F7">
              <w:rPr>
                <w:b/>
                <w:bCs/>
                <w:color w:val="auto"/>
              </w:rPr>
              <w:t>X</w:t>
            </w:r>
          </w:p>
        </w:tc>
      </w:tr>
      <w:tr w:rsidR="00956F4C" w14:paraId="1FC44DEF" w14:textId="77777777" w:rsidTr="00956F4C">
        <w:tc>
          <w:tcPr>
            <w:tcW w:w="1942" w:type="dxa"/>
          </w:tcPr>
          <w:p w14:paraId="1441116D" w14:textId="77777777" w:rsidR="00956F4C" w:rsidRPr="007803F7" w:rsidRDefault="00956F4C" w:rsidP="00576D1C">
            <w:pPr>
              <w:spacing w:line="240" w:lineRule="auto"/>
              <w:rPr>
                <w:color w:val="auto"/>
              </w:rPr>
            </w:pPr>
            <w:r w:rsidRPr="007803F7">
              <w:rPr>
                <w:color w:val="auto"/>
              </w:rPr>
              <w:t xml:space="preserve">Oversight of </w:t>
            </w:r>
          </w:p>
          <w:p w14:paraId="1F462F2F" w14:textId="77777777" w:rsidR="00956F4C" w:rsidRPr="007803F7" w:rsidRDefault="00956F4C" w:rsidP="00576D1C">
            <w:pPr>
              <w:spacing w:line="240" w:lineRule="auto"/>
              <w:rPr>
                <w:color w:val="auto"/>
              </w:rPr>
            </w:pPr>
            <w:r w:rsidRPr="007803F7">
              <w:rPr>
                <w:color w:val="auto"/>
              </w:rPr>
              <w:t xml:space="preserve">learning from </w:t>
            </w:r>
          </w:p>
          <w:p w14:paraId="628CD478" w14:textId="77777777" w:rsidR="00956F4C" w:rsidRPr="007803F7" w:rsidRDefault="00956F4C" w:rsidP="00576D1C">
            <w:pPr>
              <w:spacing w:line="240" w:lineRule="auto"/>
              <w:rPr>
                <w:color w:val="auto"/>
              </w:rPr>
            </w:pPr>
            <w:r w:rsidRPr="007803F7">
              <w:rPr>
                <w:color w:val="auto"/>
              </w:rPr>
              <w:t xml:space="preserve">patient safety </w:t>
            </w:r>
          </w:p>
          <w:p w14:paraId="3DC852AB" w14:textId="4FBFFADA" w:rsidR="00956F4C" w:rsidRPr="007803F7" w:rsidRDefault="00956F4C" w:rsidP="00576D1C">
            <w:pPr>
              <w:spacing w:line="240" w:lineRule="auto"/>
              <w:rPr>
                <w:color w:val="auto"/>
              </w:rPr>
            </w:pPr>
            <w:r w:rsidRPr="007803F7">
              <w:rPr>
                <w:color w:val="auto"/>
              </w:rPr>
              <w:t>incidents</w:t>
            </w:r>
          </w:p>
        </w:tc>
        <w:tc>
          <w:tcPr>
            <w:tcW w:w="1511" w:type="dxa"/>
            <w:shd w:val="clear" w:color="auto" w:fill="FFFFFF" w:themeFill="background1"/>
          </w:tcPr>
          <w:p w14:paraId="21B6D1A9" w14:textId="0DA3DEBD" w:rsidR="00956F4C" w:rsidRPr="007803F7" w:rsidRDefault="00956F4C" w:rsidP="00576D1C">
            <w:pPr>
              <w:spacing w:line="240" w:lineRule="auto"/>
              <w:rPr>
                <w:b/>
                <w:bCs/>
                <w:color w:val="auto"/>
              </w:rPr>
            </w:pPr>
            <w:r>
              <w:rPr>
                <w:b/>
                <w:bCs/>
                <w:color w:val="auto"/>
              </w:rPr>
              <w:t>Once</w:t>
            </w:r>
          </w:p>
        </w:tc>
        <w:tc>
          <w:tcPr>
            <w:tcW w:w="1363" w:type="dxa"/>
          </w:tcPr>
          <w:p w14:paraId="491831AD" w14:textId="36DEF056" w:rsidR="00956F4C" w:rsidRPr="007803F7" w:rsidRDefault="00956F4C" w:rsidP="00576D1C">
            <w:pPr>
              <w:spacing w:line="240" w:lineRule="auto"/>
              <w:rPr>
                <w:b/>
                <w:bCs/>
                <w:color w:val="auto"/>
              </w:rPr>
            </w:pPr>
          </w:p>
        </w:tc>
        <w:tc>
          <w:tcPr>
            <w:tcW w:w="1337" w:type="dxa"/>
            <w:shd w:val="clear" w:color="auto" w:fill="auto"/>
          </w:tcPr>
          <w:p w14:paraId="5A547828" w14:textId="77777777" w:rsidR="00956F4C" w:rsidRPr="007803F7" w:rsidRDefault="00956F4C" w:rsidP="00576D1C">
            <w:pPr>
              <w:spacing w:line="240" w:lineRule="auto"/>
              <w:rPr>
                <w:b/>
                <w:bCs/>
                <w:color w:val="auto"/>
              </w:rPr>
            </w:pPr>
          </w:p>
        </w:tc>
        <w:tc>
          <w:tcPr>
            <w:tcW w:w="1767" w:type="dxa"/>
          </w:tcPr>
          <w:p w14:paraId="4036A598" w14:textId="16F89AB9" w:rsidR="00956F4C" w:rsidRPr="007803F7" w:rsidRDefault="00956F4C" w:rsidP="00576D1C">
            <w:pPr>
              <w:spacing w:line="240" w:lineRule="auto"/>
              <w:rPr>
                <w:b/>
                <w:bCs/>
                <w:color w:val="auto"/>
              </w:rPr>
            </w:pPr>
          </w:p>
        </w:tc>
        <w:tc>
          <w:tcPr>
            <w:tcW w:w="1678" w:type="dxa"/>
            <w:shd w:val="clear" w:color="auto" w:fill="D9D9D9" w:themeFill="background1" w:themeFillShade="D9"/>
          </w:tcPr>
          <w:p w14:paraId="0B7B99B4" w14:textId="609BE1BA" w:rsidR="00956F4C" w:rsidRPr="007803F7" w:rsidRDefault="00956F4C" w:rsidP="00576D1C">
            <w:pPr>
              <w:spacing w:line="240" w:lineRule="auto"/>
              <w:rPr>
                <w:b/>
                <w:bCs/>
                <w:color w:val="auto"/>
              </w:rPr>
            </w:pPr>
            <w:r w:rsidRPr="007803F7">
              <w:rPr>
                <w:b/>
                <w:bCs/>
                <w:color w:val="auto"/>
              </w:rPr>
              <w:t>X</w:t>
            </w:r>
          </w:p>
        </w:tc>
      </w:tr>
      <w:tr w:rsidR="00956F4C" w14:paraId="29797B47" w14:textId="77777777" w:rsidTr="00956F4C">
        <w:tc>
          <w:tcPr>
            <w:tcW w:w="1942" w:type="dxa"/>
          </w:tcPr>
          <w:p w14:paraId="47E3650E" w14:textId="77777777" w:rsidR="00956F4C" w:rsidRPr="007803F7" w:rsidRDefault="00956F4C" w:rsidP="00576D1C">
            <w:pPr>
              <w:spacing w:line="240" w:lineRule="auto"/>
              <w:rPr>
                <w:color w:val="auto"/>
              </w:rPr>
            </w:pPr>
            <w:r w:rsidRPr="007803F7">
              <w:rPr>
                <w:color w:val="auto"/>
              </w:rPr>
              <w:t xml:space="preserve">Involving those </w:t>
            </w:r>
          </w:p>
          <w:p w14:paraId="79A8A5B8" w14:textId="77777777" w:rsidR="00956F4C" w:rsidRPr="007803F7" w:rsidRDefault="00956F4C" w:rsidP="00576D1C">
            <w:pPr>
              <w:spacing w:line="240" w:lineRule="auto"/>
              <w:rPr>
                <w:color w:val="auto"/>
              </w:rPr>
            </w:pPr>
            <w:r w:rsidRPr="007803F7">
              <w:rPr>
                <w:color w:val="auto"/>
              </w:rPr>
              <w:t xml:space="preserve">affected by </w:t>
            </w:r>
          </w:p>
          <w:p w14:paraId="55EA89AA" w14:textId="77777777" w:rsidR="00956F4C" w:rsidRPr="007803F7" w:rsidRDefault="00956F4C" w:rsidP="00576D1C">
            <w:pPr>
              <w:spacing w:line="240" w:lineRule="auto"/>
              <w:rPr>
                <w:color w:val="auto"/>
              </w:rPr>
            </w:pPr>
            <w:r w:rsidRPr="007803F7">
              <w:rPr>
                <w:color w:val="auto"/>
              </w:rPr>
              <w:t xml:space="preserve">patient safety </w:t>
            </w:r>
          </w:p>
          <w:p w14:paraId="21B0287C" w14:textId="77777777" w:rsidR="00956F4C" w:rsidRPr="007803F7" w:rsidRDefault="00956F4C" w:rsidP="00576D1C">
            <w:pPr>
              <w:spacing w:line="240" w:lineRule="auto"/>
              <w:rPr>
                <w:color w:val="auto"/>
              </w:rPr>
            </w:pPr>
            <w:r w:rsidRPr="007803F7">
              <w:rPr>
                <w:color w:val="auto"/>
              </w:rPr>
              <w:t xml:space="preserve">incidents in the </w:t>
            </w:r>
          </w:p>
          <w:p w14:paraId="7E0DDBD5" w14:textId="77777777" w:rsidR="00956F4C" w:rsidRPr="007803F7" w:rsidRDefault="00956F4C" w:rsidP="00576D1C">
            <w:pPr>
              <w:spacing w:line="240" w:lineRule="auto"/>
              <w:rPr>
                <w:color w:val="auto"/>
              </w:rPr>
            </w:pPr>
            <w:r w:rsidRPr="007803F7">
              <w:rPr>
                <w:color w:val="auto"/>
              </w:rPr>
              <w:t xml:space="preserve">learning </w:t>
            </w:r>
          </w:p>
          <w:p w14:paraId="3040551D" w14:textId="74B782D2" w:rsidR="00956F4C" w:rsidRPr="007803F7" w:rsidRDefault="00956F4C" w:rsidP="00576D1C">
            <w:pPr>
              <w:spacing w:line="240" w:lineRule="auto"/>
              <w:rPr>
                <w:color w:val="auto"/>
              </w:rPr>
            </w:pPr>
            <w:r w:rsidRPr="007803F7">
              <w:rPr>
                <w:color w:val="auto"/>
              </w:rPr>
              <w:t>process</w:t>
            </w:r>
          </w:p>
        </w:tc>
        <w:tc>
          <w:tcPr>
            <w:tcW w:w="1511" w:type="dxa"/>
            <w:shd w:val="clear" w:color="auto" w:fill="FFFFFF" w:themeFill="background1"/>
          </w:tcPr>
          <w:p w14:paraId="6B3E46BC" w14:textId="29765C07" w:rsidR="00956F4C" w:rsidRPr="007803F7" w:rsidRDefault="00956F4C" w:rsidP="00576D1C">
            <w:pPr>
              <w:spacing w:line="240" w:lineRule="auto"/>
              <w:rPr>
                <w:b/>
                <w:bCs/>
                <w:color w:val="auto"/>
              </w:rPr>
            </w:pPr>
            <w:r>
              <w:rPr>
                <w:b/>
                <w:bCs/>
                <w:color w:val="auto"/>
              </w:rPr>
              <w:t>Once</w:t>
            </w:r>
          </w:p>
        </w:tc>
        <w:tc>
          <w:tcPr>
            <w:tcW w:w="1363" w:type="dxa"/>
          </w:tcPr>
          <w:p w14:paraId="2F0E18D8" w14:textId="152C9AE0" w:rsidR="00956F4C" w:rsidRPr="007803F7" w:rsidRDefault="00956F4C" w:rsidP="00576D1C">
            <w:pPr>
              <w:spacing w:line="240" w:lineRule="auto"/>
              <w:rPr>
                <w:b/>
                <w:bCs/>
                <w:color w:val="auto"/>
              </w:rPr>
            </w:pPr>
          </w:p>
        </w:tc>
        <w:tc>
          <w:tcPr>
            <w:tcW w:w="1337" w:type="dxa"/>
            <w:shd w:val="clear" w:color="auto" w:fill="auto"/>
          </w:tcPr>
          <w:p w14:paraId="344EEDE6" w14:textId="77777777" w:rsidR="00956F4C" w:rsidRPr="007803F7" w:rsidRDefault="00956F4C" w:rsidP="00576D1C">
            <w:pPr>
              <w:spacing w:line="240" w:lineRule="auto"/>
              <w:rPr>
                <w:b/>
                <w:bCs/>
                <w:color w:val="auto"/>
              </w:rPr>
            </w:pPr>
          </w:p>
        </w:tc>
        <w:tc>
          <w:tcPr>
            <w:tcW w:w="1767" w:type="dxa"/>
            <w:shd w:val="clear" w:color="auto" w:fill="D9D9D9" w:themeFill="background1" w:themeFillShade="D9"/>
          </w:tcPr>
          <w:p w14:paraId="4ADBF21B" w14:textId="23635209" w:rsidR="00956F4C" w:rsidRPr="007803F7" w:rsidRDefault="00956F4C" w:rsidP="00576D1C">
            <w:pPr>
              <w:spacing w:line="240" w:lineRule="auto"/>
              <w:rPr>
                <w:b/>
                <w:bCs/>
                <w:color w:val="auto"/>
              </w:rPr>
            </w:pPr>
            <w:r w:rsidRPr="007803F7">
              <w:rPr>
                <w:b/>
                <w:bCs/>
                <w:color w:val="auto"/>
              </w:rPr>
              <w:t>X</w:t>
            </w:r>
          </w:p>
        </w:tc>
        <w:tc>
          <w:tcPr>
            <w:tcW w:w="1678" w:type="dxa"/>
            <w:shd w:val="clear" w:color="auto" w:fill="D9D9D9" w:themeFill="background1" w:themeFillShade="D9"/>
          </w:tcPr>
          <w:p w14:paraId="72E3D544" w14:textId="572F974D" w:rsidR="00956F4C" w:rsidRPr="007803F7" w:rsidRDefault="00956F4C" w:rsidP="00576D1C">
            <w:pPr>
              <w:spacing w:line="240" w:lineRule="auto"/>
              <w:rPr>
                <w:b/>
                <w:bCs/>
                <w:color w:val="auto"/>
              </w:rPr>
            </w:pPr>
            <w:r w:rsidRPr="007803F7">
              <w:rPr>
                <w:b/>
                <w:bCs/>
                <w:color w:val="auto"/>
              </w:rPr>
              <w:t>X</w:t>
            </w:r>
          </w:p>
        </w:tc>
      </w:tr>
    </w:tbl>
    <w:p w14:paraId="433E100A" w14:textId="581FF296" w:rsidR="009B62C9" w:rsidRPr="00EC4ED5" w:rsidRDefault="009B62C9" w:rsidP="009B62C9">
      <w:pPr>
        <w:ind w:left="858"/>
        <w:rPr>
          <w:color w:val="auto"/>
        </w:rPr>
      </w:pPr>
    </w:p>
    <w:p w14:paraId="51C4D9B7" w14:textId="26E80DFC" w:rsidR="00AE286E" w:rsidRDefault="00F12FE9" w:rsidP="00AE286E">
      <w:pPr>
        <w:pStyle w:val="Heading1"/>
      </w:pPr>
      <w:bookmarkStart w:id="28" w:name="_Toc430791108"/>
      <w:bookmarkStart w:id="29" w:name="_Toc132895850"/>
      <w:r>
        <w:t>Monitoring Compliance</w:t>
      </w:r>
      <w:bookmarkEnd w:id="28"/>
      <w:bookmarkEnd w:id="29"/>
    </w:p>
    <w:p w14:paraId="07E11E65" w14:textId="09EBFAEF" w:rsidR="00DD443C" w:rsidRPr="000B70F8" w:rsidRDefault="000B70F8" w:rsidP="000B70F8">
      <w:pPr>
        <w:spacing w:line="240" w:lineRule="auto"/>
        <w:ind w:left="858"/>
        <w:rPr>
          <w:color w:val="000000" w:themeColor="text1"/>
        </w:rPr>
      </w:pPr>
      <w:r w:rsidRPr="000B70F8">
        <w:rPr>
          <w:color w:val="000000" w:themeColor="text1"/>
        </w:rPr>
        <w:t>Compliance will be monitored by the ICB PSIRF group and will be reported to the ICB PSIRF Lead and ICB Quality Committee.</w:t>
      </w:r>
    </w:p>
    <w:p w14:paraId="3D065EB1" w14:textId="77777777" w:rsidR="000B70F8" w:rsidRPr="00DD443C" w:rsidRDefault="000B70F8" w:rsidP="00044C9A">
      <w:pPr>
        <w:ind w:left="858"/>
      </w:pPr>
    </w:p>
    <w:p w14:paraId="6257C528" w14:textId="4FF555A3" w:rsidR="00AE286E" w:rsidRDefault="00F12FE9" w:rsidP="00AE286E">
      <w:pPr>
        <w:pStyle w:val="Heading1"/>
      </w:pPr>
      <w:bookmarkStart w:id="30" w:name="_Toc430791109"/>
      <w:bookmarkStart w:id="31" w:name="_Toc132895851"/>
      <w:r>
        <w:t>Arrangements for Re</w:t>
      </w:r>
      <w:bookmarkEnd w:id="30"/>
      <w:r>
        <w:t>view</w:t>
      </w:r>
      <w:bookmarkEnd w:id="31"/>
    </w:p>
    <w:p w14:paraId="5C337FC6" w14:textId="6B8DC686" w:rsidR="00DD443C" w:rsidRDefault="00581B1D" w:rsidP="00B756C4">
      <w:pPr>
        <w:spacing w:line="240" w:lineRule="auto"/>
        <w:ind w:left="858"/>
        <w:rPr>
          <w:color w:val="000000" w:themeColor="text1"/>
        </w:rPr>
      </w:pPr>
      <w:r w:rsidRPr="00B756C4">
        <w:rPr>
          <w:color w:val="000000" w:themeColor="text1"/>
        </w:rPr>
        <w:t>This policy</w:t>
      </w:r>
      <w:r w:rsidR="006B0F89">
        <w:rPr>
          <w:color w:val="000000" w:themeColor="text1"/>
        </w:rPr>
        <w:t xml:space="preserve"> is a new policy and</w:t>
      </w:r>
      <w:r w:rsidRPr="00B756C4">
        <w:rPr>
          <w:color w:val="000000" w:themeColor="text1"/>
        </w:rPr>
        <w:t xml:space="preserve"> will be reviewed</w:t>
      </w:r>
      <w:r w:rsidR="00B756C4" w:rsidRPr="00B756C4">
        <w:rPr>
          <w:color w:val="000000" w:themeColor="text1"/>
        </w:rPr>
        <w:t xml:space="preserve"> within one year.  </w:t>
      </w:r>
    </w:p>
    <w:p w14:paraId="00019F71" w14:textId="77777777" w:rsidR="000E3813" w:rsidRPr="000E3813" w:rsidRDefault="000E3813" w:rsidP="00474FD4">
      <w:pPr>
        <w:spacing w:line="240" w:lineRule="auto"/>
        <w:rPr>
          <w:color w:val="auto"/>
        </w:rPr>
      </w:pPr>
    </w:p>
    <w:p w14:paraId="5151D7A9" w14:textId="2B1A50A4" w:rsidR="000E3813" w:rsidRDefault="000E3813" w:rsidP="000E3813">
      <w:pPr>
        <w:pStyle w:val="Heading1"/>
      </w:pPr>
      <w:bookmarkStart w:id="32" w:name="_Toc132895852"/>
      <w:r>
        <w:t>References</w:t>
      </w:r>
      <w:bookmarkEnd w:id="32"/>
    </w:p>
    <w:p w14:paraId="2B946704" w14:textId="011824B1" w:rsidR="00474FD4" w:rsidRDefault="00002FE8" w:rsidP="00474FD4">
      <w:pPr>
        <w:ind w:left="720"/>
        <w:rPr>
          <w:color w:val="000000" w:themeColor="text1"/>
        </w:rPr>
      </w:pPr>
      <w:r w:rsidRPr="00453D23">
        <w:rPr>
          <w:color w:val="000000" w:themeColor="text1"/>
        </w:rPr>
        <w:t>NHSE (2022) Patient Safety Incident Response Framework</w:t>
      </w:r>
      <w:r w:rsidR="00453D23" w:rsidRPr="00453D23">
        <w:rPr>
          <w:color w:val="000000" w:themeColor="text1"/>
        </w:rPr>
        <w:t xml:space="preserve">. Version One. </w:t>
      </w:r>
    </w:p>
    <w:p w14:paraId="1644513A" w14:textId="6AFFEF6B" w:rsidR="00A732EE" w:rsidRDefault="00A732EE" w:rsidP="00A732EE">
      <w:pPr>
        <w:ind w:left="720"/>
        <w:rPr>
          <w:color w:val="000000" w:themeColor="text1"/>
        </w:rPr>
      </w:pPr>
      <w:r>
        <w:rPr>
          <w:color w:val="000000" w:themeColor="text1"/>
        </w:rPr>
        <w:t xml:space="preserve">NHSE (2022) </w:t>
      </w:r>
      <w:r w:rsidRPr="00A732EE">
        <w:rPr>
          <w:color w:val="000000" w:themeColor="text1"/>
        </w:rPr>
        <w:t>Patient Safety Incident Response Framework supporting guidance</w:t>
      </w:r>
      <w:r>
        <w:rPr>
          <w:color w:val="000000" w:themeColor="text1"/>
        </w:rPr>
        <w:t xml:space="preserve">.  </w:t>
      </w:r>
      <w:r w:rsidRPr="00A732EE">
        <w:rPr>
          <w:color w:val="000000" w:themeColor="text1"/>
        </w:rPr>
        <w:t>Engaging and involving patients, families and staff following a patient safety incident</w:t>
      </w:r>
      <w:r>
        <w:rPr>
          <w:color w:val="000000" w:themeColor="text1"/>
        </w:rPr>
        <w:t>.  Version One.</w:t>
      </w:r>
    </w:p>
    <w:p w14:paraId="7F18DC4A" w14:textId="76F10A8C" w:rsidR="00A732EE" w:rsidRDefault="00725D87" w:rsidP="005B1B0C">
      <w:pPr>
        <w:ind w:left="720"/>
        <w:rPr>
          <w:color w:val="000000" w:themeColor="text1"/>
        </w:rPr>
      </w:pPr>
      <w:r>
        <w:rPr>
          <w:color w:val="000000" w:themeColor="text1"/>
        </w:rPr>
        <w:t xml:space="preserve">NHSE (2022) </w:t>
      </w:r>
      <w:r w:rsidR="005B1B0C" w:rsidRPr="005B1B0C">
        <w:rPr>
          <w:color w:val="000000" w:themeColor="text1"/>
        </w:rPr>
        <w:t>Patient Safety Incident Response Framework supporting guidance</w:t>
      </w:r>
      <w:r w:rsidR="005B1B0C">
        <w:rPr>
          <w:color w:val="000000" w:themeColor="text1"/>
        </w:rPr>
        <w:t xml:space="preserve">.  </w:t>
      </w:r>
      <w:r w:rsidR="005B1B0C" w:rsidRPr="005B1B0C">
        <w:rPr>
          <w:color w:val="000000" w:themeColor="text1"/>
        </w:rPr>
        <w:t>Guide to responding proportionately to patient safety incidents</w:t>
      </w:r>
      <w:r w:rsidR="005B1B0C">
        <w:rPr>
          <w:color w:val="000000" w:themeColor="text1"/>
        </w:rPr>
        <w:t>. Version 1.1</w:t>
      </w:r>
    </w:p>
    <w:p w14:paraId="182E9AF7" w14:textId="2289FC2D" w:rsidR="005B1B0C" w:rsidRDefault="00AB4A37" w:rsidP="00AB4A37">
      <w:pPr>
        <w:ind w:left="720"/>
        <w:rPr>
          <w:color w:val="000000" w:themeColor="text1"/>
        </w:rPr>
      </w:pPr>
      <w:r>
        <w:rPr>
          <w:color w:val="000000" w:themeColor="text1"/>
        </w:rPr>
        <w:lastRenderedPageBreak/>
        <w:t xml:space="preserve">NHSE (2022) </w:t>
      </w:r>
      <w:r w:rsidRPr="00AB4A37">
        <w:rPr>
          <w:color w:val="000000" w:themeColor="text1"/>
        </w:rPr>
        <w:t>Patient Safety Incident Response Framework supporting guidance</w:t>
      </w:r>
      <w:r>
        <w:rPr>
          <w:color w:val="000000" w:themeColor="text1"/>
        </w:rPr>
        <w:t xml:space="preserve">.  </w:t>
      </w:r>
      <w:r w:rsidRPr="00AB4A37">
        <w:rPr>
          <w:color w:val="000000" w:themeColor="text1"/>
        </w:rPr>
        <w:t>Oversight roles and responsibilities specification</w:t>
      </w:r>
      <w:r>
        <w:rPr>
          <w:color w:val="000000" w:themeColor="text1"/>
        </w:rPr>
        <w:t xml:space="preserve">. Version One. </w:t>
      </w:r>
    </w:p>
    <w:p w14:paraId="229C0EAF" w14:textId="70E87A00" w:rsidR="00AB4A37" w:rsidRDefault="00F04F16" w:rsidP="00AB4A37">
      <w:pPr>
        <w:ind w:left="720"/>
        <w:rPr>
          <w:color w:val="000000" w:themeColor="text1"/>
        </w:rPr>
      </w:pPr>
      <w:r>
        <w:rPr>
          <w:color w:val="000000" w:themeColor="text1"/>
        </w:rPr>
        <w:t>NHSE (2022) Patient Safety Incident Response Standards. Version One.</w:t>
      </w:r>
    </w:p>
    <w:p w14:paraId="1DBF0E01" w14:textId="546DA9CF" w:rsidR="000B70F8" w:rsidRPr="003F3A9F" w:rsidRDefault="00620A5D" w:rsidP="003F3A9F">
      <w:pPr>
        <w:ind w:left="720"/>
        <w:rPr>
          <w:color w:val="000000" w:themeColor="text1"/>
        </w:rPr>
      </w:pPr>
      <w:r>
        <w:rPr>
          <w:color w:val="000000" w:themeColor="text1"/>
        </w:rPr>
        <w:t xml:space="preserve">NHSE (2022) </w:t>
      </w:r>
      <w:r w:rsidRPr="00620A5D">
        <w:rPr>
          <w:color w:val="000000" w:themeColor="text1"/>
        </w:rPr>
        <w:t>Patient Safety Incident Response Framework</w:t>
      </w:r>
      <w:r w:rsidR="00DF20C9">
        <w:rPr>
          <w:color w:val="000000" w:themeColor="text1"/>
        </w:rPr>
        <w:t>.</w:t>
      </w:r>
      <w:r>
        <w:rPr>
          <w:color w:val="000000" w:themeColor="text1"/>
        </w:rPr>
        <w:t xml:space="preserve"> </w:t>
      </w:r>
      <w:r w:rsidRPr="00620A5D">
        <w:rPr>
          <w:color w:val="000000" w:themeColor="text1"/>
        </w:rPr>
        <w:t>Preparation guide</w:t>
      </w:r>
      <w:r>
        <w:rPr>
          <w:color w:val="000000" w:themeColor="text1"/>
        </w:rPr>
        <w:t xml:space="preserve">. Version One. </w:t>
      </w:r>
    </w:p>
    <w:p w14:paraId="2E889204" w14:textId="072C790E" w:rsidR="009F2C13" w:rsidRPr="006B0F89" w:rsidRDefault="000E3813" w:rsidP="006B0F89">
      <w:pPr>
        <w:pStyle w:val="Heading1"/>
      </w:pPr>
      <w:bookmarkStart w:id="33" w:name="_Toc132895853"/>
      <w:r>
        <w:t>Appendices</w:t>
      </w:r>
      <w:bookmarkEnd w:id="33"/>
    </w:p>
    <w:p w14:paraId="7059E239" w14:textId="7C4E3088" w:rsidR="009F2C13" w:rsidRDefault="009F2C13" w:rsidP="000E3813">
      <w:pPr>
        <w:spacing w:line="240" w:lineRule="auto"/>
        <w:ind w:left="856"/>
        <w:rPr>
          <w:color w:val="auto"/>
        </w:rPr>
      </w:pPr>
      <w:r>
        <w:rPr>
          <w:color w:val="auto"/>
        </w:rPr>
        <w:t xml:space="preserve">Appendix 1 - </w:t>
      </w:r>
      <w:r w:rsidRPr="009F2C13">
        <w:rPr>
          <w:color w:val="auto"/>
        </w:rPr>
        <w:t>Anti-Fraud, Bribery and Corruption</w:t>
      </w:r>
    </w:p>
    <w:p w14:paraId="5EA8BC7A" w14:textId="78C4E376" w:rsidR="00242079" w:rsidRDefault="00242079" w:rsidP="000E3813">
      <w:pPr>
        <w:spacing w:line="240" w:lineRule="auto"/>
        <w:ind w:left="856"/>
        <w:rPr>
          <w:color w:val="auto"/>
        </w:rPr>
      </w:pPr>
      <w:r>
        <w:rPr>
          <w:color w:val="auto"/>
        </w:rPr>
        <w:t xml:space="preserve">Appendix 2 </w:t>
      </w:r>
      <w:r w:rsidR="006B0F89">
        <w:rPr>
          <w:color w:val="auto"/>
        </w:rPr>
        <w:t xml:space="preserve">- </w:t>
      </w:r>
      <w:r w:rsidR="00ED6B2E">
        <w:rPr>
          <w:color w:val="auto"/>
        </w:rPr>
        <w:t xml:space="preserve">Implementation Checklist </w:t>
      </w:r>
    </w:p>
    <w:p w14:paraId="06DCF307" w14:textId="77777777" w:rsidR="006B0F89" w:rsidRPr="006B0F89" w:rsidRDefault="006B0F89" w:rsidP="006B0F89">
      <w:pPr>
        <w:spacing w:line="240" w:lineRule="auto"/>
        <w:ind w:left="856"/>
        <w:rPr>
          <w:color w:val="auto"/>
        </w:rPr>
      </w:pPr>
      <w:r>
        <w:rPr>
          <w:color w:val="auto"/>
        </w:rPr>
        <w:t xml:space="preserve">Appendix 3 - </w:t>
      </w:r>
      <w:r w:rsidRPr="006B0F89">
        <w:rPr>
          <w:color w:val="auto"/>
        </w:rPr>
        <w:t xml:space="preserve">Questions to guide ICB understanding the effectiveness of </w:t>
      </w:r>
      <w:proofErr w:type="gramStart"/>
      <w:r w:rsidRPr="006B0F89">
        <w:rPr>
          <w:color w:val="auto"/>
        </w:rPr>
        <w:t>provider</w:t>
      </w:r>
      <w:proofErr w:type="gramEnd"/>
    </w:p>
    <w:p w14:paraId="5E2A7895" w14:textId="6563F748" w:rsidR="006B0F89" w:rsidRPr="000E3813" w:rsidRDefault="006B0F89" w:rsidP="006B0F89">
      <w:pPr>
        <w:spacing w:line="240" w:lineRule="auto"/>
        <w:ind w:left="856"/>
        <w:rPr>
          <w:color w:val="auto"/>
        </w:rPr>
      </w:pPr>
      <w:r w:rsidRPr="006B0F89">
        <w:rPr>
          <w:color w:val="auto"/>
        </w:rPr>
        <w:t>learning response systems.</w:t>
      </w:r>
    </w:p>
    <w:p w14:paraId="78CB65CB" w14:textId="77777777" w:rsidR="000E3813" w:rsidRPr="000E3813" w:rsidRDefault="000E3813" w:rsidP="000E3813"/>
    <w:p w14:paraId="05DDADAC" w14:textId="7AD73E27" w:rsidR="000E3813" w:rsidRDefault="000E3813" w:rsidP="000E3813">
      <w:pPr>
        <w:pStyle w:val="Heading1"/>
      </w:pPr>
      <w:bookmarkStart w:id="34" w:name="_Toc132895854"/>
      <w:r>
        <w:t>Impact Assessments</w:t>
      </w:r>
      <w:bookmarkEnd w:id="34"/>
    </w:p>
    <w:p w14:paraId="4D1A4740" w14:textId="7E9F5FE4" w:rsidR="009F2C13" w:rsidRPr="006B0F89" w:rsidRDefault="000E3813" w:rsidP="006B0F89">
      <w:pPr>
        <w:pStyle w:val="Heading2"/>
        <w:ind w:left="856" w:hanging="431"/>
      </w:pPr>
      <w:bookmarkStart w:id="35" w:name="_Toc132895855"/>
      <w:r>
        <w:t>Equality</w:t>
      </w:r>
      <w:bookmarkEnd w:id="35"/>
      <w:r>
        <w:t xml:space="preserve"> </w:t>
      </w:r>
    </w:p>
    <w:p w14:paraId="5CCBEE10" w14:textId="4D60CB17" w:rsidR="000E3813" w:rsidRPr="000E3813" w:rsidRDefault="000E3813" w:rsidP="000E3813">
      <w:pPr>
        <w:spacing w:line="240" w:lineRule="auto"/>
        <w:ind w:left="720"/>
        <w:rPr>
          <w:color w:val="auto"/>
        </w:rPr>
      </w:pPr>
      <w:r w:rsidRPr="000E3813">
        <w:rPr>
          <w:color w:val="auto"/>
        </w:rPr>
        <w:t>NHS Humber and North Yorkshire</w:t>
      </w:r>
      <w:r w:rsidR="009F2C13">
        <w:rPr>
          <w:color w:val="auto"/>
        </w:rPr>
        <w:t xml:space="preserve"> ICB </w:t>
      </w:r>
      <w:r w:rsidR="009F2C13" w:rsidRPr="009F2C13">
        <w:rPr>
          <w:color w:val="auto"/>
        </w:rPr>
        <w:t>is committed to creating an environment where everyone is treated equitably and the potential for discrimination is identified and mitigated.</w:t>
      </w:r>
      <w:r w:rsidR="009F2C13">
        <w:rPr>
          <w:color w:val="auto"/>
        </w:rPr>
        <w:t xml:space="preserve"> It </w:t>
      </w:r>
      <w:r w:rsidRPr="000E3813">
        <w:rPr>
          <w:color w:val="auto"/>
        </w:rPr>
        <w:t>aims to design and implement services, policies and measures that meet the</w:t>
      </w:r>
      <w:r w:rsidR="009F2C13">
        <w:rPr>
          <w:color w:val="auto"/>
        </w:rPr>
        <w:t xml:space="preserve"> </w:t>
      </w:r>
      <w:r w:rsidRPr="000E3813">
        <w:rPr>
          <w:color w:val="auto"/>
        </w:rPr>
        <w:t xml:space="preserve">diverse needs of our service, </w:t>
      </w:r>
      <w:proofErr w:type="gramStart"/>
      <w:r w:rsidRPr="000E3813">
        <w:rPr>
          <w:color w:val="auto"/>
        </w:rPr>
        <w:t>population</w:t>
      </w:r>
      <w:proofErr w:type="gramEnd"/>
      <w:r w:rsidRPr="000E3813">
        <w:rPr>
          <w:color w:val="auto"/>
        </w:rPr>
        <w:t xml:space="preserve"> and workforce, ensuring that none</w:t>
      </w:r>
      <w:r w:rsidR="009F2C13">
        <w:rPr>
          <w:color w:val="auto"/>
        </w:rPr>
        <w:t xml:space="preserve"> </w:t>
      </w:r>
      <w:r w:rsidRPr="000E3813">
        <w:rPr>
          <w:color w:val="auto"/>
        </w:rPr>
        <w:t>are placed at a disadvantage over others.</w:t>
      </w:r>
    </w:p>
    <w:p w14:paraId="1678C0E5" w14:textId="77777777" w:rsidR="000E3813" w:rsidRPr="000E3813" w:rsidRDefault="000E3813" w:rsidP="000E3813">
      <w:pPr>
        <w:spacing w:line="240" w:lineRule="auto"/>
        <w:ind w:left="720"/>
        <w:rPr>
          <w:color w:val="auto"/>
        </w:rPr>
      </w:pPr>
    </w:p>
    <w:p w14:paraId="318CC5F1" w14:textId="77777777" w:rsidR="000E3813" w:rsidRPr="000E3813" w:rsidRDefault="000E3813" w:rsidP="000E3813">
      <w:pPr>
        <w:spacing w:line="240" w:lineRule="auto"/>
        <w:ind w:left="720"/>
        <w:rPr>
          <w:color w:val="auto"/>
        </w:rPr>
      </w:pPr>
      <w:r w:rsidRPr="000E3813">
        <w:rPr>
          <w:color w:val="auto"/>
        </w:rPr>
        <w:t>It is required that a Quality and Equality Impact Assessment (QEIA) is carried out on a</w:t>
      </w:r>
    </w:p>
    <w:p w14:paraId="00928399" w14:textId="77777777" w:rsidR="000E3813" w:rsidRPr="000E3813" w:rsidRDefault="000E3813" w:rsidP="000E3813">
      <w:pPr>
        <w:spacing w:line="240" w:lineRule="auto"/>
        <w:ind w:left="720"/>
        <w:rPr>
          <w:color w:val="auto"/>
        </w:rPr>
      </w:pPr>
      <w:r w:rsidRPr="000E3813">
        <w:rPr>
          <w:color w:val="auto"/>
        </w:rPr>
        <w:t>new policy that is likely to impact on patients, carers, communities, or staff.</w:t>
      </w:r>
    </w:p>
    <w:p w14:paraId="0FCF3E48" w14:textId="77777777" w:rsidR="000E3813" w:rsidRPr="000E3813" w:rsidRDefault="000E3813" w:rsidP="000E3813">
      <w:pPr>
        <w:spacing w:line="240" w:lineRule="auto"/>
        <w:ind w:left="720"/>
        <w:rPr>
          <w:color w:val="auto"/>
        </w:rPr>
      </w:pPr>
    </w:p>
    <w:p w14:paraId="1C94FE64" w14:textId="77777777" w:rsidR="000E3813" w:rsidRPr="000E3813" w:rsidRDefault="000E3813" w:rsidP="000E3813">
      <w:pPr>
        <w:spacing w:line="240" w:lineRule="auto"/>
        <w:ind w:left="720"/>
        <w:rPr>
          <w:color w:val="auto"/>
        </w:rPr>
      </w:pPr>
      <w:r w:rsidRPr="000E3813">
        <w:rPr>
          <w:color w:val="auto"/>
        </w:rPr>
        <w:t>The QEIA toolkit can be found at (and insert link).</w:t>
      </w:r>
    </w:p>
    <w:p w14:paraId="1AF00415" w14:textId="77777777" w:rsidR="000E3813" w:rsidRPr="000E3813" w:rsidRDefault="000E3813" w:rsidP="000E3813">
      <w:pPr>
        <w:spacing w:line="240" w:lineRule="auto"/>
        <w:ind w:left="720"/>
        <w:rPr>
          <w:color w:val="auto"/>
        </w:rPr>
      </w:pPr>
    </w:p>
    <w:p w14:paraId="47A2F779" w14:textId="2E0011B3" w:rsidR="000E3813" w:rsidRDefault="000E3813" w:rsidP="000E3813">
      <w:pPr>
        <w:spacing w:line="240" w:lineRule="auto"/>
        <w:ind w:left="720"/>
        <w:rPr>
          <w:color w:val="auto"/>
        </w:rPr>
      </w:pPr>
      <w:r w:rsidRPr="000E3813">
        <w:rPr>
          <w:color w:val="auto"/>
        </w:rPr>
        <w:t>Potential adverse impact on any protected group identified through the QEIA will be monitored as part of the routine work to monitor compliance with the policy.</w:t>
      </w:r>
    </w:p>
    <w:p w14:paraId="53B3CF73" w14:textId="342A5D4C" w:rsidR="009F2C13" w:rsidRDefault="009F2C13" w:rsidP="000E3813">
      <w:pPr>
        <w:spacing w:line="240" w:lineRule="auto"/>
        <w:ind w:left="720"/>
        <w:rPr>
          <w:color w:val="auto"/>
        </w:rPr>
      </w:pPr>
    </w:p>
    <w:p w14:paraId="6CBCBE4A" w14:textId="3CEA9CAE" w:rsidR="00AE286E" w:rsidRDefault="00AE286E" w:rsidP="009F2C13">
      <w:pPr>
        <w:pStyle w:val="Heading2"/>
        <w:ind w:left="856" w:hanging="431"/>
      </w:pPr>
      <w:bookmarkStart w:id="36" w:name="_Toc132895856"/>
      <w:r>
        <w:t>S</w:t>
      </w:r>
      <w:r w:rsidR="000E3813">
        <w:t>ustainability</w:t>
      </w:r>
      <w:bookmarkEnd w:id="36"/>
    </w:p>
    <w:p w14:paraId="1FDD1C7D" w14:textId="58C23377" w:rsidR="00DD443C" w:rsidRDefault="00306092" w:rsidP="000E3813">
      <w:pPr>
        <w:spacing w:line="240" w:lineRule="auto"/>
        <w:ind w:left="720"/>
        <w:rPr>
          <w:color w:val="FF0000"/>
        </w:rPr>
      </w:pPr>
      <w:r w:rsidRPr="00306092">
        <w:rPr>
          <w:color w:val="auto"/>
        </w:rPr>
        <w:t>A Sustainability Impact Assessment has been undertaken.  No positive or negative impacts were identified against the twelve sustainability themes.  The results of the assessment are displayed on the internet with this policy.</w:t>
      </w:r>
      <w:r>
        <w:rPr>
          <w:color w:val="auto"/>
        </w:rPr>
        <w:t xml:space="preserve"> </w:t>
      </w:r>
    </w:p>
    <w:p w14:paraId="7B63E7FF" w14:textId="77777777" w:rsidR="009F2C13" w:rsidRPr="00306092" w:rsidRDefault="009F2C13" w:rsidP="000E3813">
      <w:pPr>
        <w:spacing w:line="240" w:lineRule="auto"/>
        <w:ind w:left="720"/>
      </w:pPr>
    </w:p>
    <w:p w14:paraId="671A407C" w14:textId="0AF8F9A5" w:rsidR="000E3813" w:rsidRDefault="000E3813" w:rsidP="009F2C13">
      <w:pPr>
        <w:pStyle w:val="Heading2"/>
        <w:ind w:left="856" w:hanging="431"/>
      </w:pPr>
      <w:bookmarkStart w:id="37" w:name="_Toc132895857"/>
      <w:r>
        <w:t>Bribery Act 2010</w:t>
      </w:r>
      <w:bookmarkEnd w:id="37"/>
    </w:p>
    <w:p w14:paraId="0C8DF753" w14:textId="021AEF73" w:rsidR="000E3813" w:rsidRDefault="000E3813" w:rsidP="000E3813">
      <w:pPr>
        <w:spacing w:line="240" w:lineRule="auto"/>
        <w:ind w:left="720"/>
        <w:rPr>
          <w:color w:val="auto"/>
        </w:rPr>
      </w:pPr>
      <w:r w:rsidRPr="000E3813">
        <w:rPr>
          <w:color w:val="auto"/>
        </w:rPr>
        <w:t>Due consideration has been given to the Bribery Act 2010 in the development (or review, as appropriate) of this policy document, further details can be found in appendix 1.</w:t>
      </w:r>
    </w:p>
    <w:p w14:paraId="17091E57" w14:textId="77777777" w:rsidR="000E3813" w:rsidRPr="000E3813" w:rsidRDefault="000E3813" w:rsidP="000E3813">
      <w:pPr>
        <w:spacing w:line="240" w:lineRule="auto"/>
        <w:ind w:left="720"/>
        <w:rPr>
          <w:color w:val="auto"/>
        </w:rPr>
      </w:pPr>
    </w:p>
    <w:p w14:paraId="70589BBA" w14:textId="019380BE" w:rsidR="009F2C13" w:rsidRPr="009F2C13" w:rsidRDefault="008F16A6" w:rsidP="009F2C13">
      <w:pPr>
        <w:pStyle w:val="Heading2"/>
        <w:ind w:left="856" w:hanging="431"/>
      </w:pPr>
      <w:bookmarkStart w:id="38" w:name="_Toc132895858"/>
      <w:r>
        <w:t>G</w:t>
      </w:r>
      <w:r w:rsidR="000E3813">
        <w:t xml:space="preserve">eneral </w:t>
      </w:r>
      <w:r>
        <w:t>D</w:t>
      </w:r>
      <w:r w:rsidR="000E3813">
        <w:t>ata Protection</w:t>
      </w:r>
      <w:r>
        <w:t xml:space="preserve"> R</w:t>
      </w:r>
      <w:r w:rsidR="000E3813">
        <w:t>egulations</w:t>
      </w:r>
      <w:r>
        <w:t xml:space="preserve"> (GDPR)</w:t>
      </w:r>
      <w:bookmarkEnd w:id="38"/>
    </w:p>
    <w:p w14:paraId="755BDF0B" w14:textId="617A2797" w:rsidR="00A856C4" w:rsidRPr="00991EE6" w:rsidRDefault="00991EE6" w:rsidP="00A856C4">
      <w:pPr>
        <w:pStyle w:val="ListParagraph"/>
        <w:spacing w:line="240" w:lineRule="auto"/>
        <w:rPr>
          <w:color w:val="000000" w:themeColor="text1"/>
        </w:rPr>
      </w:pPr>
      <w:r w:rsidRPr="00991EE6">
        <w:rPr>
          <w:color w:val="000000" w:themeColor="text1"/>
        </w:rPr>
        <w:t xml:space="preserve">The UK General Data Protection Regulation (GDPR)/ Data Protection Act 2018 includes the requirement to complete a Data Protection Impact Assessment for any processing that is likely to result in a high risk to individuals. Consideration should be given to any impact the policy may have on individual privacy; please consult NHS Humber and North Yorkshire ICB Data Protection Impact Assessment Policy. </w:t>
      </w:r>
      <w:r w:rsidR="00A856C4" w:rsidRPr="00991EE6">
        <w:rPr>
          <w:color w:val="000000" w:themeColor="text1"/>
        </w:rPr>
        <w:t>If you are commissioning a project or undertaking work that requires the processing of personal data, you must complete a Data Protection Impact Assessment.</w:t>
      </w:r>
    </w:p>
    <w:p w14:paraId="1AAB6AE8" w14:textId="22A8C4AA" w:rsidR="00A130F1" w:rsidRDefault="00A130F1" w:rsidP="00A130F1">
      <w:pPr>
        <w:pStyle w:val="ListParagraph"/>
        <w:spacing w:line="240" w:lineRule="auto"/>
        <w:rPr>
          <w:color w:val="000000" w:themeColor="text1"/>
        </w:rPr>
      </w:pPr>
    </w:p>
    <w:p w14:paraId="689966B7" w14:textId="77777777" w:rsidR="00991EE6" w:rsidRPr="00991EE6" w:rsidRDefault="00991EE6" w:rsidP="00A130F1">
      <w:pPr>
        <w:pStyle w:val="ListParagraph"/>
        <w:spacing w:line="240" w:lineRule="auto"/>
        <w:rPr>
          <w:color w:val="000000" w:themeColor="text1"/>
        </w:rPr>
      </w:pPr>
      <w:r w:rsidRPr="00991EE6">
        <w:rPr>
          <w:color w:val="000000" w:themeColor="text1"/>
        </w:rPr>
        <w:t xml:space="preserve">The ICB is committed to ensuring that all personal information is managed in accordance with current data protection legislation, professional codes of practice and records management and confidentiality guidance. More detailed information can be found in the Data Protection &amp; Confidentiality Policy and related policies and procedures. </w:t>
      </w:r>
    </w:p>
    <w:p w14:paraId="60065930" w14:textId="77777777" w:rsidR="00991EE6" w:rsidRPr="00991EE6" w:rsidRDefault="00991EE6" w:rsidP="00A130F1">
      <w:pPr>
        <w:pStyle w:val="ListParagraph"/>
        <w:spacing w:line="240" w:lineRule="auto"/>
        <w:rPr>
          <w:color w:val="000000" w:themeColor="text1"/>
        </w:rPr>
      </w:pPr>
    </w:p>
    <w:p w14:paraId="0B1E878A" w14:textId="77777777" w:rsidR="008F16A6" w:rsidRDefault="008F16A6" w:rsidP="00316E2C"/>
    <w:p w14:paraId="017BE499" w14:textId="1B1404B0" w:rsidR="008F16A6" w:rsidRDefault="008F16A6" w:rsidP="008F16A6">
      <w:pPr>
        <w:spacing w:line="240" w:lineRule="auto"/>
        <w:rPr>
          <w:b/>
          <w:color w:val="auto"/>
        </w:rPr>
      </w:pPr>
      <w:r>
        <w:br w:type="page"/>
      </w:r>
      <w:r w:rsidRPr="008F16A6">
        <w:rPr>
          <w:b/>
        </w:rPr>
        <w:lastRenderedPageBreak/>
        <w:tab/>
      </w:r>
      <w:r w:rsidRPr="008F16A6">
        <w:rPr>
          <w:b/>
          <w:color w:val="auto"/>
        </w:rPr>
        <w:t xml:space="preserve">Appendix 1 </w:t>
      </w:r>
      <w:r w:rsidR="009F2C13">
        <w:rPr>
          <w:b/>
          <w:color w:val="auto"/>
        </w:rPr>
        <w:t xml:space="preserve">- </w:t>
      </w:r>
      <w:r w:rsidR="009F2C13" w:rsidRPr="009F2C13">
        <w:rPr>
          <w:b/>
          <w:color w:val="auto"/>
        </w:rPr>
        <w:t>Anti-Fraud, Bribery and Corruption</w:t>
      </w:r>
    </w:p>
    <w:p w14:paraId="324DDFF3" w14:textId="77777777" w:rsidR="009F2C13" w:rsidRPr="0032084D" w:rsidRDefault="009F2C13" w:rsidP="00413C76">
      <w:pPr>
        <w:autoSpaceDE w:val="0"/>
        <w:autoSpaceDN w:val="0"/>
        <w:spacing w:line="240" w:lineRule="auto"/>
        <w:jc w:val="both"/>
        <w:rPr>
          <w:rFonts w:eastAsia="Calibri"/>
          <w:color w:val="FF0000"/>
        </w:rPr>
      </w:pPr>
    </w:p>
    <w:p w14:paraId="1E713BA0" w14:textId="13DA21C3"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 xml:space="preserve">The </w:t>
      </w:r>
      <w:r w:rsidR="009F2C13" w:rsidRPr="0032084D">
        <w:rPr>
          <w:rFonts w:eastAsia="Calibri"/>
          <w:color w:val="auto"/>
        </w:rPr>
        <w:t xml:space="preserve">ICB </w:t>
      </w:r>
      <w:r w:rsidRPr="0032084D">
        <w:rPr>
          <w:rFonts w:eastAsia="Calibri"/>
          <w:color w:val="auto"/>
        </w:rPr>
        <w:t>has a responsibility to ensure that all staff are made aware of their duties and responsibilities arising from the Bribery Act 2010.  Under the Bribery Act 2010 there are four criminal offences:</w:t>
      </w:r>
    </w:p>
    <w:p w14:paraId="790925E4" w14:textId="77777777" w:rsidR="00710480" w:rsidRPr="0032084D" w:rsidRDefault="00710480" w:rsidP="00710480">
      <w:pPr>
        <w:autoSpaceDE w:val="0"/>
        <w:autoSpaceDN w:val="0"/>
        <w:spacing w:line="240" w:lineRule="auto"/>
        <w:ind w:left="720"/>
        <w:jc w:val="both"/>
        <w:rPr>
          <w:rFonts w:eastAsia="Calibri"/>
          <w:color w:val="auto"/>
        </w:rPr>
      </w:pPr>
    </w:p>
    <w:p w14:paraId="6EFF8194"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 xml:space="preserve">•           Bribing or offering to bribe another person (Section 1) </w:t>
      </w:r>
    </w:p>
    <w:p w14:paraId="5B1AFE61"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           Requesting, agreeing to receive or accepting a bribe (Section 2</w:t>
      </w:r>
      <w:proofErr w:type="gramStart"/>
      <w:r w:rsidRPr="0032084D">
        <w:rPr>
          <w:rFonts w:eastAsia="Calibri"/>
          <w:color w:val="auto"/>
        </w:rPr>
        <w:t>);</w:t>
      </w:r>
      <w:proofErr w:type="gramEnd"/>
    </w:p>
    <w:p w14:paraId="359DB391"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           Bribing, or offering to bribe, a foreign public official (Section 6</w:t>
      </w:r>
      <w:proofErr w:type="gramStart"/>
      <w:r w:rsidRPr="0032084D">
        <w:rPr>
          <w:rFonts w:eastAsia="Calibri"/>
          <w:color w:val="auto"/>
        </w:rPr>
        <w:t>);</w:t>
      </w:r>
      <w:proofErr w:type="gramEnd"/>
    </w:p>
    <w:p w14:paraId="7DFEA3D4"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           Failing to prevent bribery (Section 7).</w:t>
      </w:r>
    </w:p>
    <w:p w14:paraId="2CDFFA45" w14:textId="77777777" w:rsidR="00710480" w:rsidRPr="0032084D" w:rsidRDefault="00710480" w:rsidP="00710480">
      <w:pPr>
        <w:autoSpaceDE w:val="0"/>
        <w:autoSpaceDN w:val="0"/>
        <w:spacing w:line="240" w:lineRule="auto"/>
        <w:ind w:left="720"/>
        <w:jc w:val="both"/>
        <w:rPr>
          <w:rFonts w:eastAsia="Calibri"/>
          <w:color w:val="auto"/>
        </w:rPr>
      </w:pPr>
    </w:p>
    <w:p w14:paraId="27910574"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These offences can be committed directly or by and through a third person and, in many cases, it does not matter whether the person knows or believes that the performance of the function or activity is improper.</w:t>
      </w:r>
    </w:p>
    <w:p w14:paraId="018B0B8F" w14:textId="77777777" w:rsidR="00710480" w:rsidRPr="0032084D" w:rsidRDefault="00710480" w:rsidP="00710480">
      <w:pPr>
        <w:autoSpaceDE w:val="0"/>
        <w:autoSpaceDN w:val="0"/>
        <w:spacing w:line="240" w:lineRule="auto"/>
        <w:ind w:left="720"/>
        <w:jc w:val="both"/>
        <w:rPr>
          <w:rFonts w:eastAsia="Calibri"/>
          <w:color w:val="auto"/>
        </w:rPr>
      </w:pPr>
    </w:p>
    <w:p w14:paraId="4E472D50"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It should be noted that there need not be any actual giving and receiving for financial or other advantage to be gained, to commit an offence.</w:t>
      </w:r>
    </w:p>
    <w:p w14:paraId="1BA23107" w14:textId="77777777" w:rsidR="00710480" w:rsidRPr="0032084D" w:rsidRDefault="00710480" w:rsidP="00710480">
      <w:pPr>
        <w:autoSpaceDE w:val="0"/>
        <w:autoSpaceDN w:val="0"/>
        <w:spacing w:line="240" w:lineRule="auto"/>
        <w:ind w:left="720"/>
        <w:jc w:val="both"/>
        <w:rPr>
          <w:rFonts w:eastAsia="Calibri"/>
          <w:color w:val="auto"/>
        </w:rPr>
      </w:pPr>
    </w:p>
    <w:p w14:paraId="383FAC1D" w14:textId="77777777" w:rsidR="00710480" w:rsidRPr="0032084D" w:rsidRDefault="00710480" w:rsidP="00710480">
      <w:pPr>
        <w:autoSpaceDE w:val="0"/>
        <w:autoSpaceDN w:val="0"/>
        <w:spacing w:line="240" w:lineRule="auto"/>
        <w:ind w:left="720"/>
        <w:jc w:val="both"/>
        <w:rPr>
          <w:rFonts w:eastAsia="Calibri"/>
          <w:color w:val="000000" w:themeColor="text1"/>
        </w:rPr>
      </w:pPr>
      <w:r w:rsidRPr="0032084D">
        <w:rPr>
          <w:rFonts w:eastAsia="Calibri"/>
          <w:color w:val="auto"/>
        </w:rPr>
        <w:t xml:space="preserve">All individuals should be aware that in committing an act of bribery they may be subject to a penalty of up to 10 years imprisonment, an unlimited fine, or both.  They may also expose the organisation to a conviction punishable with an unlimited fine because the organisation may be liable where a person </w:t>
      </w:r>
      <w:r w:rsidRPr="0032084D">
        <w:rPr>
          <w:rFonts w:eastAsia="Calibri"/>
          <w:color w:val="000000" w:themeColor="text1"/>
        </w:rPr>
        <w:t>associated with it commits an act of bribery.</w:t>
      </w:r>
    </w:p>
    <w:p w14:paraId="7DBAB4D1" w14:textId="77777777" w:rsidR="00710480" w:rsidRPr="0032084D" w:rsidRDefault="00710480" w:rsidP="00710480">
      <w:pPr>
        <w:autoSpaceDE w:val="0"/>
        <w:autoSpaceDN w:val="0"/>
        <w:spacing w:line="240" w:lineRule="auto"/>
        <w:ind w:left="720"/>
        <w:jc w:val="both"/>
        <w:rPr>
          <w:rFonts w:eastAsia="Calibri"/>
          <w:color w:val="000000" w:themeColor="text1"/>
        </w:rPr>
      </w:pPr>
    </w:p>
    <w:p w14:paraId="7EB79F6C" w14:textId="0FE9B082" w:rsidR="00710480" w:rsidRPr="0032084D" w:rsidRDefault="00710480" w:rsidP="00710480">
      <w:pPr>
        <w:autoSpaceDE w:val="0"/>
        <w:autoSpaceDN w:val="0"/>
        <w:spacing w:line="240" w:lineRule="auto"/>
        <w:ind w:left="720"/>
        <w:jc w:val="both"/>
        <w:rPr>
          <w:rFonts w:eastAsia="Calibri"/>
          <w:color w:val="000000" w:themeColor="text1"/>
        </w:rPr>
      </w:pPr>
      <w:r w:rsidRPr="0032084D">
        <w:rPr>
          <w:rFonts w:eastAsia="Calibri"/>
          <w:color w:val="000000" w:themeColor="text1"/>
        </w:rPr>
        <w:t>Individuals should also be aware that a breach of this Act renders them liable to disciplinary action by the</w:t>
      </w:r>
      <w:r w:rsidR="009F2C13" w:rsidRPr="0032084D">
        <w:rPr>
          <w:rFonts w:eastAsia="Calibri"/>
          <w:color w:val="000000" w:themeColor="text1"/>
        </w:rPr>
        <w:t xml:space="preserve"> ICB</w:t>
      </w:r>
      <w:r w:rsidRPr="0032084D">
        <w:rPr>
          <w:rFonts w:eastAsia="Calibri"/>
          <w:color w:val="000000" w:themeColor="text1"/>
        </w:rPr>
        <w:t xml:space="preserve">, </w:t>
      </w:r>
      <w:proofErr w:type="gramStart"/>
      <w:r w:rsidRPr="0032084D">
        <w:rPr>
          <w:rFonts w:eastAsia="Calibri"/>
          <w:color w:val="000000" w:themeColor="text1"/>
        </w:rPr>
        <w:t>whether or not</w:t>
      </w:r>
      <w:proofErr w:type="gramEnd"/>
      <w:r w:rsidRPr="0032084D">
        <w:rPr>
          <w:rFonts w:eastAsia="Calibri"/>
          <w:color w:val="000000" w:themeColor="text1"/>
        </w:rPr>
        <w:t xml:space="preserve"> the breach leads to prosecution.  Where a material breach is found to have occurred, the likely sanction will be loss of employment and pension rights.</w:t>
      </w:r>
    </w:p>
    <w:p w14:paraId="656BE8D8" w14:textId="77777777" w:rsidR="00710480" w:rsidRPr="0032084D" w:rsidRDefault="00710480" w:rsidP="00710480">
      <w:pPr>
        <w:autoSpaceDE w:val="0"/>
        <w:autoSpaceDN w:val="0"/>
        <w:spacing w:line="240" w:lineRule="auto"/>
        <w:ind w:left="720"/>
        <w:jc w:val="both"/>
        <w:rPr>
          <w:rFonts w:eastAsia="Calibri"/>
          <w:color w:val="000000" w:themeColor="text1"/>
        </w:rPr>
      </w:pPr>
    </w:p>
    <w:p w14:paraId="77D094FC" w14:textId="0FDF3BF3" w:rsidR="00710480" w:rsidRPr="0032084D" w:rsidRDefault="00710480" w:rsidP="00710480">
      <w:pPr>
        <w:autoSpaceDE w:val="0"/>
        <w:autoSpaceDN w:val="0"/>
        <w:spacing w:line="240" w:lineRule="auto"/>
        <w:ind w:left="720"/>
        <w:jc w:val="both"/>
        <w:rPr>
          <w:rFonts w:eastAsia="Calibri"/>
          <w:color w:val="1F497D"/>
        </w:rPr>
      </w:pPr>
      <w:r w:rsidRPr="0032084D">
        <w:rPr>
          <w:rFonts w:eastAsia="Calibri"/>
          <w:color w:val="000000" w:themeColor="text1"/>
        </w:rPr>
        <w:t xml:space="preserve">To raise any suspicions of bribery and/or </w:t>
      </w:r>
      <w:r w:rsidRPr="0032084D">
        <w:rPr>
          <w:rFonts w:eastAsia="Calibri"/>
          <w:color w:val="auto"/>
        </w:rPr>
        <w:t xml:space="preserve">corruption please contact the </w:t>
      </w:r>
      <w:r w:rsidR="00DC226C">
        <w:rPr>
          <w:rFonts w:eastAsia="Calibri"/>
          <w:color w:val="auto"/>
        </w:rPr>
        <w:t>Executive Director of Finance and Investment</w:t>
      </w:r>
      <w:r w:rsidRPr="0032084D">
        <w:rPr>
          <w:rFonts w:eastAsia="Calibri"/>
          <w:color w:val="000000" w:themeColor="text1"/>
        </w:rPr>
        <w:t xml:space="preserve">.  Staff may also contact the Local Counter Fraud Specialist (LCFS) at – Audit Yorkshire, </w:t>
      </w:r>
      <w:r w:rsidRPr="0032084D">
        <w:rPr>
          <w:rFonts w:eastAsia="Calibri"/>
          <w:color w:val="auto"/>
        </w:rPr>
        <w:t xml:space="preserve">email:  </w:t>
      </w:r>
      <w:hyperlink r:id="rId15" w:history="1">
        <w:r w:rsidRPr="0032084D">
          <w:rPr>
            <w:rFonts w:eastAsia="Calibri"/>
            <w:color w:val="0000FF"/>
            <w:u w:val="single"/>
          </w:rPr>
          <w:t>nikki.cooper1@nhs.net</w:t>
        </w:r>
      </w:hyperlink>
      <w:r w:rsidRPr="0032084D">
        <w:rPr>
          <w:rFonts w:eastAsia="Calibri"/>
          <w:color w:val="auto"/>
        </w:rPr>
        <w:t xml:space="preserve">  </w:t>
      </w:r>
      <w:r w:rsidRPr="0032084D">
        <w:rPr>
          <w:rFonts w:eastAsia="Calibri"/>
          <w:color w:val="1F497D"/>
        </w:rPr>
        <w:t xml:space="preserve">or </w:t>
      </w:r>
      <w:r w:rsidRPr="0032084D">
        <w:rPr>
          <w:rFonts w:eastAsia="Calibri"/>
          <w:color w:val="000000" w:themeColor="text1"/>
          <w:lang w:eastAsia="en-US"/>
        </w:rPr>
        <w:t>mobile 07872 988939</w:t>
      </w:r>
      <w:r w:rsidRPr="0032084D">
        <w:rPr>
          <w:rFonts w:eastAsia="Calibri"/>
          <w:color w:val="000000" w:themeColor="text1"/>
        </w:rPr>
        <w:t>. </w:t>
      </w:r>
    </w:p>
    <w:p w14:paraId="17F084AE" w14:textId="77777777" w:rsidR="00710480" w:rsidRPr="0032084D" w:rsidRDefault="00710480" w:rsidP="00710480">
      <w:pPr>
        <w:autoSpaceDE w:val="0"/>
        <w:autoSpaceDN w:val="0"/>
        <w:spacing w:line="240" w:lineRule="auto"/>
        <w:ind w:left="720"/>
        <w:jc w:val="both"/>
        <w:rPr>
          <w:rFonts w:eastAsia="Calibri"/>
          <w:color w:val="1F497D"/>
        </w:rPr>
      </w:pPr>
    </w:p>
    <w:p w14:paraId="011EC7E1" w14:textId="51296824"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000000" w:themeColor="text1"/>
        </w:rPr>
        <w:t xml:space="preserve">The LCFS or </w:t>
      </w:r>
      <w:r w:rsidR="00DC226C">
        <w:rPr>
          <w:rFonts w:eastAsia="Calibri"/>
          <w:color w:val="000000" w:themeColor="text1"/>
        </w:rPr>
        <w:t>Executive Director of Finance and Investment</w:t>
      </w:r>
      <w:r w:rsidRPr="0032084D">
        <w:rPr>
          <w:rFonts w:eastAsia="Calibri"/>
          <w:color w:val="000000" w:themeColor="text1"/>
        </w:rPr>
        <w:t xml:space="preserve"> should be the contact for any su</w:t>
      </w:r>
      <w:r w:rsidRPr="0032084D">
        <w:rPr>
          <w:rFonts w:eastAsia="Calibri"/>
          <w:color w:val="auto"/>
        </w:rPr>
        <w:t xml:space="preserve">spicions of fraud. The LCFS will inform the </w:t>
      </w:r>
      <w:r w:rsidR="00DC226C">
        <w:rPr>
          <w:rFonts w:eastAsia="Calibri"/>
          <w:color w:val="auto"/>
        </w:rPr>
        <w:t>Executive Director of Finance and Investment</w:t>
      </w:r>
      <w:r w:rsidRPr="0032084D">
        <w:rPr>
          <w:rFonts w:eastAsia="Calibri"/>
          <w:color w:val="auto"/>
        </w:rPr>
        <w:t xml:space="preserve"> if the suspicion seems well founded and will conduct a thorough investigation.  Concerns may also be discussed with the </w:t>
      </w:r>
      <w:r w:rsidR="00DC226C">
        <w:rPr>
          <w:rFonts w:eastAsia="Calibri"/>
          <w:color w:val="auto"/>
        </w:rPr>
        <w:t>Executive Director of Finance and Investment</w:t>
      </w:r>
      <w:r w:rsidRPr="0032084D">
        <w:rPr>
          <w:rFonts w:eastAsia="Calibri"/>
          <w:color w:val="auto"/>
        </w:rPr>
        <w:t xml:space="preserve"> or the </w:t>
      </w:r>
      <w:r w:rsidR="00DC226C">
        <w:rPr>
          <w:rFonts w:eastAsia="Calibri"/>
          <w:color w:val="auto"/>
        </w:rPr>
        <w:t>Audit</w:t>
      </w:r>
      <w:r w:rsidRPr="0032084D">
        <w:rPr>
          <w:rFonts w:eastAsia="Calibri"/>
          <w:color w:val="auto"/>
        </w:rPr>
        <w:t xml:space="preserve"> Committee Chair.</w:t>
      </w:r>
    </w:p>
    <w:p w14:paraId="14E6ACDA" w14:textId="77777777" w:rsidR="00710480" w:rsidRPr="0032084D" w:rsidRDefault="00710480" w:rsidP="00710480">
      <w:pPr>
        <w:autoSpaceDE w:val="0"/>
        <w:autoSpaceDN w:val="0"/>
        <w:spacing w:line="240" w:lineRule="auto"/>
        <w:ind w:left="720"/>
        <w:jc w:val="both"/>
        <w:rPr>
          <w:rFonts w:eastAsia="Calibri"/>
          <w:color w:val="auto"/>
        </w:rPr>
      </w:pPr>
    </w:p>
    <w:p w14:paraId="7081DDD1" w14:textId="3C8D1681"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 xml:space="preserve">If staff prefer, they may call the NHS </w:t>
      </w:r>
      <w:r w:rsidR="00B9792A">
        <w:rPr>
          <w:rFonts w:eastAsia="Calibri"/>
          <w:color w:val="auto"/>
        </w:rPr>
        <w:t>Counter Fraud r</w:t>
      </w:r>
      <w:r w:rsidRPr="0032084D">
        <w:rPr>
          <w:rFonts w:eastAsia="Calibri"/>
          <w:color w:val="auto"/>
        </w:rPr>
        <w:t xml:space="preserve">eporting </w:t>
      </w:r>
      <w:r w:rsidR="00B9792A">
        <w:rPr>
          <w:rFonts w:eastAsia="Calibri"/>
          <w:color w:val="auto"/>
        </w:rPr>
        <w:t>l</w:t>
      </w:r>
      <w:r w:rsidRPr="0032084D">
        <w:rPr>
          <w:rFonts w:eastAsia="Calibri"/>
          <w:color w:val="auto"/>
        </w:rPr>
        <w:t xml:space="preserve">ine on 0800 028 40 60 between 8am-6pm Monday-Friday or report online at </w:t>
      </w:r>
      <w:hyperlink r:id="rId16" w:history="1">
        <w:r w:rsidRPr="0032084D">
          <w:rPr>
            <w:rFonts w:eastAsia="Calibri"/>
            <w:color w:val="0000FF"/>
            <w:u w:val="single"/>
          </w:rPr>
          <w:t>www.reportnhsfraud.nhs.uk</w:t>
        </w:r>
      </w:hyperlink>
      <w:r w:rsidRPr="0032084D">
        <w:rPr>
          <w:rFonts w:eastAsia="Calibri"/>
          <w:color w:val="auto"/>
        </w:rPr>
        <w:t xml:space="preserve">.  This would be the suggested contact if there is a concern that the LCFS or the </w:t>
      </w:r>
      <w:r w:rsidR="00DC226C">
        <w:rPr>
          <w:rFonts w:eastAsia="Calibri"/>
          <w:color w:val="auto"/>
        </w:rPr>
        <w:t>Executive Director of Finance and Investment</w:t>
      </w:r>
      <w:r w:rsidRPr="0032084D">
        <w:rPr>
          <w:rFonts w:eastAsia="Calibri"/>
          <w:color w:val="auto"/>
        </w:rPr>
        <w:t xml:space="preserve"> themselves may be implicated in suspected fraud, </w:t>
      </w:r>
      <w:proofErr w:type="gramStart"/>
      <w:r w:rsidRPr="0032084D">
        <w:rPr>
          <w:rFonts w:eastAsia="Calibri"/>
          <w:color w:val="auto"/>
        </w:rPr>
        <w:t>bribery</w:t>
      </w:r>
      <w:proofErr w:type="gramEnd"/>
      <w:r w:rsidRPr="0032084D">
        <w:rPr>
          <w:rFonts w:eastAsia="Calibri"/>
          <w:color w:val="auto"/>
        </w:rPr>
        <w:t xml:space="preserve"> or corruption. </w:t>
      </w:r>
    </w:p>
    <w:p w14:paraId="6121A8EF" w14:textId="77777777" w:rsidR="00710480" w:rsidRPr="008F16A6" w:rsidRDefault="00710480" w:rsidP="008F16A6">
      <w:pPr>
        <w:spacing w:line="240" w:lineRule="auto"/>
        <w:rPr>
          <w:b/>
        </w:rPr>
      </w:pPr>
    </w:p>
    <w:p w14:paraId="3833776B" w14:textId="386128B8" w:rsidR="00ED6B2E" w:rsidRDefault="00ED6B2E">
      <w:pPr>
        <w:spacing w:line="240" w:lineRule="auto"/>
      </w:pPr>
      <w:r>
        <w:br w:type="page"/>
      </w:r>
    </w:p>
    <w:p w14:paraId="0263E375" w14:textId="64E824BB" w:rsidR="00F654F0" w:rsidRDefault="00ED6B2E" w:rsidP="00316E2C">
      <w:pPr>
        <w:rPr>
          <w:b/>
          <w:bCs/>
          <w:color w:val="auto"/>
        </w:rPr>
      </w:pPr>
      <w:r w:rsidRPr="00ED6B2E">
        <w:rPr>
          <w:b/>
          <w:bCs/>
          <w:color w:val="auto"/>
        </w:rPr>
        <w:lastRenderedPageBreak/>
        <w:t>Appendix 2 – Implementation Checklist</w:t>
      </w:r>
    </w:p>
    <w:p w14:paraId="38D5FEB7" w14:textId="37E04968" w:rsidR="00ED6B2E" w:rsidRDefault="00ED6B2E" w:rsidP="00316E2C">
      <w:pPr>
        <w:rPr>
          <w:color w:val="auto"/>
        </w:rPr>
      </w:pPr>
    </w:p>
    <w:p w14:paraId="15CC6DA6" w14:textId="424B97E4" w:rsidR="00831E8D" w:rsidRDefault="00BC35EF" w:rsidP="00316E2C">
      <w:pPr>
        <w:rPr>
          <w:color w:val="auto"/>
        </w:rPr>
      </w:pPr>
      <w:r>
        <w:rPr>
          <w:color w:val="auto"/>
        </w:rPr>
        <w:t>Is there a clear plan for engaging and involving those affected by patient safety incidents?</w:t>
      </w:r>
    </w:p>
    <w:p w14:paraId="690EECDA" w14:textId="7CA15E07" w:rsidR="001166B7" w:rsidRDefault="001166B7" w:rsidP="00316E2C">
      <w:pPr>
        <w:rPr>
          <w:color w:val="auto"/>
        </w:rPr>
      </w:pPr>
    </w:p>
    <w:p w14:paraId="55A135E4" w14:textId="3425B087" w:rsidR="001166B7" w:rsidRDefault="00877814" w:rsidP="00316E2C">
      <w:pPr>
        <w:rPr>
          <w:color w:val="auto"/>
        </w:rPr>
      </w:pPr>
      <w:r>
        <w:rPr>
          <w:color w:val="auto"/>
        </w:rPr>
        <w:t xml:space="preserve">Is there a </w:t>
      </w:r>
      <w:r w:rsidR="008123B8">
        <w:rPr>
          <w:color w:val="auto"/>
        </w:rPr>
        <w:t>PSIRF policy</w:t>
      </w:r>
      <w:r>
        <w:rPr>
          <w:color w:val="auto"/>
        </w:rPr>
        <w:t xml:space="preserve"> in place</w:t>
      </w:r>
      <w:r w:rsidR="008123B8">
        <w:rPr>
          <w:color w:val="auto"/>
        </w:rPr>
        <w:t xml:space="preserve">? Does the PSIRF policy articulate how PSIRF is embedded into the organisations governance arrangements? </w:t>
      </w:r>
      <w:r w:rsidR="004565FC">
        <w:rPr>
          <w:color w:val="auto"/>
        </w:rPr>
        <w:t>Will the Policy be published on the providers website?</w:t>
      </w:r>
    </w:p>
    <w:p w14:paraId="40B09244" w14:textId="7A37D705" w:rsidR="00CA211D" w:rsidRDefault="00CA211D" w:rsidP="00316E2C">
      <w:pPr>
        <w:rPr>
          <w:color w:val="auto"/>
        </w:rPr>
      </w:pPr>
    </w:p>
    <w:p w14:paraId="737FBD9F" w14:textId="471442E9" w:rsidR="00CA211D" w:rsidRDefault="008555DB" w:rsidP="00316E2C">
      <w:pPr>
        <w:rPr>
          <w:color w:val="auto"/>
        </w:rPr>
      </w:pPr>
      <w:r>
        <w:rPr>
          <w:color w:val="auto"/>
        </w:rPr>
        <w:t xml:space="preserve">Is a Patient Safety Plan in place? </w:t>
      </w:r>
      <w:r w:rsidR="00BE36EB">
        <w:rPr>
          <w:color w:val="auto"/>
        </w:rPr>
        <w:t xml:space="preserve">Does the plan demonstrate a thorough analysis </w:t>
      </w:r>
      <w:r w:rsidR="003B4F89">
        <w:rPr>
          <w:color w:val="auto"/>
        </w:rPr>
        <w:t xml:space="preserve">of relevant organisational data?  Is there a clear rationale for each response to each patient safety incident type? </w:t>
      </w:r>
      <w:r>
        <w:rPr>
          <w:color w:val="auto"/>
        </w:rPr>
        <w:t>Has the plan been agreed</w:t>
      </w:r>
      <w:r w:rsidR="00FA09B6">
        <w:rPr>
          <w:color w:val="auto"/>
        </w:rPr>
        <w:t xml:space="preserve"> at executive level?</w:t>
      </w:r>
    </w:p>
    <w:p w14:paraId="40737A08" w14:textId="291D5FDF" w:rsidR="00941E07" w:rsidRDefault="00941E07" w:rsidP="00316E2C">
      <w:pPr>
        <w:rPr>
          <w:color w:val="auto"/>
        </w:rPr>
      </w:pPr>
    </w:p>
    <w:p w14:paraId="66F3B51E" w14:textId="20FD307F" w:rsidR="00941E07" w:rsidRDefault="00941E07" w:rsidP="00316E2C">
      <w:pPr>
        <w:rPr>
          <w:color w:val="auto"/>
        </w:rPr>
      </w:pPr>
      <w:r>
        <w:rPr>
          <w:color w:val="auto"/>
        </w:rPr>
        <w:t xml:space="preserve">Is there a plan for the management </w:t>
      </w:r>
      <w:r w:rsidR="008D2998">
        <w:rPr>
          <w:color w:val="auto"/>
        </w:rPr>
        <w:t>and closure of legacy Serious Incidents? What is the plan for operating a dual system</w:t>
      </w:r>
      <w:r w:rsidR="009E56DC">
        <w:rPr>
          <w:color w:val="auto"/>
        </w:rPr>
        <w:t>?</w:t>
      </w:r>
    </w:p>
    <w:p w14:paraId="2C3A3462" w14:textId="4FF85F94" w:rsidR="009E56DC" w:rsidRDefault="009E56DC" w:rsidP="00316E2C">
      <w:pPr>
        <w:rPr>
          <w:color w:val="auto"/>
        </w:rPr>
      </w:pPr>
    </w:p>
    <w:p w14:paraId="3AAD5738" w14:textId="33C856A0" w:rsidR="006E4EB7" w:rsidRDefault="006F2DCB" w:rsidP="00316E2C">
      <w:pPr>
        <w:rPr>
          <w:color w:val="auto"/>
        </w:rPr>
      </w:pPr>
      <w:r>
        <w:rPr>
          <w:color w:val="auto"/>
        </w:rPr>
        <w:t>Is there a planned arrangement to enable the ICB to discharge their responsibility regarding ‘ongoing’ oversight and collaboration?</w:t>
      </w:r>
      <w:r w:rsidR="0090192A">
        <w:rPr>
          <w:color w:val="auto"/>
        </w:rPr>
        <w:t xml:space="preserve">  </w:t>
      </w:r>
    </w:p>
    <w:p w14:paraId="7D2B0BF7" w14:textId="77770853" w:rsidR="006E4EB7" w:rsidRDefault="006E4EB7" w:rsidP="00316E2C">
      <w:pPr>
        <w:rPr>
          <w:color w:val="auto"/>
        </w:rPr>
      </w:pPr>
    </w:p>
    <w:p w14:paraId="2C875343" w14:textId="7A6B60BD" w:rsidR="006E4EB7" w:rsidRDefault="006E4EB7" w:rsidP="00316E2C">
      <w:pPr>
        <w:rPr>
          <w:color w:val="auto"/>
        </w:rPr>
      </w:pPr>
      <w:r>
        <w:rPr>
          <w:color w:val="auto"/>
        </w:rPr>
        <w:t>Are there dedicated learning response leads</w:t>
      </w:r>
      <w:r w:rsidR="00386561">
        <w:rPr>
          <w:color w:val="auto"/>
        </w:rPr>
        <w:t>?</w:t>
      </w:r>
    </w:p>
    <w:p w14:paraId="046B2A1A" w14:textId="1E3AC93E" w:rsidR="00386561" w:rsidRDefault="00386561" w:rsidP="00316E2C">
      <w:pPr>
        <w:rPr>
          <w:color w:val="auto"/>
        </w:rPr>
      </w:pPr>
    </w:p>
    <w:p w14:paraId="5046FFED" w14:textId="11B5A07B" w:rsidR="00386561" w:rsidRDefault="00386561" w:rsidP="00316E2C">
      <w:pPr>
        <w:rPr>
          <w:color w:val="auto"/>
        </w:rPr>
      </w:pPr>
      <w:r>
        <w:rPr>
          <w:color w:val="auto"/>
        </w:rPr>
        <w:t>Is there a dedicated staff resource to support engagement and involvement of those affected?</w:t>
      </w:r>
    </w:p>
    <w:p w14:paraId="7FDA4C32" w14:textId="2BB0876E" w:rsidR="00386561" w:rsidRDefault="00386561" w:rsidP="00316E2C">
      <w:pPr>
        <w:rPr>
          <w:color w:val="auto"/>
        </w:rPr>
      </w:pPr>
    </w:p>
    <w:p w14:paraId="2E484B12" w14:textId="20934719" w:rsidR="00E0638F" w:rsidRDefault="00E0638F" w:rsidP="00316E2C">
      <w:pPr>
        <w:rPr>
          <w:color w:val="auto"/>
        </w:rPr>
      </w:pPr>
      <w:r>
        <w:rPr>
          <w:color w:val="auto"/>
        </w:rPr>
        <w:t>Is there a training needs analysis and training plan</w:t>
      </w:r>
      <w:r w:rsidR="004D190F">
        <w:rPr>
          <w:color w:val="auto"/>
        </w:rPr>
        <w:t>?</w:t>
      </w:r>
    </w:p>
    <w:p w14:paraId="4D1B529D" w14:textId="2C3D2FC9" w:rsidR="004D190F" w:rsidRDefault="004D190F" w:rsidP="00316E2C">
      <w:pPr>
        <w:rPr>
          <w:color w:val="auto"/>
        </w:rPr>
      </w:pPr>
    </w:p>
    <w:p w14:paraId="425EEC9D" w14:textId="4115FBCB" w:rsidR="004D190F" w:rsidRDefault="00B1051B" w:rsidP="00316E2C">
      <w:pPr>
        <w:rPr>
          <w:color w:val="auto"/>
        </w:rPr>
      </w:pPr>
      <w:r>
        <w:rPr>
          <w:color w:val="auto"/>
        </w:rPr>
        <w:t>Is there a plan for</w:t>
      </w:r>
      <w:r w:rsidR="00A02670">
        <w:rPr>
          <w:color w:val="auto"/>
        </w:rPr>
        <w:t xml:space="preserve"> enabling proportionate responses to be met</w:t>
      </w:r>
      <w:r w:rsidR="00193418">
        <w:rPr>
          <w:color w:val="auto"/>
        </w:rPr>
        <w:t>?</w:t>
      </w:r>
    </w:p>
    <w:p w14:paraId="30330B6D" w14:textId="77777777" w:rsidR="006F2DCB" w:rsidRDefault="006F2DCB" w:rsidP="00316E2C">
      <w:pPr>
        <w:rPr>
          <w:color w:val="auto"/>
        </w:rPr>
      </w:pPr>
    </w:p>
    <w:p w14:paraId="1592D1AF" w14:textId="3C82EE6E" w:rsidR="008123B8" w:rsidRDefault="008123B8" w:rsidP="00316E2C">
      <w:pPr>
        <w:rPr>
          <w:color w:val="auto"/>
        </w:rPr>
      </w:pPr>
    </w:p>
    <w:p w14:paraId="0601D339" w14:textId="77777777" w:rsidR="008123B8" w:rsidRDefault="008123B8" w:rsidP="00316E2C">
      <w:pPr>
        <w:rPr>
          <w:color w:val="auto"/>
        </w:rPr>
      </w:pPr>
    </w:p>
    <w:p w14:paraId="6BE5A8DE" w14:textId="7EEC0BC5" w:rsidR="00E126D9" w:rsidRDefault="00E126D9">
      <w:pPr>
        <w:spacing w:line="240" w:lineRule="auto"/>
        <w:rPr>
          <w:color w:val="auto"/>
        </w:rPr>
      </w:pPr>
      <w:r>
        <w:rPr>
          <w:color w:val="auto"/>
        </w:rPr>
        <w:br w:type="page"/>
      </w:r>
    </w:p>
    <w:p w14:paraId="49A2B13A" w14:textId="77777777" w:rsidR="006B3D60" w:rsidRPr="001166B7" w:rsidRDefault="00E126D9" w:rsidP="006B3D60">
      <w:pPr>
        <w:rPr>
          <w:b/>
          <w:bCs/>
          <w:color w:val="auto"/>
        </w:rPr>
      </w:pPr>
      <w:r w:rsidRPr="001166B7">
        <w:rPr>
          <w:b/>
          <w:bCs/>
          <w:color w:val="auto"/>
        </w:rPr>
        <w:lastRenderedPageBreak/>
        <w:t xml:space="preserve">Appendix 3 – </w:t>
      </w:r>
      <w:r w:rsidR="006B3D60" w:rsidRPr="001166B7">
        <w:rPr>
          <w:b/>
          <w:bCs/>
          <w:color w:val="auto"/>
        </w:rPr>
        <w:t xml:space="preserve">Questions to guide ICB understanding the effectiveness of </w:t>
      </w:r>
      <w:proofErr w:type="gramStart"/>
      <w:r w:rsidR="006B3D60" w:rsidRPr="001166B7">
        <w:rPr>
          <w:b/>
          <w:bCs/>
          <w:color w:val="auto"/>
        </w:rPr>
        <w:t>provider</w:t>
      </w:r>
      <w:proofErr w:type="gramEnd"/>
    </w:p>
    <w:p w14:paraId="408C8153" w14:textId="458BCCC4" w:rsidR="00E126D9" w:rsidRDefault="006B3D60" w:rsidP="006B3D60">
      <w:pPr>
        <w:rPr>
          <w:b/>
          <w:bCs/>
          <w:color w:val="auto"/>
        </w:rPr>
      </w:pPr>
      <w:r w:rsidRPr="001166B7">
        <w:rPr>
          <w:b/>
          <w:bCs/>
          <w:color w:val="auto"/>
        </w:rPr>
        <w:t>learning response systems.</w:t>
      </w:r>
    </w:p>
    <w:p w14:paraId="1F3B557E" w14:textId="77777777" w:rsidR="001166B7" w:rsidRPr="001166B7" w:rsidRDefault="001166B7" w:rsidP="006B3D60">
      <w:pPr>
        <w:rPr>
          <w:b/>
          <w:bCs/>
          <w:color w:val="auto"/>
        </w:rPr>
      </w:pPr>
    </w:p>
    <w:p w14:paraId="570C96DF" w14:textId="4182D21C" w:rsidR="006B3D60" w:rsidRPr="001166B7" w:rsidRDefault="001166B7" w:rsidP="006B3D60">
      <w:pPr>
        <w:rPr>
          <w:b/>
          <w:bCs/>
          <w:color w:val="auto"/>
        </w:rPr>
      </w:pPr>
      <w:r w:rsidRPr="001166B7">
        <w:rPr>
          <w:b/>
          <w:bCs/>
          <w:color w:val="auto"/>
        </w:rPr>
        <w:t xml:space="preserve">Engagement and involvement of those affected by patient safety </w:t>
      </w:r>
      <w:proofErr w:type="gramStart"/>
      <w:r w:rsidRPr="001166B7">
        <w:rPr>
          <w:b/>
          <w:bCs/>
          <w:color w:val="auto"/>
        </w:rPr>
        <w:t>incidents</w:t>
      </w:r>
      <w:proofErr w:type="gramEnd"/>
    </w:p>
    <w:p w14:paraId="36B97556" w14:textId="77777777" w:rsidR="001A21B1" w:rsidRDefault="001A21B1" w:rsidP="00316E2C">
      <w:pPr>
        <w:rPr>
          <w:color w:val="auto"/>
        </w:rPr>
      </w:pPr>
      <w:r w:rsidRPr="001A21B1">
        <w:rPr>
          <w:color w:val="auto"/>
        </w:rPr>
        <w:t xml:space="preserve">What is the provider’s understanding of engagement and involvement? </w:t>
      </w:r>
    </w:p>
    <w:p w14:paraId="6F900A2D" w14:textId="69128CCB" w:rsidR="001A21B1" w:rsidRDefault="001A21B1" w:rsidP="00316E2C">
      <w:pPr>
        <w:rPr>
          <w:color w:val="auto"/>
        </w:rPr>
      </w:pPr>
      <w:r w:rsidRPr="001A21B1">
        <w:rPr>
          <w:color w:val="auto"/>
        </w:rPr>
        <w:t xml:space="preserve">What improvement work is ongoing to facilitate </w:t>
      </w:r>
      <w:r w:rsidR="008E11D5">
        <w:rPr>
          <w:color w:val="auto"/>
        </w:rPr>
        <w:t xml:space="preserve">good </w:t>
      </w:r>
      <w:r w:rsidRPr="001A21B1">
        <w:rPr>
          <w:color w:val="auto"/>
        </w:rPr>
        <w:t>quality engagement and involvement?</w:t>
      </w:r>
    </w:p>
    <w:p w14:paraId="1FF8919A" w14:textId="77777777" w:rsidR="001A21B1" w:rsidRDefault="001A21B1" w:rsidP="00316E2C">
      <w:pPr>
        <w:rPr>
          <w:color w:val="auto"/>
        </w:rPr>
      </w:pPr>
      <w:r>
        <w:rPr>
          <w:color w:val="auto"/>
        </w:rPr>
        <w:t>I</w:t>
      </w:r>
      <w:r w:rsidRPr="001A21B1">
        <w:rPr>
          <w:color w:val="auto"/>
        </w:rPr>
        <w:t xml:space="preserve">s there evidence of continuous work in progress? </w:t>
      </w:r>
    </w:p>
    <w:p w14:paraId="755D414D" w14:textId="77777777" w:rsidR="001A21B1" w:rsidRDefault="001A21B1" w:rsidP="00316E2C">
      <w:pPr>
        <w:rPr>
          <w:color w:val="auto"/>
        </w:rPr>
      </w:pPr>
      <w:r w:rsidRPr="001A21B1">
        <w:rPr>
          <w:color w:val="auto"/>
        </w:rPr>
        <w:t xml:space="preserve">Is compassionate engagement equitable for all? </w:t>
      </w:r>
    </w:p>
    <w:p w14:paraId="3DD4BEB7" w14:textId="77777777" w:rsidR="001A21B1" w:rsidRDefault="001A21B1" w:rsidP="00316E2C">
      <w:pPr>
        <w:rPr>
          <w:color w:val="auto"/>
        </w:rPr>
      </w:pPr>
      <w:r w:rsidRPr="001A21B1">
        <w:rPr>
          <w:color w:val="auto"/>
        </w:rPr>
        <w:t>How extensive is the evidence of a just culture (</w:t>
      </w:r>
      <w:proofErr w:type="spellStart"/>
      <w:proofErr w:type="gramStart"/>
      <w:r w:rsidRPr="001A21B1">
        <w:rPr>
          <w:color w:val="auto"/>
        </w:rPr>
        <w:t>eg</w:t>
      </w:r>
      <w:proofErr w:type="spellEnd"/>
      <w:proofErr w:type="gramEnd"/>
      <w:r w:rsidRPr="001A21B1">
        <w:rPr>
          <w:color w:val="auto"/>
        </w:rPr>
        <w:t xml:space="preserve"> does ‘blame’, or focusing on individual actions or omissions in investigations still occur)? </w:t>
      </w:r>
    </w:p>
    <w:p w14:paraId="0A07E254" w14:textId="77777777" w:rsidR="001A21B1" w:rsidRDefault="001A21B1" w:rsidP="00316E2C">
      <w:pPr>
        <w:rPr>
          <w:color w:val="auto"/>
        </w:rPr>
      </w:pPr>
      <w:r w:rsidRPr="001A21B1">
        <w:rPr>
          <w:color w:val="auto"/>
        </w:rPr>
        <w:t>What do external data sources (</w:t>
      </w:r>
      <w:proofErr w:type="spellStart"/>
      <w:proofErr w:type="gramStart"/>
      <w:r w:rsidRPr="001A21B1">
        <w:rPr>
          <w:color w:val="auto"/>
        </w:rPr>
        <w:t>eg</w:t>
      </w:r>
      <w:proofErr w:type="spellEnd"/>
      <w:proofErr w:type="gramEnd"/>
      <w:r w:rsidRPr="001A21B1">
        <w:rPr>
          <w:color w:val="auto"/>
        </w:rPr>
        <w:t xml:space="preserve"> NHS staff survey, GMC training survey, Health Education England (HEE) reviews) say about staff experience? </w:t>
      </w:r>
    </w:p>
    <w:p w14:paraId="5C9FA194" w14:textId="7ED4AE1E" w:rsidR="00831E8D" w:rsidRDefault="001A21B1" w:rsidP="00316E2C">
      <w:pPr>
        <w:rPr>
          <w:color w:val="auto"/>
        </w:rPr>
      </w:pPr>
      <w:r w:rsidRPr="001A21B1">
        <w:rPr>
          <w:color w:val="auto"/>
        </w:rPr>
        <w:t>Is the organisation aware of its successes and challenges regarding staff support in response to incidents?</w:t>
      </w:r>
    </w:p>
    <w:p w14:paraId="4028B267" w14:textId="7450FCD8" w:rsidR="006272BD" w:rsidRDefault="006272BD" w:rsidP="00316E2C">
      <w:pPr>
        <w:rPr>
          <w:color w:val="auto"/>
        </w:rPr>
      </w:pPr>
    </w:p>
    <w:p w14:paraId="6200EC18" w14:textId="45A6C953" w:rsidR="006272BD" w:rsidRDefault="006272BD" w:rsidP="006272BD">
      <w:pPr>
        <w:rPr>
          <w:b/>
          <w:bCs/>
          <w:color w:val="auto"/>
        </w:rPr>
      </w:pPr>
      <w:r w:rsidRPr="006272BD">
        <w:rPr>
          <w:b/>
          <w:bCs/>
          <w:color w:val="auto"/>
        </w:rPr>
        <w:t xml:space="preserve">Policy, planning and </w:t>
      </w:r>
      <w:proofErr w:type="gramStart"/>
      <w:r w:rsidRPr="006272BD">
        <w:rPr>
          <w:b/>
          <w:bCs/>
          <w:color w:val="auto"/>
        </w:rPr>
        <w:t>governance</w:t>
      </w:r>
      <w:proofErr w:type="gramEnd"/>
    </w:p>
    <w:p w14:paraId="405CB99B" w14:textId="77777777" w:rsidR="00B20EA7" w:rsidRDefault="00B20EA7" w:rsidP="006272BD">
      <w:pPr>
        <w:rPr>
          <w:color w:val="auto"/>
        </w:rPr>
      </w:pPr>
      <w:r w:rsidRPr="00B20EA7">
        <w:rPr>
          <w:color w:val="auto"/>
        </w:rPr>
        <w:t xml:space="preserve">Is the patient safety incident response plan being updated as required and in accordance with emerging intelligence and improvement efforts? </w:t>
      </w:r>
    </w:p>
    <w:p w14:paraId="25308D2E" w14:textId="77777777" w:rsidR="00B20EA7" w:rsidRDefault="00B20EA7" w:rsidP="006272BD">
      <w:pPr>
        <w:rPr>
          <w:color w:val="auto"/>
        </w:rPr>
      </w:pPr>
      <w:r w:rsidRPr="00B20EA7">
        <w:rPr>
          <w:color w:val="auto"/>
        </w:rPr>
        <w:t xml:space="preserve">Does the patient safety incident response plan accurately address the known patient safety-related challenges for this organisation? </w:t>
      </w:r>
    </w:p>
    <w:p w14:paraId="4ED96023" w14:textId="0E23D08A" w:rsidR="00B20EA7" w:rsidRDefault="00B20EA7" w:rsidP="006272BD">
      <w:pPr>
        <w:rPr>
          <w:color w:val="auto"/>
        </w:rPr>
      </w:pPr>
      <w:r w:rsidRPr="00B20EA7">
        <w:rPr>
          <w:color w:val="auto"/>
        </w:rPr>
        <w:t xml:space="preserve">Is patient safety and improvement work across the organisation aligned? </w:t>
      </w:r>
    </w:p>
    <w:p w14:paraId="1540B447" w14:textId="77777777" w:rsidR="00032478" w:rsidRDefault="00B20EA7" w:rsidP="006272BD">
      <w:pPr>
        <w:rPr>
          <w:color w:val="auto"/>
        </w:rPr>
      </w:pPr>
      <w:r w:rsidRPr="00B20EA7">
        <w:rPr>
          <w:color w:val="auto"/>
        </w:rPr>
        <w:t xml:space="preserve">Is work progressing to fulfil any gaps identified in meeting national patient safety incident response standards? </w:t>
      </w:r>
    </w:p>
    <w:p w14:paraId="3A8FE577" w14:textId="77777777" w:rsidR="00B74DD5" w:rsidRDefault="00B20EA7" w:rsidP="006272BD">
      <w:pPr>
        <w:rPr>
          <w:color w:val="auto"/>
        </w:rPr>
      </w:pPr>
      <w:r w:rsidRPr="00B20EA7">
        <w:rPr>
          <w:color w:val="auto"/>
        </w:rPr>
        <w:t xml:space="preserve">What learning is emerging through collaborative external (peer) review? How is this contributing to improvement? </w:t>
      </w:r>
    </w:p>
    <w:p w14:paraId="3BD602A5" w14:textId="77777777" w:rsidR="00B74DD5" w:rsidRDefault="00B20EA7" w:rsidP="006272BD">
      <w:pPr>
        <w:rPr>
          <w:color w:val="auto"/>
        </w:rPr>
      </w:pPr>
      <w:r w:rsidRPr="00B20EA7">
        <w:rPr>
          <w:color w:val="auto"/>
        </w:rPr>
        <w:t>What is the quality management process for the outputs of patient safety incident response (</w:t>
      </w:r>
      <w:proofErr w:type="spellStart"/>
      <w:proofErr w:type="gramStart"/>
      <w:r w:rsidRPr="00B20EA7">
        <w:rPr>
          <w:color w:val="auto"/>
        </w:rPr>
        <w:t>eg</w:t>
      </w:r>
      <w:proofErr w:type="spellEnd"/>
      <w:proofErr w:type="gramEnd"/>
      <w:r w:rsidRPr="00B20EA7">
        <w:rPr>
          <w:color w:val="auto"/>
        </w:rPr>
        <w:t xml:space="preserve"> PSII reports)? </w:t>
      </w:r>
    </w:p>
    <w:p w14:paraId="2A864BEC" w14:textId="38593F96" w:rsidR="006272BD" w:rsidRDefault="00B20EA7" w:rsidP="006272BD">
      <w:pPr>
        <w:rPr>
          <w:color w:val="auto"/>
        </w:rPr>
      </w:pPr>
      <w:r w:rsidRPr="00B20EA7">
        <w:rPr>
          <w:color w:val="auto"/>
        </w:rPr>
        <w:t>Does quality management involve key stakeholders (</w:t>
      </w:r>
      <w:proofErr w:type="spellStart"/>
      <w:proofErr w:type="gramStart"/>
      <w:r w:rsidRPr="00B20EA7">
        <w:rPr>
          <w:color w:val="auto"/>
        </w:rPr>
        <w:t>eg</w:t>
      </w:r>
      <w:proofErr w:type="spellEnd"/>
      <w:proofErr w:type="gramEnd"/>
      <w:r w:rsidRPr="00B20EA7">
        <w:rPr>
          <w:color w:val="auto"/>
        </w:rPr>
        <w:t xml:space="preserve"> safety experts, patient safety partners, staff representatives)?</w:t>
      </w:r>
    </w:p>
    <w:p w14:paraId="52E92C04" w14:textId="564A7D14" w:rsidR="008112F0" w:rsidRDefault="008112F0" w:rsidP="006272BD">
      <w:pPr>
        <w:rPr>
          <w:color w:val="auto"/>
        </w:rPr>
      </w:pPr>
    </w:p>
    <w:p w14:paraId="02AD4A20" w14:textId="2B1C4C2E" w:rsidR="008112F0" w:rsidRPr="00CC4D0A" w:rsidRDefault="008112F0" w:rsidP="006272BD">
      <w:pPr>
        <w:rPr>
          <w:b/>
          <w:bCs/>
          <w:color w:val="auto"/>
        </w:rPr>
      </w:pPr>
      <w:r w:rsidRPr="00CC4D0A">
        <w:rPr>
          <w:b/>
          <w:bCs/>
          <w:color w:val="auto"/>
        </w:rPr>
        <w:t>Competence and Capacity</w:t>
      </w:r>
    </w:p>
    <w:p w14:paraId="2F7FA438" w14:textId="77777777" w:rsidR="00CC4D0A" w:rsidRDefault="00CC4D0A" w:rsidP="006272BD">
      <w:pPr>
        <w:rPr>
          <w:color w:val="000000" w:themeColor="text1"/>
        </w:rPr>
      </w:pPr>
      <w:r w:rsidRPr="00CC4D0A">
        <w:rPr>
          <w:color w:val="000000" w:themeColor="text1"/>
        </w:rPr>
        <w:t xml:space="preserve">Are oversight training and competence requirements met within the ICS? </w:t>
      </w:r>
    </w:p>
    <w:p w14:paraId="0E10B7C2" w14:textId="77777777" w:rsidR="00CC4D0A" w:rsidRDefault="00CC4D0A" w:rsidP="006272BD">
      <w:pPr>
        <w:rPr>
          <w:color w:val="000000" w:themeColor="text1"/>
        </w:rPr>
      </w:pPr>
      <w:r w:rsidRPr="00CC4D0A">
        <w:rPr>
          <w:color w:val="000000" w:themeColor="text1"/>
        </w:rPr>
        <w:t xml:space="preserve">Can the organisation describe its capacity to effectively deliver its patient safety incident response plan? </w:t>
      </w:r>
    </w:p>
    <w:p w14:paraId="00A62E1A" w14:textId="77777777" w:rsidR="00CC4D0A" w:rsidRDefault="00CC4D0A" w:rsidP="006272BD">
      <w:pPr>
        <w:rPr>
          <w:color w:val="000000" w:themeColor="text1"/>
        </w:rPr>
      </w:pPr>
      <w:r w:rsidRPr="00CC4D0A">
        <w:rPr>
          <w:color w:val="000000" w:themeColor="text1"/>
        </w:rPr>
        <w:t xml:space="preserve">Is staff time protected or dedicated full-time roles in place for patient safety incident response? </w:t>
      </w:r>
    </w:p>
    <w:p w14:paraId="0CBECAAE" w14:textId="0B9AAFF3" w:rsidR="00CC4D0A" w:rsidRDefault="00CC4D0A" w:rsidP="006272BD">
      <w:pPr>
        <w:rPr>
          <w:color w:val="000000" w:themeColor="text1"/>
        </w:rPr>
      </w:pPr>
      <w:r w:rsidRPr="00CC4D0A">
        <w:rPr>
          <w:color w:val="000000" w:themeColor="text1"/>
        </w:rPr>
        <w:lastRenderedPageBreak/>
        <w:t>Do the organisational stakeholders (</w:t>
      </w:r>
      <w:r w:rsidR="00C13796" w:rsidRPr="00CC4D0A">
        <w:rPr>
          <w:color w:val="000000" w:themeColor="text1"/>
        </w:rPr>
        <w:t>e.g.,</w:t>
      </w:r>
      <w:r w:rsidRPr="00CC4D0A">
        <w:rPr>
          <w:color w:val="000000" w:themeColor="text1"/>
        </w:rPr>
        <w:t xml:space="preserve"> patient safety partners, clinical teams, support staff) have continuous professional development opportunities to enable them to participate effectively? </w:t>
      </w:r>
    </w:p>
    <w:p w14:paraId="0EC83EE9" w14:textId="77777777" w:rsidR="00CC4D0A" w:rsidRDefault="00CC4D0A" w:rsidP="006272BD">
      <w:pPr>
        <w:rPr>
          <w:color w:val="000000" w:themeColor="text1"/>
        </w:rPr>
      </w:pPr>
      <w:r w:rsidRPr="00CC4D0A">
        <w:rPr>
          <w:color w:val="000000" w:themeColor="text1"/>
        </w:rPr>
        <w:t xml:space="preserve">Can the organisation describe where the capacity is to implement improvement based on patient safety incident response? </w:t>
      </w:r>
    </w:p>
    <w:p w14:paraId="6ADEC232" w14:textId="77777777" w:rsidR="00CC4D0A" w:rsidRDefault="00CC4D0A" w:rsidP="006272BD">
      <w:pPr>
        <w:rPr>
          <w:color w:val="000000" w:themeColor="text1"/>
        </w:rPr>
      </w:pPr>
      <w:r w:rsidRPr="00CC4D0A">
        <w:rPr>
          <w:color w:val="000000" w:themeColor="text1"/>
        </w:rPr>
        <w:t xml:space="preserve">Are learning response leads empowered to act independently? </w:t>
      </w:r>
    </w:p>
    <w:p w14:paraId="77A3566D" w14:textId="7ECCE0AF" w:rsidR="008112F0" w:rsidRDefault="00CC4D0A" w:rsidP="006272BD">
      <w:pPr>
        <w:rPr>
          <w:color w:val="000000" w:themeColor="text1"/>
        </w:rPr>
      </w:pPr>
      <w:r w:rsidRPr="00CC4D0A">
        <w:rPr>
          <w:color w:val="000000" w:themeColor="text1"/>
        </w:rPr>
        <w:t>Is access to expertise and support provided?</w:t>
      </w:r>
    </w:p>
    <w:p w14:paraId="14D4A8C4" w14:textId="3D5B1F2D" w:rsidR="00CC4D0A" w:rsidRDefault="00CC4D0A" w:rsidP="006272BD">
      <w:pPr>
        <w:rPr>
          <w:color w:val="000000" w:themeColor="text1"/>
        </w:rPr>
      </w:pPr>
    </w:p>
    <w:p w14:paraId="6BC7CF1F" w14:textId="059AF4DF" w:rsidR="00CC4D0A" w:rsidRPr="003C5AD8" w:rsidRDefault="008666E8" w:rsidP="006272BD">
      <w:pPr>
        <w:rPr>
          <w:b/>
          <w:bCs/>
          <w:color w:val="000000" w:themeColor="text1"/>
        </w:rPr>
      </w:pPr>
      <w:r w:rsidRPr="003C5AD8">
        <w:rPr>
          <w:b/>
          <w:bCs/>
          <w:color w:val="000000" w:themeColor="text1"/>
        </w:rPr>
        <w:t>Proportionate Responses</w:t>
      </w:r>
    </w:p>
    <w:p w14:paraId="024B3AAE" w14:textId="77777777" w:rsidR="008666E8" w:rsidRDefault="008666E8" w:rsidP="006272BD">
      <w:pPr>
        <w:rPr>
          <w:color w:val="000000" w:themeColor="text1"/>
        </w:rPr>
      </w:pPr>
      <w:r w:rsidRPr="008666E8">
        <w:rPr>
          <w:color w:val="000000" w:themeColor="text1"/>
        </w:rPr>
        <w:t xml:space="preserve">Is the organisation’s leadership clear in communicating to teams that an individual learning response should not be conducted for every incident that results in moderate or more severe harm? And do leaders support teams where this policy is challenged? </w:t>
      </w:r>
    </w:p>
    <w:p w14:paraId="314579D3" w14:textId="77777777" w:rsidR="008666E8" w:rsidRDefault="008666E8" w:rsidP="006272BD">
      <w:pPr>
        <w:rPr>
          <w:color w:val="000000" w:themeColor="text1"/>
        </w:rPr>
      </w:pPr>
      <w:r w:rsidRPr="008666E8">
        <w:rPr>
          <w:color w:val="000000" w:themeColor="text1"/>
        </w:rPr>
        <w:t xml:space="preserve">Is there evidence that teams are attempting to conduct a learning response to every incident, and therefore resources are spread too thinly? </w:t>
      </w:r>
    </w:p>
    <w:p w14:paraId="3BFC8959" w14:textId="77777777" w:rsidR="008666E8" w:rsidRDefault="008666E8" w:rsidP="006272BD">
      <w:pPr>
        <w:rPr>
          <w:color w:val="000000" w:themeColor="text1"/>
        </w:rPr>
      </w:pPr>
      <w:r w:rsidRPr="008666E8">
        <w:rPr>
          <w:color w:val="000000" w:themeColor="text1"/>
        </w:rPr>
        <w:t xml:space="preserve">Are there opportunities for teams to learn from when things do and do not go well? </w:t>
      </w:r>
    </w:p>
    <w:p w14:paraId="5D2A670B" w14:textId="77777777" w:rsidR="008666E8" w:rsidRDefault="008666E8" w:rsidP="006272BD">
      <w:pPr>
        <w:rPr>
          <w:color w:val="000000" w:themeColor="text1"/>
        </w:rPr>
      </w:pPr>
      <w:r w:rsidRPr="008666E8">
        <w:rPr>
          <w:color w:val="000000" w:themeColor="text1"/>
        </w:rPr>
        <w:t xml:space="preserve">Is there evidence of filtering or censorship of findings or suggested improvements? </w:t>
      </w:r>
    </w:p>
    <w:p w14:paraId="24B0D346" w14:textId="2768CB30" w:rsidR="008666E8" w:rsidRDefault="008666E8" w:rsidP="006272BD">
      <w:pPr>
        <w:rPr>
          <w:color w:val="000000" w:themeColor="text1"/>
        </w:rPr>
      </w:pPr>
      <w:r w:rsidRPr="008666E8">
        <w:rPr>
          <w:color w:val="000000" w:themeColor="text1"/>
        </w:rPr>
        <w:t>Is learning and improvement work adequately balanced? (</w:t>
      </w:r>
      <w:r w:rsidR="00C13796" w:rsidRPr="008666E8">
        <w:rPr>
          <w:color w:val="000000" w:themeColor="text1"/>
        </w:rPr>
        <w:t>i.e.,</w:t>
      </w:r>
      <w:r w:rsidRPr="008666E8">
        <w:rPr>
          <w:color w:val="000000" w:themeColor="text1"/>
        </w:rPr>
        <w:t xml:space="preserve"> balance of horizon scanning, thematic work, and individual learning responses)</w:t>
      </w:r>
    </w:p>
    <w:p w14:paraId="546D0B17" w14:textId="1A9E5FA3" w:rsidR="003C5AD8" w:rsidRDefault="003C5AD8" w:rsidP="003C5AD8">
      <w:pPr>
        <w:rPr>
          <w:color w:val="000000" w:themeColor="text1"/>
        </w:rPr>
      </w:pPr>
      <w:r w:rsidRPr="003C5AD8">
        <w:rPr>
          <w:color w:val="000000" w:themeColor="text1"/>
        </w:rPr>
        <w:t>Are learning responses completed in a timely manner in line with expectations of those affected?</w:t>
      </w:r>
      <w:r w:rsidRPr="003C5AD8">
        <w:rPr>
          <w:color w:val="000000" w:themeColor="text1"/>
        </w:rPr>
        <w:cr/>
      </w:r>
    </w:p>
    <w:p w14:paraId="3D691975" w14:textId="234C04F8" w:rsidR="003C5AD8" w:rsidRPr="00901C19" w:rsidRDefault="003C5AD8" w:rsidP="003C5AD8">
      <w:pPr>
        <w:rPr>
          <w:b/>
          <w:bCs/>
          <w:color w:val="000000" w:themeColor="text1"/>
        </w:rPr>
      </w:pPr>
      <w:r w:rsidRPr="00901C19">
        <w:rPr>
          <w:b/>
          <w:bCs/>
          <w:color w:val="000000" w:themeColor="text1"/>
        </w:rPr>
        <w:t>Safety Actions and Improvement</w:t>
      </w:r>
    </w:p>
    <w:p w14:paraId="31CE98E5" w14:textId="77777777" w:rsidR="00901C19" w:rsidRDefault="00901C19" w:rsidP="003C5AD8">
      <w:pPr>
        <w:rPr>
          <w:color w:val="000000" w:themeColor="text1"/>
        </w:rPr>
      </w:pPr>
      <w:r>
        <w:rPr>
          <w:color w:val="000000" w:themeColor="text1"/>
        </w:rPr>
        <w:t>I</w:t>
      </w:r>
      <w:r w:rsidRPr="00901C19">
        <w:rPr>
          <w:color w:val="000000" w:themeColor="text1"/>
        </w:rPr>
        <w:t xml:space="preserve">s learning triangulated across the range of incident response methods used to inform improvement? </w:t>
      </w:r>
    </w:p>
    <w:p w14:paraId="7A5CFC99" w14:textId="77777777" w:rsidR="00901C19" w:rsidRDefault="00901C19" w:rsidP="003C5AD8">
      <w:pPr>
        <w:rPr>
          <w:color w:val="000000" w:themeColor="text1"/>
        </w:rPr>
      </w:pPr>
      <w:r w:rsidRPr="00901C19">
        <w:rPr>
          <w:color w:val="000000" w:themeColor="text1"/>
        </w:rPr>
        <w:t xml:space="preserve">Can the organisation describe safety improvement in progress, what they aim to achieve and their interim successes and challenges? </w:t>
      </w:r>
    </w:p>
    <w:p w14:paraId="36676E1F" w14:textId="485CA909" w:rsidR="003C5AD8" w:rsidRPr="00901C19" w:rsidRDefault="00901C19" w:rsidP="003C5AD8">
      <w:pPr>
        <w:rPr>
          <w:color w:val="000000" w:themeColor="text1"/>
        </w:rPr>
      </w:pPr>
      <w:r w:rsidRPr="00901C19">
        <w:rPr>
          <w:color w:val="000000" w:themeColor="text1"/>
        </w:rPr>
        <w:t>What is the provider board doing to support local teams on challenges in patient safety improvement</w:t>
      </w:r>
      <w:r w:rsidR="00C13796">
        <w:rPr>
          <w:color w:val="000000" w:themeColor="text1"/>
        </w:rPr>
        <w:t>.</w:t>
      </w:r>
    </w:p>
    <w:sectPr w:rsidR="003C5AD8" w:rsidRPr="00901C19" w:rsidSect="004F3CD4">
      <w:footerReference w:type="default" r:id="rId17"/>
      <w:headerReference w:type="first" r:id="rId18"/>
      <w:footerReference w:type="first" r:id="rId1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47F9E" w14:textId="77777777" w:rsidR="0062546C" w:rsidRDefault="0062546C">
      <w:r>
        <w:separator/>
      </w:r>
    </w:p>
  </w:endnote>
  <w:endnote w:type="continuationSeparator" w:id="0">
    <w:p w14:paraId="7F112290" w14:textId="77777777" w:rsidR="0062546C" w:rsidRDefault="00625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3081" w14:textId="6F3A29DC" w:rsidR="00AE286E" w:rsidRPr="00DD014E" w:rsidRDefault="00AE286E" w:rsidP="00D82D0F">
    <w:pPr>
      <w:pStyle w:val="Footer"/>
      <w:spacing w:before="120"/>
      <w:rPr>
        <w:color w:val="auto"/>
        <w:sz w:val="18"/>
        <w:szCs w:val="18"/>
        <w:lang w:val="en-GB"/>
      </w:rPr>
    </w:pPr>
    <w:r w:rsidRPr="00DD014E">
      <w:rPr>
        <w:noProof/>
        <w:color w:val="auto"/>
        <w:sz w:val="18"/>
        <w:szCs w:val="18"/>
        <w:lang w:val="en-GB" w:eastAsia="en-GB"/>
      </w:rPr>
      <mc:AlternateContent>
        <mc:Choice Requires="wps">
          <w:drawing>
            <wp:anchor distT="0" distB="0" distL="114300" distR="114300" simplePos="0" relativeHeight="251657216" behindDoc="0" locked="0" layoutInCell="1" allowOverlap="1" wp14:anchorId="4F367EEE" wp14:editId="78B04C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3893AE13" w14:textId="77777777" w:rsidR="00AE286E" w:rsidRPr="004D7F55" w:rsidRDefault="00AE286E" w:rsidP="00D82D0F">
                          <w:pPr>
                            <w:pStyle w:val="Footer"/>
                            <w:jc w:val="right"/>
                            <w:rPr>
                              <w:color w:val="4F6228" w:themeColor="accent3" w:themeShade="80"/>
                            </w:rPr>
                          </w:pPr>
                          <w:r w:rsidRPr="004D7F55">
                            <w:rPr>
                              <w:color w:val="4F6228" w:themeColor="accent3" w:themeShade="80"/>
                            </w:rPr>
                            <w:fldChar w:fldCharType="begin"/>
                          </w:r>
                          <w:r w:rsidRPr="004D7F55">
                            <w:rPr>
                              <w:color w:val="4F6228" w:themeColor="accent3" w:themeShade="80"/>
                            </w:rPr>
                            <w:instrText xml:space="preserve"> PAGE  \* Arabic  \* MERGEFORMAT </w:instrText>
                          </w:r>
                          <w:r w:rsidRPr="004D7F55">
                            <w:rPr>
                              <w:color w:val="4F6228" w:themeColor="accent3" w:themeShade="80"/>
                            </w:rPr>
                            <w:fldChar w:fldCharType="separate"/>
                          </w:r>
                          <w:r w:rsidR="00B969EF">
                            <w:rPr>
                              <w:noProof/>
                              <w:color w:val="4F6228" w:themeColor="accent3" w:themeShade="80"/>
                            </w:rPr>
                            <w:t>2</w:t>
                          </w:r>
                          <w:r w:rsidRPr="004D7F55">
                            <w:rPr>
                              <w:color w:val="4F6228" w:themeColor="accent3" w:themeShade="8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F367EEE" id="_x0000_t202" coordsize="21600,21600" o:spt="202" path="m,l,21600r21600,l21600,xe">
              <v:stroke joinstyle="miter"/>
              <v:path gradientshapeok="t" o:connecttype="rect"/>
            </v:shapetype>
            <v:shape id="Text Box 56" o:spid="_x0000_s1026" type="#_x0000_t202" style="position:absolute;margin-left:67.6pt;margin-top:0;width:118.8pt;height:31.15pt;z-index:25165721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3893AE13" w14:textId="77777777" w:rsidR="00AE286E" w:rsidRPr="004D7F55" w:rsidRDefault="00AE286E" w:rsidP="00D82D0F">
                    <w:pPr>
                      <w:pStyle w:val="Footer"/>
                      <w:jc w:val="right"/>
                      <w:rPr>
                        <w:color w:val="4F6228" w:themeColor="accent3" w:themeShade="80"/>
                      </w:rPr>
                    </w:pPr>
                    <w:r w:rsidRPr="004D7F55">
                      <w:rPr>
                        <w:color w:val="4F6228" w:themeColor="accent3" w:themeShade="80"/>
                      </w:rPr>
                      <w:fldChar w:fldCharType="begin"/>
                    </w:r>
                    <w:r w:rsidRPr="004D7F55">
                      <w:rPr>
                        <w:color w:val="4F6228" w:themeColor="accent3" w:themeShade="80"/>
                      </w:rPr>
                      <w:instrText xml:space="preserve"> PAGE  \* Arabic  \* MERGEFORMAT </w:instrText>
                    </w:r>
                    <w:r w:rsidRPr="004D7F55">
                      <w:rPr>
                        <w:color w:val="4F6228" w:themeColor="accent3" w:themeShade="80"/>
                      </w:rPr>
                      <w:fldChar w:fldCharType="separate"/>
                    </w:r>
                    <w:r w:rsidR="00B969EF">
                      <w:rPr>
                        <w:noProof/>
                        <w:color w:val="4F6228" w:themeColor="accent3" w:themeShade="80"/>
                      </w:rPr>
                      <w:t>2</w:t>
                    </w:r>
                    <w:r w:rsidRPr="004D7F55">
                      <w:rPr>
                        <w:color w:val="4F6228" w:themeColor="accent3" w:themeShade="80"/>
                      </w:rPr>
                      <w:fldChar w:fldCharType="end"/>
                    </w:r>
                  </w:p>
                </w:txbxContent>
              </v:textbox>
              <w10:wrap anchorx="margin" anchory="margin"/>
            </v:shape>
          </w:pict>
        </mc:Fallback>
      </mc:AlternateContent>
    </w:r>
    <w:r w:rsidR="005C328C">
      <w:rPr>
        <w:color w:val="auto"/>
        <w:sz w:val="18"/>
        <w:szCs w:val="18"/>
        <w:lang w:val="en-GB"/>
      </w:rPr>
      <w:t>ICB PIRF</w:t>
    </w:r>
    <w:r w:rsidRPr="00DD014E">
      <w:rPr>
        <w:color w:val="auto"/>
        <w:sz w:val="18"/>
        <w:szCs w:val="18"/>
        <w:lang w:val="en-GB"/>
      </w:rPr>
      <w:t xml:space="preserve"> Policy</w:t>
    </w:r>
    <w:r w:rsidR="00F05D43" w:rsidRPr="00DD014E">
      <w:rPr>
        <w:color w:val="auto"/>
        <w:sz w:val="18"/>
        <w:szCs w:val="18"/>
        <w:lang w:val="en-GB"/>
      </w:rPr>
      <w:t xml:space="preserve"> Publication</w:t>
    </w:r>
    <w:r w:rsidR="00A26D2F" w:rsidRPr="00DD014E">
      <w:rPr>
        <w:color w:val="auto"/>
        <w:sz w:val="18"/>
        <w:szCs w:val="18"/>
        <w:lang w:val="en-GB"/>
      </w:rPr>
      <w:t xml:space="preserve"> [</w:t>
    </w:r>
    <w:r w:rsidR="005C328C">
      <w:rPr>
        <w:color w:val="auto"/>
        <w:sz w:val="18"/>
        <w:szCs w:val="18"/>
        <w:lang w:val="en-GB"/>
      </w:rPr>
      <w:t xml:space="preserve">April </w:t>
    </w:r>
    <w:r w:rsidR="00A26D2F" w:rsidRPr="00DD014E">
      <w:rPr>
        <w:color w:val="auto"/>
        <w:sz w:val="18"/>
        <w:szCs w:val="18"/>
        <w:lang w:val="en-GB"/>
      </w:rPr>
      <w:t xml:space="preserve">/ </w:t>
    </w:r>
    <w:r w:rsidR="005C328C">
      <w:rPr>
        <w:color w:val="auto"/>
        <w:sz w:val="18"/>
        <w:szCs w:val="18"/>
        <w:lang w:val="en-GB"/>
      </w:rPr>
      <w:t>2023</w:t>
    </w:r>
    <w:r w:rsidR="00A26D2F" w:rsidRPr="00DD014E">
      <w:rPr>
        <w:color w:val="auto"/>
        <w:sz w:val="18"/>
        <w:szCs w:val="18"/>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116A" w14:textId="77777777" w:rsidR="00AE286E" w:rsidRDefault="00AE286E" w:rsidP="0043516E">
    <w:pPr>
      <w:pStyle w:val="Footer"/>
      <w:tabs>
        <w:tab w:val="clear" w:pos="4153"/>
        <w:tab w:val="clear" w:pos="8306"/>
        <w:tab w:val="left" w:pos="679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86128" w14:textId="77777777" w:rsidR="0062546C" w:rsidRDefault="0062546C">
      <w:r>
        <w:separator/>
      </w:r>
    </w:p>
  </w:footnote>
  <w:footnote w:type="continuationSeparator" w:id="0">
    <w:p w14:paraId="5F0CAD0E" w14:textId="77777777" w:rsidR="0062546C" w:rsidRDefault="00625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320B" w14:textId="77777777" w:rsidR="00AE286E" w:rsidRDefault="00AE286E" w:rsidP="004F3C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137"/>
    <w:multiLevelType w:val="hybridMultilevel"/>
    <w:tmpl w:val="5F466920"/>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1" w15:restartNumberingAfterBreak="0">
    <w:nsid w:val="0568161C"/>
    <w:multiLevelType w:val="hybridMultilevel"/>
    <w:tmpl w:val="B0BA7760"/>
    <w:lvl w:ilvl="0" w:tplc="EB98E99C">
      <w:start w:val="1"/>
      <w:numFmt w:val="bullet"/>
      <w:lvlText w:val=""/>
      <w:lvlJc w:val="left"/>
      <w:pPr>
        <w:ind w:left="792" w:hanging="360"/>
      </w:pPr>
      <w:rPr>
        <w:rFonts w:ascii="Symbol" w:eastAsia="Times New Roman" w:hAnsi="Symbo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15:restartNumberingAfterBreak="0">
    <w:nsid w:val="0C250920"/>
    <w:multiLevelType w:val="hybridMultilevel"/>
    <w:tmpl w:val="53E04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614DC"/>
    <w:multiLevelType w:val="hybridMultilevel"/>
    <w:tmpl w:val="8532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01238"/>
    <w:multiLevelType w:val="hybridMultilevel"/>
    <w:tmpl w:val="52C49DEA"/>
    <w:lvl w:ilvl="0" w:tplc="08090001">
      <w:start w:val="1"/>
      <w:numFmt w:val="bullet"/>
      <w:lvlText w:val=""/>
      <w:lvlJc w:val="left"/>
      <w:pPr>
        <w:ind w:left="1578" w:hanging="360"/>
      </w:pPr>
      <w:rPr>
        <w:rFonts w:ascii="Symbol" w:hAnsi="Symbol" w:hint="default"/>
      </w:rPr>
    </w:lvl>
    <w:lvl w:ilvl="1" w:tplc="08090003" w:tentative="1">
      <w:start w:val="1"/>
      <w:numFmt w:val="bullet"/>
      <w:lvlText w:val="o"/>
      <w:lvlJc w:val="left"/>
      <w:pPr>
        <w:ind w:left="2298" w:hanging="360"/>
      </w:pPr>
      <w:rPr>
        <w:rFonts w:ascii="Courier New" w:hAnsi="Courier New" w:cs="Courier New" w:hint="default"/>
      </w:rPr>
    </w:lvl>
    <w:lvl w:ilvl="2" w:tplc="08090005" w:tentative="1">
      <w:start w:val="1"/>
      <w:numFmt w:val="bullet"/>
      <w:lvlText w:val=""/>
      <w:lvlJc w:val="left"/>
      <w:pPr>
        <w:ind w:left="3018" w:hanging="360"/>
      </w:pPr>
      <w:rPr>
        <w:rFonts w:ascii="Wingdings" w:hAnsi="Wingdings" w:hint="default"/>
      </w:rPr>
    </w:lvl>
    <w:lvl w:ilvl="3" w:tplc="08090001" w:tentative="1">
      <w:start w:val="1"/>
      <w:numFmt w:val="bullet"/>
      <w:lvlText w:val=""/>
      <w:lvlJc w:val="left"/>
      <w:pPr>
        <w:ind w:left="3738" w:hanging="360"/>
      </w:pPr>
      <w:rPr>
        <w:rFonts w:ascii="Symbol" w:hAnsi="Symbol" w:hint="default"/>
      </w:rPr>
    </w:lvl>
    <w:lvl w:ilvl="4" w:tplc="08090003" w:tentative="1">
      <w:start w:val="1"/>
      <w:numFmt w:val="bullet"/>
      <w:lvlText w:val="o"/>
      <w:lvlJc w:val="left"/>
      <w:pPr>
        <w:ind w:left="4458" w:hanging="360"/>
      </w:pPr>
      <w:rPr>
        <w:rFonts w:ascii="Courier New" w:hAnsi="Courier New" w:cs="Courier New" w:hint="default"/>
      </w:rPr>
    </w:lvl>
    <w:lvl w:ilvl="5" w:tplc="08090005" w:tentative="1">
      <w:start w:val="1"/>
      <w:numFmt w:val="bullet"/>
      <w:lvlText w:val=""/>
      <w:lvlJc w:val="left"/>
      <w:pPr>
        <w:ind w:left="5178" w:hanging="360"/>
      </w:pPr>
      <w:rPr>
        <w:rFonts w:ascii="Wingdings" w:hAnsi="Wingdings" w:hint="default"/>
      </w:rPr>
    </w:lvl>
    <w:lvl w:ilvl="6" w:tplc="08090001" w:tentative="1">
      <w:start w:val="1"/>
      <w:numFmt w:val="bullet"/>
      <w:lvlText w:val=""/>
      <w:lvlJc w:val="left"/>
      <w:pPr>
        <w:ind w:left="5898" w:hanging="360"/>
      </w:pPr>
      <w:rPr>
        <w:rFonts w:ascii="Symbol" w:hAnsi="Symbol" w:hint="default"/>
      </w:rPr>
    </w:lvl>
    <w:lvl w:ilvl="7" w:tplc="08090003" w:tentative="1">
      <w:start w:val="1"/>
      <w:numFmt w:val="bullet"/>
      <w:lvlText w:val="o"/>
      <w:lvlJc w:val="left"/>
      <w:pPr>
        <w:ind w:left="6618" w:hanging="360"/>
      </w:pPr>
      <w:rPr>
        <w:rFonts w:ascii="Courier New" w:hAnsi="Courier New" w:cs="Courier New" w:hint="default"/>
      </w:rPr>
    </w:lvl>
    <w:lvl w:ilvl="8" w:tplc="08090005" w:tentative="1">
      <w:start w:val="1"/>
      <w:numFmt w:val="bullet"/>
      <w:lvlText w:val=""/>
      <w:lvlJc w:val="left"/>
      <w:pPr>
        <w:ind w:left="7338" w:hanging="360"/>
      </w:pPr>
      <w:rPr>
        <w:rFonts w:ascii="Wingdings" w:hAnsi="Wingdings" w:hint="default"/>
      </w:rPr>
    </w:lvl>
  </w:abstractNum>
  <w:abstractNum w:abstractNumId="5" w15:restartNumberingAfterBreak="0">
    <w:nsid w:val="15840F33"/>
    <w:multiLevelType w:val="hybridMultilevel"/>
    <w:tmpl w:val="DCE0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62DC4"/>
    <w:multiLevelType w:val="hybridMultilevel"/>
    <w:tmpl w:val="B65EAB40"/>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7" w15:restartNumberingAfterBreak="0">
    <w:nsid w:val="1C28611F"/>
    <w:multiLevelType w:val="hybridMultilevel"/>
    <w:tmpl w:val="7F6E3D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AF4B66"/>
    <w:multiLevelType w:val="multilevel"/>
    <w:tmpl w:val="9AA06B12"/>
    <w:lvl w:ilvl="0">
      <w:start w:val="1"/>
      <w:numFmt w:val="bullet"/>
      <w:lvlText w:val=""/>
      <w:lvlJc w:val="left"/>
      <w:pPr>
        <w:ind w:left="574" w:hanging="432"/>
      </w:pPr>
      <w:rPr>
        <w:rFonts w:ascii="Symbol" w:hAnsi="Symbol" w:hint="default"/>
      </w:r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2956119"/>
    <w:multiLevelType w:val="hybridMultilevel"/>
    <w:tmpl w:val="8922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F27346"/>
    <w:multiLevelType w:val="hybridMultilevel"/>
    <w:tmpl w:val="1352B844"/>
    <w:lvl w:ilvl="0" w:tplc="08090001">
      <w:start w:val="1"/>
      <w:numFmt w:val="bullet"/>
      <w:lvlText w:val=""/>
      <w:lvlJc w:val="left"/>
      <w:pPr>
        <w:ind w:left="1578" w:hanging="360"/>
      </w:pPr>
      <w:rPr>
        <w:rFonts w:ascii="Symbol" w:hAnsi="Symbol" w:hint="default"/>
      </w:rPr>
    </w:lvl>
    <w:lvl w:ilvl="1" w:tplc="08090003" w:tentative="1">
      <w:start w:val="1"/>
      <w:numFmt w:val="bullet"/>
      <w:lvlText w:val="o"/>
      <w:lvlJc w:val="left"/>
      <w:pPr>
        <w:ind w:left="2298" w:hanging="360"/>
      </w:pPr>
      <w:rPr>
        <w:rFonts w:ascii="Courier New" w:hAnsi="Courier New" w:cs="Courier New" w:hint="default"/>
      </w:rPr>
    </w:lvl>
    <w:lvl w:ilvl="2" w:tplc="08090005" w:tentative="1">
      <w:start w:val="1"/>
      <w:numFmt w:val="bullet"/>
      <w:lvlText w:val=""/>
      <w:lvlJc w:val="left"/>
      <w:pPr>
        <w:ind w:left="3018" w:hanging="360"/>
      </w:pPr>
      <w:rPr>
        <w:rFonts w:ascii="Wingdings" w:hAnsi="Wingdings" w:hint="default"/>
      </w:rPr>
    </w:lvl>
    <w:lvl w:ilvl="3" w:tplc="08090001" w:tentative="1">
      <w:start w:val="1"/>
      <w:numFmt w:val="bullet"/>
      <w:lvlText w:val=""/>
      <w:lvlJc w:val="left"/>
      <w:pPr>
        <w:ind w:left="3738" w:hanging="360"/>
      </w:pPr>
      <w:rPr>
        <w:rFonts w:ascii="Symbol" w:hAnsi="Symbol" w:hint="default"/>
      </w:rPr>
    </w:lvl>
    <w:lvl w:ilvl="4" w:tplc="08090003" w:tentative="1">
      <w:start w:val="1"/>
      <w:numFmt w:val="bullet"/>
      <w:lvlText w:val="o"/>
      <w:lvlJc w:val="left"/>
      <w:pPr>
        <w:ind w:left="4458" w:hanging="360"/>
      </w:pPr>
      <w:rPr>
        <w:rFonts w:ascii="Courier New" w:hAnsi="Courier New" w:cs="Courier New" w:hint="default"/>
      </w:rPr>
    </w:lvl>
    <w:lvl w:ilvl="5" w:tplc="08090005" w:tentative="1">
      <w:start w:val="1"/>
      <w:numFmt w:val="bullet"/>
      <w:lvlText w:val=""/>
      <w:lvlJc w:val="left"/>
      <w:pPr>
        <w:ind w:left="5178" w:hanging="360"/>
      </w:pPr>
      <w:rPr>
        <w:rFonts w:ascii="Wingdings" w:hAnsi="Wingdings" w:hint="default"/>
      </w:rPr>
    </w:lvl>
    <w:lvl w:ilvl="6" w:tplc="08090001" w:tentative="1">
      <w:start w:val="1"/>
      <w:numFmt w:val="bullet"/>
      <w:lvlText w:val=""/>
      <w:lvlJc w:val="left"/>
      <w:pPr>
        <w:ind w:left="5898" w:hanging="360"/>
      </w:pPr>
      <w:rPr>
        <w:rFonts w:ascii="Symbol" w:hAnsi="Symbol" w:hint="default"/>
      </w:rPr>
    </w:lvl>
    <w:lvl w:ilvl="7" w:tplc="08090003" w:tentative="1">
      <w:start w:val="1"/>
      <w:numFmt w:val="bullet"/>
      <w:lvlText w:val="o"/>
      <w:lvlJc w:val="left"/>
      <w:pPr>
        <w:ind w:left="6618" w:hanging="360"/>
      </w:pPr>
      <w:rPr>
        <w:rFonts w:ascii="Courier New" w:hAnsi="Courier New" w:cs="Courier New" w:hint="default"/>
      </w:rPr>
    </w:lvl>
    <w:lvl w:ilvl="8" w:tplc="08090005" w:tentative="1">
      <w:start w:val="1"/>
      <w:numFmt w:val="bullet"/>
      <w:lvlText w:val=""/>
      <w:lvlJc w:val="left"/>
      <w:pPr>
        <w:ind w:left="7338" w:hanging="360"/>
      </w:pPr>
      <w:rPr>
        <w:rFonts w:ascii="Wingdings" w:hAnsi="Wingdings" w:hint="default"/>
      </w:rPr>
    </w:lvl>
  </w:abstractNum>
  <w:abstractNum w:abstractNumId="11" w15:restartNumberingAfterBreak="0">
    <w:nsid w:val="2EB5004F"/>
    <w:multiLevelType w:val="hybridMultilevel"/>
    <w:tmpl w:val="215662C8"/>
    <w:lvl w:ilvl="0" w:tplc="08090001">
      <w:start w:val="1"/>
      <w:numFmt w:val="bullet"/>
      <w:lvlText w:val=""/>
      <w:lvlJc w:val="left"/>
      <w:pPr>
        <w:ind w:left="1578" w:hanging="360"/>
      </w:pPr>
      <w:rPr>
        <w:rFonts w:ascii="Symbol" w:hAnsi="Symbol" w:hint="default"/>
      </w:rPr>
    </w:lvl>
    <w:lvl w:ilvl="1" w:tplc="08090003" w:tentative="1">
      <w:start w:val="1"/>
      <w:numFmt w:val="bullet"/>
      <w:lvlText w:val="o"/>
      <w:lvlJc w:val="left"/>
      <w:pPr>
        <w:ind w:left="2298" w:hanging="360"/>
      </w:pPr>
      <w:rPr>
        <w:rFonts w:ascii="Courier New" w:hAnsi="Courier New" w:cs="Courier New" w:hint="default"/>
      </w:rPr>
    </w:lvl>
    <w:lvl w:ilvl="2" w:tplc="08090005" w:tentative="1">
      <w:start w:val="1"/>
      <w:numFmt w:val="bullet"/>
      <w:lvlText w:val=""/>
      <w:lvlJc w:val="left"/>
      <w:pPr>
        <w:ind w:left="3018" w:hanging="360"/>
      </w:pPr>
      <w:rPr>
        <w:rFonts w:ascii="Wingdings" w:hAnsi="Wingdings" w:hint="default"/>
      </w:rPr>
    </w:lvl>
    <w:lvl w:ilvl="3" w:tplc="08090001" w:tentative="1">
      <w:start w:val="1"/>
      <w:numFmt w:val="bullet"/>
      <w:lvlText w:val=""/>
      <w:lvlJc w:val="left"/>
      <w:pPr>
        <w:ind w:left="3738" w:hanging="360"/>
      </w:pPr>
      <w:rPr>
        <w:rFonts w:ascii="Symbol" w:hAnsi="Symbol" w:hint="default"/>
      </w:rPr>
    </w:lvl>
    <w:lvl w:ilvl="4" w:tplc="08090003" w:tentative="1">
      <w:start w:val="1"/>
      <w:numFmt w:val="bullet"/>
      <w:lvlText w:val="o"/>
      <w:lvlJc w:val="left"/>
      <w:pPr>
        <w:ind w:left="4458" w:hanging="360"/>
      </w:pPr>
      <w:rPr>
        <w:rFonts w:ascii="Courier New" w:hAnsi="Courier New" w:cs="Courier New" w:hint="default"/>
      </w:rPr>
    </w:lvl>
    <w:lvl w:ilvl="5" w:tplc="08090005" w:tentative="1">
      <w:start w:val="1"/>
      <w:numFmt w:val="bullet"/>
      <w:lvlText w:val=""/>
      <w:lvlJc w:val="left"/>
      <w:pPr>
        <w:ind w:left="5178" w:hanging="360"/>
      </w:pPr>
      <w:rPr>
        <w:rFonts w:ascii="Wingdings" w:hAnsi="Wingdings" w:hint="default"/>
      </w:rPr>
    </w:lvl>
    <w:lvl w:ilvl="6" w:tplc="08090001" w:tentative="1">
      <w:start w:val="1"/>
      <w:numFmt w:val="bullet"/>
      <w:lvlText w:val=""/>
      <w:lvlJc w:val="left"/>
      <w:pPr>
        <w:ind w:left="5898" w:hanging="360"/>
      </w:pPr>
      <w:rPr>
        <w:rFonts w:ascii="Symbol" w:hAnsi="Symbol" w:hint="default"/>
      </w:rPr>
    </w:lvl>
    <w:lvl w:ilvl="7" w:tplc="08090003" w:tentative="1">
      <w:start w:val="1"/>
      <w:numFmt w:val="bullet"/>
      <w:lvlText w:val="o"/>
      <w:lvlJc w:val="left"/>
      <w:pPr>
        <w:ind w:left="6618" w:hanging="360"/>
      </w:pPr>
      <w:rPr>
        <w:rFonts w:ascii="Courier New" w:hAnsi="Courier New" w:cs="Courier New" w:hint="default"/>
      </w:rPr>
    </w:lvl>
    <w:lvl w:ilvl="8" w:tplc="08090005" w:tentative="1">
      <w:start w:val="1"/>
      <w:numFmt w:val="bullet"/>
      <w:lvlText w:val=""/>
      <w:lvlJc w:val="left"/>
      <w:pPr>
        <w:ind w:left="7338" w:hanging="360"/>
      </w:pPr>
      <w:rPr>
        <w:rFonts w:ascii="Wingdings" w:hAnsi="Wingdings" w:hint="default"/>
      </w:rPr>
    </w:lvl>
  </w:abstractNum>
  <w:abstractNum w:abstractNumId="12" w15:restartNumberingAfterBreak="0">
    <w:nsid w:val="309F015D"/>
    <w:multiLevelType w:val="hybridMultilevel"/>
    <w:tmpl w:val="0F3CCD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49D2F95"/>
    <w:multiLevelType w:val="hybridMultilevel"/>
    <w:tmpl w:val="697A0A36"/>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14" w15:restartNumberingAfterBreak="0">
    <w:nsid w:val="3D3D08DC"/>
    <w:multiLevelType w:val="hybridMultilevel"/>
    <w:tmpl w:val="2A0450A8"/>
    <w:lvl w:ilvl="0" w:tplc="08090001">
      <w:start w:val="1"/>
      <w:numFmt w:val="bullet"/>
      <w:lvlText w:val=""/>
      <w:lvlJc w:val="left"/>
      <w:pPr>
        <w:ind w:left="1578" w:hanging="360"/>
      </w:pPr>
      <w:rPr>
        <w:rFonts w:ascii="Symbol" w:hAnsi="Symbol" w:hint="default"/>
      </w:rPr>
    </w:lvl>
    <w:lvl w:ilvl="1" w:tplc="08090003" w:tentative="1">
      <w:start w:val="1"/>
      <w:numFmt w:val="bullet"/>
      <w:lvlText w:val="o"/>
      <w:lvlJc w:val="left"/>
      <w:pPr>
        <w:ind w:left="2298" w:hanging="360"/>
      </w:pPr>
      <w:rPr>
        <w:rFonts w:ascii="Courier New" w:hAnsi="Courier New" w:cs="Courier New" w:hint="default"/>
      </w:rPr>
    </w:lvl>
    <w:lvl w:ilvl="2" w:tplc="08090005" w:tentative="1">
      <w:start w:val="1"/>
      <w:numFmt w:val="bullet"/>
      <w:lvlText w:val=""/>
      <w:lvlJc w:val="left"/>
      <w:pPr>
        <w:ind w:left="3018" w:hanging="360"/>
      </w:pPr>
      <w:rPr>
        <w:rFonts w:ascii="Wingdings" w:hAnsi="Wingdings" w:hint="default"/>
      </w:rPr>
    </w:lvl>
    <w:lvl w:ilvl="3" w:tplc="08090001" w:tentative="1">
      <w:start w:val="1"/>
      <w:numFmt w:val="bullet"/>
      <w:lvlText w:val=""/>
      <w:lvlJc w:val="left"/>
      <w:pPr>
        <w:ind w:left="3738" w:hanging="360"/>
      </w:pPr>
      <w:rPr>
        <w:rFonts w:ascii="Symbol" w:hAnsi="Symbol" w:hint="default"/>
      </w:rPr>
    </w:lvl>
    <w:lvl w:ilvl="4" w:tplc="08090003" w:tentative="1">
      <w:start w:val="1"/>
      <w:numFmt w:val="bullet"/>
      <w:lvlText w:val="o"/>
      <w:lvlJc w:val="left"/>
      <w:pPr>
        <w:ind w:left="4458" w:hanging="360"/>
      </w:pPr>
      <w:rPr>
        <w:rFonts w:ascii="Courier New" w:hAnsi="Courier New" w:cs="Courier New" w:hint="default"/>
      </w:rPr>
    </w:lvl>
    <w:lvl w:ilvl="5" w:tplc="08090005" w:tentative="1">
      <w:start w:val="1"/>
      <w:numFmt w:val="bullet"/>
      <w:lvlText w:val=""/>
      <w:lvlJc w:val="left"/>
      <w:pPr>
        <w:ind w:left="5178" w:hanging="360"/>
      </w:pPr>
      <w:rPr>
        <w:rFonts w:ascii="Wingdings" w:hAnsi="Wingdings" w:hint="default"/>
      </w:rPr>
    </w:lvl>
    <w:lvl w:ilvl="6" w:tplc="08090001" w:tentative="1">
      <w:start w:val="1"/>
      <w:numFmt w:val="bullet"/>
      <w:lvlText w:val=""/>
      <w:lvlJc w:val="left"/>
      <w:pPr>
        <w:ind w:left="5898" w:hanging="360"/>
      </w:pPr>
      <w:rPr>
        <w:rFonts w:ascii="Symbol" w:hAnsi="Symbol" w:hint="default"/>
      </w:rPr>
    </w:lvl>
    <w:lvl w:ilvl="7" w:tplc="08090003" w:tentative="1">
      <w:start w:val="1"/>
      <w:numFmt w:val="bullet"/>
      <w:lvlText w:val="o"/>
      <w:lvlJc w:val="left"/>
      <w:pPr>
        <w:ind w:left="6618" w:hanging="360"/>
      </w:pPr>
      <w:rPr>
        <w:rFonts w:ascii="Courier New" w:hAnsi="Courier New" w:cs="Courier New" w:hint="default"/>
      </w:rPr>
    </w:lvl>
    <w:lvl w:ilvl="8" w:tplc="08090005" w:tentative="1">
      <w:start w:val="1"/>
      <w:numFmt w:val="bullet"/>
      <w:lvlText w:val=""/>
      <w:lvlJc w:val="left"/>
      <w:pPr>
        <w:ind w:left="7338" w:hanging="360"/>
      </w:pPr>
      <w:rPr>
        <w:rFonts w:ascii="Wingdings" w:hAnsi="Wingdings" w:hint="default"/>
      </w:rPr>
    </w:lvl>
  </w:abstractNum>
  <w:abstractNum w:abstractNumId="15" w15:restartNumberingAfterBreak="0">
    <w:nsid w:val="3F7D50B4"/>
    <w:multiLevelType w:val="hybridMultilevel"/>
    <w:tmpl w:val="677C6A80"/>
    <w:lvl w:ilvl="0" w:tplc="C5D400C2">
      <w:start w:val="1"/>
      <w:numFmt w:val="bullet"/>
      <w:pStyle w:val="PointsBullets"/>
      <w:lvlText w:val=""/>
      <w:lvlJc w:val="left"/>
      <w:pPr>
        <w:tabs>
          <w:tab w:val="num" w:pos="567"/>
        </w:tabs>
        <w:ind w:left="567" w:hanging="567"/>
      </w:pPr>
      <w:rPr>
        <w:rFonts w:ascii="Wingdings" w:hAnsi="Wingdings" w:hint="default"/>
        <w:color w:val="auto"/>
      </w:rPr>
    </w:lvl>
    <w:lvl w:ilvl="1" w:tplc="04090003" w:tentative="1">
      <w:start w:val="1"/>
      <w:numFmt w:val="bullet"/>
      <w:lvlText w:val="o"/>
      <w:lvlJc w:val="left"/>
      <w:pPr>
        <w:tabs>
          <w:tab w:val="num" w:pos="306"/>
        </w:tabs>
        <w:ind w:left="306" w:hanging="360"/>
      </w:pPr>
      <w:rPr>
        <w:rFonts w:ascii="Courier New" w:hAnsi="Courier New" w:cs="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cs="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cs="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16" w15:restartNumberingAfterBreak="0">
    <w:nsid w:val="453E1C4B"/>
    <w:multiLevelType w:val="hybridMultilevel"/>
    <w:tmpl w:val="2F367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2753D0"/>
    <w:multiLevelType w:val="hybridMultilevel"/>
    <w:tmpl w:val="76E23A4E"/>
    <w:lvl w:ilvl="0" w:tplc="4DDEBBC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13948E3"/>
    <w:multiLevelType w:val="hybridMultilevel"/>
    <w:tmpl w:val="D9E26106"/>
    <w:lvl w:ilvl="0" w:tplc="08090001">
      <w:start w:val="1"/>
      <w:numFmt w:val="bullet"/>
      <w:lvlText w:val=""/>
      <w:lvlJc w:val="left"/>
      <w:pPr>
        <w:ind w:left="1578" w:hanging="360"/>
      </w:pPr>
      <w:rPr>
        <w:rFonts w:ascii="Symbol" w:hAnsi="Symbol" w:hint="default"/>
      </w:rPr>
    </w:lvl>
    <w:lvl w:ilvl="1" w:tplc="08090003" w:tentative="1">
      <w:start w:val="1"/>
      <w:numFmt w:val="bullet"/>
      <w:lvlText w:val="o"/>
      <w:lvlJc w:val="left"/>
      <w:pPr>
        <w:ind w:left="2298" w:hanging="360"/>
      </w:pPr>
      <w:rPr>
        <w:rFonts w:ascii="Courier New" w:hAnsi="Courier New" w:cs="Courier New" w:hint="default"/>
      </w:rPr>
    </w:lvl>
    <w:lvl w:ilvl="2" w:tplc="08090005" w:tentative="1">
      <w:start w:val="1"/>
      <w:numFmt w:val="bullet"/>
      <w:lvlText w:val=""/>
      <w:lvlJc w:val="left"/>
      <w:pPr>
        <w:ind w:left="3018" w:hanging="360"/>
      </w:pPr>
      <w:rPr>
        <w:rFonts w:ascii="Wingdings" w:hAnsi="Wingdings" w:hint="default"/>
      </w:rPr>
    </w:lvl>
    <w:lvl w:ilvl="3" w:tplc="08090001" w:tentative="1">
      <w:start w:val="1"/>
      <w:numFmt w:val="bullet"/>
      <w:lvlText w:val=""/>
      <w:lvlJc w:val="left"/>
      <w:pPr>
        <w:ind w:left="3738" w:hanging="360"/>
      </w:pPr>
      <w:rPr>
        <w:rFonts w:ascii="Symbol" w:hAnsi="Symbol" w:hint="default"/>
      </w:rPr>
    </w:lvl>
    <w:lvl w:ilvl="4" w:tplc="08090003" w:tentative="1">
      <w:start w:val="1"/>
      <w:numFmt w:val="bullet"/>
      <w:lvlText w:val="o"/>
      <w:lvlJc w:val="left"/>
      <w:pPr>
        <w:ind w:left="4458" w:hanging="360"/>
      </w:pPr>
      <w:rPr>
        <w:rFonts w:ascii="Courier New" w:hAnsi="Courier New" w:cs="Courier New" w:hint="default"/>
      </w:rPr>
    </w:lvl>
    <w:lvl w:ilvl="5" w:tplc="08090005" w:tentative="1">
      <w:start w:val="1"/>
      <w:numFmt w:val="bullet"/>
      <w:lvlText w:val=""/>
      <w:lvlJc w:val="left"/>
      <w:pPr>
        <w:ind w:left="5178" w:hanging="360"/>
      </w:pPr>
      <w:rPr>
        <w:rFonts w:ascii="Wingdings" w:hAnsi="Wingdings" w:hint="default"/>
      </w:rPr>
    </w:lvl>
    <w:lvl w:ilvl="6" w:tplc="08090001" w:tentative="1">
      <w:start w:val="1"/>
      <w:numFmt w:val="bullet"/>
      <w:lvlText w:val=""/>
      <w:lvlJc w:val="left"/>
      <w:pPr>
        <w:ind w:left="5898" w:hanging="360"/>
      </w:pPr>
      <w:rPr>
        <w:rFonts w:ascii="Symbol" w:hAnsi="Symbol" w:hint="default"/>
      </w:rPr>
    </w:lvl>
    <w:lvl w:ilvl="7" w:tplc="08090003" w:tentative="1">
      <w:start w:val="1"/>
      <w:numFmt w:val="bullet"/>
      <w:lvlText w:val="o"/>
      <w:lvlJc w:val="left"/>
      <w:pPr>
        <w:ind w:left="6618" w:hanging="360"/>
      </w:pPr>
      <w:rPr>
        <w:rFonts w:ascii="Courier New" w:hAnsi="Courier New" w:cs="Courier New" w:hint="default"/>
      </w:rPr>
    </w:lvl>
    <w:lvl w:ilvl="8" w:tplc="08090005" w:tentative="1">
      <w:start w:val="1"/>
      <w:numFmt w:val="bullet"/>
      <w:lvlText w:val=""/>
      <w:lvlJc w:val="left"/>
      <w:pPr>
        <w:ind w:left="7338" w:hanging="360"/>
      </w:pPr>
      <w:rPr>
        <w:rFonts w:ascii="Wingdings" w:hAnsi="Wingdings" w:hint="default"/>
      </w:rPr>
    </w:lvl>
  </w:abstractNum>
  <w:abstractNum w:abstractNumId="19" w15:restartNumberingAfterBreak="0">
    <w:nsid w:val="611E0F6A"/>
    <w:multiLevelType w:val="hybridMultilevel"/>
    <w:tmpl w:val="2EA6FAE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0" w15:restartNumberingAfterBreak="0">
    <w:nsid w:val="64EA3EB8"/>
    <w:multiLevelType w:val="hybridMultilevel"/>
    <w:tmpl w:val="ADECDD8C"/>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21" w15:restartNumberingAfterBreak="0">
    <w:nsid w:val="686D6DA4"/>
    <w:multiLevelType w:val="multilevel"/>
    <w:tmpl w:val="2BACAE38"/>
    <w:lvl w:ilvl="0">
      <w:start w:val="1"/>
      <w:numFmt w:val="decimal"/>
      <w:pStyle w:val="Heading1"/>
      <w:lvlText w:val="%1"/>
      <w:lvlJc w:val="left"/>
      <w:pPr>
        <w:ind w:left="858" w:hanging="432"/>
      </w:pPr>
      <w:rPr>
        <w:b/>
        <w:bCs/>
        <w:i w:val="0"/>
        <w:iCs w:val="0"/>
        <w:caps w:val="0"/>
        <w:smallCaps w:val="0"/>
        <w:strike w:val="0"/>
        <w:dstrike w:val="0"/>
        <w:noProof w:val="0"/>
        <w:vanish w:val="0"/>
        <w:color w:val="000000"/>
        <w:spacing w:val="0"/>
        <w:kern w:val="0"/>
        <w:position w:val="0"/>
        <w:sz w:val="24"/>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859" w:hanging="576"/>
      </w:pPr>
      <w:rPr>
        <w:b/>
        <w:color w:val="auto"/>
      </w:rPr>
    </w:lvl>
    <w:lvl w:ilvl="2">
      <w:start w:val="1"/>
      <w:numFmt w:val="decimal"/>
      <w:pStyle w:val="Heading3"/>
      <w:lvlText w:val="%1.%2.%3"/>
      <w:lvlJc w:val="left"/>
      <w:pPr>
        <w:ind w:left="578" w:hanging="720"/>
      </w:pPr>
    </w:lvl>
    <w:lvl w:ilvl="3">
      <w:start w:val="1"/>
      <w:numFmt w:val="decimal"/>
      <w:pStyle w:val="Heading4"/>
      <w:lvlText w:val="%1.%2.%3.%4"/>
      <w:lvlJc w:val="left"/>
      <w:pPr>
        <w:ind w:left="722" w:hanging="864"/>
      </w:pPr>
    </w:lvl>
    <w:lvl w:ilvl="4">
      <w:start w:val="1"/>
      <w:numFmt w:val="decimal"/>
      <w:pStyle w:val="Heading5"/>
      <w:lvlText w:val="%1.%2.%3.%4.%5"/>
      <w:lvlJc w:val="left"/>
      <w:pPr>
        <w:ind w:left="866" w:hanging="1008"/>
      </w:pPr>
    </w:lvl>
    <w:lvl w:ilvl="5">
      <w:start w:val="1"/>
      <w:numFmt w:val="decimal"/>
      <w:pStyle w:val="Heading6"/>
      <w:lvlText w:val="%1.%2.%3.%4.%5.%6"/>
      <w:lvlJc w:val="left"/>
      <w:pPr>
        <w:ind w:left="1010" w:hanging="1152"/>
      </w:pPr>
    </w:lvl>
    <w:lvl w:ilvl="6">
      <w:start w:val="1"/>
      <w:numFmt w:val="decimal"/>
      <w:pStyle w:val="Heading7"/>
      <w:lvlText w:val="%1.%2.%3.%4.%5.%6.%7"/>
      <w:lvlJc w:val="left"/>
      <w:pPr>
        <w:ind w:left="1154" w:hanging="1296"/>
      </w:pPr>
    </w:lvl>
    <w:lvl w:ilvl="7">
      <w:start w:val="1"/>
      <w:numFmt w:val="decimal"/>
      <w:pStyle w:val="Heading8"/>
      <w:lvlText w:val="%1.%2.%3.%4.%5.%6.%7.%8"/>
      <w:lvlJc w:val="left"/>
      <w:pPr>
        <w:ind w:left="1298" w:hanging="1440"/>
      </w:pPr>
    </w:lvl>
    <w:lvl w:ilvl="8">
      <w:start w:val="1"/>
      <w:numFmt w:val="decimal"/>
      <w:pStyle w:val="Heading9"/>
      <w:lvlText w:val="%1.%2.%3.%4.%5.%6.%7.%8.%9"/>
      <w:lvlJc w:val="left"/>
      <w:pPr>
        <w:ind w:left="1442" w:hanging="1584"/>
      </w:pPr>
    </w:lvl>
  </w:abstractNum>
  <w:abstractNum w:abstractNumId="22" w15:restartNumberingAfterBreak="0">
    <w:nsid w:val="70041CB1"/>
    <w:multiLevelType w:val="hybridMultilevel"/>
    <w:tmpl w:val="64BAAA1C"/>
    <w:lvl w:ilvl="0" w:tplc="70E0D330">
      <w:start w:val="1"/>
      <w:numFmt w:val="bullet"/>
      <w:lvlText w:val=""/>
      <w:lvlJc w:val="left"/>
      <w:pPr>
        <w:ind w:left="1218" w:hanging="360"/>
      </w:pPr>
      <w:rPr>
        <w:rFonts w:ascii="Symbol" w:eastAsia="Times New Roman" w:hAnsi="Symbol" w:cs="Aria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23" w15:restartNumberingAfterBreak="0">
    <w:nsid w:val="712D2312"/>
    <w:multiLevelType w:val="hybridMultilevel"/>
    <w:tmpl w:val="4BCE9398"/>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24" w15:restartNumberingAfterBreak="0">
    <w:nsid w:val="714111D5"/>
    <w:multiLevelType w:val="hybridMultilevel"/>
    <w:tmpl w:val="0D9E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682D95"/>
    <w:multiLevelType w:val="hybridMultilevel"/>
    <w:tmpl w:val="98BC029C"/>
    <w:lvl w:ilvl="0" w:tplc="5ABEBD60">
      <w:start w:val="3"/>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B257AD"/>
    <w:multiLevelType w:val="hybridMultilevel"/>
    <w:tmpl w:val="C608BF36"/>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27" w15:restartNumberingAfterBreak="0">
    <w:nsid w:val="7F5A7F74"/>
    <w:multiLevelType w:val="hybridMultilevel"/>
    <w:tmpl w:val="5B4CD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03764074">
    <w:abstractNumId w:val="15"/>
  </w:num>
  <w:num w:numId="2" w16cid:durableId="318660694">
    <w:abstractNumId w:val="21"/>
  </w:num>
  <w:num w:numId="3" w16cid:durableId="2111274883">
    <w:abstractNumId w:val="8"/>
  </w:num>
  <w:num w:numId="4" w16cid:durableId="145171991">
    <w:abstractNumId w:val="16"/>
  </w:num>
  <w:num w:numId="5" w16cid:durableId="625234906">
    <w:abstractNumId w:val="24"/>
  </w:num>
  <w:num w:numId="6" w16cid:durableId="141119935">
    <w:abstractNumId w:val="3"/>
  </w:num>
  <w:num w:numId="7" w16cid:durableId="1227111691">
    <w:abstractNumId w:val="2"/>
  </w:num>
  <w:num w:numId="8" w16cid:durableId="1379821715">
    <w:abstractNumId w:val="21"/>
  </w:num>
  <w:num w:numId="9" w16cid:durableId="1974559865">
    <w:abstractNumId w:val="5"/>
  </w:num>
  <w:num w:numId="10" w16cid:durableId="785657245">
    <w:abstractNumId w:val="9"/>
  </w:num>
  <w:num w:numId="11" w16cid:durableId="476798177">
    <w:abstractNumId w:val="25"/>
  </w:num>
  <w:num w:numId="12" w16cid:durableId="7196752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0597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28468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13410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32996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62524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85522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15486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21309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88764020">
    <w:abstractNumId w:val="1"/>
  </w:num>
  <w:num w:numId="22" w16cid:durableId="530189052">
    <w:abstractNumId w:val="22"/>
  </w:num>
  <w:num w:numId="23" w16cid:durableId="227300865">
    <w:abstractNumId w:val="12"/>
  </w:num>
  <w:num w:numId="24" w16cid:durableId="434904632">
    <w:abstractNumId w:val="17"/>
  </w:num>
  <w:num w:numId="25" w16cid:durableId="1334607599">
    <w:abstractNumId w:val="19"/>
  </w:num>
  <w:num w:numId="26" w16cid:durableId="2001106758">
    <w:abstractNumId w:val="7"/>
  </w:num>
  <w:num w:numId="27" w16cid:durableId="1385251638">
    <w:abstractNumId w:val="14"/>
  </w:num>
  <w:num w:numId="28" w16cid:durableId="1159804362">
    <w:abstractNumId w:val="18"/>
  </w:num>
  <w:num w:numId="29" w16cid:durableId="1134984721">
    <w:abstractNumId w:val="11"/>
  </w:num>
  <w:num w:numId="30" w16cid:durableId="314141120">
    <w:abstractNumId w:val="10"/>
  </w:num>
  <w:num w:numId="31" w16cid:durableId="526531558">
    <w:abstractNumId w:val="4"/>
  </w:num>
  <w:num w:numId="32" w16cid:durableId="1546915193">
    <w:abstractNumId w:val="26"/>
  </w:num>
  <w:num w:numId="33" w16cid:durableId="1960992489">
    <w:abstractNumId w:val="20"/>
  </w:num>
  <w:num w:numId="34" w16cid:durableId="1385980463">
    <w:abstractNumId w:val="27"/>
  </w:num>
  <w:num w:numId="35" w16cid:durableId="1711608547">
    <w:abstractNumId w:val="13"/>
  </w:num>
  <w:num w:numId="36" w16cid:durableId="1546138056">
    <w:abstractNumId w:val="0"/>
  </w:num>
  <w:num w:numId="37" w16cid:durableId="637687139">
    <w:abstractNumId w:val="23"/>
  </w:num>
  <w:num w:numId="38" w16cid:durableId="31106466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2C"/>
    <w:rsid w:val="00000C67"/>
    <w:rsid w:val="000012C1"/>
    <w:rsid w:val="0000241A"/>
    <w:rsid w:val="00002FAE"/>
    <w:rsid w:val="00002FC0"/>
    <w:rsid w:val="00002FE8"/>
    <w:rsid w:val="0000341C"/>
    <w:rsid w:val="0000439A"/>
    <w:rsid w:val="00005158"/>
    <w:rsid w:val="00010464"/>
    <w:rsid w:val="0001202C"/>
    <w:rsid w:val="00013EE6"/>
    <w:rsid w:val="000142AB"/>
    <w:rsid w:val="000226CA"/>
    <w:rsid w:val="0002728C"/>
    <w:rsid w:val="00032478"/>
    <w:rsid w:val="000345BD"/>
    <w:rsid w:val="00034924"/>
    <w:rsid w:val="00037322"/>
    <w:rsid w:val="00042958"/>
    <w:rsid w:val="00044C9A"/>
    <w:rsid w:val="00044CAA"/>
    <w:rsid w:val="00053BFA"/>
    <w:rsid w:val="00062B01"/>
    <w:rsid w:val="0006396F"/>
    <w:rsid w:val="00064E10"/>
    <w:rsid w:val="00064F5D"/>
    <w:rsid w:val="000674E1"/>
    <w:rsid w:val="000677B8"/>
    <w:rsid w:val="00074553"/>
    <w:rsid w:val="00075CC1"/>
    <w:rsid w:val="00077712"/>
    <w:rsid w:val="0008204A"/>
    <w:rsid w:val="000836E4"/>
    <w:rsid w:val="000879BB"/>
    <w:rsid w:val="00091ADF"/>
    <w:rsid w:val="000952C1"/>
    <w:rsid w:val="000A3B45"/>
    <w:rsid w:val="000A7000"/>
    <w:rsid w:val="000B384A"/>
    <w:rsid w:val="000B3D60"/>
    <w:rsid w:val="000B67F2"/>
    <w:rsid w:val="000B6E25"/>
    <w:rsid w:val="000B70F8"/>
    <w:rsid w:val="000C6A99"/>
    <w:rsid w:val="000D0899"/>
    <w:rsid w:val="000D255A"/>
    <w:rsid w:val="000D2CE0"/>
    <w:rsid w:val="000D3F4F"/>
    <w:rsid w:val="000D53F4"/>
    <w:rsid w:val="000D5638"/>
    <w:rsid w:val="000E2D3D"/>
    <w:rsid w:val="000E3813"/>
    <w:rsid w:val="000E5A92"/>
    <w:rsid w:val="000F16BF"/>
    <w:rsid w:val="000F6CEB"/>
    <w:rsid w:val="0010238B"/>
    <w:rsid w:val="001106E3"/>
    <w:rsid w:val="00114EEF"/>
    <w:rsid w:val="001166B7"/>
    <w:rsid w:val="0011757E"/>
    <w:rsid w:val="001212DF"/>
    <w:rsid w:val="00122777"/>
    <w:rsid w:val="0012601C"/>
    <w:rsid w:val="00127ABF"/>
    <w:rsid w:val="001323C3"/>
    <w:rsid w:val="001336B6"/>
    <w:rsid w:val="00135C39"/>
    <w:rsid w:val="00143C3F"/>
    <w:rsid w:val="00145104"/>
    <w:rsid w:val="001466C5"/>
    <w:rsid w:val="001512B3"/>
    <w:rsid w:val="00155511"/>
    <w:rsid w:val="00171BB2"/>
    <w:rsid w:val="00171FBF"/>
    <w:rsid w:val="00182E52"/>
    <w:rsid w:val="00184039"/>
    <w:rsid w:val="00184DB4"/>
    <w:rsid w:val="00190F7F"/>
    <w:rsid w:val="00191244"/>
    <w:rsid w:val="00192077"/>
    <w:rsid w:val="00193418"/>
    <w:rsid w:val="00194292"/>
    <w:rsid w:val="00194988"/>
    <w:rsid w:val="00196BAA"/>
    <w:rsid w:val="00197EC7"/>
    <w:rsid w:val="001A21B1"/>
    <w:rsid w:val="001A29E3"/>
    <w:rsid w:val="001A2F73"/>
    <w:rsid w:val="001A77EE"/>
    <w:rsid w:val="001B20EB"/>
    <w:rsid w:val="001B301E"/>
    <w:rsid w:val="001B625D"/>
    <w:rsid w:val="001B73F3"/>
    <w:rsid w:val="001C0535"/>
    <w:rsid w:val="001D0129"/>
    <w:rsid w:val="001E20E6"/>
    <w:rsid w:val="001E3BBA"/>
    <w:rsid w:val="001E47F7"/>
    <w:rsid w:val="001E5DB5"/>
    <w:rsid w:val="001F0DBB"/>
    <w:rsid w:val="001F1632"/>
    <w:rsid w:val="001F2370"/>
    <w:rsid w:val="001F7035"/>
    <w:rsid w:val="0020078D"/>
    <w:rsid w:val="0020189D"/>
    <w:rsid w:val="00202882"/>
    <w:rsid w:val="00202D4D"/>
    <w:rsid w:val="00204CDD"/>
    <w:rsid w:val="00207F8D"/>
    <w:rsid w:val="00212789"/>
    <w:rsid w:val="00216B0E"/>
    <w:rsid w:val="00217B37"/>
    <w:rsid w:val="00220266"/>
    <w:rsid w:val="00222F23"/>
    <w:rsid w:val="00240155"/>
    <w:rsid w:val="00241FE5"/>
    <w:rsid w:val="00242079"/>
    <w:rsid w:val="002423FC"/>
    <w:rsid w:val="00242A41"/>
    <w:rsid w:val="00247AC2"/>
    <w:rsid w:val="00251CEA"/>
    <w:rsid w:val="00252291"/>
    <w:rsid w:val="00253100"/>
    <w:rsid w:val="0026475B"/>
    <w:rsid w:val="00266601"/>
    <w:rsid w:val="00274054"/>
    <w:rsid w:val="00280044"/>
    <w:rsid w:val="00281C3C"/>
    <w:rsid w:val="002844E3"/>
    <w:rsid w:val="002846FC"/>
    <w:rsid w:val="00286914"/>
    <w:rsid w:val="00291A6B"/>
    <w:rsid w:val="00295226"/>
    <w:rsid w:val="00297BDA"/>
    <w:rsid w:val="002A052A"/>
    <w:rsid w:val="002A4285"/>
    <w:rsid w:val="002A5557"/>
    <w:rsid w:val="002B68EB"/>
    <w:rsid w:val="002C2C71"/>
    <w:rsid w:val="002D0031"/>
    <w:rsid w:val="002D4175"/>
    <w:rsid w:val="002E049A"/>
    <w:rsid w:val="002E27F0"/>
    <w:rsid w:val="002E29FE"/>
    <w:rsid w:val="002E309E"/>
    <w:rsid w:val="002E653C"/>
    <w:rsid w:val="002E72CE"/>
    <w:rsid w:val="002F015C"/>
    <w:rsid w:val="002F0537"/>
    <w:rsid w:val="002F355F"/>
    <w:rsid w:val="002F463C"/>
    <w:rsid w:val="002F4CF2"/>
    <w:rsid w:val="002F782B"/>
    <w:rsid w:val="0030168F"/>
    <w:rsid w:val="00303433"/>
    <w:rsid w:val="00305304"/>
    <w:rsid w:val="003057AE"/>
    <w:rsid w:val="00305985"/>
    <w:rsid w:val="00306092"/>
    <w:rsid w:val="00312385"/>
    <w:rsid w:val="00316E2C"/>
    <w:rsid w:val="0032084D"/>
    <w:rsid w:val="00320F23"/>
    <w:rsid w:val="003211B2"/>
    <w:rsid w:val="00327C73"/>
    <w:rsid w:val="00331E26"/>
    <w:rsid w:val="003339F7"/>
    <w:rsid w:val="00335C2C"/>
    <w:rsid w:val="00343666"/>
    <w:rsid w:val="0034544E"/>
    <w:rsid w:val="00346164"/>
    <w:rsid w:val="00346792"/>
    <w:rsid w:val="00346CEE"/>
    <w:rsid w:val="00347E68"/>
    <w:rsid w:val="003668FC"/>
    <w:rsid w:val="00366E54"/>
    <w:rsid w:val="00373F70"/>
    <w:rsid w:val="00377706"/>
    <w:rsid w:val="00382D0E"/>
    <w:rsid w:val="003837ED"/>
    <w:rsid w:val="0038494E"/>
    <w:rsid w:val="00386561"/>
    <w:rsid w:val="00386EE5"/>
    <w:rsid w:val="00390E0C"/>
    <w:rsid w:val="003917C0"/>
    <w:rsid w:val="00393CCD"/>
    <w:rsid w:val="003A2390"/>
    <w:rsid w:val="003A4359"/>
    <w:rsid w:val="003A64E8"/>
    <w:rsid w:val="003B00B8"/>
    <w:rsid w:val="003B4F89"/>
    <w:rsid w:val="003B5FA4"/>
    <w:rsid w:val="003C0002"/>
    <w:rsid w:val="003C06DD"/>
    <w:rsid w:val="003C23BC"/>
    <w:rsid w:val="003C5AD8"/>
    <w:rsid w:val="003C6F11"/>
    <w:rsid w:val="003D1DFA"/>
    <w:rsid w:val="003D5D50"/>
    <w:rsid w:val="003D7B46"/>
    <w:rsid w:val="003E1783"/>
    <w:rsid w:val="003E408C"/>
    <w:rsid w:val="003F3A9F"/>
    <w:rsid w:val="003F7D04"/>
    <w:rsid w:val="00400016"/>
    <w:rsid w:val="00402368"/>
    <w:rsid w:val="00402E4B"/>
    <w:rsid w:val="004060F5"/>
    <w:rsid w:val="00406627"/>
    <w:rsid w:val="004067F2"/>
    <w:rsid w:val="00406F3C"/>
    <w:rsid w:val="0041106D"/>
    <w:rsid w:val="00413C1C"/>
    <w:rsid w:val="00413C76"/>
    <w:rsid w:val="004167BD"/>
    <w:rsid w:val="00417EE5"/>
    <w:rsid w:val="00424FC9"/>
    <w:rsid w:val="00431A43"/>
    <w:rsid w:val="00434409"/>
    <w:rsid w:val="0043516E"/>
    <w:rsid w:val="0043581D"/>
    <w:rsid w:val="00443AE2"/>
    <w:rsid w:val="00453D23"/>
    <w:rsid w:val="004553E3"/>
    <w:rsid w:val="004565FC"/>
    <w:rsid w:val="004571F2"/>
    <w:rsid w:val="0046170A"/>
    <w:rsid w:val="00462AA3"/>
    <w:rsid w:val="00463199"/>
    <w:rsid w:val="0047070D"/>
    <w:rsid w:val="00470891"/>
    <w:rsid w:val="00470A67"/>
    <w:rsid w:val="00472046"/>
    <w:rsid w:val="00474FD4"/>
    <w:rsid w:val="00477C6D"/>
    <w:rsid w:val="00481B3E"/>
    <w:rsid w:val="0048654F"/>
    <w:rsid w:val="004910A8"/>
    <w:rsid w:val="00496F39"/>
    <w:rsid w:val="004A0FD7"/>
    <w:rsid w:val="004A2349"/>
    <w:rsid w:val="004A4007"/>
    <w:rsid w:val="004A523C"/>
    <w:rsid w:val="004A7031"/>
    <w:rsid w:val="004A7617"/>
    <w:rsid w:val="004B00D3"/>
    <w:rsid w:val="004B45FF"/>
    <w:rsid w:val="004C0B11"/>
    <w:rsid w:val="004C329B"/>
    <w:rsid w:val="004C3360"/>
    <w:rsid w:val="004C3632"/>
    <w:rsid w:val="004D0E4F"/>
    <w:rsid w:val="004D0FC2"/>
    <w:rsid w:val="004D190F"/>
    <w:rsid w:val="004D23DA"/>
    <w:rsid w:val="004D55F8"/>
    <w:rsid w:val="004D7F55"/>
    <w:rsid w:val="004E3B80"/>
    <w:rsid w:val="004E412D"/>
    <w:rsid w:val="004E6520"/>
    <w:rsid w:val="004F3CC5"/>
    <w:rsid w:val="004F3CD4"/>
    <w:rsid w:val="004F5D17"/>
    <w:rsid w:val="00503220"/>
    <w:rsid w:val="00506EDC"/>
    <w:rsid w:val="005073EB"/>
    <w:rsid w:val="00507A84"/>
    <w:rsid w:val="00517266"/>
    <w:rsid w:val="00520E0E"/>
    <w:rsid w:val="00525BB1"/>
    <w:rsid w:val="00525D4D"/>
    <w:rsid w:val="005334BB"/>
    <w:rsid w:val="00533C96"/>
    <w:rsid w:val="0053680F"/>
    <w:rsid w:val="0055310F"/>
    <w:rsid w:val="00555575"/>
    <w:rsid w:val="0055649E"/>
    <w:rsid w:val="005564E8"/>
    <w:rsid w:val="00556A80"/>
    <w:rsid w:val="00562B68"/>
    <w:rsid w:val="0056334E"/>
    <w:rsid w:val="00563A1A"/>
    <w:rsid w:val="0056470A"/>
    <w:rsid w:val="00565928"/>
    <w:rsid w:val="005669AF"/>
    <w:rsid w:val="00567211"/>
    <w:rsid w:val="00573EFA"/>
    <w:rsid w:val="005741DA"/>
    <w:rsid w:val="005744C0"/>
    <w:rsid w:val="00575DA6"/>
    <w:rsid w:val="00576D1C"/>
    <w:rsid w:val="00577FC3"/>
    <w:rsid w:val="00581B1D"/>
    <w:rsid w:val="00587DC0"/>
    <w:rsid w:val="00591B68"/>
    <w:rsid w:val="005A0A84"/>
    <w:rsid w:val="005A5E5A"/>
    <w:rsid w:val="005A7FB6"/>
    <w:rsid w:val="005B1B0C"/>
    <w:rsid w:val="005B2577"/>
    <w:rsid w:val="005B3595"/>
    <w:rsid w:val="005C1A4A"/>
    <w:rsid w:val="005C1FE3"/>
    <w:rsid w:val="005C328C"/>
    <w:rsid w:val="005C4721"/>
    <w:rsid w:val="005C5C0C"/>
    <w:rsid w:val="005C7687"/>
    <w:rsid w:val="005D04CE"/>
    <w:rsid w:val="005D3B0E"/>
    <w:rsid w:val="005D5467"/>
    <w:rsid w:val="005D71F2"/>
    <w:rsid w:val="005D72A8"/>
    <w:rsid w:val="005D73B2"/>
    <w:rsid w:val="005E1326"/>
    <w:rsid w:val="005E24B7"/>
    <w:rsid w:val="005E39D3"/>
    <w:rsid w:val="005E55D4"/>
    <w:rsid w:val="005E6866"/>
    <w:rsid w:val="005F0E20"/>
    <w:rsid w:val="005F1933"/>
    <w:rsid w:val="005F365E"/>
    <w:rsid w:val="005F4E82"/>
    <w:rsid w:val="005F5119"/>
    <w:rsid w:val="005F657F"/>
    <w:rsid w:val="005F789D"/>
    <w:rsid w:val="00601EB2"/>
    <w:rsid w:val="00602180"/>
    <w:rsid w:val="006023E9"/>
    <w:rsid w:val="0060474C"/>
    <w:rsid w:val="0060549C"/>
    <w:rsid w:val="00615287"/>
    <w:rsid w:val="00620A5D"/>
    <w:rsid w:val="006218B6"/>
    <w:rsid w:val="006229BF"/>
    <w:rsid w:val="0062546C"/>
    <w:rsid w:val="0062611D"/>
    <w:rsid w:val="006272BD"/>
    <w:rsid w:val="0062794C"/>
    <w:rsid w:val="00631538"/>
    <w:rsid w:val="00632B88"/>
    <w:rsid w:val="0063449D"/>
    <w:rsid w:val="00634AA1"/>
    <w:rsid w:val="00636CF6"/>
    <w:rsid w:val="00643EB7"/>
    <w:rsid w:val="00644152"/>
    <w:rsid w:val="0064454C"/>
    <w:rsid w:val="00646775"/>
    <w:rsid w:val="00654784"/>
    <w:rsid w:val="00662E6A"/>
    <w:rsid w:val="00663DD5"/>
    <w:rsid w:val="00665B9D"/>
    <w:rsid w:val="00677D0A"/>
    <w:rsid w:val="006810C5"/>
    <w:rsid w:val="00684131"/>
    <w:rsid w:val="00685571"/>
    <w:rsid w:val="00687140"/>
    <w:rsid w:val="00693AAF"/>
    <w:rsid w:val="00694ABB"/>
    <w:rsid w:val="0069691C"/>
    <w:rsid w:val="006A0778"/>
    <w:rsid w:val="006A0AF3"/>
    <w:rsid w:val="006A26E8"/>
    <w:rsid w:val="006A482F"/>
    <w:rsid w:val="006B079B"/>
    <w:rsid w:val="006B0CE3"/>
    <w:rsid w:val="006B0F89"/>
    <w:rsid w:val="006B3D60"/>
    <w:rsid w:val="006B3F30"/>
    <w:rsid w:val="006B7553"/>
    <w:rsid w:val="006B7EB2"/>
    <w:rsid w:val="006C4BB3"/>
    <w:rsid w:val="006C4D90"/>
    <w:rsid w:val="006C5F59"/>
    <w:rsid w:val="006C659D"/>
    <w:rsid w:val="006D31EB"/>
    <w:rsid w:val="006D41F2"/>
    <w:rsid w:val="006D46D5"/>
    <w:rsid w:val="006D5E9C"/>
    <w:rsid w:val="006D75A7"/>
    <w:rsid w:val="006E02B9"/>
    <w:rsid w:val="006E0D71"/>
    <w:rsid w:val="006E30E7"/>
    <w:rsid w:val="006E35D3"/>
    <w:rsid w:val="006E3D91"/>
    <w:rsid w:val="006E4EB7"/>
    <w:rsid w:val="006E7F92"/>
    <w:rsid w:val="006F05CF"/>
    <w:rsid w:val="006F2DCB"/>
    <w:rsid w:val="006F78DD"/>
    <w:rsid w:val="00700A8F"/>
    <w:rsid w:val="007020F6"/>
    <w:rsid w:val="00702CA4"/>
    <w:rsid w:val="007042C9"/>
    <w:rsid w:val="00710480"/>
    <w:rsid w:val="00715B0F"/>
    <w:rsid w:val="007176F6"/>
    <w:rsid w:val="00724068"/>
    <w:rsid w:val="007247BA"/>
    <w:rsid w:val="00725D87"/>
    <w:rsid w:val="00737343"/>
    <w:rsid w:val="0074040D"/>
    <w:rsid w:val="00745335"/>
    <w:rsid w:val="00757F3B"/>
    <w:rsid w:val="00757F79"/>
    <w:rsid w:val="007678FC"/>
    <w:rsid w:val="00767FD3"/>
    <w:rsid w:val="0077110B"/>
    <w:rsid w:val="00771699"/>
    <w:rsid w:val="00776DD8"/>
    <w:rsid w:val="007803F7"/>
    <w:rsid w:val="00780716"/>
    <w:rsid w:val="00780AFA"/>
    <w:rsid w:val="00782006"/>
    <w:rsid w:val="007838EA"/>
    <w:rsid w:val="00790705"/>
    <w:rsid w:val="0079391F"/>
    <w:rsid w:val="007A3550"/>
    <w:rsid w:val="007A3C18"/>
    <w:rsid w:val="007B0BE6"/>
    <w:rsid w:val="007B1F54"/>
    <w:rsid w:val="007B2FB2"/>
    <w:rsid w:val="007B53F7"/>
    <w:rsid w:val="007C1E97"/>
    <w:rsid w:val="007C1FA0"/>
    <w:rsid w:val="007C3E70"/>
    <w:rsid w:val="007C43D6"/>
    <w:rsid w:val="007C7B79"/>
    <w:rsid w:val="007D24B2"/>
    <w:rsid w:val="007D5352"/>
    <w:rsid w:val="007E0215"/>
    <w:rsid w:val="007E12D0"/>
    <w:rsid w:val="007E2212"/>
    <w:rsid w:val="007E3B6D"/>
    <w:rsid w:val="007F06E1"/>
    <w:rsid w:val="007F5CA5"/>
    <w:rsid w:val="007F6C7D"/>
    <w:rsid w:val="00802608"/>
    <w:rsid w:val="008037E8"/>
    <w:rsid w:val="0080529E"/>
    <w:rsid w:val="00810238"/>
    <w:rsid w:val="008112F0"/>
    <w:rsid w:val="008123B8"/>
    <w:rsid w:val="00813F91"/>
    <w:rsid w:val="00815AB5"/>
    <w:rsid w:val="00821565"/>
    <w:rsid w:val="00822706"/>
    <w:rsid w:val="008237CF"/>
    <w:rsid w:val="00824982"/>
    <w:rsid w:val="00830D10"/>
    <w:rsid w:val="00831E8D"/>
    <w:rsid w:val="00834AC4"/>
    <w:rsid w:val="00836F5F"/>
    <w:rsid w:val="00842035"/>
    <w:rsid w:val="00842826"/>
    <w:rsid w:val="00842D39"/>
    <w:rsid w:val="00845F62"/>
    <w:rsid w:val="00847B15"/>
    <w:rsid w:val="00853E07"/>
    <w:rsid w:val="00853F2B"/>
    <w:rsid w:val="008555DB"/>
    <w:rsid w:val="00863900"/>
    <w:rsid w:val="008666E8"/>
    <w:rsid w:val="00871886"/>
    <w:rsid w:val="00873268"/>
    <w:rsid w:val="00873CE2"/>
    <w:rsid w:val="0087660C"/>
    <w:rsid w:val="008766F3"/>
    <w:rsid w:val="00877814"/>
    <w:rsid w:val="008778B0"/>
    <w:rsid w:val="008815A7"/>
    <w:rsid w:val="00884052"/>
    <w:rsid w:val="00890906"/>
    <w:rsid w:val="008A2AC8"/>
    <w:rsid w:val="008A2F65"/>
    <w:rsid w:val="008A36FB"/>
    <w:rsid w:val="008A399E"/>
    <w:rsid w:val="008A3C16"/>
    <w:rsid w:val="008B2623"/>
    <w:rsid w:val="008B432B"/>
    <w:rsid w:val="008B4D6A"/>
    <w:rsid w:val="008B5EAC"/>
    <w:rsid w:val="008B7C11"/>
    <w:rsid w:val="008B7C70"/>
    <w:rsid w:val="008C07BF"/>
    <w:rsid w:val="008C26B8"/>
    <w:rsid w:val="008D2998"/>
    <w:rsid w:val="008D47F6"/>
    <w:rsid w:val="008D5AA1"/>
    <w:rsid w:val="008D6097"/>
    <w:rsid w:val="008E11D5"/>
    <w:rsid w:val="008E46F8"/>
    <w:rsid w:val="008E4BC2"/>
    <w:rsid w:val="008E6362"/>
    <w:rsid w:val="008E79B7"/>
    <w:rsid w:val="008F16A6"/>
    <w:rsid w:val="008F260E"/>
    <w:rsid w:val="008F5848"/>
    <w:rsid w:val="008F5DF0"/>
    <w:rsid w:val="00900021"/>
    <w:rsid w:val="0090192A"/>
    <w:rsid w:val="00901C19"/>
    <w:rsid w:val="00901E70"/>
    <w:rsid w:val="00903E20"/>
    <w:rsid w:val="00907441"/>
    <w:rsid w:val="0091174F"/>
    <w:rsid w:val="00914124"/>
    <w:rsid w:val="009258FB"/>
    <w:rsid w:val="0092775B"/>
    <w:rsid w:val="00936E4A"/>
    <w:rsid w:val="009372A4"/>
    <w:rsid w:val="009377D1"/>
    <w:rsid w:val="00941E07"/>
    <w:rsid w:val="00942D87"/>
    <w:rsid w:val="00945C98"/>
    <w:rsid w:val="0095282C"/>
    <w:rsid w:val="00956F4C"/>
    <w:rsid w:val="009605B9"/>
    <w:rsid w:val="00961D90"/>
    <w:rsid w:val="00961E06"/>
    <w:rsid w:val="009644A6"/>
    <w:rsid w:val="00966834"/>
    <w:rsid w:val="00972410"/>
    <w:rsid w:val="009774E6"/>
    <w:rsid w:val="00981005"/>
    <w:rsid w:val="00983BA8"/>
    <w:rsid w:val="00985232"/>
    <w:rsid w:val="00987BCE"/>
    <w:rsid w:val="00991EE6"/>
    <w:rsid w:val="00992658"/>
    <w:rsid w:val="009A3AAE"/>
    <w:rsid w:val="009A46A6"/>
    <w:rsid w:val="009A721A"/>
    <w:rsid w:val="009B0E24"/>
    <w:rsid w:val="009B2E8F"/>
    <w:rsid w:val="009B5BA1"/>
    <w:rsid w:val="009B62C9"/>
    <w:rsid w:val="009C28C9"/>
    <w:rsid w:val="009C396D"/>
    <w:rsid w:val="009C3C6C"/>
    <w:rsid w:val="009C4B3C"/>
    <w:rsid w:val="009C5AF7"/>
    <w:rsid w:val="009D2C52"/>
    <w:rsid w:val="009D5354"/>
    <w:rsid w:val="009D7686"/>
    <w:rsid w:val="009E46C0"/>
    <w:rsid w:val="009E56DC"/>
    <w:rsid w:val="009E7762"/>
    <w:rsid w:val="009F0284"/>
    <w:rsid w:val="009F0A09"/>
    <w:rsid w:val="009F2C13"/>
    <w:rsid w:val="009F381C"/>
    <w:rsid w:val="009F3BC9"/>
    <w:rsid w:val="00A02670"/>
    <w:rsid w:val="00A060C6"/>
    <w:rsid w:val="00A06313"/>
    <w:rsid w:val="00A102B7"/>
    <w:rsid w:val="00A10CE8"/>
    <w:rsid w:val="00A1258A"/>
    <w:rsid w:val="00A125E6"/>
    <w:rsid w:val="00A130F1"/>
    <w:rsid w:val="00A13C58"/>
    <w:rsid w:val="00A160BF"/>
    <w:rsid w:val="00A208E9"/>
    <w:rsid w:val="00A20AD3"/>
    <w:rsid w:val="00A26D2F"/>
    <w:rsid w:val="00A305DB"/>
    <w:rsid w:val="00A31717"/>
    <w:rsid w:val="00A3701C"/>
    <w:rsid w:val="00A41E64"/>
    <w:rsid w:val="00A44DB4"/>
    <w:rsid w:val="00A61A0E"/>
    <w:rsid w:val="00A732EE"/>
    <w:rsid w:val="00A739FB"/>
    <w:rsid w:val="00A8209A"/>
    <w:rsid w:val="00A824CB"/>
    <w:rsid w:val="00A856C4"/>
    <w:rsid w:val="00A86A40"/>
    <w:rsid w:val="00A90F8F"/>
    <w:rsid w:val="00A935DF"/>
    <w:rsid w:val="00A9684A"/>
    <w:rsid w:val="00A979FA"/>
    <w:rsid w:val="00AA5A45"/>
    <w:rsid w:val="00AA66D2"/>
    <w:rsid w:val="00AB10AA"/>
    <w:rsid w:val="00AB2B8E"/>
    <w:rsid w:val="00AB3992"/>
    <w:rsid w:val="00AB4A37"/>
    <w:rsid w:val="00AB6567"/>
    <w:rsid w:val="00AC2462"/>
    <w:rsid w:val="00AC295A"/>
    <w:rsid w:val="00AD45BB"/>
    <w:rsid w:val="00AD57C7"/>
    <w:rsid w:val="00AE286E"/>
    <w:rsid w:val="00AE28A0"/>
    <w:rsid w:val="00AE3607"/>
    <w:rsid w:val="00AE677A"/>
    <w:rsid w:val="00AF1010"/>
    <w:rsid w:val="00AF244F"/>
    <w:rsid w:val="00AF2ADC"/>
    <w:rsid w:val="00AF43DC"/>
    <w:rsid w:val="00AF5D6A"/>
    <w:rsid w:val="00AF7E3E"/>
    <w:rsid w:val="00B04F29"/>
    <w:rsid w:val="00B05D06"/>
    <w:rsid w:val="00B05DC7"/>
    <w:rsid w:val="00B1051B"/>
    <w:rsid w:val="00B11DFC"/>
    <w:rsid w:val="00B137C9"/>
    <w:rsid w:val="00B146F6"/>
    <w:rsid w:val="00B205FF"/>
    <w:rsid w:val="00B20EA7"/>
    <w:rsid w:val="00B24FF4"/>
    <w:rsid w:val="00B277C6"/>
    <w:rsid w:val="00B27842"/>
    <w:rsid w:val="00B321E8"/>
    <w:rsid w:val="00B32D83"/>
    <w:rsid w:val="00B353F6"/>
    <w:rsid w:val="00B447E7"/>
    <w:rsid w:val="00B5148D"/>
    <w:rsid w:val="00B52359"/>
    <w:rsid w:val="00B52FD5"/>
    <w:rsid w:val="00B579B6"/>
    <w:rsid w:val="00B57C0A"/>
    <w:rsid w:val="00B61038"/>
    <w:rsid w:val="00B669B4"/>
    <w:rsid w:val="00B66F2E"/>
    <w:rsid w:val="00B71E96"/>
    <w:rsid w:val="00B7456B"/>
    <w:rsid w:val="00B74DD5"/>
    <w:rsid w:val="00B756C4"/>
    <w:rsid w:val="00B91189"/>
    <w:rsid w:val="00B93457"/>
    <w:rsid w:val="00B93ADA"/>
    <w:rsid w:val="00B942B8"/>
    <w:rsid w:val="00B944B9"/>
    <w:rsid w:val="00B95852"/>
    <w:rsid w:val="00B95B87"/>
    <w:rsid w:val="00B961E9"/>
    <w:rsid w:val="00B969EF"/>
    <w:rsid w:val="00B96AB7"/>
    <w:rsid w:val="00B9792A"/>
    <w:rsid w:val="00BA15F1"/>
    <w:rsid w:val="00BA4E2F"/>
    <w:rsid w:val="00BB1833"/>
    <w:rsid w:val="00BB6EA8"/>
    <w:rsid w:val="00BC1D3D"/>
    <w:rsid w:val="00BC1E00"/>
    <w:rsid w:val="00BC35EF"/>
    <w:rsid w:val="00BC7371"/>
    <w:rsid w:val="00BD0740"/>
    <w:rsid w:val="00BD0CE7"/>
    <w:rsid w:val="00BD0FFC"/>
    <w:rsid w:val="00BD1385"/>
    <w:rsid w:val="00BD6E39"/>
    <w:rsid w:val="00BD7677"/>
    <w:rsid w:val="00BE053A"/>
    <w:rsid w:val="00BE1D7D"/>
    <w:rsid w:val="00BE20DB"/>
    <w:rsid w:val="00BE36EB"/>
    <w:rsid w:val="00BE4107"/>
    <w:rsid w:val="00BE5C6E"/>
    <w:rsid w:val="00BE6A79"/>
    <w:rsid w:val="00BF2AD9"/>
    <w:rsid w:val="00BF3B93"/>
    <w:rsid w:val="00BF7EDF"/>
    <w:rsid w:val="00C04D30"/>
    <w:rsid w:val="00C051CA"/>
    <w:rsid w:val="00C10A68"/>
    <w:rsid w:val="00C10A91"/>
    <w:rsid w:val="00C13796"/>
    <w:rsid w:val="00C1520D"/>
    <w:rsid w:val="00C1729F"/>
    <w:rsid w:val="00C22638"/>
    <w:rsid w:val="00C25446"/>
    <w:rsid w:val="00C263E8"/>
    <w:rsid w:val="00C3040F"/>
    <w:rsid w:val="00C3153A"/>
    <w:rsid w:val="00C31935"/>
    <w:rsid w:val="00C32E9E"/>
    <w:rsid w:val="00C353D9"/>
    <w:rsid w:val="00C37A7A"/>
    <w:rsid w:val="00C4094A"/>
    <w:rsid w:val="00C41583"/>
    <w:rsid w:val="00C448D9"/>
    <w:rsid w:val="00C4582C"/>
    <w:rsid w:val="00C47064"/>
    <w:rsid w:val="00C51501"/>
    <w:rsid w:val="00C5162E"/>
    <w:rsid w:val="00C544F8"/>
    <w:rsid w:val="00C639FC"/>
    <w:rsid w:val="00C741D2"/>
    <w:rsid w:val="00C76E9B"/>
    <w:rsid w:val="00C77884"/>
    <w:rsid w:val="00C828E2"/>
    <w:rsid w:val="00C83586"/>
    <w:rsid w:val="00C851D2"/>
    <w:rsid w:val="00C85270"/>
    <w:rsid w:val="00C86506"/>
    <w:rsid w:val="00C92E8F"/>
    <w:rsid w:val="00C957AE"/>
    <w:rsid w:val="00C9598E"/>
    <w:rsid w:val="00CA211D"/>
    <w:rsid w:val="00CB4620"/>
    <w:rsid w:val="00CC0BDE"/>
    <w:rsid w:val="00CC1E05"/>
    <w:rsid w:val="00CC2086"/>
    <w:rsid w:val="00CC4D0A"/>
    <w:rsid w:val="00CC7A68"/>
    <w:rsid w:val="00CD06BA"/>
    <w:rsid w:val="00CD1F7C"/>
    <w:rsid w:val="00CD248E"/>
    <w:rsid w:val="00CD4EEF"/>
    <w:rsid w:val="00CD533D"/>
    <w:rsid w:val="00CD5B4A"/>
    <w:rsid w:val="00CE0C5A"/>
    <w:rsid w:val="00CE2162"/>
    <w:rsid w:val="00CE2CFF"/>
    <w:rsid w:val="00CE574A"/>
    <w:rsid w:val="00CE68BF"/>
    <w:rsid w:val="00CF5F6E"/>
    <w:rsid w:val="00CF644C"/>
    <w:rsid w:val="00CF6B0E"/>
    <w:rsid w:val="00D001A2"/>
    <w:rsid w:val="00D01364"/>
    <w:rsid w:val="00D05C76"/>
    <w:rsid w:val="00D07F7D"/>
    <w:rsid w:val="00D11AF9"/>
    <w:rsid w:val="00D1473A"/>
    <w:rsid w:val="00D20394"/>
    <w:rsid w:val="00D23FD0"/>
    <w:rsid w:val="00D267BB"/>
    <w:rsid w:val="00D274CA"/>
    <w:rsid w:val="00D3172F"/>
    <w:rsid w:val="00D406A3"/>
    <w:rsid w:val="00D47EBA"/>
    <w:rsid w:val="00D56752"/>
    <w:rsid w:val="00D71B95"/>
    <w:rsid w:val="00D723E0"/>
    <w:rsid w:val="00D77B9C"/>
    <w:rsid w:val="00D82D0F"/>
    <w:rsid w:val="00D82E3E"/>
    <w:rsid w:val="00D866C5"/>
    <w:rsid w:val="00D97712"/>
    <w:rsid w:val="00DA0FCE"/>
    <w:rsid w:val="00DA0FE0"/>
    <w:rsid w:val="00DA1755"/>
    <w:rsid w:val="00DA2CA8"/>
    <w:rsid w:val="00DA3BBD"/>
    <w:rsid w:val="00DA693D"/>
    <w:rsid w:val="00DA7006"/>
    <w:rsid w:val="00DA7A59"/>
    <w:rsid w:val="00DB29E8"/>
    <w:rsid w:val="00DB3553"/>
    <w:rsid w:val="00DB3794"/>
    <w:rsid w:val="00DB5CB4"/>
    <w:rsid w:val="00DB68B3"/>
    <w:rsid w:val="00DC09D5"/>
    <w:rsid w:val="00DC226C"/>
    <w:rsid w:val="00DC478C"/>
    <w:rsid w:val="00DC60F4"/>
    <w:rsid w:val="00DC6682"/>
    <w:rsid w:val="00DD014E"/>
    <w:rsid w:val="00DD2B89"/>
    <w:rsid w:val="00DD443C"/>
    <w:rsid w:val="00DE1FED"/>
    <w:rsid w:val="00DE2340"/>
    <w:rsid w:val="00DE2569"/>
    <w:rsid w:val="00DE3811"/>
    <w:rsid w:val="00DE5131"/>
    <w:rsid w:val="00DF0887"/>
    <w:rsid w:val="00DF20C9"/>
    <w:rsid w:val="00DF3017"/>
    <w:rsid w:val="00DF46D0"/>
    <w:rsid w:val="00DF4B13"/>
    <w:rsid w:val="00E02DD9"/>
    <w:rsid w:val="00E0638F"/>
    <w:rsid w:val="00E126D9"/>
    <w:rsid w:val="00E13D3C"/>
    <w:rsid w:val="00E160DC"/>
    <w:rsid w:val="00E27036"/>
    <w:rsid w:val="00E347B2"/>
    <w:rsid w:val="00E361E0"/>
    <w:rsid w:val="00E40EEF"/>
    <w:rsid w:val="00E41DC2"/>
    <w:rsid w:val="00E45C91"/>
    <w:rsid w:val="00E52812"/>
    <w:rsid w:val="00E53FAA"/>
    <w:rsid w:val="00E57519"/>
    <w:rsid w:val="00E60E54"/>
    <w:rsid w:val="00E63077"/>
    <w:rsid w:val="00E6354C"/>
    <w:rsid w:val="00E66AF4"/>
    <w:rsid w:val="00E67077"/>
    <w:rsid w:val="00E67238"/>
    <w:rsid w:val="00E67D08"/>
    <w:rsid w:val="00E717E1"/>
    <w:rsid w:val="00E7749A"/>
    <w:rsid w:val="00E816C3"/>
    <w:rsid w:val="00E833B5"/>
    <w:rsid w:val="00E85368"/>
    <w:rsid w:val="00E85F6A"/>
    <w:rsid w:val="00E86E8E"/>
    <w:rsid w:val="00E91015"/>
    <w:rsid w:val="00E92762"/>
    <w:rsid w:val="00E963E9"/>
    <w:rsid w:val="00EB1BA0"/>
    <w:rsid w:val="00EB23EC"/>
    <w:rsid w:val="00EB51FB"/>
    <w:rsid w:val="00EB5C44"/>
    <w:rsid w:val="00EC334A"/>
    <w:rsid w:val="00EC4ED5"/>
    <w:rsid w:val="00EC7BEA"/>
    <w:rsid w:val="00ED0541"/>
    <w:rsid w:val="00ED6B2E"/>
    <w:rsid w:val="00ED7FBF"/>
    <w:rsid w:val="00EE254A"/>
    <w:rsid w:val="00EE2CA3"/>
    <w:rsid w:val="00EE317A"/>
    <w:rsid w:val="00EE4DD8"/>
    <w:rsid w:val="00EE6EB7"/>
    <w:rsid w:val="00EE7401"/>
    <w:rsid w:val="00EF3B93"/>
    <w:rsid w:val="00EF7C54"/>
    <w:rsid w:val="00EF7C70"/>
    <w:rsid w:val="00F01246"/>
    <w:rsid w:val="00F01C58"/>
    <w:rsid w:val="00F02414"/>
    <w:rsid w:val="00F04F16"/>
    <w:rsid w:val="00F05D43"/>
    <w:rsid w:val="00F063B9"/>
    <w:rsid w:val="00F11374"/>
    <w:rsid w:val="00F11E4B"/>
    <w:rsid w:val="00F12FE9"/>
    <w:rsid w:val="00F169A4"/>
    <w:rsid w:val="00F17AA6"/>
    <w:rsid w:val="00F31234"/>
    <w:rsid w:val="00F3377F"/>
    <w:rsid w:val="00F40BDE"/>
    <w:rsid w:val="00F41CCF"/>
    <w:rsid w:val="00F472C5"/>
    <w:rsid w:val="00F51499"/>
    <w:rsid w:val="00F54356"/>
    <w:rsid w:val="00F558EA"/>
    <w:rsid w:val="00F62AA9"/>
    <w:rsid w:val="00F654F0"/>
    <w:rsid w:val="00F8093B"/>
    <w:rsid w:val="00F82795"/>
    <w:rsid w:val="00F8529C"/>
    <w:rsid w:val="00F8626C"/>
    <w:rsid w:val="00F877E4"/>
    <w:rsid w:val="00F909B2"/>
    <w:rsid w:val="00F95530"/>
    <w:rsid w:val="00F96CA8"/>
    <w:rsid w:val="00FA09B6"/>
    <w:rsid w:val="00FA56E3"/>
    <w:rsid w:val="00FA58F8"/>
    <w:rsid w:val="00FB0EC6"/>
    <w:rsid w:val="00FB1989"/>
    <w:rsid w:val="00FB51E3"/>
    <w:rsid w:val="00FB53F0"/>
    <w:rsid w:val="00FB67BB"/>
    <w:rsid w:val="00FB67F2"/>
    <w:rsid w:val="00FC03BB"/>
    <w:rsid w:val="00FC7D14"/>
    <w:rsid w:val="00FD0CBE"/>
    <w:rsid w:val="00FD0CF8"/>
    <w:rsid w:val="00FD630A"/>
    <w:rsid w:val="00FE17D2"/>
    <w:rsid w:val="00FE1D1E"/>
    <w:rsid w:val="00FE3894"/>
    <w:rsid w:val="00FE5A3F"/>
    <w:rsid w:val="00FE6DED"/>
    <w:rsid w:val="00FE7742"/>
    <w:rsid w:val="00FF57E3"/>
    <w:rsid w:val="00FF5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EEFF0"/>
  <w15:docId w15:val="{829970FF-C371-418E-81EC-90B13271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4F81BD" w:themeColor="accent1"/>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60C"/>
    <w:pPr>
      <w:spacing w:line="360" w:lineRule="auto"/>
    </w:pPr>
  </w:style>
  <w:style w:type="paragraph" w:styleId="Heading1">
    <w:name w:val="heading 1"/>
    <w:basedOn w:val="Normal"/>
    <w:next w:val="Normal"/>
    <w:link w:val="Heading1Char"/>
    <w:qFormat/>
    <w:rsid w:val="005669AF"/>
    <w:pPr>
      <w:numPr>
        <w:numId w:val="2"/>
      </w:numPr>
      <w:outlineLvl w:val="0"/>
    </w:pPr>
    <w:rPr>
      <w:b/>
      <w:color w:val="auto"/>
      <w:sz w:val="28"/>
      <w:szCs w:val="22"/>
    </w:rPr>
  </w:style>
  <w:style w:type="paragraph" w:styleId="Heading2">
    <w:name w:val="heading 2"/>
    <w:basedOn w:val="Normal"/>
    <w:next w:val="Normal"/>
    <w:link w:val="Heading2Char"/>
    <w:unhideWhenUsed/>
    <w:qFormat/>
    <w:rsid w:val="00335C2C"/>
    <w:pPr>
      <w:keepNext/>
      <w:keepLines/>
      <w:numPr>
        <w:ilvl w:val="1"/>
        <w:numId w:val="2"/>
      </w:numPr>
      <w:spacing w:before="200"/>
      <w:ind w:left="718"/>
      <w:outlineLvl w:val="1"/>
    </w:pPr>
    <w:rPr>
      <w:rFonts w:eastAsiaTheme="majorEastAsia" w:cstheme="majorBidi"/>
      <w:b/>
      <w:bCs/>
      <w:color w:val="auto"/>
      <w:szCs w:val="26"/>
    </w:rPr>
  </w:style>
  <w:style w:type="paragraph" w:styleId="Heading3">
    <w:name w:val="heading 3"/>
    <w:basedOn w:val="Normal"/>
    <w:next w:val="Normal"/>
    <w:link w:val="Heading3Char"/>
    <w:unhideWhenUsed/>
    <w:qFormat/>
    <w:rsid w:val="00197EC7"/>
    <w:pPr>
      <w:keepNext/>
      <w:keepLines/>
      <w:numPr>
        <w:ilvl w:val="2"/>
        <w:numId w:val="2"/>
      </w:numPr>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197EC7"/>
    <w:pPr>
      <w:keepNext/>
      <w:keepLines/>
      <w:numPr>
        <w:ilvl w:val="3"/>
        <w:numId w:val="2"/>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semiHidden/>
    <w:unhideWhenUsed/>
    <w:qFormat/>
    <w:rsid w:val="00197EC7"/>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97EC7"/>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97EC7"/>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97EC7"/>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97EC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E1D7D"/>
    <w:pPr>
      <w:tabs>
        <w:tab w:val="center" w:pos="4153"/>
        <w:tab w:val="right" w:pos="8306"/>
      </w:tabs>
    </w:pPr>
    <w:rPr>
      <w:lang w:val="x-none" w:eastAsia="x-none"/>
    </w:rPr>
  </w:style>
  <w:style w:type="paragraph" w:styleId="Footer">
    <w:name w:val="footer"/>
    <w:basedOn w:val="Normal"/>
    <w:link w:val="FooterChar"/>
    <w:uiPriority w:val="99"/>
    <w:rsid w:val="00BE1D7D"/>
    <w:pPr>
      <w:tabs>
        <w:tab w:val="center" w:pos="4153"/>
        <w:tab w:val="right" w:pos="8306"/>
      </w:tabs>
    </w:pPr>
    <w:rPr>
      <w:lang w:val="x-none" w:eastAsia="x-none"/>
    </w:rPr>
  </w:style>
  <w:style w:type="paragraph" w:styleId="BodyText">
    <w:name w:val="Body Text"/>
    <w:basedOn w:val="Normal"/>
    <w:link w:val="BodyTextChar"/>
    <w:rsid w:val="00274054"/>
    <w:pPr>
      <w:jc w:val="both"/>
    </w:pPr>
    <w:rPr>
      <w:szCs w:val="20"/>
      <w:lang w:val="x-none" w:eastAsia="en-US"/>
    </w:rPr>
  </w:style>
  <w:style w:type="character" w:customStyle="1" w:styleId="BodyTextChar">
    <w:name w:val="Body Text Char"/>
    <w:link w:val="BodyText"/>
    <w:rsid w:val="00274054"/>
    <w:rPr>
      <w:rFonts w:ascii="Arial" w:hAnsi="Arial"/>
      <w:sz w:val="24"/>
      <w:lang w:eastAsia="en-US"/>
    </w:rPr>
  </w:style>
  <w:style w:type="character" w:styleId="Strong">
    <w:name w:val="Strong"/>
    <w:qFormat/>
    <w:rsid w:val="00274054"/>
    <w:rPr>
      <w:b/>
      <w:bCs/>
    </w:rPr>
  </w:style>
  <w:style w:type="paragraph" w:customStyle="1" w:styleId="default">
    <w:name w:val="default"/>
    <w:basedOn w:val="Normal"/>
    <w:rsid w:val="008B5EAC"/>
    <w:pPr>
      <w:autoSpaceDE w:val="0"/>
      <w:autoSpaceDN w:val="0"/>
    </w:pPr>
    <w:rPr>
      <w:rFonts w:eastAsia="Calibri"/>
      <w:color w:val="000000"/>
    </w:rPr>
  </w:style>
  <w:style w:type="character" w:styleId="PageNumber">
    <w:name w:val="page number"/>
    <w:basedOn w:val="DefaultParagraphFont"/>
    <w:rsid w:val="0020078D"/>
  </w:style>
  <w:style w:type="character" w:styleId="CommentReference">
    <w:name w:val="annotation reference"/>
    <w:semiHidden/>
    <w:rsid w:val="0020078D"/>
    <w:rPr>
      <w:sz w:val="16"/>
      <w:szCs w:val="16"/>
    </w:rPr>
  </w:style>
  <w:style w:type="paragraph" w:styleId="CommentText">
    <w:name w:val="annotation text"/>
    <w:basedOn w:val="Normal"/>
    <w:semiHidden/>
    <w:rsid w:val="0020078D"/>
    <w:rPr>
      <w:sz w:val="20"/>
      <w:szCs w:val="20"/>
    </w:rPr>
  </w:style>
  <w:style w:type="paragraph" w:styleId="CommentSubject">
    <w:name w:val="annotation subject"/>
    <w:basedOn w:val="CommentText"/>
    <w:next w:val="CommentText"/>
    <w:semiHidden/>
    <w:rsid w:val="0020078D"/>
    <w:rPr>
      <w:b/>
      <w:bCs/>
    </w:rPr>
  </w:style>
  <w:style w:type="paragraph" w:styleId="BalloonText">
    <w:name w:val="Balloon Text"/>
    <w:basedOn w:val="Normal"/>
    <w:semiHidden/>
    <w:rsid w:val="0020078D"/>
    <w:rPr>
      <w:rFonts w:ascii="Tahoma" w:hAnsi="Tahoma" w:cs="Tahoma"/>
      <w:sz w:val="16"/>
      <w:szCs w:val="16"/>
    </w:rPr>
  </w:style>
  <w:style w:type="character" w:customStyle="1" w:styleId="FooterChar">
    <w:name w:val="Footer Char"/>
    <w:link w:val="Footer"/>
    <w:uiPriority w:val="99"/>
    <w:rsid w:val="008C26B8"/>
    <w:rPr>
      <w:rFonts w:ascii="Arial" w:hAnsi="Arial"/>
      <w:sz w:val="24"/>
      <w:szCs w:val="24"/>
    </w:rPr>
  </w:style>
  <w:style w:type="paragraph" w:styleId="ListParagraph">
    <w:name w:val="List Paragraph"/>
    <w:basedOn w:val="Normal"/>
    <w:uiPriority w:val="34"/>
    <w:qFormat/>
    <w:rsid w:val="002F463C"/>
    <w:pPr>
      <w:ind w:left="720"/>
      <w:contextualSpacing/>
    </w:pPr>
  </w:style>
  <w:style w:type="character" w:customStyle="1" w:styleId="HeaderChar">
    <w:name w:val="Header Char"/>
    <w:link w:val="Header"/>
    <w:uiPriority w:val="99"/>
    <w:rsid w:val="00EB1BA0"/>
    <w:rPr>
      <w:rFonts w:ascii="Arial" w:hAnsi="Arial"/>
      <w:sz w:val="24"/>
      <w:szCs w:val="24"/>
    </w:rPr>
  </w:style>
  <w:style w:type="paragraph" w:customStyle="1" w:styleId="PointsBullets">
    <w:name w:val="_PointsBullets"/>
    <w:basedOn w:val="Normal"/>
    <w:rsid w:val="006D46D5"/>
    <w:pPr>
      <w:numPr>
        <w:numId w:val="1"/>
      </w:numPr>
      <w:spacing w:after="120" w:line="260" w:lineRule="atLeast"/>
    </w:pPr>
    <w:rPr>
      <w:sz w:val="20"/>
      <w:szCs w:val="20"/>
      <w:lang w:eastAsia="en-US"/>
    </w:rPr>
  </w:style>
  <w:style w:type="paragraph" w:customStyle="1" w:styleId="Default0">
    <w:name w:val="Default"/>
    <w:rsid w:val="00B146F6"/>
    <w:pPr>
      <w:autoSpaceDE w:val="0"/>
      <w:autoSpaceDN w:val="0"/>
      <w:adjustRightInd w:val="0"/>
    </w:pPr>
    <w:rPr>
      <w:color w:val="000000"/>
    </w:rPr>
  </w:style>
  <w:style w:type="character" w:styleId="Hyperlink">
    <w:name w:val="Hyperlink"/>
    <w:uiPriority w:val="99"/>
    <w:unhideWhenUsed/>
    <w:rsid w:val="00646775"/>
    <w:rPr>
      <w:color w:val="0000FF"/>
      <w:u w:val="single"/>
    </w:rPr>
  </w:style>
  <w:style w:type="paragraph" w:styleId="Title">
    <w:name w:val="Title"/>
    <w:basedOn w:val="Normal"/>
    <w:next w:val="Normal"/>
    <w:link w:val="TitleChar"/>
    <w:qFormat/>
    <w:rsid w:val="00E347B2"/>
    <w:pPr>
      <w:jc w:val="center"/>
    </w:pPr>
    <w:rPr>
      <w:b/>
      <w:sz w:val="28"/>
      <w:szCs w:val="28"/>
    </w:rPr>
  </w:style>
  <w:style w:type="character" w:customStyle="1" w:styleId="TitleChar">
    <w:name w:val="Title Char"/>
    <w:link w:val="Title"/>
    <w:rsid w:val="00E347B2"/>
    <w:rPr>
      <w:rFonts w:ascii="Arial" w:hAnsi="Arial" w:cs="Arial"/>
      <w:b/>
      <w:sz w:val="28"/>
      <w:szCs w:val="28"/>
    </w:rPr>
  </w:style>
  <w:style w:type="character" w:customStyle="1" w:styleId="Heading1Char">
    <w:name w:val="Heading 1 Char"/>
    <w:link w:val="Heading1"/>
    <w:rsid w:val="005669AF"/>
    <w:rPr>
      <w:b/>
      <w:color w:val="auto"/>
      <w:sz w:val="28"/>
      <w:szCs w:val="22"/>
    </w:rPr>
  </w:style>
  <w:style w:type="paragraph" w:styleId="Subtitle">
    <w:name w:val="Subtitle"/>
    <w:basedOn w:val="Normal"/>
    <w:next w:val="Normal"/>
    <w:link w:val="SubtitleChar"/>
    <w:qFormat/>
    <w:rsid w:val="00E85368"/>
    <w:rPr>
      <w:b/>
      <w:sz w:val="22"/>
      <w:szCs w:val="22"/>
    </w:rPr>
  </w:style>
  <w:style w:type="character" w:customStyle="1" w:styleId="SubtitleChar">
    <w:name w:val="Subtitle Char"/>
    <w:link w:val="Subtitle"/>
    <w:rsid w:val="00E85368"/>
    <w:rPr>
      <w:rFonts w:ascii="Arial" w:hAnsi="Arial" w:cs="Arial"/>
      <w:b/>
      <w:sz w:val="22"/>
      <w:szCs w:val="22"/>
    </w:rPr>
  </w:style>
  <w:style w:type="paragraph" w:customStyle="1" w:styleId="yiv762758642msonormal">
    <w:name w:val="yiv762758642msonormal"/>
    <w:basedOn w:val="Normal"/>
    <w:rsid w:val="00114EEF"/>
    <w:pPr>
      <w:spacing w:before="100" w:beforeAutospacing="1" w:after="100" w:afterAutospacing="1"/>
    </w:pPr>
    <w:rPr>
      <w:rFonts w:ascii="Times New Roman" w:hAnsi="Times New Roman"/>
    </w:rPr>
  </w:style>
  <w:style w:type="paragraph" w:styleId="NormalWeb">
    <w:name w:val="Normal (Web)"/>
    <w:basedOn w:val="Normal"/>
    <w:rsid w:val="00C1520D"/>
    <w:rPr>
      <w:rFonts w:ascii="Times New Roman" w:hAnsi="Times New Roman"/>
    </w:rPr>
  </w:style>
  <w:style w:type="paragraph" w:styleId="TOCHeading">
    <w:name w:val="TOC Heading"/>
    <w:basedOn w:val="Heading1"/>
    <w:next w:val="Normal"/>
    <w:uiPriority w:val="39"/>
    <w:unhideWhenUsed/>
    <w:qFormat/>
    <w:rsid w:val="007D24B2"/>
    <w:pPr>
      <w:keepNext/>
      <w:keepLines/>
      <w:spacing w:before="480"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2">
    <w:name w:val="toc 2"/>
    <w:basedOn w:val="Normal"/>
    <w:next w:val="Normal"/>
    <w:autoRedefine/>
    <w:uiPriority w:val="39"/>
    <w:unhideWhenUsed/>
    <w:qFormat/>
    <w:rsid w:val="00316E2C"/>
    <w:pPr>
      <w:tabs>
        <w:tab w:val="left" w:pos="880"/>
        <w:tab w:val="right" w:leader="dot" w:pos="10065"/>
      </w:tabs>
      <w:spacing w:line="276" w:lineRule="auto"/>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316E2C"/>
    <w:pPr>
      <w:tabs>
        <w:tab w:val="left" w:pos="440"/>
        <w:tab w:val="right" w:leader="dot" w:pos="10065"/>
      </w:tabs>
      <w:spacing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7D24B2"/>
    <w:pPr>
      <w:spacing w:after="100" w:line="276" w:lineRule="auto"/>
      <w:ind w:left="440"/>
    </w:pPr>
    <w:rPr>
      <w:rFonts w:asciiTheme="minorHAnsi" w:eastAsiaTheme="minorEastAsia" w:hAnsiTheme="minorHAnsi" w:cstheme="minorBidi"/>
      <w:sz w:val="22"/>
      <w:szCs w:val="22"/>
      <w:lang w:val="en-US" w:eastAsia="ja-JP"/>
    </w:rPr>
  </w:style>
  <w:style w:type="table" w:customStyle="1" w:styleId="TableGrid1">
    <w:name w:val="Table Grid1"/>
    <w:basedOn w:val="TableNormal"/>
    <w:next w:val="TableGrid"/>
    <w:uiPriority w:val="59"/>
    <w:rsid w:val="00C458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A3BB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A3BBD"/>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rsid w:val="00335C2C"/>
    <w:rPr>
      <w:rFonts w:eastAsiaTheme="majorEastAsia" w:cstheme="majorBidi"/>
      <w:b/>
      <w:bCs/>
      <w:color w:val="auto"/>
      <w:szCs w:val="26"/>
    </w:rPr>
  </w:style>
  <w:style w:type="character" w:customStyle="1" w:styleId="Heading3Char">
    <w:name w:val="Heading 3 Char"/>
    <w:basedOn w:val="DefaultParagraphFont"/>
    <w:link w:val="Heading3"/>
    <w:rsid w:val="00197EC7"/>
    <w:rPr>
      <w:rFonts w:asciiTheme="majorHAnsi" w:eastAsiaTheme="majorEastAsia" w:hAnsiTheme="majorHAnsi" w:cstheme="majorBidi"/>
      <w:b/>
      <w:bCs/>
    </w:rPr>
  </w:style>
  <w:style w:type="character" w:customStyle="1" w:styleId="Heading4Char">
    <w:name w:val="Heading 4 Char"/>
    <w:basedOn w:val="DefaultParagraphFont"/>
    <w:link w:val="Heading4"/>
    <w:rsid w:val="00197EC7"/>
    <w:rPr>
      <w:rFonts w:asciiTheme="majorHAnsi" w:eastAsiaTheme="majorEastAsia" w:hAnsiTheme="majorHAnsi" w:cstheme="majorBidi"/>
      <w:b/>
      <w:bCs/>
      <w:i/>
      <w:iCs/>
    </w:rPr>
  </w:style>
  <w:style w:type="character" w:customStyle="1" w:styleId="Heading5Char">
    <w:name w:val="Heading 5 Char"/>
    <w:basedOn w:val="DefaultParagraphFont"/>
    <w:link w:val="Heading5"/>
    <w:semiHidden/>
    <w:rsid w:val="00197E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197E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197E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197E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97EC7"/>
    <w:rPr>
      <w:rFonts w:asciiTheme="majorHAnsi" w:eastAsiaTheme="majorEastAsia" w:hAnsiTheme="majorHAnsi" w:cstheme="majorBidi"/>
      <w:i/>
      <w:iCs/>
      <w:color w:val="404040" w:themeColor="text1" w:themeTint="BF"/>
      <w:sz w:val="20"/>
      <w:szCs w:val="20"/>
    </w:rPr>
  </w:style>
  <w:style w:type="paragraph" w:customStyle="1" w:styleId="3CBD5A742C28424DA5172AD252E32316">
    <w:name w:val="3CBD5A742C28424DA5172AD252E32316"/>
    <w:rsid w:val="004067F2"/>
    <w:pPr>
      <w:spacing w:after="200" w:line="276" w:lineRule="auto"/>
    </w:pPr>
    <w:rPr>
      <w:rFonts w:asciiTheme="minorHAnsi" w:eastAsiaTheme="minorEastAsia" w:hAnsiTheme="minorHAnsi" w:cstheme="minorBidi"/>
      <w:color w:val="auto"/>
      <w:sz w:val="22"/>
      <w:szCs w:val="22"/>
      <w:lang w:val="en-US" w:eastAsia="ja-JP"/>
    </w:rPr>
  </w:style>
  <w:style w:type="paragraph" w:styleId="BodyText2">
    <w:name w:val="Body Text 2"/>
    <w:basedOn w:val="Normal"/>
    <w:link w:val="BodyText2Char"/>
    <w:rsid w:val="00280044"/>
    <w:pPr>
      <w:spacing w:after="120" w:line="480" w:lineRule="auto"/>
    </w:pPr>
  </w:style>
  <w:style w:type="character" w:customStyle="1" w:styleId="BodyText2Char">
    <w:name w:val="Body Text 2 Char"/>
    <w:basedOn w:val="DefaultParagraphFont"/>
    <w:link w:val="BodyText2"/>
    <w:rsid w:val="00280044"/>
  </w:style>
  <w:style w:type="paragraph" w:styleId="Revision">
    <w:name w:val="Revision"/>
    <w:hidden/>
    <w:uiPriority w:val="99"/>
    <w:semiHidden/>
    <w:rsid w:val="008B2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09411">
      <w:bodyDiv w:val="1"/>
      <w:marLeft w:val="0"/>
      <w:marRight w:val="0"/>
      <w:marTop w:val="0"/>
      <w:marBottom w:val="0"/>
      <w:divBdr>
        <w:top w:val="none" w:sz="0" w:space="0" w:color="auto"/>
        <w:left w:val="none" w:sz="0" w:space="0" w:color="auto"/>
        <w:bottom w:val="none" w:sz="0" w:space="0" w:color="auto"/>
        <w:right w:val="none" w:sz="0" w:space="0" w:color="auto"/>
      </w:divBdr>
    </w:div>
    <w:div w:id="239293604">
      <w:bodyDiv w:val="1"/>
      <w:marLeft w:val="0"/>
      <w:marRight w:val="0"/>
      <w:marTop w:val="0"/>
      <w:marBottom w:val="0"/>
      <w:divBdr>
        <w:top w:val="none" w:sz="0" w:space="0" w:color="auto"/>
        <w:left w:val="none" w:sz="0" w:space="0" w:color="auto"/>
        <w:bottom w:val="none" w:sz="0" w:space="0" w:color="auto"/>
        <w:right w:val="none" w:sz="0" w:space="0" w:color="auto"/>
      </w:divBdr>
    </w:div>
    <w:div w:id="873350176">
      <w:bodyDiv w:val="1"/>
      <w:marLeft w:val="0"/>
      <w:marRight w:val="0"/>
      <w:marTop w:val="0"/>
      <w:marBottom w:val="0"/>
      <w:divBdr>
        <w:top w:val="none" w:sz="0" w:space="0" w:color="auto"/>
        <w:left w:val="none" w:sz="0" w:space="0" w:color="auto"/>
        <w:bottom w:val="none" w:sz="0" w:space="0" w:color="auto"/>
        <w:right w:val="none" w:sz="0" w:space="0" w:color="auto"/>
      </w:divBdr>
    </w:div>
    <w:div w:id="1059472287">
      <w:bodyDiv w:val="1"/>
      <w:marLeft w:val="0"/>
      <w:marRight w:val="0"/>
      <w:marTop w:val="0"/>
      <w:marBottom w:val="0"/>
      <w:divBdr>
        <w:top w:val="none" w:sz="0" w:space="0" w:color="auto"/>
        <w:left w:val="none" w:sz="0" w:space="0" w:color="auto"/>
        <w:bottom w:val="none" w:sz="0" w:space="0" w:color="auto"/>
        <w:right w:val="none" w:sz="0" w:space="0" w:color="auto"/>
      </w:divBdr>
    </w:div>
    <w:div w:id="1280457585">
      <w:bodyDiv w:val="1"/>
      <w:marLeft w:val="0"/>
      <w:marRight w:val="0"/>
      <w:marTop w:val="0"/>
      <w:marBottom w:val="0"/>
      <w:divBdr>
        <w:top w:val="none" w:sz="0" w:space="0" w:color="auto"/>
        <w:left w:val="none" w:sz="0" w:space="0" w:color="auto"/>
        <w:bottom w:val="none" w:sz="0" w:space="0" w:color="auto"/>
        <w:right w:val="none" w:sz="0" w:space="0" w:color="auto"/>
      </w:divBdr>
    </w:div>
    <w:div w:id="196473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reportnhsfraud.nhs.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nikki.cooper1@nhs.ne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23A3F2-8154-4AA2-9239-E56C7BE25867}">
  <we:reference id="ec54a0d4-1494-4e42-b65a-78000cc718aa" version="1.0.0.0" store="EXCatalog" storeType="EXCatalog"/>
  <we:alternateReferences>
    <we:reference id="WA200003509"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6a82410-35a1-48d9-a432-e298e5b95e46">
      <Terms xmlns="http://schemas.microsoft.com/office/infopath/2007/PartnerControls"/>
    </lcf76f155ced4ddcb4097134ff3c332f>
    <InformationAssetOwner xmlns="f6a82410-35a1-48d9-a432-e298e5b95e46">
      <UserInfo>
        <DisplayName/>
        <AccountId xsi:nil="true"/>
        <AccountType/>
      </UserInfo>
    </InformationAssetOwner>
    <_ip_UnifiedCompliancePolicyProperties xmlns="http://schemas.microsoft.com/sharepoint/v3" xsi:nil="true"/>
    <TaxCatchAll xmlns="1365388d-8e0b-4df5-a0a3-cd102b49988e" xsi:nil="true"/>
    <Comments xmlns="f6a82410-35a1-48d9-a432-e298e5b95e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21" ma:contentTypeDescription="Create a new document." ma:contentTypeScope="" ma:versionID="ffffae63ce18e6598b035343ca6b5625">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bcf5921edb6d504ae1122394da6a279a"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element ref="ns3:lcf76f155ced4ddcb4097134ff3c332f" minOccurs="0"/>
                <xsd:element ref="ns2:TaxCatchAll" minOccurs="0"/>
                <xsd:element ref="ns3:InformationAssetOwne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5315965-592d-4197-93ef-99919b253d80}" ma:internalName="TaxCatchAll" ma:showField="CatchAllData" ma:web="1365388d-8e0b-4df5-a0a3-cd102b4998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InformationAssetOwner" ma:index="26" nillable="true" ma:displayName="Information Asset Owner" ma:format="Dropdown" ma:list="UserInfo" ma:SharePointGroup="0" ma:internalName="InformationAsset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93A46-2C65-4D37-A28E-3D9C264049E3}">
  <ds:schemaRefs>
    <ds:schemaRef ds:uri="http://schemas.microsoft.com/office/2006/metadata/properties"/>
    <ds:schemaRef ds:uri="http://schemas.microsoft.com/office/infopath/2007/PartnerControls"/>
    <ds:schemaRef ds:uri="http://schemas.microsoft.com/sharepoint/v3"/>
    <ds:schemaRef ds:uri="f6a82410-35a1-48d9-a432-e298e5b95e46"/>
    <ds:schemaRef ds:uri="1365388d-8e0b-4df5-a0a3-cd102b49988e"/>
  </ds:schemaRefs>
</ds:datastoreItem>
</file>

<file path=customXml/itemProps2.xml><?xml version="1.0" encoding="utf-8"?>
<ds:datastoreItem xmlns:ds="http://schemas.openxmlformats.org/officeDocument/2006/customXml" ds:itemID="{CFEDABDE-F6EC-4681-9E0B-A99F304B8FE9}">
  <ds:schemaRefs>
    <ds:schemaRef ds:uri="http://schemas.microsoft.com/sharepoint/v3/contenttype/forms"/>
  </ds:schemaRefs>
</ds:datastoreItem>
</file>

<file path=customXml/itemProps3.xml><?xml version="1.0" encoding="utf-8"?>
<ds:datastoreItem xmlns:ds="http://schemas.openxmlformats.org/officeDocument/2006/customXml" ds:itemID="{66B2A394-CF16-4569-AD76-0DE3B1791C0E}"/>
</file>

<file path=customXml/itemProps4.xml><?xml version="1.0" encoding="utf-8"?>
<ds:datastoreItem xmlns:ds="http://schemas.openxmlformats.org/officeDocument/2006/customXml" ds:itemID="{05A24A36-0B11-4B97-B27A-6A3AFBCC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3775</Words>
  <Characters>23866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HERHIS</Company>
  <LinksUpToDate>false</LinksUpToDate>
  <CharactersWithSpaces>27586</CharactersWithSpaces>
  <SharedDoc>false</SharedDoc>
  <HLinks>
    <vt:vector size="66" baseType="variant">
      <vt:variant>
        <vt:i4>5963786</vt:i4>
      </vt:variant>
      <vt:variant>
        <vt:i4>30</vt:i4>
      </vt:variant>
      <vt:variant>
        <vt:i4>0</vt:i4>
      </vt:variant>
      <vt:variant>
        <vt:i4>5</vt:i4>
      </vt:variant>
      <vt:variant>
        <vt:lpwstr>http://www.erypct.nhs.uk/templates/Page2682.html?id=3786</vt:lpwstr>
      </vt:variant>
      <vt:variant>
        <vt:lpwstr/>
      </vt:variant>
      <vt:variant>
        <vt:i4>5046355</vt:i4>
      </vt:variant>
      <vt:variant>
        <vt:i4>27</vt:i4>
      </vt:variant>
      <vt:variant>
        <vt:i4>0</vt:i4>
      </vt:variant>
      <vt:variant>
        <vt:i4>5</vt:i4>
      </vt:variant>
      <vt:variant>
        <vt:lpwstr>http://dataobs.eastriding.gov.uk/</vt:lpwstr>
      </vt:variant>
      <vt:variant>
        <vt:lpwstr/>
      </vt:variant>
      <vt:variant>
        <vt:i4>8060986</vt:i4>
      </vt:variant>
      <vt:variant>
        <vt:i4>24</vt:i4>
      </vt:variant>
      <vt:variant>
        <vt:i4>0</vt:i4>
      </vt:variant>
      <vt:variant>
        <vt:i4>5</vt:i4>
      </vt:variant>
      <vt:variant>
        <vt:lpwstr>http://www.localhealth.org.uk/</vt:lpwstr>
      </vt:variant>
      <vt:variant>
        <vt:lpwstr/>
      </vt:variant>
      <vt:variant>
        <vt:i4>5374043</vt:i4>
      </vt:variant>
      <vt:variant>
        <vt:i4>21</vt:i4>
      </vt:variant>
      <vt:variant>
        <vt:i4>0</vt:i4>
      </vt:variant>
      <vt:variant>
        <vt:i4>5</vt:i4>
      </vt:variant>
      <vt:variant>
        <vt:lpwstr>http://www.yhpho.org.uk/default.aspx</vt:lpwstr>
      </vt:variant>
      <vt:variant>
        <vt:lpwstr/>
      </vt:variant>
      <vt:variant>
        <vt:i4>1048662</vt:i4>
      </vt:variant>
      <vt:variant>
        <vt:i4>18</vt:i4>
      </vt:variant>
      <vt:variant>
        <vt:i4>0</vt:i4>
      </vt:variant>
      <vt:variant>
        <vt:i4>5</vt:i4>
      </vt:variant>
      <vt:variant>
        <vt:lpwstr>http://www.poppi.org.uk/</vt:lpwstr>
      </vt:variant>
      <vt:variant>
        <vt:lpwstr/>
      </vt:variant>
      <vt:variant>
        <vt:i4>917595</vt:i4>
      </vt:variant>
      <vt:variant>
        <vt:i4>15</vt:i4>
      </vt:variant>
      <vt:variant>
        <vt:i4>0</vt:i4>
      </vt:variant>
      <vt:variant>
        <vt:i4>5</vt:i4>
      </vt:variant>
      <vt:variant>
        <vt:lpwstr>http://www.pansi.org.uk/</vt:lpwstr>
      </vt:variant>
      <vt:variant>
        <vt:lpwstr/>
      </vt:variant>
      <vt:variant>
        <vt:i4>86</vt:i4>
      </vt:variant>
      <vt:variant>
        <vt:i4>12</vt:i4>
      </vt:variant>
      <vt:variant>
        <vt:i4>0</vt:i4>
      </vt:variant>
      <vt:variant>
        <vt:i4>5</vt:i4>
      </vt:variant>
      <vt:variant>
        <vt:lpwstr>http://www.ons.gov.uk/ons/index.html</vt:lpwstr>
      </vt:variant>
      <vt:variant>
        <vt:lpwstr/>
      </vt:variant>
      <vt:variant>
        <vt:i4>4325453</vt:i4>
      </vt:variant>
      <vt:variant>
        <vt:i4>9</vt:i4>
      </vt:variant>
      <vt:variant>
        <vt:i4>0</vt:i4>
      </vt:variant>
      <vt:variant>
        <vt:i4>5</vt:i4>
      </vt:variant>
      <vt:variant>
        <vt:lpwstr>http://www.reportnhsfraud.nhs.uk/</vt:lpwstr>
      </vt:variant>
      <vt:variant>
        <vt:lpwstr/>
      </vt:variant>
      <vt:variant>
        <vt:i4>6422528</vt:i4>
      </vt:variant>
      <vt:variant>
        <vt:i4>6</vt:i4>
      </vt:variant>
      <vt:variant>
        <vt:i4>0</vt:i4>
      </vt:variant>
      <vt:variant>
        <vt:i4>5</vt:i4>
      </vt:variant>
      <vt:variant>
        <vt:lpwstr>mailto:fraud@humber.nhs.uk</vt:lpwstr>
      </vt:variant>
      <vt:variant>
        <vt:lpwstr/>
      </vt:variant>
      <vt:variant>
        <vt:i4>3670104</vt:i4>
      </vt:variant>
      <vt:variant>
        <vt:i4>3</vt:i4>
      </vt:variant>
      <vt:variant>
        <vt:i4>0</vt:i4>
      </vt:variant>
      <vt:variant>
        <vt:i4>5</vt:i4>
      </vt:variant>
      <vt:variant>
        <vt:lpwstr>mailto:andy.growns@nhs.net</vt:lpwstr>
      </vt:variant>
      <vt:variant>
        <vt:lpwstr/>
      </vt:variant>
      <vt:variant>
        <vt:i4>917544</vt:i4>
      </vt:variant>
      <vt:variant>
        <vt:i4>0</vt:i4>
      </vt:variant>
      <vt:variant>
        <vt:i4>0</vt:i4>
      </vt:variant>
      <vt:variant>
        <vt:i4>5</vt:i4>
      </vt:variant>
      <vt:variant>
        <vt:lpwstr>mailto:Claire.nicol3@nhs.net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smalese</dc:creator>
  <cp:lastModifiedBy>LOWE, Nicky (NHS HUMBER AND NORTH YORKSHIRE ICB - 02Y)</cp:lastModifiedBy>
  <cp:revision>3</cp:revision>
  <cp:lastPrinted>2015-11-09T11:32:00Z</cp:lastPrinted>
  <dcterms:created xsi:type="dcterms:W3CDTF">2023-07-18T15:03:00Z</dcterms:created>
  <dcterms:modified xsi:type="dcterms:W3CDTF">2023-07-18T15:03:00Z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0x010100F3E7180B59FCBE449E03EB1FD08F5A6A</vt:lpwstr>
  </property>
  <property fmtid="{D5CDD505-2E9C-101B-9397-08002B2CF9AE}" pid="3" name="MediaServiceImageTags">
    <vt:lpwstr/>
  </property>
</Properties>
</file>