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70FEF3DC" w:rsidR="00EC7BEA" w:rsidRPr="00402368" w:rsidRDefault="00CE5058" w:rsidP="00316E2C">
      <w:pPr>
        <w:rPr>
          <w:noProof/>
        </w:rPr>
      </w:pPr>
      <w:r>
        <w:rPr>
          <w:b/>
          <w:noProof/>
        </w:rPr>
        <w:drawing>
          <wp:anchor distT="0" distB="0" distL="114300" distR="114300" simplePos="0" relativeHeight="251658240" behindDoc="0" locked="0" layoutInCell="1" allowOverlap="1" wp14:anchorId="7F05DE8B" wp14:editId="2CDF2DC2">
            <wp:simplePos x="0" y="0"/>
            <wp:positionH relativeFrom="margin">
              <wp:posOffset>5076825</wp:posOffset>
            </wp:positionH>
            <wp:positionV relativeFrom="margin">
              <wp:posOffset>-503555</wp:posOffset>
            </wp:positionV>
            <wp:extent cx="1752600" cy="946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946150"/>
                    </a:xfrm>
                    <a:prstGeom prst="rect">
                      <a:avLst/>
                    </a:prstGeom>
                    <a:noFill/>
                  </pic:spPr>
                </pic:pic>
              </a:graphicData>
            </a:graphic>
            <wp14:sizeRelH relativeFrom="margin">
              <wp14:pctWidth>0</wp14:pctWidth>
            </wp14:sizeRelH>
            <wp14:sizeRelV relativeFrom="margin">
              <wp14:pctHeight>0</wp14:pctHeight>
            </wp14:sizeRelV>
          </wp:anchor>
        </w:drawing>
      </w:r>
      <w:r w:rsidR="005F4E82" w:rsidRPr="00A21D3C">
        <w:rPr>
          <w:noProof/>
        </w:rPr>
        <w:drawing>
          <wp:anchor distT="0" distB="0" distL="114300" distR="114300" simplePos="0" relativeHeight="251660288" behindDoc="0" locked="0" layoutInCell="1" allowOverlap="1" wp14:anchorId="31472B6A" wp14:editId="704DFC2A">
            <wp:simplePos x="0" y="0"/>
            <wp:positionH relativeFrom="margin">
              <wp:align>left</wp:align>
            </wp:positionH>
            <wp:positionV relativeFrom="margin">
              <wp:posOffset>-481965</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5DE69AE6" w14:textId="77777777" w:rsidR="006B1B02" w:rsidRPr="006B1B02" w:rsidRDefault="006B1B02" w:rsidP="006B1B02">
      <w:pPr>
        <w:jc w:val="center"/>
        <w:rPr>
          <w:b/>
          <w:bCs/>
          <w:color w:val="auto"/>
          <w:sz w:val="48"/>
          <w:szCs w:val="48"/>
        </w:rPr>
      </w:pPr>
      <w:r w:rsidRPr="006B1B02">
        <w:rPr>
          <w:b/>
          <w:bCs/>
          <w:color w:val="auto"/>
          <w:sz w:val="48"/>
          <w:szCs w:val="48"/>
        </w:rPr>
        <w:t>Primary Care Rebate Schemes</w:t>
      </w:r>
    </w:p>
    <w:p w14:paraId="6F275B5B" w14:textId="72D14A22" w:rsidR="009605B9" w:rsidRDefault="006B1B02" w:rsidP="006B1B02">
      <w:pPr>
        <w:jc w:val="center"/>
        <w:rPr>
          <w:b/>
          <w:bCs/>
          <w:color w:val="auto"/>
          <w:sz w:val="48"/>
          <w:szCs w:val="48"/>
        </w:rPr>
      </w:pPr>
      <w:r w:rsidRPr="006B1B02">
        <w:rPr>
          <w:b/>
          <w:bCs/>
          <w:color w:val="auto"/>
          <w:sz w:val="48"/>
          <w:szCs w:val="48"/>
        </w:rPr>
        <w:t>Policy</w:t>
      </w:r>
    </w:p>
    <w:p w14:paraId="35D6C1E1" w14:textId="6C31B436" w:rsidR="009605B9" w:rsidRPr="000B6334" w:rsidRDefault="000B6334" w:rsidP="00316E2C">
      <w:pPr>
        <w:rPr>
          <w:sz w:val="48"/>
          <w:szCs w:val="48"/>
        </w:rPr>
      </w:pPr>
      <w:r>
        <w:rPr>
          <w:b/>
          <w:bCs/>
          <w:color w:val="auto"/>
          <w:sz w:val="36"/>
          <w:szCs w:val="36"/>
        </w:rPr>
        <w:tab/>
      </w:r>
      <w:r>
        <w:rPr>
          <w:b/>
          <w:bCs/>
          <w:color w:val="auto"/>
          <w:sz w:val="36"/>
          <w:szCs w:val="36"/>
        </w:rPr>
        <w:tab/>
      </w:r>
      <w:r>
        <w:rPr>
          <w:b/>
          <w:bCs/>
          <w:color w:val="auto"/>
          <w:sz w:val="36"/>
          <w:szCs w:val="36"/>
        </w:rPr>
        <w:tab/>
        <w:t xml:space="preserve">                  </w:t>
      </w:r>
      <w:r w:rsidRPr="000B6334">
        <w:rPr>
          <w:b/>
          <w:bCs/>
          <w:color w:val="auto"/>
          <w:sz w:val="48"/>
          <w:szCs w:val="48"/>
        </w:rPr>
        <w:t>April 2023</w:t>
      </w:r>
    </w:p>
    <w:tbl>
      <w:tblPr>
        <w:tblStyle w:val="TableGrid"/>
        <w:tblpPr w:leftFromText="180" w:rightFromText="180" w:vertAnchor="text" w:tblpX="75" w:tblpY="1"/>
        <w:tblOverlap w:val="never"/>
        <w:tblW w:w="10343" w:type="dxa"/>
        <w:tblLook w:val="04A0" w:firstRow="1" w:lastRow="0" w:firstColumn="1" w:lastColumn="0" w:noHBand="0" w:noVBand="1"/>
      </w:tblPr>
      <w:tblGrid>
        <w:gridCol w:w="3681"/>
        <w:gridCol w:w="6662"/>
      </w:tblGrid>
      <w:tr w:rsidR="003057AE" w:rsidRPr="00402368" w14:paraId="47EBEA0C" w14:textId="77777777" w:rsidTr="00CE5058">
        <w:tc>
          <w:tcPr>
            <w:tcW w:w="3681" w:type="dxa"/>
          </w:tcPr>
          <w:p w14:paraId="0AD8B207" w14:textId="2EB3C3D5" w:rsidR="003057AE" w:rsidRPr="006B1B02" w:rsidRDefault="003057AE" w:rsidP="00316E2C">
            <w:pPr>
              <w:rPr>
                <w:b/>
                <w:color w:val="auto"/>
                <w:highlight w:val="yellow"/>
              </w:rPr>
            </w:pPr>
            <w:r w:rsidRPr="0044348A">
              <w:rPr>
                <w:b/>
                <w:color w:val="auto"/>
              </w:rPr>
              <w:t>Authorship</w:t>
            </w:r>
            <w:r w:rsidR="005F4E82" w:rsidRPr="0044348A">
              <w:rPr>
                <w:b/>
                <w:color w:val="auto"/>
              </w:rPr>
              <w:t>:</w:t>
            </w:r>
          </w:p>
        </w:tc>
        <w:tc>
          <w:tcPr>
            <w:tcW w:w="6662" w:type="dxa"/>
          </w:tcPr>
          <w:p w14:paraId="49187BDC" w14:textId="77777777" w:rsidR="00CE5058" w:rsidRDefault="00906423" w:rsidP="0044348A">
            <w:pPr>
              <w:rPr>
                <w:color w:val="auto"/>
              </w:rPr>
            </w:pPr>
            <w:r w:rsidRPr="0044348A">
              <w:rPr>
                <w:color w:val="auto"/>
              </w:rPr>
              <w:t xml:space="preserve">Deputy Director </w:t>
            </w:r>
            <w:r w:rsidR="0044348A" w:rsidRPr="0044348A">
              <w:rPr>
                <w:color w:val="auto"/>
              </w:rPr>
              <w:t xml:space="preserve">(Head of </w:t>
            </w:r>
            <w:r w:rsidRPr="0044348A">
              <w:rPr>
                <w:color w:val="auto"/>
              </w:rPr>
              <w:t>Medicines Management</w:t>
            </w:r>
            <w:r w:rsidR="0044348A" w:rsidRPr="0044348A">
              <w:rPr>
                <w:color w:val="auto"/>
              </w:rPr>
              <w:t>)</w:t>
            </w:r>
          </w:p>
          <w:p w14:paraId="36326F7D" w14:textId="4B547213" w:rsidR="0095282C" w:rsidRPr="0044348A" w:rsidRDefault="00906423" w:rsidP="00CE5058">
            <w:pPr>
              <w:ind w:right="-102"/>
              <w:rPr>
                <w:color w:val="auto"/>
              </w:rPr>
            </w:pPr>
            <w:r w:rsidRPr="0044348A">
              <w:rPr>
                <w:color w:val="auto"/>
              </w:rPr>
              <w:t xml:space="preserve">North Yorkshire and York Medicines Management Team, NHS </w:t>
            </w:r>
            <w:proofErr w:type="gramStart"/>
            <w:r w:rsidRPr="0044348A">
              <w:rPr>
                <w:color w:val="auto"/>
              </w:rPr>
              <w:t>Humber</w:t>
            </w:r>
            <w:proofErr w:type="gramEnd"/>
            <w:r w:rsidRPr="0044348A">
              <w:rPr>
                <w:color w:val="auto"/>
              </w:rPr>
              <w:t xml:space="preserve"> and North Yorkshire ICB</w:t>
            </w:r>
          </w:p>
        </w:tc>
      </w:tr>
      <w:tr w:rsidR="003057AE" w:rsidRPr="00402368" w14:paraId="472249B7" w14:textId="77777777" w:rsidTr="00CE5058">
        <w:tc>
          <w:tcPr>
            <w:tcW w:w="3681" w:type="dxa"/>
          </w:tcPr>
          <w:p w14:paraId="407EADD1" w14:textId="0DA4D42F" w:rsidR="003057AE" w:rsidRPr="0044348A" w:rsidRDefault="005F4E82" w:rsidP="00316E2C">
            <w:pPr>
              <w:rPr>
                <w:b/>
                <w:color w:val="auto"/>
              </w:rPr>
            </w:pPr>
            <w:r w:rsidRPr="0044348A">
              <w:rPr>
                <w:b/>
                <w:color w:val="auto"/>
              </w:rPr>
              <w:t xml:space="preserve">Committee </w:t>
            </w:r>
            <w:r w:rsidR="003057AE" w:rsidRPr="0044348A">
              <w:rPr>
                <w:b/>
                <w:color w:val="auto"/>
              </w:rPr>
              <w:t>Approved</w:t>
            </w:r>
            <w:r w:rsidRPr="0044348A">
              <w:rPr>
                <w:b/>
                <w:color w:val="auto"/>
              </w:rPr>
              <w:t>:</w:t>
            </w:r>
          </w:p>
        </w:tc>
        <w:tc>
          <w:tcPr>
            <w:tcW w:w="6662" w:type="dxa"/>
          </w:tcPr>
          <w:p w14:paraId="56DF1480" w14:textId="6F0967E4" w:rsidR="0095282C" w:rsidRPr="0044348A" w:rsidRDefault="0044348A" w:rsidP="0044348A">
            <w:pPr>
              <w:rPr>
                <w:color w:val="auto"/>
              </w:rPr>
            </w:pPr>
            <w:r w:rsidRPr="0044348A">
              <w:rPr>
                <w:color w:val="auto"/>
              </w:rPr>
              <w:t xml:space="preserve">Integrated Pharmacy </w:t>
            </w:r>
            <w:r w:rsidR="00CE5058">
              <w:rPr>
                <w:color w:val="auto"/>
              </w:rPr>
              <w:t>&amp;</w:t>
            </w:r>
            <w:r w:rsidRPr="0044348A">
              <w:rPr>
                <w:color w:val="auto"/>
              </w:rPr>
              <w:t xml:space="preserve"> Medicines Optimisation Committee</w:t>
            </w:r>
            <w:r w:rsidR="005F4E82" w:rsidRPr="0044348A">
              <w:rPr>
                <w:color w:val="auto"/>
              </w:rPr>
              <w:t xml:space="preserve"> </w:t>
            </w:r>
          </w:p>
        </w:tc>
      </w:tr>
      <w:tr w:rsidR="003057AE" w:rsidRPr="00402368" w14:paraId="11C2BA35" w14:textId="77777777" w:rsidTr="00CE5058">
        <w:tc>
          <w:tcPr>
            <w:tcW w:w="3681" w:type="dxa"/>
          </w:tcPr>
          <w:p w14:paraId="0972DBCF" w14:textId="2F14241B" w:rsidR="003057AE" w:rsidRPr="0044348A" w:rsidRDefault="005F4E82" w:rsidP="00316E2C">
            <w:pPr>
              <w:rPr>
                <w:b/>
                <w:color w:val="auto"/>
              </w:rPr>
            </w:pPr>
            <w:r w:rsidRPr="0044348A">
              <w:rPr>
                <w:b/>
                <w:color w:val="auto"/>
              </w:rPr>
              <w:t>Approved d</w:t>
            </w:r>
            <w:r w:rsidR="003057AE" w:rsidRPr="0044348A">
              <w:rPr>
                <w:b/>
                <w:color w:val="auto"/>
              </w:rPr>
              <w:t>ate</w:t>
            </w:r>
            <w:r w:rsidRPr="0044348A">
              <w:rPr>
                <w:b/>
                <w:color w:val="auto"/>
              </w:rPr>
              <w:t>:</w:t>
            </w:r>
          </w:p>
        </w:tc>
        <w:tc>
          <w:tcPr>
            <w:tcW w:w="6662" w:type="dxa"/>
          </w:tcPr>
          <w:p w14:paraId="16673E03" w14:textId="685099DA" w:rsidR="0095282C" w:rsidRPr="0044348A" w:rsidRDefault="000B6334" w:rsidP="0044348A">
            <w:pPr>
              <w:rPr>
                <w:color w:val="auto"/>
              </w:rPr>
            </w:pPr>
            <w:r>
              <w:rPr>
                <w:color w:val="auto"/>
              </w:rPr>
              <w:t>April 2023</w:t>
            </w:r>
          </w:p>
        </w:tc>
      </w:tr>
      <w:tr w:rsidR="003057AE" w:rsidRPr="00402368" w14:paraId="39B4089C" w14:textId="77777777" w:rsidTr="00CE5058">
        <w:tc>
          <w:tcPr>
            <w:tcW w:w="3681" w:type="dxa"/>
          </w:tcPr>
          <w:p w14:paraId="1CAD852F" w14:textId="03EF7EFC" w:rsidR="003057AE" w:rsidRPr="0044348A" w:rsidRDefault="003057AE" w:rsidP="00316E2C">
            <w:pPr>
              <w:rPr>
                <w:b/>
                <w:color w:val="auto"/>
              </w:rPr>
            </w:pPr>
            <w:r w:rsidRPr="0044348A">
              <w:rPr>
                <w:b/>
                <w:color w:val="auto"/>
              </w:rPr>
              <w:t xml:space="preserve">Equality Impact </w:t>
            </w:r>
            <w:r w:rsidR="00A102B7" w:rsidRPr="0044348A">
              <w:rPr>
                <w:b/>
                <w:color w:val="auto"/>
              </w:rPr>
              <w:t>A</w:t>
            </w:r>
            <w:r w:rsidR="005F4E82" w:rsidRPr="0044348A">
              <w:rPr>
                <w:b/>
                <w:color w:val="auto"/>
              </w:rPr>
              <w:t>ssessment:</w:t>
            </w:r>
          </w:p>
        </w:tc>
        <w:tc>
          <w:tcPr>
            <w:tcW w:w="6662" w:type="dxa"/>
          </w:tcPr>
          <w:p w14:paraId="47DB0DFA" w14:textId="7E5793BE" w:rsidR="0095282C" w:rsidRPr="0044348A" w:rsidRDefault="00C20712" w:rsidP="0044348A">
            <w:pPr>
              <w:rPr>
                <w:color w:val="auto"/>
              </w:rPr>
            </w:pPr>
            <w:r w:rsidRPr="0044348A">
              <w:rPr>
                <w:color w:val="auto"/>
              </w:rPr>
              <w:t>April</w:t>
            </w:r>
            <w:r w:rsidR="00906423" w:rsidRPr="0044348A">
              <w:rPr>
                <w:color w:val="auto"/>
              </w:rPr>
              <w:t xml:space="preserve"> 2023</w:t>
            </w:r>
          </w:p>
        </w:tc>
      </w:tr>
      <w:tr w:rsidR="003057AE" w:rsidRPr="00402368" w14:paraId="0BEBC797" w14:textId="77777777" w:rsidTr="00CE5058">
        <w:tc>
          <w:tcPr>
            <w:tcW w:w="3681" w:type="dxa"/>
          </w:tcPr>
          <w:p w14:paraId="31076981" w14:textId="171C15B3" w:rsidR="003057AE" w:rsidRPr="0044348A" w:rsidRDefault="003057AE" w:rsidP="00316E2C">
            <w:pPr>
              <w:rPr>
                <w:b/>
                <w:color w:val="auto"/>
              </w:rPr>
            </w:pPr>
            <w:r w:rsidRPr="0044348A">
              <w:rPr>
                <w:b/>
                <w:color w:val="auto"/>
              </w:rPr>
              <w:t>Target Audience</w:t>
            </w:r>
            <w:r w:rsidR="005F4E82" w:rsidRPr="0044348A">
              <w:rPr>
                <w:b/>
                <w:color w:val="auto"/>
              </w:rPr>
              <w:t>:</w:t>
            </w:r>
          </w:p>
        </w:tc>
        <w:tc>
          <w:tcPr>
            <w:tcW w:w="6662" w:type="dxa"/>
          </w:tcPr>
          <w:p w14:paraId="046759C7" w14:textId="28A54DA2" w:rsidR="00BB1833" w:rsidRPr="0044348A" w:rsidRDefault="00C20712" w:rsidP="0044348A">
            <w:pPr>
              <w:pStyle w:val="ListParagraph"/>
              <w:ind w:left="0"/>
              <w:rPr>
                <w:color w:val="auto"/>
              </w:rPr>
            </w:pPr>
            <w:r w:rsidRPr="0044348A">
              <w:rPr>
                <w:color w:val="auto"/>
              </w:rPr>
              <w:t>I</w:t>
            </w:r>
            <w:r w:rsidR="005F4E82" w:rsidRPr="0044348A">
              <w:rPr>
                <w:color w:val="auto"/>
              </w:rPr>
              <w:t>CB and its Committees and Sub-Committees, ICB Staff, agency and temporary staff &amp; third parties under contract</w:t>
            </w:r>
            <w:r w:rsidR="00CE5058">
              <w:rPr>
                <w:color w:val="auto"/>
              </w:rPr>
              <w:t>, pharmaceutical companies and our public.</w:t>
            </w:r>
          </w:p>
        </w:tc>
      </w:tr>
      <w:tr w:rsidR="003057AE" w:rsidRPr="00402368" w14:paraId="14C1359E" w14:textId="77777777" w:rsidTr="000B6334">
        <w:tc>
          <w:tcPr>
            <w:tcW w:w="3681" w:type="dxa"/>
            <w:shd w:val="clear" w:color="auto" w:fill="auto"/>
          </w:tcPr>
          <w:p w14:paraId="6F54AA58" w14:textId="2B79372A" w:rsidR="003057AE" w:rsidRPr="000B6334" w:rsidRDefault="005F4E82" w:rsidP="00316E2C">
            <w:pPr>
              <w:rPr>
                <w:b/>
                <w:color w:val="auto"/>
              </w:rPr>
            </w:pPr>
            <w:r w:rsidRPr="000B6334">
              <w:rPr>
                <w:b/>
                <w:color w:val="auto"/>
              </w:rPr>
              <w:t xml:space="preserve">Policy </w:t>
            </w:r>
            <w:r w:rsidR="003057AE" w:rsidRPr="000B6334">
              <w:rPr>
                <w:b/>
                <w:color w:val="auto"/>
              </w:rPr>
              <w:t>Number</w:t>
            </w:r>
            <w:r w:rsidRPr="000B6334">
              <w:rPr>
                <w:b/>
                <w:color w:val="auto"/>
              </w:rPr>
              <w:t>:</w:t>
            </w:r>
          </w:p>
        </w:tc>
        <w:tc>
          <w:tcPr>
            <w:tcW w:w="6662" w:type="dxa"/>
            <w:shd w:val="clear" w:color="auto" w:fill="auto"/>
          </w:tcPr>
          <w:p w14:paraId="1E17DE8B" w14:textId="1B53B2A4" w:rsidR="004167BD" w:rsidRPr="000B6334" w:rsidRDefault="00530824" w:rsidP="00316E2C">
            <w:pPr>
              <w:rPr>
                <w:color w:val="auto"/>
              </w:rPr>
            </w:pPr>
            <w:r>
              <w:rPr>
                <w:color w:val="auto"/>
              </w:rPr>
              <w:t>CP1</w:t>
            </w:r>
          </w:p>
        </w:tc>
      </w:tr>
      <w:tr w:rsidR="003057AE" w:rsidRPr="00402368" w14:paraId="0A809E26" w14:textId="77777777" w:rsidTr="000B6334">
        <w:tc>
          <w:tcPr>
            <w:tcW w:w="3681" w:type="dxa"/>
            <w:shd w:val="clear" w:color="auto" w:fill="auto"/>
          </w:tcPr>
          <w:p w14:paraId="5332ADF0" w14:textId="64461681" w:rsidR="003057AE" w:rsidRPr="000B6334" w:rsidRDefault="003057AE" w:rsidP="00316E2C">
            <w:pPr>
              <w:rPr>
                <w:b/>
                <w:color w:val="auto"/>
              </w:rPr>
            </w:pPr>
            <w:r w:rsidRPr="000B6334">
              <w:rPr>
                <w:b/>
                <w:color w:val="auto"/>
              </w:rPr>
              <w:t>Version Number</w:t>
            </w:r>
            <w:r w:rsidR="005F4E82" w:rsidRPr="000B6334">
              <w:rPr>
                <w:b/>
                <w:color w:val="auto"/>
              </w:rPr>
              <w:t>:</w:t>
            </w:r>
          </w:p>
        </w:tc>
        <w:tc>
          <w:tcPr>
            <w:tcW w:w="6662" w:type="dxa"/>
            <w:shd w:val="clear" w:color="auto" w:fill="auto"/>
          </w:tcPr>
          <w:p w14:paraId="5A47AB39" w14:textId="2BE171AF" w:rsidR="004167BD" w:rsidRPr="000B6334" w:rsidRDefault="005F4E82" w:rsidP="00316E2C">
            <w:pPr>
              <w:rPr>
                <w:color w:val="auto"/>
              </w:rPr>
            </w:pPr>
            <w:r w:rsidRPr="000B6334">
              <w:rPr>
                <w:color w:val="auto"/>
              </w:rPr>
              <w:t>0.1</w:t>
            </w:r>
          </w:p>
        </w:tc>
      </w:tr>
    </w:tbl>
    <w:p w14:paraId="42F308FB" w14:textId="07D64C48"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w:t>
      </w:r>
      <w:r w:rsidR="00A259A7">
        <w:rPr>
          <w:b/>
          <w:color w:val="auto"/>
        </w:rPr>
        <w:t xml:space="preserve">on the ICB website </w:t>
      </w:r>
      <w:r w:rsidR="006D5E9C" w:rsidRPr="00402368">
        <w:rPr>
          <w:b/>
          <w:color w:val="auto"/>
        </w:rPr>
        <w:t>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5559CDB3"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7BF666EB" w14:textId="77777777" w:rsidTr="00E91015">
        <w:tc>
          <w:tcPr>
            <w:tcW w:w="1252" w:type="dxa"/>
          </w:tcPr>
          <w:p w14:paraId="39984325"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2154B850" w14:textId="7BF6E5BB"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4A2F8EAF"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D819D34" w14:textId="70A01AC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9968B8B" w14:textId="2B349553"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9" w:type="dxa"/>
          </w:tcPr>
          <w:p w14:paraId="10788E43" w14:textId="6217D1D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22DC4690" w14:textId="77777777" w:rsidTr="00E91015">
        <w:tc>
          <w:tcPr>
            <w:tcW w:w="1252" w:type="dxa"/>
          </w:tcPr>
          <w:p w14:paraId="36D7499F" w14:textId="6C97036D" w:rsidR="00E91015" w:rsidRPr="00402368" w:rsidRDefault="000B6334" w:rsidP="00316E2C">
            <w:pPr>
              <w:rPr>
                <w:color w:val="000000"/>
              </w:rPr>
            </w:pPr>
            <w:r>
              <w:rPr>
                <w:color w:val="000000"/>
              </w:rPr>
              <w:t>0.1</w:t>
            </w:r>
          </w:p>
        </w:tc>
        <w:tc>
          <w:tcPr>
            <w:tcW w:w="1950" w:type="dxa"/>
          </w:tcPr>
          <w:p w14:paraId="7C30232A" w14:textId="279A9FE0" w:rsidR="00E91015" w:rsidRPr="00402368" w:rsidRDefault="000B6334" w:rsidP="00316E2C">
            <w:pPr>
              <w:rPr>
                <w:color w:val="000000"/>
              </w:rPr>
            </w:pPr>
            <w:r>
              <w:rPr>
                <w:color w:val="000000"/>
              </w:rPr>
              <w:t xml:space="preserve">Quality Committee </w:t>
            </w:r>
          </w:p>
        </w:tc>
        <w:tc>
          <w:tcPr>
            <w:tcW w:w="2405" w:type="dxa"/>
          </w:tcPr>
          <w:p w14:paraId="5DC1EA42" w14:textId="6E2112D4" w:rsidR="00E91015" w:rsidRPr="00402368" w:rsidRDefault="000B6334" w:rsidP="00316E2C">
            <w:pPr>
              <w:rPr>
                <w:color w:val="000000"/>
              </w:rPr>
            </w:pPr>
            <w:r>
              <w:rPr>
                <w:color w:val="000000"/>
              </w:rPr>
              <w:t>See report / Policy Author</w:t>
            </w:r>
          </w:p>
        </w:tc>
        <w:tc>
          <w:tcPr>
            <w:tcW w:w="2005" w:type="dxa"/>
          </w:tcPr>
          <w:p w14:paraId="7344C44F" w14:textId="5F295AD4" w:rsidR="00E91015" w:rsidRPr="00402368" w:rsidRDefault="000B6334" w:rsidP="00316E2C">
            <w:pPr>
              <w:rPr>
                <w:color w:val="000000"/>
              </w:rPr>
            </w:pPr>
            <w:r>
              <w:rPr>
                <w:color w:val="000000"/>
              </w:rPr>
              <w:t>Quality Committee</w:t>
            </w:r>
          </w:p>
        </w:tc>
        <w:tc>
          <w:tcPr>
            <w:tcW w:w="1355" w:type="dxa"/>
          </w:tcPr>
          <w:p w14:paraId="16AB918A" w14:textId="3E0BB84C" w:rsidR="00E91015" w:rsidRPr="00402368" w:rsidRDefault="000B6334" w:rsidP="00316E2C">
            <w:pPr>
              <w:autoSpaceDE w:val="0"/>
              <w:autoSpaceDN w:val="0"/>
              <w:adjustRightInd w:val="0"/>
              <w:rPr>
                <w:color w:val="auto"/>
              </w:rPr>
            </w:pPr>
            <w:r>
              <w:rPr>
                <w:color w:val="auto"/>
              </w:rPr>
              <w:t>April 2023</w:t>
            </w:r>
          </w:p>
        </w:tc>
        <w:tc>
          <w:tcPr>
            <w:tcW w:w="1489" w:type="dxa"/>
          </w:tcPr>
          <w:p w14:paraId="302BFED7" w14:textId="39AD3BBA" w:rsidR="00E91015" w:rsidRPr="00402368" w:rsidRDefault="000B6334" w:rsidP="00316E2C">
            <w:pPr>
              <w:autoSpaceDE w:val="0"/>
              <w:autoSpaceDN w:val="0"/>
              <w:adjustRightInd w:val="0"/>
              <w:rPr>
                <w:color w:val="auto"/>
              </w:rPr>
            </w:pPr>
            <w:r>
              <w:rPr>
                <w:color w:val="auto"/>
              </w:rPr>
              <w:t>September 2023</w:t>
            </w:r>
          </w:p>
        </w:tc>
      </w:tr>
      <w:tr w:rsidR="00E91015" w:rsidRPr="00402368" w14:paraId="1C0476B7" w14:textId="77777777" w:rsidTr="00E91015">
        <w:tc>
          <w:tcPr>
            <w:tcW w:w="1252" w:type="dxa"/>
          </w:tcPr>
          <w:p w14:paraId="778BCE96" w14:textId="77777777" w:rsidR="00E91015" w:rsidRPr="00402368" w:rsidRDefault="00E91015" w:rsidP="00316E2C">
            <w:pPr>
              <w:rPr>
                <w:color w:val="000000"/>
              </w:rPr>
            </w:pPr>
          </w:p>
        </w:tc>
        <w:tc>
          <w:tcPr>
            <w:tcW w:w="1950" w:type="dxa"/>
          </w:tcPr>
          <w:p w14:paraId="49814D3F" w14:textId="77777777" w:rsidR="00E91015" w:rsidRPr="00402368" w:rsidRDefault="00E91015" w:rsidP="00316E2C">
            <w:pPr>
              <w:rPr>
                <w:color w:val="000000"/>
              </w:rPr>
            </w:pPr>
          </w:p>
        </w:tc>
        <w:tc>
          <w:tcPr>
            <w:tcW w:w="2405" w:type="dxa"/>
          </w:tcPr>
          <w:p w14:paraId="007D545D" w14:textId="77777777" w:rsidR="00E91015" w:rsidRPr="00402368" w:rsidRDefault="00E91015" w:rsidP="00316E2C">
            <w:pPr>
              <w:rPr>
                <w:color w:val="000000"/>
              </w:rPr>
            </w:pPr>
          </w:p>
        </w:tc>
        <w:tc>
          <w:tcPr>
            <w:tcW w:w="2005" w:type="dxa"/>
          </w:tcPr>
          <w:p w14:paraId="631A2B88" w14:textId="77777777" w:rsidR="00E91015" w:rsidRPr="00402368" w:rsidRDefault="00E91015" w:rsidP="00316E2C">
            <w:pPr>
              <w:rPr>
                <w:color w:val="000000"/>
              </w:rPr>
            </w:pPr>
          </w:p>
        </w:tc>
        <w:tc>
          <w:tcPr>
            <w:tcW w:w="1355" w:type="dxa"/>
          </w:tcPr>
          <w:p w14:paraId="1066889B" w14:textId="77777777" w:rsidR="00E91015" w:rsidRPr="00402368" w:rsidRDefault="00E91015" w:rsidP="00316E2C">
            <w:pPr>
              <w:autoSpaceDE w:val="0"/>
              <w:autoSpaceDN w:val="0"/>
              <w:adjustRightInd w:val="0"/>
            </w:pPr>
          </w:p>
        </w:tc>
        <w:tc>
          <w:tcPr>
            <w:tcW w:w="1489" w:type="dxa"/>
          </w:tcPr>
          <w:p w14:paraId="7E04DFA3" w14:textId="4EFB0E75" w:rsidR="00E91015" w:rsidRPr="00402368" w:rsidRDefault="00E91015" w:rsidP="00316E2C">
            <w:pPr>
              <w:autoSpaceDE w:val="0"/>
              <w:autoSpaceDN w:val="0"/>
              <w:adjustRightInd w:val="0"/>
            </w:pPr>
          </w:p>
        </w:tc>
      </w:tr>
      <w:tr w:rsidR="00E91015" w:rsidRPr="00402368" w14:paraId="60FDE2FB" w14:textId="77777777" w:rsidTr="00E91015">
        <w:tc>
          <w:tcPr>
            <w:tcW w:w="1252" w:type="dxa"/>
          </w:tcPr>
          <w:p w14:paraId="724AFFC0" w14:textId="77777777" w:rsidR="00E91015" w:rsidRPr="00402368" w:rsidRDefault="00E91015" w:rsidP="00316E2C">
            <w:pPr>
              <w:rPr>
                <w:color w:val="000000"/>
              </w:rPr>
            </w:pPr>
          </w:p>
        </w:tc>
        <w:tc>
          <w:tcPr>
            <w:tcW w:w="1950" w:type="dxa"/>
          </w:tcPr>
          <w:p w14:paraId="42426E92" w14:textId="77777777" w:rsidR="00E91015" w:rsidRPr="00402368" w:rsidRDefault="00E91015" w:rsidP="00316E2C">
            <w:pPr>
              <w:rPr>
                <w:color w:val="000000"/>
              </w:rPr>
            </w:pPr>
          </w:p>
        </w:tc>
        <w:tc>
          <w:tcPr>
            <w:tcW w:w="2405" w:type="dxa"/>
          </w:tcPr>
          <w:p w14:paraId="0998C0C4" w14:textId="77777777" w:rsidR="00E91015" w:rsidRPr="00402368" w:rsidRDefault="00E91015" w:rsidP="00316E2C">
            <w:pPr>
              <w:rPr>
                <w:color w:val="000000"/>
              </w:rPr>
            </w:pPr>
          </w:p>
        </w:tc>
        <w:tc>
          <w:tcPr>
            <w:tcW w:w="2005" w:type="dxa"/>
          </w:tcPr>
          <w:p w14:paraId="4427DDFE" w14:textId="77777777" w:rsidR="00E91015" w:rsidRPr="00402368" w:rsidRDefault="00E91015" w:rsidP="00316E2C">
            <w:pPr>
              <w:rPr>
                <w:color w:val="000000"/>
              </w:rPr>
            </w:pPr>
          </w:p>
        </w:tc>
        <w:tc>
          <w:tcPr>
            <w:tcW w:w="1355" w:type="dxa"/>
          </w:tcPr>
          <w:p w14:paraId="5879C43E" w14:textId="77777777" w:rsidR="00E91015" w:rsidRPr="00402368" w:rsidRDefault="00E91015" w:rsidP="00316E2C">
            <w:pPr>
              <w:autoSpaceDE w:val="0"/>
              <w:autoSpaceDN w:val="0"/>
              <w:adjustRightInd w:val="0"/>
            </w:pPr>
          </w:p>
        </w:tc>
        <w:tc>
          <w:tcPr>
            <w:tcW w:w="1489" w:type="dxa"/>
          </w:tcPr>
          <w:p w14:paraId="487C3B5B" w14:textId="48935D94" w:rsidR="00E91015" w:rsidRPr="00402368" w:rsidRDefault="00E91015" w:rsidP="00316E2C">
            <w:pPr>
              <w:autoSpaceDE w:val="0"/>
              <w:autoSpaceDN w:val="0"/>
              <w:adjustRightInd w:val="0"/>
            </w:pPr>
          </w:p>
        </w:tc>
      </w:tr>
      <w:tr w:rsidR="00E91015" w:rsidRPr="00402368" w14:paraId="14229F54" w14:textId="77777777" w:rsidTr="00E91015">
        <w:tc>
          <w:tcPr>
            <w:tcW w:w="1252" w:type="dxa"/>
          </w:tcPr>
          <w:p w14:paraId="06F9979F" w14:textId="77777777" w:rsidR="00E91015" w:rsidRPr="00402368" w:rsidRDefault="00E91015" w:rsidP="00316E2C">
            <w:pPr>
              <w:rPr>
                <w:color w:val="000000"/>
              </w:rPr>
            </w:pPr>
          </w:p>
        </w:tc>
        <w:tc>
          <w:tcPr>
            <w:tcW w:w="1950" w:type="dxa"/>
          </w:tcPr>
          <w:p w14:paraId="303A5979" w14:textId="77777777" w:rsidR="00E91015" w:rsidRPr="00402368" w:rsidRDefault="00E91015" w:rsidP="00316E2C">
            <w:pPr>
              <w:rPr>
                <w:color w:val="000000"/>
              </w:rPr>
            </w:pPr>
          </w:p>
        </w:tc>
        <w:tc>
          <w:tcPr>
            <w:tcW w:w="2405" w:type="dxa"/>
          </w:tcPr>
          <w:p w14:paraId="49873EF6" w14:textId="77777777" w:rsidR="00E91015" w:rsidRPr="00402368" w:rsidRDefault="00E91015" w:rsidP="00316E2C">
            <w:pPr>
              <w:rPr>
                <w:color w:val="000000"/>
              </w:rPr>
            </w:pPr>
          </w:p>
        </w:tc>
        <w:tc>
          <w:tcPr>
            <w:tcW w:w="2005" w:type="dxa"/>
          </w:tcPr>
          <w:p w14:paraId="6487528F" w14:textId="77777777" w:rsidR="00E91015" w:rsidRPr="00402368" w:rsidRDefault="00E91015" w:rsidP="00316E2C">
            <w:pPr>
              <w:rPr>
                <w:color w:val="000000"/>
              </w:rPr>
            </w:pPr>
          </w:p>
        </w:tc>
        <w:tc>
          <w:tcPr>
            <w:tcW w:w="1355" w:type="dxa"/>
          </w:tcPr>
          <w:p w14:paraId="53BE859D" w14:textId="77777777" w:rsidR="00E91015" w:rsidRPr="00402368" w:rsidRDefault="00E91015" w:rsidP="00316E2C">
            <w:pPr>
              <w:autoSpaceDE w:val="0"/>
              <w:autoSpaceDN w:val="0"/>
              <w:adjustRightInd w:val="0"/>
            </w:pPr>
          </w:p>
        </w:tc>
        <w:tc>
          <w:tcPr>
            <w:tcW w:w="1489" w:type="dxa"/>
          </w:tcPr>
          <w:p w14:paraId="36772712" w14:textId="526A5152" w:rsidR="00E91015" w:rsidRPr="00402368" w:rsidRDefault="00E91015" w:rsidP="00316E2C">
            <w:pPr>
              <w:autoSpaceDE w:val="0"/>
              <w:autoSpaceDN w:val="0"/>
              <w:adjustRightInd w:val="0"/>
            </w:pPr>
          </w:p>
        </w:tc>
      </w:tr>
      <w:tr w:rsidR="00E91015" w:rsidRPr="00402368" w14:paraId="1495CF37" w14:textId="77777777" w:rsidTr="00E91015">
        <w:tc>
          <w:tcPr>
            <w:tcW w:w="1252" w:type="dxa"/>
          </w:tcPr>
          <w:p w14:paraId="0F471F6D" w14:textId="77777777" w:rsidR="00E91015" w:rsidRPr="00402368" w:rsidRDefault="00E91015" w:rsidP="00316E2C">
            <w:pPr>
              <w:rPr>
                <w:color w:val="000000"/>
              </w:rPr>
            </w:pPr>
          </w:p>
        </w:tc>
        <w:tc>
          <w:tcPr>
            <w:tcW w:w="1950" w:type="dxa"/>
          </w:tcPr>
          <w:p w14:paraId="368D5E22" w14:textId="77777777" w:rsidR="00E91015" w:rsidRPr="00402368" w:rsidRDefault="00E91015" w:rsidP="00316E2C">
            <w:pPr>
              <w:rPr>
                <w:color w:val="000000"/>
              </w:rPr>
            </w:pPr>
          </w:p>
        </w:tc>
        <w:tc>
          <w:tcPr>
            <w:tcW w:w="2405" w:type="dxa"/>
          </w:tcPr>
          <w:p w14:paraId="68610768" w14:textId="77777777" w:rsidR="00E91015" w:rsidRPr="00402368" w:rsidRDefault="00E91015" w:rsidP="00316E2C">
            <w:pPr>
              <w:rPr>
                <w:color w:val="000000"/>
              </w:rPr>
            </w:pPr>
          </w:p>
        </w:tc>
        <w:tc>
          <w:tcPr>
            <w:tcW w:w="2005" w:type="dxa"/>
          </w:tcPr>
          <w:p w14:paraId="6D65FE70" w14:textId="77777777" w:rsidR="00E91015" w:rsidRPr="00402368" w:rsidRDefault="00E91015" w:rsidP="00316E2C">
            <w:pPr>
              <w:rPr>
                <w:color w:val="000000"/>
              </w:rPr>
            </w:pPr>
          </w:p>
        </w:tc>
        <w:tc>
          <w:tcPr>
            <w:tcW w:w="1355" w:type="dxa"/>
          </w:tcPr>
          <w:p w14:paraId="01EB2A5C" w14:textId="77777777" w:rsidR="00E91015" w:rsidRPr="00402368" w:rsidRDefault="00E91015" w:rsidP="00316E2C">
            <w:pPr>
              <w:autoSpaceDE w:val="0"/>
              <w:autoSpaceDN w:val="0"/>
              <w:adjustRightInd w:val="0"/>
            </w:pPr>
          </w:p>
        </w:tc>
        <w:tc>
          <w:tcPr>
            <w:tcW w:w="1489" w:type="dxa"/>
          </w:tcPr>
          <w:p w14:paraId="7CDF10D6" w14:textId="4F18B52C" w:rsidR="00E91015" w:rsidRPr="00402368" w:rsidRDefault="00E91015" w:rsidP="00316E2C">
            <w:pPr>
              <w:autoSpaceDE w:val="0"/>
              <w:autoSpaceDN w:val="0"/>
              <w:adjustRightInd w:val="0"/>
            </w:pPr>
          </w:p>
        </w:tc>
      </w:tr>
      <w:tr w:rsidR="00E91015" w:rsidRPr="00B447E7" w14:paraId="46E7552C" w14:textId="77777777" w:rsidTr="00E91015">
        <w:tc>
          <w:tcPr>
            <w:tcW w:w="1252" w:type="dxa"/>
          </w:tcPr>
          <w:p w14:paraId="523B32FE" w14:textId="77777777" w:rsidR="00E91015" w:rsidRPr="00B447E7" w:rsidRDefault="00E91015" w:rsidP="00316E2C">
            <w:pPr>
              <w:autoSpaceDE w:val="0"/>
              <w:autoSpaceDN w:val="0"/>
              <w:adjustRightInd w:val="0"/>
              <w:rPr>
                <w:color w:val="000000" w:themeColor="text1"/>
              </w:rPr>
            </w:pPr>
          </w:p>
        </w:tc>
        <w:tc>
          <w:tcPr>
            <w:tcW w:w="1950" w:type="dxa"/>
          </w:tcPr>
          <w:p w14:paraId="44201516" w14:textId="77777777" w:rsidR="00E91015" w:rsidRPr="00B447E7" w:rsidRDefault="00E91015" w:rsidP="00316E2C">
            <w:pPr>
              <w:autoSpaceDE w:val="0"/>
              <w:autoSpaceDN w:val="0"/>
              <w:adjustRightInd w:val="0"/>
              <w:rPr>
                <w:color w:val="000000" w:themeColor="text1"/>
              </w:rPr>
            </w:pPr>
          </w:p>
        </w:tc>
        <w:tc>
          <w:tcPr>
            <w:tcW w:w="2405" w:type="dxa"/>
          </w:tcPr>
          <w:p w14:paraId="1DD5CC87" w14:textId="77777777" w:rsidR="00E91015" w:rsidRPr="00B447E7" w:rsidRDefault="00E91015" w:rsidP="00316E2C">
            <w:pPr>
              <w:autoSpaceDE w:val="0"/>
              <w:autoSpaceDN w:val="0"/>
              <w:adjustRightInd w:val="0"/>
              <w:rPr>
                <w:color w:val="000000" w:themeColor="text1"/>
              </w:rPr>
            </w:pPr>
          </w:p>
        </w:tc>
        <w:tc>
          <w:tcPr>
            <w:tcW w:w="2005" w:type="dxa"/>
          </w:tcPr>
          <w:p w14:paraId="2E142139" w14:textId="77777777" w:rsidR="00E91015" w:rsidRPr="00B447E7" w:rsidRDefault="00E91015" w:rsidP="00316E2C">
            <w:pPr>
              <w:autoSpaceDE w:val="0"/>
              <w:autoSpaceDN w:val="0"/>
              <w:adjustRightInd w:val="0"/>
              <w:rPr>
                <w:color w:val="000000" w:themeColor="text1"/>
              </w:rPr>
            </w:pPr>
          </w:p>
        </w:tc>
        <w:tc>
          <w:tcPr>
            <w:tcW w:w="1355" w:type="dxa"/>
          </w:tcPr>
          <w:p w14:paraId="595D7DE6" w14:textId="77777777" w:rsidR="00E91015" w:rsidRPr="00B447E7" w:rsidRDefault="00E91015" w:rsidP="00316E2C">
            <w:pPr>
              <w:autoSpaceDE w:val="0"/>
              <w:autoSpaceDN w:val="0"/>
              <w:adjustRightInd w:val="0"/>
              <w:rPr>
                <w:color w:val="000000" w:themeColor="text1"/>
              </w:rPr>
            </w:pPr>
          </w:p>
        </w:tc>
        <w:tc>
          <w:tcPr>
            <w:tcW w:w="1489" w:type="dxa"/>
          </w:tcPr>
          <w:p w14:paraId="554B5ACD" w14:textId="35C4C8F0" w:rsidR="00E91015" w:rsidRPr="00B447E7" w:rsidRDefault="00E91015" w:rsidP="00316E2C">
            <w:pPr>
              <w:autoSpaceDE w:val="0"/>
              <w:autoSpaceDN w:val="0"/>
              <w:adjustRightInd w:val="0"/>
              <w:rPr>
                <w:color w:val="000000" w:themeColor="text1"/>
              </w:rPr>
            </w:pP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sdt>
      <w:sdtPr>
        <w:rPr>
          <w:rFonts w:ascii="Arial" w:eastAsia="Times New Roman" w:hAnsi="Arial" w:cs="Arial"/>
          <w:b w:val="0"/>
          <w:bCs w:val="0"/>
          <w:noProof/>
          <w:color w:val="000000" w:themeColor="text1"/>
          <w:sz w:val="24"/>
          <w:szCs w:val="24"/>
          <w:lang w:val="en-GB" w:eastAsia="en-GB"/>
        </w:rPr>
        <w:id w:val="1739975210"/>
        <w:docPartObj>
          <w:docPartGallery w:val="Table of Contents"/>
          <w:docPartUnique/>
        </w:docPartObj>
      </w:sdtPr>
      <w:sdtEndPr>
        <w:rPr>
          <w:rFonts w:eastAsiaTheme="minorEastAsia"/>
          <w:color w:val="auto"/>
          <w:lang w:val="en-US" w:eastAsia="ja-JP"/>
        </w:rPr>
      </w:sdtEndPr>
      <w:sdtContent>
        <w:p w14:paraId="547ABCA8" w14:textId="36E751DB" w:rsidR="009F2C13" w:rsidRPr="0032084D" w:rsidRDefault="009F2C13" w:rsidP="009F2C13">
          <w:pPr>
            <w:pStyle w:val="TOCHeading"/>
            <w:numPr>
              <w:ilvl w:val="0"/>
              <w:numId w:val="0"/>
            </w:numPr>
            <w:rPr>
              <w:rFonts w:ascii="Arial" w:hAnsi="Arial" w:cs="Arial"/>
              <w:color w:val="000000" w:themeColor="text1"/>
              <w:sz w:val="24"/>
              <w:szCs w:val="24"/>
            </w:rPr>
          </w:pPr>
          <w:r w:rsidRPr="0032084D">
            <w:rPr>
              <w:rFonts w:ascii="Arial" w:hAnsi="Arial" w:cs="Arial"/>
              <w:color w:val="000000" w:themeColor="text1"/>
              <w:sz w:val="24"/>
              <w:szCs w:val="24"/>
            </w:rPr>
            <w:t>Contents</w:t>
          </w:r>
        </w:p>
        <w:p w14:paraId="1E0B5C5A" w14:textId="23F1CFD3" w:rsidR="0044348A" w:rsidRPr="0044348A" w:rsidRDefault="009F2C13">
          <w:pPr>
            <w:pStyle w:val="TOC1"/>
            <w:rPr>
              <w:rFonts w:ascii="Arial" w:hAnsi="Arial" w:cs="Arial"/>
              <w:noProof/>
              <w:color w:val="auto"/>
              <w:sz w:val="24"/>
              <w:szCs w:val="24"/>
              <w:lang w:val="en-GB" w:eastAsia="en-GB"/>
            </w:rPr>
          </w:pPr>
          <w:r w:rsidRPr="0044348A">
            <w:rPr>
              <w:rFonts w:ascii="Arial" w:hAnsi="Arial" w:cs="Arial"/>
              <w:color w:val="auto"/>
              <w:sz w:val="24"/>
              <w:szCs w:val="24"/>
            </w:rPr>
            <w:fldChar w:fldCharType="begin"/>
          </w:r>
          <w:r w:rsidRPr="0044348A">
            <w:rPr>
              <w:rFonts w:ascii="Arial" w:hAnsi="Arial" w:cs="Arial"/>
              <w:color w:val="auto"/>
              <w:sz w:val="24"/>
              <w:szCs w:val="24"/>
            </w:rPr>
            <w:instrText xml:space="preserve"> TOC \o "1-3" \h \z \u </w:instrText>
          </w:r>
          <w:r w:rsidRPr="0044348A">
            <w:rPr>
              <w:rFonts w:ascii="Arial" w:hAnsi="Arial" w:cs="Arial"/>
              <w:color w:val="auto"/>
              <w:sz w:val="24"/>
              <w:szCs w:val="24"/>
            </w:rPr>
            <w:fldChar w:fldCharType="separate"/>
          </w:r>
          <w:hyperlink w:anchor="_Toc132378211"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1</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Introduction</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_Toc132378211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4</w:t>
            </w:r>
            <w:r w:rsidR="0044348A" w:rsidRPr="0044348A">
              <w:rPr>
                <w:rFonts w:ascii="Arial" w:hAnsi="Arial" w:cs="Arial"/>
                <w:noProof/>
                <w:webHidden/>
                <w:color w:val="auto"/>
                <w:sz w:val="24"/>
                <w:szCs w:val="24"/>
              </w:rPr>
              <w:fldChar w:fldCharType="end"/>
            </w:r>
          </w:hyperlink>
        </w:p>
        <w:p w14:paraId="34E2A3AA" w14:textId="4921C48A" w:rsidR="0044348A" w:rsidRPr="0044348A" w:rsidRDefault="00000000">
          <w:pPr>
            <w:pStyle w:val="TOC1"/>
            <w:rPr>
              <w:rFonts w:ascii="Arial" w:hAnsi="Arial" w:cs="Arial"/>
              <w:noProof/>
              <w:color w:val="auto"/>
              <w:sz w:val="24"/>
              <w:szCs w:val="24"/>
              <w:lang w:val="en-GB" w:eastAsia="en-GB"/>
            </w:rPr>
          </w:pPr>
          <w:hyperlink w:anchor="_Toc132378212"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2</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Purpose</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_Toc132378212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4</w:t>
            </w:r>
            <w:r w:rsidR="0044348A" w:rsidRPr="0044348A">
              <w:rPr>
                <w:rFonts w:ascii="Arial" w:hAnsi="Arial" w:cs="Arial"/>
                <w:noProof/>
                <w:webHidden/>
                <w:color w:val="auto"/>
                <w:sz w:val="24"/>
                <w:szCs w:val="24"/>
              </w:rPr>
              <w:fldChar w:fldCharType="end"/>
            </w:r>
          </w:hyperlink>
        </w:p>
        <w:p w14:paraId="75AD88B8" w14:textId="77ACB613" w:rsidR="0044348A" w:rsidRPr="0044348A" w:rsidRDefault="00000000">
          <w:pPr>
            <w:pStyle w:val="TOC1"/>
            <w:rPr>
              <w:rFonts w:ascii="Arial" w:hAnsi="Arial" w:cs="Arial"/>
              <w:noProof/>
              <w:color w:val="auto"/>
              <w:sz w:val="24"/>
              <w:szCs w:val="24"/>
              <w:lang w:val="en-GB" w:eastAsia="en-GB"/>
            </w:rPr>
          </w:pPr>
          <w:hyperlink w:anchor="_Toc132378213"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3</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Definition/ Explanation of Terms</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_Toc132378213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4</w:t>
            </w:r>
            <w:r w:rsidR="0044348A" w:rsidRPr="0044348A">
              <w:rPr>
                <w:rFonts w:ascii="Arial" w:hAnsi="Arial" w:cs="Arial"/>
                <w:noProof/>
                <w:webHidden/>
                <w:color w:val="auto"/>
                <w:sz w:val="24"/>
                <w:szCs w:val="24"/>
              </w:rPr>
              <w:fldChar w:fldCharType="end"/>
            </w:r>
          </w:hyperlink>
        </w:p>
        <w:p w14:paraId="1D63047D" w14:textId="6450BF67" w:rsidR="0044348A" w:rsidRPr="0044348A" w:rsidRDefault="00000000">
          <w:pPr>
            <w:pStyle w:val="TOC1"/>
            <w:rPr>
              <w:rFonts w:ascii="Arial" w:hAnsi="Arial" w:cs="Arial"/>
              <w:noProof/>
              <w:color w:val="auto"/>
              <w:sz w:val="24"/>
              <w:szCs w:val="24"/>
              <w:lang w:val="en-GB" w:eastAsia="en-GB"/>
            </w:rPr>
          </w:pPr>
          <w:hyperlink w:anchor="_Toc132378214"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4</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Scope of the Policy</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_Toc132378214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5</w:t>
            </w:r>
            <w:r w:rsidR="0044348A" w:rsidRPr="0044348A">
              <w:rPr>
                <w:rFonts w:ascii="Arial" w:hAnsi="Arial" w:cs="Arial"/>
                <w:noProof/>
                <w:webHidden/>
                <w:color w:val="auto"/>
                <w:sz w:val="24"/>
                <w:szCs w:val="24"/>
              </w:rPr>
              <w:fldChar w:fldCharType="end"/>
            </w:r>
          </w:hyperlink>
        </w:p>
        <w:p w14:paraId="7AAFFCCF" w14:textId="3B15DF06" w:rsidR="0044348A" w:rsidRPr="0044348A" w:rsidRDefault="00000000" w:rsidP="00CE5058">
          <w:pPr>
            <w:pStyle w:val="TOC1"/>
            <w:tabs>
              <w:tab w:val="clear" w:pos="10065"/>
            </w:tabs>
            <w:rPr>
              <w:rFonts w:ascii="Arial" w:hAnsi="Arial" w:cs="Arial"/>
              <w:noProof/>
              <w:color w:val="auto"/>
              <w:sz w:val="24"/>
              <w:szCs w:val="24"/>
              <w:lang w:val="en-GB" w:eastAsia="en-GB"/>
            </w:rPr>
          </w:pPr>
          <w:hyperlink w:anchor="_Toc132378215"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5</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Duties/ Accountabilities and Responsibilities</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_Toc132378215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5</w:t>
            </w:r>
            <w:r w:rsidR="0044348A" w:rsidRPr="0044348A">
              <w:rPr>
                <w:rFonts w:ascii="Arial" w:hAnsi="Arial" w:cs="Arial"/>
                <w:noProof/>
                <w:webHidden/>
                <w:color w:val="auto"/>
                <w:sz w:val="24"/>
                <w:szCs w:val="24"/>
              </w:rPr>
              <w:fldChar w:fldCharType="end"/>
            </w:r>
          </w:hyperlink>
        </w:p>
        <w:p w14:paraId="4C828364" w14:textId="3970D951" w:rsidR="0044348A" w:rsidRPr="0044348A" w:rsidRDefault="00000000">
          <w:pPr>
            <w:pStyle w:val="TOC2"/>
            <w:rPr>
              <w:color w:val="auto"/>
              <w:sz w:val="24"/>
              <w:szCs w:val="24"/>
              <w:lang w:val="en-GB" w:eastAsia="en-GB"/>
            </w:rPr>
          </w:pPr>
          <w:hyperlink w:anchor="_Toc132378216" w:history="1">
            <w:r w:rsidR="0044348A" w:rsidRPr="0044348A">
              <w:rPr>
                <w:rStyle w:val="Hyperlink"/>
                <w:color w:val="auto"/>
                <w:sz w:val="24"/>
                <w:szCs w:val="24"/>
              </w:rPr>
              <w:t>5.1</w:t>
            </w:r>
            <w:r w:rsidR="0044348A" w:rsidRPr="0044348A">
              <w:rPr>
                <w:color w:val="auto"/>
                <w:sz w:val="24"/>
                <w:szCs w:val="24"/>
                <w:lang w:val="en-GB" w:eastAsia="en-GB"/>
              </w:rPr>
              <w:tab/>
            </w:r>
            <w:r w:rsidR="0044348A" w:rsidRPr="0044348A">
              <w:rPr>
                <w:rStyle w:val="Hyperlink"/>
                <w:color w:val="auto"/>
                <w:sz w:val="24"/>
                <w:szCs w:val="24"/>
              </w:rPr>
              <w:t>Duties within the organisation</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_Toc132378216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5</w:t>
            </w:r>
            <w:r w:rsidR="0044348A" w:rsidRPr="0044348A">
              <w:rPr>
                <w:webHidden/>
                <w:color w:val="auto"/>
                <w:sz w:val="24"/>
                <w:szCs w:val="24"/>
              </w:rPr>
              <w:fldChar w:fldCharType="end"/>
            </w:r>
          </w:hyperlink>
        </w:p>
        <w:p w14:paraId="45F76646" w14:textId="2EA329C9" w:rsidR="0044348A" w:rsidRPr="0044348A" w:rsidRDefault="00000000">
          <w:pPr>
            <w:pStyle w:val="TOC2"/>
            <w:rPr>
              <w:color w:val="auto"/>
              <w:sz w:val="24"/>
              <w:szCs w:val="24"/>
              <w:lang w:val="en-GB" w:eastAsia="en-GB"/>
            </w:rPr>
          </w:pPr>
          <w:hyperlink w:anchor="_Toc132378217" w:history="1">
            <w:r w:rsidR="0044348A" w:rsidRPr="0044348A">
              <w:rPr>
                <w:rStyle w:val="Hyperlink"/>
                <w:color w:val="auto"/>
                <w:sz w:val="24"/>
                <w:szCs w:val="24"/>
              </w:rPr>
              <w:t>5.2</w:t>
            </w:r>
            <w:r w:rsidR="0044348A" w:rsidRPr="0044348A">
              <w:rPr>
                <w:color w:val="auto"/>
                <w:sz w:val="24"/>
                <w:szCs w:val="24"/>
                <w:lang w:val="en-GB" w:eastAsia="en-GB"/>
              </w:rPr>
              <w:tab/>
            </w:r>
            <w:r w:rsidR="0044348A" w:rsidRPr="0044348A">
              <w:rPr>
                <w:rStyle w:val="Hyperlink"/>
                <w:color w:val="auto"/>
                <w:sz w:val="24"/>
                <w:szCs w:val="24"/>
              </w:rPr>
              <w:t>Chief Executive / Accountable Officer</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_Toc132378217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5</w:t>
            </w:r>
            <w:r w:rsidR="0044348A" w:rsidRPr="0044348A">
              <w:rPr>
                <w:webHidden/>
                <w:color w:val="auto"/>
                <w:sz w:val="24"/>
                <w:szCs w:val="24"/>
              </w:rPr>
              <w:fldChar w:fldCharType="end"/>
            </w:r>
          </w:hyperlink>
        </w:p>
        <w:p w14:paraId="3F1B6831" w14:textId="5175671C" w:rsidR="0044348A" w:rsidRPr="0044348A" w:rsidRDefault="00000000">
          <w:pPr>
            <w:pStyle w:val="TOC2"/>
            <w:rPr>
              <w:color w:val="auto"/>
              <w:sz w:val="24"/>
              <w:szCs w:val="24"/>
              <w:lang w:val="en-GB" w:eastAsia="en-GB"/>
            </w:rPr>
          </w:pPr>
          <w:hyperlink w:anchor="_Toc132378218" w:history="1">
            <w:r w:rsidR="0044348A" w:rsidRPr="0044348A">
              <w:rPr>
                <w:rStyle w:val="Hyperlink"/>
                <w:color w:val="auto"/>
                <w:sz w:val="24"/>
                <w:szCs w:val="24"/>
              </w:rPr>
              <w:t>5.3</w:t>
            </w:r>
            <w:r w:rsidR="0044348A" w:rsidRPr="0044348A">
              <w:rPr>
                <w:color w:val="auto"/>
                <w:sz w:val="24"/>
                <w:szCs w:val="24"/>
                <w:lang w:val="en-GB" w:eastAsia="en-GB"/>
              </w:rPr>
              <w:tab/>
            </w:r>
            <w:r w:rsidR="0044348A" w:rsidRPr="0044348A">
              <w:rPr>
                <w:rStyle w:val="Hyperlink"/>
                <w:color w:val="auto"/>
                <w:sz w:val="24"/>
                <w:szCs w:val="24"/>
              </w:rPr>
              <w:t>Executive Director of Finance and Investment</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_Toc132378218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5</w:t>
            </w:r>
            <w:r w:rsidR="0044348A" w:rsidRPr="0044348A">
              <w:rPr>
                <w:webHidden/>
                <w:color w:val="auto"/>
                <w:sz w:val="24"/>
                <w:szCs w:val="24"/>
              </w:rPr>
              <w:fldChar w:fldCharType="end"/>
            </w:r>
          </w:hyperlink>
        </w:p>
        <w:p w14:paraId="1978F4B2" w14:textId="0D7546B0" w:rsidR="0044348A" w:rsidRPr="0044348A" w:rsidRDefault="00000000">
          <w:pPr>
            <w:pStyle w:val="TOC2"/>
            <w:rPr>
              <w:color w:val="auto"/>
              <w:sz w:val="24"/>
              <w:szCs w:val="24"/>
              <w:lang w:val="en-GB" w:eastAsia="en-GB"/>
            </w:rPr>
          </w:pPr>
          <w:hyperlink w:anchor="_Toc132378219" w:history="1">
            <w:r w:rsidR="0044348A" w:rsidRPr="0044348A">
              <w:rPr>
                <w:rStyle w:val="Hyperlink"/>
                <w:color w:val="auto"/>
                <w:sz w:val="24"/>
                <w:szCs w:val="24"/>
              </w:rPr>
              <w:t>5.4</w:t>
            </w:r>
            <w:r w:rsidR="0044348A" w:rsidRPr="0044348A">
              <w:rPr>
                <w:color w:val="auto"/>
                <w:sz w:val="24"/>
                <w:szCs w:val="24"/>
                <w:lang w:val="en-GB" w:eastAsia="en-GB"/>
              </w:rPr>
              <w:tab/>
            </w:r>
            <w:r w:rsidR="0044348A" w:rsidRPr="0044348A">
              <w:rPr>
                <w:rStyle w:val="Hyperlink"/>
                <w:color w:val="auto"/>
                <w:sz w:val="24"/>
                <w:szCs w:val="24"/>
              </w:rPr>
              <w:t>ICB Executive Director of Clinical &amp; Professional Services</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_Toc132378219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6</w:t>
            </w:r>
            <w:r w:rsidR="0044348A" w:rsidRPr="0044348A">
              <w:rPr>
                <w:webHidden/>
                <w:color w:val="auto"/>
                <w:sz w:val="24"/>
                <w:szCs w:val="24"/>
              </w:rPr>
              <w:fldChar w:fldCharType="end"/>
            </w:r>
          </w:hyperlink>
        </w:p>
        <w:p w14:paraId="505022C9" w14:textId="7FB37918" w:rsidR="0044348A" w:rsidRPr="0044348A" w:rsidRDefault="00000000">
          <w:pPr>
            <w:pStyle w:val="TOC2"/>
            <w:rPr>
              <w:color w:val="auto"/>
              <w:sz w:val="24"/>
              <w:szCs w:val="24"/>
              <w:lang w:val="en-GB" w:eastAsia="en-GB"/>
            </w:rPr>
          </w:pPr>
          <w:hyperlink w:anchor="_Toc132378220" w:history="1">
            <w:r w:rsidR="0044348A" w:rsidRPr="0044348A">
              <w:rPr>
                <w:rStyle w:val="Hyperlink"/>
                <w:color w:val="auto"/>
                <w:sz w:val="24"/>
                <w:szCs w:val="24"/>
              </w:rPr>
              <w:t>5.5</w:t>
            </w:r>
            <w:r w:rsidR="0044348A" w:rsidRPr="0044348A">
              <w:rPr>
                <w:color w:val="auto"/>
                <w:sz w:val="24"/>
                <w:szCs w:val="24"/>
                <w:lang w:val="en-GB" w:eastAsia="en-GB"/>
              </w:rPr>
              <w:tab/>
            </w:r>
            <w:r w:rsidR="0044348A" w:rsidRPr="0044348A">
              <w:rPr>
                <w:rStyle w:val="Hyperlink"/>
                <w:color w:val="auto"/>
                <w:sz w:val="24"/>
                <w:szCs w:val="24"/>
              </w:rPr>
              <w:t>Medicines Management/Optimisation Teams (MMT /MOT)</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_Toc132378220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6</w:t>
            </w:r>
            <w:r w:rsidR="0044348A" w:rsidRPr="0044348A">
              <w:rPr>
                <w:webHidden/>
                <w:color w:val="auto"/>
                <w:sz w:val="24"/>
                <w:szCs w:val="24"/>
              </w:rPr>
              <w:fldChar w:fldCharType="end"/>
            </w:r>
          </w:hyperlink>
        </w:p>
        <w:p w14:paraId="2D5355DB" w14:textId="1309281E" w:rsidR="0044348A" w:rsidRPr="0044348A" w:rsidRDefault="00000000">
          <w:pPr>
            <w:pStyle w:val="TOC2"/>
            <w:rPr>
              <w:color w:val="auto"/>
              <w:sz w:val="24"/>
              <w:szCs w:val="24"/>
              <w:lang w:val="en-GB" w:eastAsia="en-GB"/>
            </w:rPr>
          </w:pPr>
          <w:hyperlink w:anchor="_Toc132378221" w:history="1">
            <w:r w:rsidR="0044348A" w:rsidRPr="0044348A">
              <w:rPr>
                <w:rStyle w:val="Hyperlink"/>
                <w:color w:val="auto"/>
                <w:sz w:val="24"/>
                <w:szCs w:val="24"/>
              </w:rPr>
              <w:t>5.6</w:t>
            </w:r>
            <w:r w:rsidR="0044348A" w:rsidRPr="0044348A">
              <w:rPr>
                <w:color w:val="auto"/>
                <w:sz w:val="24"/>
                <w:szCs w:val="24"/>
                <w:lang w:val="en-GB" w:eastAsia="en-GB"/>
              </w:rPr>
              <w:tab/>
            </w:r>
            <w:r w:rsidR="0044348A" w:rsidRPr="0044348A">
              <w:rPr>
                <w:rStyle w:val="Hyperlink"/>
                <w:color w:val="auto"/>
                <w:sz w:val="24"/>
                <w:szCs w:val="24"/>
              </w:rPr>
              <w:t>ICB Rebates Sub-group</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_Toc132378221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6</w:t>
            </w:r>
            <w:r w:rsidR="0044348A" w:rsidRPr="0044348A">
              <w:rPr>
                <w:webHidden/>
                <w:color w:val="auto"/>
                <w:sz w:val="24"/>
                <w:szCs w:val="24"/>
              </w:rPr>
              <w:fldChar w:fldCharType="end"/>
            </w:r>
          </w:hyperlink>
        </w:p>
        <w:p w14:paraId="71118E6B" w14:textId="73C685BF" w:rsidR="0044348A" w:rsidRPr="0044348A" w:rsidRDefault="00000000">
          <w:pPr>
            <w:pStyle w:val="TOC2"/>
            <w:rPr>
              <w:color w:val="auto"/>
              <w:sz w:val="24"/>
              <w:szCs w:val="24"/>
              <w:lang w:val="en-GB" w:eastAsia="en-GB"/>
            </w:rPr>
          </w:pPr>
          <w:hyperlink w:anchor="_Toc132378222" w:history="1">
            <w:r w:rsidR="0044348A" w:rsidRPr="0044348A">
              <w:rPr>
                <w:rStyle w:val="Hyperlink"/>
                <w:color w:val="auto"/>
                <w:sz w:val="24"/>
                <w:szCs w:val="24"/>
              </w:rPr>
              <w:t>5.7</w:t>
            </w:r>
            <w:r w:rsidR="0044348A" w:rsidRPr="0044348A">
              <w:rPr>
                <w:color w:val="auto"/>
                <w:sz w:val="24"/>
                <w:szCs w:val="24"/>
                <w:lang w:val="en-GB" w:eastAsia="en-GB"/>
              </w:rPr>
              <w:tab/>
            </w:r>
            <w:r w:rsidR="0044348A" w:rsidRPr="0044348A">
              <w:rPr>
                <w:rStyle w:val="Hyperlink"/>
                <w:color w:val="auto"/>
                <w:sz w:val="24"/>
                <w:szCs w:val="24"/>
              </w:rPr>
              <w:t>ICB's Integrated Pharmacy and Medicines Optimisation Committee (IPMOC)</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_Toc132378222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6</w:t>
            </w:r>
            <w:r w:rsidR="0044348A" w:rsidRPr="0044348A">
              <w:rPr>
                <w:webHidden/>
                <w:color w:val="auto"/>
                <w:sz w:val="24"/>
                <w:szCs w:val="24"/>
              </w:rPr>
              <w:fldChar w:fldCharType="end"/>
            </w:r>
          </w:hyperlink>
        </w:p>
        <w:p w14:paraId="4991933C" w14:textId="3222A2E0" w:rsidR="0044348A" w:rsidRPr="0044348A" w:rsidRDefault="00000000">
          <w:pPr>
            <w:pStyle w:val="TOC2"/>
            <w:rPr>
              <w:color w:val="auto"/>
              <w:sz w:val="24"/>
              <w:szCs w:val="24"/>
              <w:lang w:val="en-GB" w:eastAsia="en-GB"/>
            </w:rPr>
          </w:pPr>
          <w:hyperlink w:anchor="_Toc132378223" w:history="1">
            <w:r w:rsidR="0044348A" w:rsidRPr="0044348A">
              <w:rPr>
                <w:rStyle w:val="Hyperlink"/>
                <w:color w:val="auto"/>
                <w:sz w:val="24"/>
                <w:szCs w:val="24"/>
              </w:rPr>
              <w:t>5.8</w:t>
            </w:r>
            <w:r w:rsidR="0044348A" w:rsidRPr="0044348A">
              <w:rPr>
                <w:color w:val="auto"/>
                <w:sz w:val="24"/>
                <w:szCs w:val="24"/>
                <w:lang w:val="en-GB" w:eastAsia="en-GB"/>
              </w:rPr>
              <w:tab/>
            </w:r>
            <w:r w:rsidR="0044348A" w:rsidRPr="0044348A">
              <w:rPr>
                <w:rStyle w:val="Hyperlink"/>
                <w:color w:val="auto"/>
                <w:sz w:val="24"/>
                <w:szCs w:val="24"/>
              </w:rPr>
              <w:t>Heads of Medicines Management and Senior Strategic Lead Pharmacist</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_Toc132378223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6</w:t>
            </w:r>
            <w:r w:rsidR="0044348A" w:rsidRPr="0044348A">
              <w:rPr>
                <w:webHidden/>
                <w:color w:val="auto"/>
                <w:sz w:val="24"/>
                <w:szCs w:val="24"/>
              </w:rPr>
              <w:fldChar w:fldCharType="end"/>
            </w:r>
          </w:hyperlink>
        </w:p>
        <w:p w14:paraId="70CA4214" w14:textId="01584146" w:rsidR="0044348A" w:rsidRPr="0044348A" w:rsidRDefault="00000000">
          <w:pPr>
            <w:pStyle w:val="TOC2"/>
            <w:rPr>
              <w:color w:val="auto"/>
              <w:sz w:val="24"/>
              <w:szCs w:val="24"/>
              <w:lang w:val="en-GB" w:eastAsia="en-GB"/>
            </w:rPr>
          </w:pPr>
          <w:hyperlink w:anchor="_Toc132378224" w:history="1">
            <w:r w:rsidR="0044348A" w:rsidRPr="0044348A">
              <w:rPr>
                <w:rStyle w:val="Hyperlink"/>
                <w:color w:val="auto"/>
                <w:sz w:val="24"/>
                <w:szCs w:val="24"/>
              </w:rPr>
              <w:t>5.9</w:t>
            </w:r>
            <w:r w:rsidR="0044348A" w:rsidRPr="0044348A">
              <w:rPr>
                <w:color w:val="auto"/>
                <w:sz w:val="24"/>
                <w:szCs w:val="24"/>
                <w:lang w:val="en-GB" w:eastAsia="en-GB"/>
              </w:rPr>
              <w:tab/>
            </w:r>
            <w:r w:rsidR="0044348A" w:rsidRPr="0044348A">
              <w:rPr>
                <w:rStyle w:val="Hyperlink"/>
                <w:color w:val="auto"/>
                <w:sz w:val="24"/>
                <w:szCs w:val="24"/>
              </w:rPr>
              <w:t>A Place based director of Finance (Lead for Prescribing)</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_Toc132378224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6</w:t>
            </w:r>
            <w:r w:rsidR="0044348A" w:rsidRPr="0044348A">
              <w:rPr>
                <w:webHidden/>
                <w:color w:val="auto"/>
                <w:sz w:val="24"/>
                <w:szCs w:val="24"/>
              </w:rPr>
              <w:fldChar w:fldCharType="end"/>
            </w:r>
          </w:hyperlink>
        </w:p>
        <w:p w14:paraId="1A55FEF1" w14:textId="49F6C493" w:rsidR="0044348A" w:rsidRPr="0044348A" w:rsidRDefault="00000000">
          <w:pPr>
            <w:pStyle w:val="TOC2"/>
            <w:rPr>
              <w:color w:val="auto"/>
              <w:sz w:val="24"/>
              <w:szCs w:val="24"/>
              <w:lang w:val="en-GB" w:eastAsia="en-GB"/>
            </w:rPr>
          </w:pPr>
          <w:hyperlink w:anchor="_Toc132378225" w:history="1">
            <w:r w:rsidR="0044348A" w:rsidRPr="0044348A">
              <w:rPr>
                <w:rStyle w:val="Hyperlink"/>
                <w:color w:val="auto"/>
                <w:sz w:val="24"/>
                <w:szCs w:val="24"/>
              </w:rPr>
              <w:t>5.10</w:t>
            </w:r>
            <w:r w:rsidR="0044348A" w:rsidRPr="0044348A">
              <w:rPr>
                <w:color w:val="auto"/>
                <w:sz w:val="24"/>
                <w:szCs w:val="24"/>
                <w:lang w:val="en-GB" w:eastAsia="en-GB"/>
              </w:rPr>
              <w:tab/>
            </w:r>
            <w:r w:rsidR="0044348A" w:rsidRPr="0044348A">
              <w:rPr>
                <w:rStyle w:val="Hyperlink"/>
                <w:color w:val="auto"/>
                <w:sz w:val="24"/>
                <w:szCs w:val="24"/>
              </w:rPr>
              <w:t>Head of Service – Financial Accounting &amp; Reporting</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_Toc132378225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6</w:t>
            </w:r>
            <w:r w:rsidR="0044348A" w:rsidRPr="0044348A">
              <w:rPr>
                <w:webHidden/>
                <w:color w:val="auto"/>
                <w:sz w:val="24"/>
                <w:szCs w:val="24"/>
              </w:rPr>
              <w:fldChar w:fldCharType="end"/>
            </w:r>
          </w:hyperlink>
        </w:p>
        <w:p w14:paraId="702218D2" w14:textId="64C8164B" w:rsidR="0044348A" w:rsidRPr="0044348A" w:rsidRDefault="00000000">
          <w:pPr>
            <w:pStyle w:val="TOC2"/>
            <w:rPr>
              <w:color w:val="auto"/>
              <w:sz w:val="24"/>
              <w:szCs w:val="24"/>
              <w:lang w:val="en-GB" w:eastAsia="en-GB"/>
            </w:rPr>
          </w:pPr>
          <w:hyperlink w:anchor="_Toc132378226" w:history="1">
            <w:r w:rsidR="0044348A" w:rsidRPr="0044348A">
              <w:rPr>
                <w:rStyle w:val="Hyperlink"/>
                <w:color w:val="auto"/>
                <w:sz w:val="24"/>
                <w:szCs w:val="24"/>
              </w:rPr>
              <w:t>5.11</w:t>
            </w:r>
            <w:r w:rsidR="0044348A" w:rsidRPr="0044348A">
              <w:rPr>
                <w:color w:val="auto"/>
                <w:sz w:val="24"/>
                <w:szCs w:val="24"/>
                <w:lang w:val="en-GB" w:eastAsia="en-GB"/>
              </w:rPr>
              <w:tab/>
            </w:r>
            <w:r w:rsidR="0044348A" w:rsidRPr="0044348A">
              <w:rPr>
                <w:rStyle w:val="Hyperlink"/>
                <w:color w:val="auto"/>
                <w:sz w:val="24"/>
                <w:szCs w:val="24"/>
              </w:rPr>
              <w:t>ICB's Quality Committee</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_Toc132378226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6</w:t>
            </w:r>
            <w:r w:rsidR="0044348A" w:rsidRPr="0044348A">
              <w:rPr>
                <w:webHidden/>
                <w:color w:val="auto"/>
                <w:sz w:val="24"/>
                <w:szCs w:val="24"/>
              </w:rPr>
              <w:fldChar w:fldCharType="end"/>
            </w:r>
          </w:hyperlink>
        </w:p>
        <w:p w14:paraId="671F361C" w14:textId="6ED6FD37" w:rsidR="0044348A" w:rsidRPr="0044348A" w:rsidRDefault="00000000">
          <w:pPr>
            <w:pStyle w:val="TOC1"/>
            <w:rPr>
              <w:rFonts w:ascii="Arial" w:hAnsi="Arial" w:cs="Arial"/>
              <w:noProof/>
              <w:color w:val="auto"/>
              <w:sz w:val="24"/>
              <w:szCs w:val="24"/>
              <w:lang w:val="en-GB" w:eastAsia="en-GB"/>
            </w:rPr>
          </w:pPr>
          <w:hyperlink w:anchor="_Toc132378227"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6</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Legal Advice</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_Toc132378227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6</w:t>
            </w:r>
            <w:r w:rsidR="0044348A" w:rsidRPr="0044348A">
              <w:rPr>
                <w:rFonts w:ascii="Arial" w:hAnsi="Arial" w:cs="Arial"/>
                <w:noProof/>
                <w:webHidden/>
                <w:color w:val="auto"/>
                <w:sz w:val="24"/>
                <w:szCs w:val="24"/>
              </w:rPr>
              <w:fldChar w:fldCharType="end"/>
            </w:r>
          </w:hyperlink>
        </w:p>
        <w:p w14:paraId="336BB9E6" w14:textId="39833A7A" w:rsidR="0044348A" w:rsidRPr="0044348A" w:rsidRDefault="00000000">
          <w:pPr>
            <w:pStyle w:val="TOC1"/>
            <w:rPr>
              <w:rFonts w:ascii="Arial" w:hAnsi="Arial" w:cs="Arial"/>
              <w:noProof/>
              <w:color w:val="auto"/>
              <w:sz w:val="24"/>
              <w:szCs w:val="24"/>
              <w:lang w:val="en-GB" w:eastAsia="en-GB"/>
            </w:rPr>
          </w:pPr>
          <w:hyperlink w:anchor="_Toc132378228"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7</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Rebate Scheme Policy Requirements</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_Toc132378228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7</w:t>
            </w:r>
            <w:r w:rsidR="0044348A" w:rsidRPr="0044348A">
              <w:rPr>
                <w:rFonts w:ascii="Arial" w:hAnsi="Arial" w:cs="Arial"/>
                <w:noProof/>
                <w:webHidden/>
                <w:color w:val="auto"/>
                <w:sz w:val="24"/>
                <w:szCs w:val="24"/>
              </w:rPr>
              <w:fldChar w:fldCharType="end"/>
            </w:r>
          </w:hyperlink>
        </w:p>
        <w:p w14:paraId="46C76B58" w14:textId="0504828B" w:rsidR="0044348A" w:rsidRPr="0044348A" w:rsidRDefault="00000000">
          <w:pPr>
            <w:pStyle w:val="TOC2"/>
            <w:rPr>
              <w:color w:val="auto"/>
              <w:sz w:val="24"/>
              <w:szCs w:val="24"/>
              <w:lang w:val="en-GB" w:eastAsia="en-GB"/>
            </w:rPr>
          </w:pPr>
          <w:hyperlink w:anchor="_Toc132378229" w:history="1">
            <w:r w:rsidR="0044348A" w:rsidRPr="0044348A">
              <w:rPr>
                <w:rStyle w:val="Hyperlink"/>
                <w:color w:val="auto"/>
                <w:sz w:val="24"/>
                <w:szCs w:val="24"/>
              </w:rPr>
              <w:t>7.1</w:t>
            </w:r>
            <w:r w:rsidR="0044348A" w:rsidRPr="0044348A">
              <w:rPr>
                <w:color w:val="auto"/>
                <w:sz w:val="24"/>
                <w:szCs w:val="24"/>
                <w:lang w:val="en-GB" w:eastAsia="en-GB"/>
              </w:rPr>
              <w:tab/>
            </w:r>
            <w:r w:rsidR="0044348A" w:rsidRPr="0044348A">
              <w:rPr>
                <w:rStyle w:val="Hyperlink"/>
                <w:color w:val="auto"/>
                <w:sz w:val="24"/>
                <w:szCs w:val="24"/>
              </w:rPr>
              <w:t>Good Practice Principles for Rebate Schemes</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_Toc132378229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7</w:t>
            </w:r>
            <w:r w:rsidR="0044348A" w:rsidRPr="0044348A">
              <w:rPr>
                <w:webHidden/>
                <w:color w:val="auto"/>
                <w:sz w:val="24"/>
                <w:szCs w:val="24"/>
              </w:rPr>
              <w:fldChar w:fldCharType="end"/>
            </w:r>
          </w:hyperlink>
        </w:p>
        <w:p w14:paraId="6B6DF10C" w14:textId="7ECC77AC" w:rsidR="0044348A" w:rsidRPr="0044348A" w:rsidRDefault="00000000">
          <w:pPr>
            <w:pStyle w:val="TOC2"/>
            <w:rPr>
              <w:color w:val="auto"/>
              <w:sz w:val="24"/>
              <w:szCs w:val="24"/>
              <w:lang w:val="en-GB" w:eastAsia="en-GB"/>
            </w:rPr>
          </w:pPr>
          <w:hyperlink w:anchor="_Toc132378230" w:history="1">
            <w:r w:rsidR="0044348A" w:rsidRPr="0044348A">
              <w:rPr>
                <w:rStyle w:val="Hyperlink"/>
                <w:color w:val="auto"/>
                <w:sz w:val="24"/>
                <w:szCs w:val="24"/>
              </w:rPr>
              <w:t>7.2</w:t>
            </w:r>
            <w:r w:rsidR="0044348A" w:rsidRPr="0044348A">
              <w:rPr>
                <w:color w:val="auto"/>
                <w:sz w:val="24"/>
                <w:szCs w:val="24"/>
                <w:lang w:val="en-GB" w:eastAsia="en-GB"/>
              </w:rPr>
              <w:tab/>
            </w:r>
            <w:r w:rsidR="0044348A" w:rsidRPr="0044348A">
              <w:rPr>
                <w:rStyle w:val="Hyperlink"/>
                <w:color w:val="auto"/>
                <w:sz w:val="24"/>
                <w:szCs w:val="24"/>
              </w:rPr>
              <w:t>Interface with the Pharmacy Industry</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_Toc132378230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9</w:t>
            </w:r>
            <w:r w:rsidR="0044348A" w:rsidRPr="0044348A">
              <w:rPr>
                <w:webHidden/>
                <w:color w:val="auto"/>
                <w:sz w:val="24"/>
                <w:szCs w:val="24"/>
              </w:rPr>
              <w:fldChar w:fldCharType="end"/>
            </w:r>
          </w:hyperlink>
        </w:p>
        <w:p w14:paraId="73C550A4" w14:textId="19C08160" w:rsidR="0044348A" w:rsidRPr="0044348A" w:rsidRDefault="00000000">
          <w:pPr>
            <w:pStyle w:val="TOC2"/>
            <w:rPr>
              <w:color w:val="auto"/>
              <w:sz w:val="24"/>
              <w:szCs w:val="24"/>
              <w:lang w:val="en-GB" w:eastAsia="en-GB"/>
            </w:rPr>
          </w:pPr>
          <w:hyperlink w:anchor="_Toc132378231" w:history="1">
            <w:r w:rsidR="0044348A" w:rsidRPr="0044348A">
              <w:rPr>
                <w:rStyle w:val="Hyperlink"/>
                <w:color w:val="auto"/>
                <w:sz w:val="24"/>
                <w:szCs w:val="24"/>
              </w:rPr>
              <w:t>7.3</w:t>
            </w:r>
            <w:r w:rsidR="0044348A" w:rsidRPr="0044348A">
              <w:rPr>
                <w:color w:val="auto"/>
                <w:sz w:val="24"/>
                <w:szCs w:val="24"/>
                <w:lang w:val="en-GB" w:eastAsia="en-GB"/>
              </w:rPr>
              <w:tab/>
            </w:r>
            <w:r w:rsidR="0044348A" w:rsidRPr="0044348A">
              <w:rPr>
                <w:rStyle w:val="Hyperlink"/>
                <w:color w:val="auto"/>
                <w:sz w:val="24"/>
                <w:szCs w:val="24"/>
              </w:rPr>
              <w:t>Contracts</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_Toc132378231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9</w:t>
            </w:r>
            <w:r w:rsidR="0044348A" w:rsidRPr="0044348A">
              <w:rPr>
                <w:webHidden/>
                <w:color w:val="auto"/>
                <w:sz w:val="24"/>
                <w:szCs w:val="24"/>
              </w:rPr>
              <w:fldChar w:fldCharType="end"/>
            </w:r>
          </w:hyperlink>
        </w:p>
        <w:p w14:paraId="73B3AA5F" w14:textId="0A0B4AB4" w:rsidR="0044348A" w:rsidRPr="0044348A" w:rsidRDefault="00000000">
          <w:pPr>
            <w:pStyle w:val="TOC2"/>
            <w:rPr>
              <w:color w:val="auto"/>
              <w:sz w:val="24"/>
              <w:szCs w:val="24"/>
              <w:lang w:val="en-GB" w:eastAsia="en-GB"/>
            </w:rPr>
          </w:pPr>
          <w:hyperlink w:anchor="_Toc132378232" w:history="1">
            <w:r w:rsidR="0044348A" w:rsidRPr="0044348A">
              <w:rPr>
                <w:rStyle w:val="Hyperlink"/>
                <w:color w:val="auto"/>
                <w:sz w:val="24"/>
                <w:szCs w:val="24"/>
              </w:rPr>
              <w:t>7.4</w:t>
            </w:r>
            <w:r w:rsidR="0044348A" w:rsidRPr="0044348A">
              <w:rPr>
                <w:color w:val="auto"/>
                <w:sz w:val="24"/>
                <w:szCs w:val="24"/>
                <w:lang w:val="en-GB" w:eastAsia="en-GB"/>
              </w:rPr>
              <w:tab/>
            </w:r>
            <w:r w:rsidR="0044348A" w:rsidRPr="0044348A">
              <w:rPr>
                <w:rStyle w:val="Hyperlink"/>
                <w:color w:val="auto"/>
                <w:sz w:val="24"/>
                <w:szCs w:val="24"/>
              </w:rPr>
              <w:t>Accountability</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_Toc132378232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9</w:t>
            </w:r>
            <w:r w:rsidR="0044348A" w:rsidRPr="0044348A">
              <w:rPr>
                <w:webHidden/>
                <w:color w:val="auto"/>
                <w:sz w:val="24"/>
                <w:szCs w:val="24"/>
              </w:rPr>
              <w:fldChar w:fldCharType="end"/>
            </w:r>
          </w:hyperlink>
        </w:p>
        <w:p w14:paraId="4E9BF606" w14:textId="4A95DCFB" w:rsidR="0044348A" w:rsidRPr="0044348A" w:rsidRDefault="00000000">
          <w:pPr>
            <w:pStyle w:val="TOC2"/>
            <w:rPr>
              <w:color w:val="auto"/>
              <w:sz w:val="24"/>
              <w:szCs w:val="24"/>
              <w:lang w:val="en-GB" w:eastAsia="en-GB"/>
            </w:rPr>
          </w:pPr>
          <w:hyperlink w:anchor="_Toc132378233" w:history="1">
            <w:r w:rsidR="0044348A" w:rsidRPr="0044348A">
              <w:rPr>
                <w:rStyle w:val="Hyperlink"/>
                <w:color w:val="auto"/>
                <w:sz w:val="24"/>
                <w:szCs w:val="24"/>
              </w:rPr>
              <w:t>7.5</w:t>
            </w:r>
            <w:r w:rsidR="0044348A" w:rsidRPr="0044348A">
              <w:rPr>
                <w:color w:val="auto"/>
                <w:sz w:val="24"/>
                <w:szCs w:val="24"/>
                <w:lang w:val="en-GB" w:eastAsia="en-GB"/>
              </w:rPr>
              <w:tab/>
            </w:r>
            <w:r w:rsidR="0044348A" w:rsidRPr="0044348A">
              <w:rPr>
                <w:rStyle w:val="Hyperlink"/>
                <w:color w:val="auto"/>
                <w:sz w:val="24"/>
                <w:szCs w:val="24"/>
              </w:rPr>
              <w:t>Information Governance</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_Toc132378233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10</w:t>
            </w:r>
            <w:r w:rsidR="0044348A" w:rsidRPr="0044348A">
              <w:rPr>
                <w:webHidden/>
                <w:color w:val="auto"/>
                <w:sz w:val="24"/>
                <w:szCs w:val="24"/>
              </w:rPr>
              <w:fldChar w:fldCharType="end"/>
            </w:r>
          </w:hyperlink>
        </w:p>
        <w:p w14:paraId="503A133A" w14:textId="3EC5DA1C" w:rsidR="0044348A" w:rsidRPr="0044348A" w:rsidRDefault="00000000" w:rsidP="00CE5058">
          <w:pPr>
            <w:pStyle w:val="TOC3"/>
            <w:tabs>
              <w:tab w:val="left" w:pos="1320"/>
              <w:tab w:val="right" w:leader="dot" w:pos="10065"/>
            </w:tabs>
            <w:rPr>
              <w:rFonts w:ascii="Arial" w:hAnsi="Arial" w:cs="Arial"/>
              <w:noProof/>
              <w:color w:val="auto"/>
              <w:sz w:val="24"/>
              <w:szCs w:val="24"/>
              <w:lang w:val="en-GB" w:eastAsia="en-GB"/>
            </w:rPr>
          </w:pPr>
          <w:hyperlink w:anchor="_Toc132378234" w:history="1">
            <w:r w:rsidR="0044348A" w:rsidRPr="0044348A">
              <w:rPr>
                <w:rStyle w:val="Hyperlink"/>
                <w:rFonts w:ascii="Arial" w:hAnsi="Arial" w:cs="Arial"/>
                <w:noProof/>
                <w:color w:val="auto"/>
                <w:sz w:val="24"/>
                <w:szCs w:val="24"/>
              </w:rPr>
              <w:t>7.5.1</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Sharing of information with prescribers and other stakeholders</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_Toc132378234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11</w:t>
            </w:r>
            <w:r w:rsidR="0044348A" w:rsidRPr="0044348A">
              <w:rPr>
                <w:rFonts w:ascii="Arial" w:hAnsi="Arial" w:cs="Arial"/>
                <w:noProof/>
                <w:webHidden/>
                <w:color w:val="auto"/>
                <w:sz w:val="24"/>
                <w:szCs w:val="24"/>
              </w:rPr>
              <w:fldChar w:fldCharType="end"/>
            </w:r>
          </w:hyperlink>
        </w:p>
        <w:p w14:paraId="5F008A1C" w14:textId="181D3446" w:rsidR="0044348A" w:rsidRPr="0044348A" w:rsidRDefault="00000000" w:rsidP="00CE5058">
          <w:pPr>
            <w:pStyle w:val="TOC3"/>
            <w:tabs>
              <w:tab w:val="left" w:pos="1320"/>
              <w:tab w:val="right" w:leader="dot" w:pos="10065"/>
            </w:tabs>
            <w:rPr>
              <w:rFonts w:ascii="Arial" w:hAnsi="Arial" w:cs="Arial"/>
              <w:noProof/>
              <w:color w:val="auto"/>
              <w:sz w:val="24"/>
              <w:szCs w:val="24"/>
              <w:lang w:val="en-GB" w:eastAsia="en-GB"/>
            </w:rPr>
          </w:pPr>
          <w:hyperlink w:anchor="_Toc132378235" w:history="1">
            <w:r w:rsidR="0044348A" w:rsidRPr="0044348A">
              <w:rPr>
                <w:rStyle w:val="Hyperlink"/>
                <w:rFonts w:ascii="Arial" w:hAnsi="Arial" w:cs="Arial"/>
                <w:noProof/>
                <w:color w:val="auto"/>
                <w:sz w:val="24"/>
                <w:szCs w:val="24"/>
              </w:rPr>
              <w:t>7.5.2</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Freedom of Information Requests</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_Toc132378235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11</w:t>
            </w:r>
            <w:r w:rsidR="0044348A" w:rsidRPr="0044348A">
              <w:rPr>
                <w:rFonts w:ascii="Arial" w:hAnsi="Arial" w:cs="Arial"/>
                <w:noProof/>
                <w:webHidden/>
                <w:color w:val="auto"/>
                <w:sz w:val="24"/>
                <w:szCs w:val="24"/>
              </w:rPr>
              <w:fldChar w:fldCharType="end"/>
            </w:r>
          </w:hyperlink>
        </w:p>
        <w:p w14:paraId="32BF3F8C" w14:textId="58897238" w:rsidR="0044348A" w:rsidRPr="0044348A" w:rsidRDefault="00000000">
          <w:pPr>
            <w:pStyle w:val="TOC2"/>
            <w:rPr>
              <w:color w:val="auto"/>
              <w:sz w:val="24"/>
              <w:szCs w:val="24"/>
              <w:lang w:val="en-GB" w:eastAsia="en-GB"/>
            </w:rPr>
          </w:pPr>
          <w:hyperlink w:anchor="_Toc132378236" w:history="1">
            <w:r w:rsidR="0044348A" w:rsidRPr="0044348A">
              <w:rPr>
                <w:rStyle w:val="Hyperlink"/>
                <w:color w:val="auto"/>
                <w:sz w:val="24"/>
                <w:szCs w:val="24"/>
              </w:rPr>
              <w:t>7.6</w:t>
            </w:r>
            <w:r w:rsidR="0044348A" w:rsidRPr="0044348A">
              <w:rPr>
                <w:color w:val="auto"/>
                <w:sz w:val="24"/>
                <w:szCs w:val="24"/>
                <w:lang w:val="en-GB" w:eastAsia="en-GB"/>
              </w:rPr>
              <w:tab/>
            </w:r>
            <w:r w:rsidR="0044348A" w:rsidRPr="0044348A">
              <w:rPr>
                <w:rStyle w:val="Hyperlink"/>
                <w:color w:val="auto"/>
                <w:sz w:val="24"/>
                <w:szCs w:val="24"/>
              </w:rPr>
              <w:t>Use of Rebates</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_Toc132378236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11</w:t>
            </w:r>
            <w:r w:rsidR="0044348A" w:rsidRPr="0044348A">
              <w:rPr>
                <w:webHidden/>
                <w:color w:val="auto"/>
                <w:sz w:val="24"/>
                <w:szCs w:val="24"/>
              </w:rPr>
              <w:fldChar w:fldCharType="end"/>
            </w:r>
          </w:hyperlink>
        </w:p>
        <w:p w14:paraId="6DF59C7F" w14:textId="2A1C2FAC" w:rsidR="0044348A" w:rsidRPr="0044348A" w:rsidRDefault="00000000">
          <w:pPr>
            <w:pStyle w:val="TOC1"/>
            <w:rPr>
              <w:rFonts w:ascii="Arial" w:hAnsi="Arial" w:cs="Arial"/>
              <w:noProof/>
              <w:color w:val="auto"/>
              <w:sz w:val="24"/>
              <w:szCs w:val="24"/>
              <w:lang w:val="en-GB" w:eastAsia="en-GB"/>
            </w:rPr>
          </w:pPr>
          <w:hyperlink w:anchor="_Toc132378237"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8</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Consultation</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_Toc132378237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11</w:t>
            </w:r>
            <w:r w:rsidR="0044348A" w:rsidRPr="0044348A">
              <w:rPr>
                <w:rFonts w:ascii="Arial" w:hAnsi="Arial" w:cs="Arial"/>
                <w:noProof/>
                <w:webHidden/>
                <w:color w:val="auto"/>
                <w:sz w:val="24"/>
                <w:szCs w:val="24"/>
              </w:rPr>
              <w:fldChar w:fldCharType="end"/>
            </w:r>
          </w:hyperlink>
        </w:p>
        <w:p w14:paraId="0281AEA6" w14:textId="2AA62970" w:rsidR="0044348A" w:rsidRPr="0044348A" w:rsidRDefault="00000000">
          <w:pPr>
            <w:pStyle w:val="TOC1"/>
            <w:rPr>
              <w:rFonts w:ascii="Arial" w:hAnsi="Arial" w:cs="Arial"/>
              <w:noProof/>
              <w:color w:val="auto"/>
              <w:sz w:val="24"/>
              <w:szCs w:val="24"/>
              <w:lang w:val="en-GB" w:eastAsia="en-GB"/>
            </w:rPr>
          </w:pPr>
          <w:hyperlink w:anchor="_Toc132378238"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9</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Training</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_Toc132378238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12</w:t>
            </w:r>
            <w:r w:rsidR="0044348A" w:rsidRPr="0044348A">
              <w:rPr>
                <w:rFonts w:ascii="Arial" w:hAnsi="Arial" w:cs="Arial"/>
                <w:noProof/>
                <w:webHidden/>
                <w:color w:val="auto"/>
                <w:sz w:val="24"/>
                <w:szCs w:val="24"/>
              </w:rPr>
              <w:fldChar w:fldCharType="end"/>
            </w:r>
          </w:hyperlink>
        </w:p>
        <w:p w14:paraId="4415C92E" w14:textId="1E988AD8" w:rsidR="0044348A" w:rsidRPr="0044348A" w:rsidRDefault="00000000">
          <w:pPr>
            <w:pStyle w:val="TOC1"/>
            <w:rPr>
              <w:rFonts w:ascii="Arial" w:hAnsi="Arial" w:cs="Arial"/>
              <w:noProof/>
              <w:color w:val="auto"/>
              <w:sz w:val="24"/>
              <w:szCs w:val="24"/>
              <w:lang w:val="en-GB" w:eastAsia="en-GB"/>
            </w:rPr>
          </w:pPr>
          <w:hyperlink w:anchor="_Toc132378239"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10</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Monitoring Compliance</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_Toc132378239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12</w:t>
            </w:r>
            <w:r w:rsidR="0044348A" w:rsidRPr="0044348A">
              <w:rPr>
                <w:rFonts w:ascii="Arial" w:hAnsi="Arial" w:cs="Arial"/>
                <w:noProof/>
                <w:webHidden/>
                <w:color w:val="auto"/>
                <w:sz w:val="24"/>
                <w:szCs w:val="24"/>
              </w:rPr>
              <w:fldChar w:fldCharType="end"/>
            </w:r>
          </w:hyperlink>
        </w:p>
        <w:p w14:paraId="12D3D05E" w14:textId="670694C4" w:rsidR="0044348A" w:rsidRPr="0044348A" w:rsidRDefault="00000000">
          <w:pPr>
            <w:pStyle w:val="TOC1"/>
            <w:rPr>
              <w:rFonts w:ascii="Arial" w:hAnsi="Arial" w:cs="Arial"/>
              <w:noProof/>
              <w:color w:val="auto"/>
              <w:sz w:val="24"/>
              <w:szCs w:val="24"/>
              <w:lang w:val="en-GB" w:eastAsia="en-GB"/>
            </w:rPr>
          </w:pPr>
          <w:hyperlink w:anchor="_Toc132378240"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11</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Arrangements for Review</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_Toc132378240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12</w:t>
            </w:r>
            <w:r w:rsidR="0044348A" w:rsidRPr="0044348A">
              <w:rPr>
                <w:rFonts w:ascii="Arial" w:hAnsi="Arial" w:cs="Arial"/>
                <w:noProof/>
                <w:webHidden/>
                <w:color w:val="auto"/>
                <w:sz w:val="24"/>
                <w:szCs w:val="24"/>
              </w:rPr>
              <w:fldChar w:fldCharType="end"/>
            </w:r>
          </w:hyperlink>
        </w:p>
        <w:p w14:paraId="62ED6AC8" w14:textId="05D594D9" w:rsidR="0044348A" w:rsidRPr="0044348A" w:rsidRDefault="00000000">
          <w:pPr>
            <w:pStyle w:val="TOC1"/>
            <w:rPr>
              <w:rFonts w:ascii="Arial" w:hAnsi="Arial" w:cs="Arial"/>
              <w:noProof/>
              <w:color w:val="auto"/>
              <w:sz w:val="24"/>
              <w:szCs w:val="24"/>
              <w:lang w:val="en-GB" w:eastAsia="en-GB"/>
            </w:rPr>
          </w:pPr>
          <w:hyperlink w:anchor="_Toc132378241"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12</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Dissemination</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_Toc132378241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12</w:t>
            </w:r>
            <w:r w:rsidR="0044348A" w:rsidRPr="0044348A">
              <w:rPr>
                <w:rFonts w:ascii="Arial" w:hAnsi="Arial" w:cs="Arial"/>
                <w:noProof/>
                <w:webHidden/>
                <w:color w:val="auto"/>
                <w:sz w:val="24"/>
                <w:szCs w:val="24"/>
              </w:rPr>
              <w:fldChar w:fldCharType="end"/>
            </w:r>
          </w:hyperlink>
        </w:p>
        <w:p w14:paraId="4926632E" w14:textId="608439FD" w:rsidR="0044348A" w:rsidRPr="0044348A" w:rsidRDefault="00000000">
          <w:pPr>
            <w:pStyle w:val="TOC1"/>
            <w:rPr>
              <w:rFonts w:ascii="Arial" w:hAnsi="Arial" w:cs="Arial"/>
              <w:noProof/>
              <w:color w:val="auto"/>
              <w:sz w:val="24"/>
              <w:szCs w:val="24"/>
              <w:lang w:val="en-GB" w:eastAsia="en-GB"/>
            </w:rPr>
          </w:pPr>
          <w:hyperlink w:anchor="_Toc132378242"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13</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Associated Documentation</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_Toc132378242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12</w:t>
            </w:r>
            <w:r w:rsidR="0044348A" w:rsidRPr="0044348A">
              <w:rPr>
                <w:rFonts w:ascii="Arial" w:hAnsi="Arial" w:cs="Arial"/>
                <w:noProof/>
                <w:webHidden/>
                <w:color w:val="auto"/>
                <w:sz w:val="24"/>
                <w:szCs w:val="24"/>
              </w:rPr>
              <w:fldChar w:fldCharType="end"/>
            </w:r>
          </w:hyperlink>
        </w:p>
        <w:p w14:paraId="60B7C476" w14:textId="03B47E7E" w:rsidR="0044348A" w:rsidRPr="0044348A" w:rsidRDefault="00000000">
          <w:pPr>
            <w:pStyle w:val="TOC1"/>
            <w:rPr>
              <w:rFonts w:ascii="Arial" w:hAnsi="Arial" w:cs="Arial"/>
              <w:noProof/>
              <w:color w:val="auto"/>
              <w:sz w:val="24"/>
              <w:szCs w:val="24"/>
              <w:lang w:val="en-GB" w:eastAsia="en-GB"/>
            </w:rPr>
          </w:pPr>
          <w:hyperlink w:anchor="_Toc132378243"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14</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References</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_Toc132378243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12</w:t>
            </w:r>
            <w:r w:rsidR="0044348A" w:rsidRPr="0044348A">
              <w:rPr>
                <w:rFonts w:ascii="Arial" w:hAnsi="Arial" w:cs="Arial"/>
                <w:noProof/>
                <w:webHidden/>
                <w:color w:val="auto"/>
                <w:sz w:val="24"/>
                <w:szCs w:val="24"/>
              </w:rPr>
              <w:fldChar w:fldCharType="end"/>
            </w:r>
          </w:hyperlink>
        </w:p>
        <w:p w14:paraId="04F8BA2A" w14:textId="15BD7B62" w:rsidR="0044348A" w:rsidRPr="0044348A" w:rsidRDefault="00000000">
          <w:pPr>
            <w:pStyle w:val="TOC1"/>
            <w:rPr>
              <w:rFonts w:ascii="Arial" w:hAnsi="Arial" w:cs="Arial"/>
              <w:noProof/>
              <w:color w:val="auto"/>
              <w:sz w:val="24"/>
              <w:szCs w:val="24"/>
              <w:lang w:val="en-GB" w:eastAsia="en-GB"/>
            </w:rPr>
          </w:pPr>
          <w:hyperlink w:anchor="_Toc132378244"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15</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Appendices</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_Toc132378244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12</w:t>
            </w:r>
            <w:r w:rsidR="0044348A" w:rsidRPr="0044348A">
              <w:rPr>
                <w:rFonts w:ascii="Arial" w:hAnsi="Arial" w:cs="Arial"/>
                <w:noProof/>
                <w:webHidden/>
                <w:color w:val="auto"/>
                <w:sz w:val="24"/>
                <w:szCs w:val="24"/>
              </w:rPr>
              <w:fldChar w:fldCharType="end"/>
            </w:r>
          </w:hyperlink>
        </w:p>
        <w:p w14:paraId="550A81D2" w14:textId="28CACBCC" w:rsidR="0044348A" w:rsidRPr="0044348A" w:rsidRDefault="00000000">
          <w:pPr>
            <w:pStyle w:val="TOC1"/>
            <w:rPr>
              <w:rFonts w:ascii="Arial" w:hAnsi="Arial" w:cs="Arial"/>
              <w:noProof/>
              <w:color w:val="auto"/>
              <w:sz w:val="24"/>
              <w:szCs w:val="24"/>
              <w:lang w:val="en-GB" w:eastAsia="en-GB"/>
            </w:rPr>
          </w:pPr>
          <w:hyperlink w:anchor="_Toc132378245" w:history="1">
            <w:r w:rsidR="0044348A" w:rsidRPr="0044348A">
              <w:rPr>
                <w:rStyle w:val="Hyperlink"/>
                <w:rFonts w:ascii="Arial" w:hAnsi="Arial" w:cs="Arial"/>
                <w:bCs/>
                <w:noProof/>
                <w:color w:val="auto"/>
                <w:sz w:val="24"/>
                <w:szCs w:val="24"/>
                <w14:scene3d>
                  <w14:camera w14:prst="orthographicFront"/>
                  <w14:lightRig w14:rig="threePt" w14:dir="t">
                    <w14:rot w14:lat="0" w14:lon="0" w14:rev="0"/>
                  </w14:lightRig>
                </w14:scene3d>
              </w:rPr>
              <w:t>16</w:t>
            </w:r>
            <w:r w:rsidR="0044348A" w:rsidRPr="0044348A">
              <w:rPr>
                <w:rFonts w:ascii="Arial" w:hAnsi="Arial" w:cs="Arial"/>
                <w:noProof/>
                <w:color w:val="auto"/>
                <w:sz w:val="24"/>
                <w:szCs w:val="24"/>
                <w:lang w:val="en-GB" w:eastAsia="en-GB"/>
              </w:rPr>
              <w:tab/>
            </w:r>
            <w:r w:rsidR="0044348A" w:rsidRPr="0044348A">
              <w:rPr>
                <w:rStyle w:val="Hyperlink"/>
                <w:rFonts w:ascii="Arial" w:hAnsi="Arial" w:cs="Arial"/>
                <w:noProof/>
                <w:color w:val="auto"/>
                <w:sz w:val="24"/>
                <w:szCs w:val="24"/>
              </w:rPr>
              <w:t>Impact Assessments</w:t>
            </w:r>
            <w:r w:rsidR="0044348A" w:rsidRPr="0044348A">
              <w:rPr>
                <w:rFonts w:ascii="Arial" w:hAnsi="Arial" w:cs="Arial"/>
                <w:noProof/>
                <w:webHidden/>
                <w:color w:val="auto"/>
                <w:sz w:val="24"/>
                <w:szCs w:val="24"/>
              </w:rPr>
              <w:tab/>
            </w:r>
            <w:r w:rsidR="0044348A" w:rsidRPr="0044348A">
              <w:rPr>
                <w:rFonts w:ascii="Arial" w:hAnsi="Arial" w:cs="Arial"/>
                <w:noProof/>
                <w:webHidden/>
                <w:color w:val="auto"/>
                <w:sz w:val="24"/>
                <w:szCs w:val="24"/>
              </w:rPr>
              <w:fldChar w:fldCharType="begin"/>
            </w:r>
            <w:r w:rsidR="0044348A" w:rsidRPr="0044348A">
              <w:rPr>
                <w:rFonts w:ascii="Arial" w:hAnsi="Arial" w:cs="Arial"/>
                <w:noProof/>
                <w:webHidden/>
                <w:color w:val="auto"/>
                <w:sz w:val="24"/>
                <w:szCs w:val="24"/>
              </w:rPr>
              <w:instrText xml:space="preserve"> PAGEREF _Toc132378245 \h </w:instrText>
            </w:r>
            <w:r w:rsidR="0044348A" w:rsidRPr="0044348A">
              <w:rPr>
                <w:rFonts w:ascii="Arial" w:hAnsi="Arial" w:cs="Arial"/>
                <w:noProof/>
                <w:webHidden/>
                <w:color w:val="auto"/>
                <w:sz w:val="24"/>
                <w:szCs w:val="24"/>
              </w:rPr>
            </w:r>
            <w:r w:rsidR="0044348A" w:rsidRPr="0044348A">
              <w:rPr>
                <w:rFonts w:ascii="Arial" w:hAnsi="Arial" w:cs="Arial"/>
                <w:noProof/>
                <w:webHidden/>
                <w:color w:val="auto"/>
                <w:sz w:val="24"/>
                <w:szCs w:val="24"/>
              </w:rPr>
              <w:fldChar w:fldCharType="separate"/>
            </w:r>
            <w:r w:rsidR="00DF7E9C">
              <w:rPr>
                <w:rFonts w:ascii="Arial" w:hAnsi="Arial" w:cs="Arial"/>
                <w:noProof/>
                <w:webHidden/>
                <w:color w:val="auto"/>
                <w:sz w:val="24"/>
                <w:szCs w:val="24"/>
              </w:rPr>
              <w:t>12</w:t>
            </w:r>
            <w:r w:rsidR="0044348A" w:rsidRPr="0044348A">
              <w:rPr>
                <w:rFonts w:ascii="Arial" w:hAnsi="Arial" w:cs="Arial"/>
                <w:noProof/>
                <w:webHidden/>
                <w:color w:val="auto"/>
                <w:sz w:val="24"/>
                <w:szCs w:val="24"/>
              </w:rPr>
              <w:fldChar w:fldCharType="end"/>
            </w:r>
          </w:hyperlink>
        </w:p>
        <w:p w14:paraId="0F2347B5" w14:textId="7581DD9F" w:rsidR="0044348A" w:rsidRPr="0044348A" w:rsidRDefault="00000000">
          <w:pPr>
            <w:pStyle w:val="TOC2"/>
            <w:rPr>
              <w:color w:val="auto"/>
              <w:sz w:val="24"/>
              <w:szCs w:val="24"/>
              <w:lang w:val="en-GB" w:eastAsia="en-GB"/>
            </w:rPr>
          </w:pPr>
          <w:hyperlink w:anchor="_Toc132378246" w:history="1">
            <w:r w:rsidR="0044348A" w:rsidRPr="0044348A">
              <w:rPr>
                <w:rStyle w:val="Hyperlink"/>
                <w:color w:val="auto"/>
                <w:sz w:val="24"/>
                <w:szCs w:val="24"/>
              </w:rPr>
              <w:t>16.1</w:t>
            </w:r>
            <w:r w:rsidR="0044348A" w:rsidRPr="0044348A">
              <w:rPr>
                <w:color w:val="auto"/>
                <w:sz w:val="24"/>
                <w:szCs w:val="24"/>
                <w:lang w:val="en-GB" w:eastAsia="en-GB"/>
              </w:rPr>
              <w:tab/>
            </w:r>
            <w:r w:rsidR="0044348A" w:rsidRPr="0044348A">
              <w:rPr>
                <w:rStyle w:val="Hyperlink"/>
                <w:color w:val="auto"/>
                <w:sz w:val="24"/>
                <w:szCs w:val="24"/>
              </w:rPr>
              <w:t>Equality</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_Toc132378246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12</w:t>
            </w:r>
            <w:r w:rsidR="0044348A" w:rsidRPr="0044348A">
              <w:rPr>
                <w:webHidden/>
                <w:color w:val="auto"/>
                <w:sz w:val="24"/>
                <w:szCs w:val="24"/>
              </w:rPr>
              <w:fldChar w:fldCharType="end"/>
            </w:r>
          </w:hyperlink>
        </w:p>
        <w:p w14:paraId="5782AC3D" w14:textId="1ABE9556" w:rsidR="0044348A" w:rsidRPr="0044348A" w:rsidRDefault="00000000">
          <w:pPr>
            <w:pStyle w:val="TOC2"/>
            <w:rPr>
              <w:color w:val="auto"/>
              <w:sz w:val="24"/>
              <w:szCs w:val="24"/>
              <w:lang w:val="en-GB" w:eastAsia="en-GB"/>
            </w:rPr>
          </w:pPr>
          <w:hyperlink w:anchor="_Toc132378247" w:history="1">
            <w:r w:rsidR="0044348A" w:rsidRPr="0044348A">
              <w:rPr>
                <w:rStyle w:val="Hyperlink"/>
                <w:color w:val="auto"/>
                <w:sz w:val="24"/>
                <w:szCs w:val="24"/>
              </w:rPr>
              <w:t>16.2</w:t>
            </w:r>
            <w:r w:rsidR="0044348A" w:rsidRPr="0044348A">
              <w:rPr>
                <w:color w:val="auto"/>
                <w:sz w:val="24"/>
                <w:szCs w:val="24"/>
                <w:lang w:val="en-GB" w:eastAsia="en-GB"/>
              </w:rPr>
              <w:tab/>
            </w:r>
            <w:r w:rsidR="0044348A" w:rsidRPr="0044348A">
              <w:rPr>
                <w:rStyle w:val="Hyperlink"/>
                <w:color w:val="auto"/>
                <w:sz w:val="24"/>
                <w:szCs w:val="24"/>
              </w:rPr>
              <w:t>Sustainability</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_Toc132378247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13</w:t>
            </w:r>
            <w:r w:rsidR="0044348A" w:rsidRPr="0044348A">
              <w:rPr>
                <w:webHidden/>
                <w:color w:val="auto"/>
                <w:sz w:val="24"/>
                <w:szCs w:val="24"/>
              </w:rPr>
              <w:fldChar w:fldCharType="end"/>
            </w:r>
          </w:hyperlink>
        </w:p>
        <w:p w14:paraId="4B1696EC" w14:textId="279DEA1B" w:rsidR="0044348A" w:rsidRPr="0044348A" w:rsidRDefault="00000000">
          <w:pPr>
            <w:pStyle w:val="TOC2"/>
            <w:rPr>
              <w:color w:val="auto"/>
              <w:sz w:val="24"/>
              <w:szCs w:val="24"/>
              <w:lang w:val="en-GB" w:eastAsia="en-GB"/>
            </w:rPr>
          </w:pPr>
          <w:hyperlink w:anchor="_Toc132378248" w:history="1">
            <w:r w:rsidR="0044348A" w:rsidRPr="0044348A">
              <w:rPr>
                <w:rStyle w:val="Hyperlink"/>
                <w:color w:val="auto"/>
                <w:sz w:val="24"/>
                <w:szCs w:val="24"/>
              </w:rPr>
              <w:t>16.3</w:t>
            </w:r>
            <w:r w:rsidR="0044348A" w:rsidRPr="0044348A">
              <w:rPr>
                <w:color w:val="auto"/>
                <w:sz w:val="24"/>
                <w:szCs w:val="24"/>
                <w:lang w:val="en-GB" w:eastAsia="en-GB"/>
              </w:rPr>
              <w:tab/>
            </w:r>
            <w:r w:rsidR="0044348A" w:rsidRPr="0044348A">
              <w:rPr>
                <w:rStyle w:val="Hyperlink"/>
                <w:color w:val="auto"/>
                <w:sz w:val="24"/>
                <w:szCs w:val="24"/>
              </w:rPr>
              <w:t>Bribery Act 2010</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_Toc132378248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13</w:t>
            </w:r>
            <w:r w:rsidR="0044348A" w:rsidRPr="0044348A">
              <w:rPr>
                <w:webHidden/>
                <w:color w:val="auto"/>
                <w:sz w:val="24"/>
                <w:szCs w:val="24"/>
              </w:rPr>
              <w:fldChar w:fldCharType="end"/>
            </w:r>
          </w:hyperlink>
        </w:p>
        <w:p w14:paraId="3CA8B1C1" w14:textId="2656E3F9" w:rsidR="0044348A" w:rsidRPr="0044348A" w:rsidRDefault="00000000">
          <w:pPr>
            <w:pStyle w:val="TOC2"/>
            <w:rPr>
              <w:color w:val="auto"/>
              <w:sz w:val="24"/>
              <w:szCs w:val="24"/>
              <w:lang w:val="en-GB" w:eastAsia="en-GB"/>
            </w:rPr>
          </w:pPr>
          <w:hyperlink w:anchor="_Toc132378249" w:history="1">
            <w:r w:rsidR="0044348A" w:rsidRPr="0044348A">
              <w:rPr>
                <w:rStyle w:val="Hyperlink"/>
                <w:color w:val="auto"/>
                <w:sz w:val="24"/>
                <w:szCs w:val="24"/>
              </w:rPr>
              <w:t>16.4</w:t>
            </w:r>
            <w:r w:rsidR="0044348A" w:rsidRPr="0044348A">
              <w:rPr>
                <w:color w:val="auto"/>
                <w:sz w:val="24"/>
                <w:szCs w:val="24"/>
                <w:lang w:val="en-GB" w:eastAsia="en-GB"/>
              </w:rPr>
              <w:tab/>
            </w:r>
            <w:r w:rsidR="0044348A" w:rsidRPr="0044348A">
              <w:rPr>
                <w:rStyle w:val="Hyperlink"/>
                <w:color w:val="auto"/>
                <w:sz w:val="24"/>
                <w:szCs w:val="24"/>
              </w:rPr>
              <w:t>General Data Protection Regulations (GDPR)</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_Toc132378249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13</w:t>
            </w:r>
            <w:r w:rsidR="0044348A" w:rsidRPr="0044348A">
              <w:rPr>
                <w:webHidden/>
                <w:color w:val="auto"/>
                <w:sz w:val="24"/>
                <w:szCs w:val="24"/>
              </w:rPr>
              <w:fldChar w:fldCharType="end"/>
            </w:r>
          </w:hyperlink>
        </w:p>
        <w:p w14:paraId="2EB800AC" w14:textId="77304EE6" w:rsidR="0044348A" w:rsidRPr="0044348A" w:rsidRDefault="00000000">
          <w:pPr>
            <w:pStyle w:val="TOC2"/>
            <w:rPr>
              <w:color w:val="auto"/>
              <w:sz w:val="24"/>
              <w:szCs w:val="24"/>
              <w:lang w:val="en-GB" w:eastAsia="en-GB"/>
            </w:rPr>
          </w:pPr>
          <w:hyperlink w:anchor="_Toc132378250" w:history="1">
            <w:r w:rsidR="0044348A" w:rsidRPr="0044348A">
              <w:rPr>
                <w:rStyle w:val="Hyperlink"/>
                <w:color w:val="auto"/>
                <w:sz w:val="24"/>
                <w:szCs w:val="24"/>
              </w:rPr>
              <w:t>Appendix 1 - Anti-Fraud, Bribery and Corruption</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_Toc132378250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14</w:t>
            </w:r>
            <w:r w:rsidR="0044348A" w:rsidRPr="0044348A">
              <w:rPr>
                <w:webHidden/>
                <w:color w:val="auto"/>
                <w:sz w:val="24"/>
                <w:szCs w:val="24"/>
              </w:rPr>
              <w:fldChar w:fldCharType="end"/>
            </w:r>
          </w:hyperlink>
        </w:p>
        <w:p w14:paraId="63FE8BDE" w14:textId="1364D573" w:rsidR="0044348A" w:rsidRPr="0044348A" w:rsidRDefault="00000000">
          <w:pPr>
            <w:pStyle w:val="TOC2"/>
            <w:rPr>
              <w:color w:val="auto"/>
              <w:sz w:val="24"/>
              <w:szCs w:val="24"/>
              <w:lang w:val="en-GB" w:eastAsia="en-GB"/>
            </w:rPr>
          </w:pPr>
          <w:hyperlink w:anchor="_Toc132378251" w:history="1">
            <w:r w:rsidR="0044348A" w:rsidRPr="0044348A">
              <w:rPr>
                <w:rStyle w:val="Hyperlink"/>
                <w:color w:val="auto"/>
                <w:sz w:val="24"/>
                <w:szCs w:val="24"/>
              </w:rPr>
              <w:t>Appendix 2: Primary Care Rebate Scheme - Approval Process</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_Toc132378251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15</w:t>
            </w:r>
            <w:r w:rsidR="0044348A" w:rsidRPr="0044348A">
              <w:rPr>
                <w:webHidden/>
                <w:color w:val="auto"/>
                <w:sz w:val="24"/>
                <w:szCs w:val="24"/>
              </w:rPr>
              <w:fldChar w:fldCharType="end"/>
            </w:r>
          </w:hyperlink>
        </w:p>
        <w:p w14:paraId="3748A522" w14:textId="4A58E9FA" w:rsidR="0044348A" w:rsidRPr="0044348A" w:rsidRDefault="00000000">
          <w:pPr>
            <w:pStyle w:val="TOC2"/>
            <w:rPr>
              <w:color w:val="auto"/>
              <w:sz w:val="24"/>
              <w:szCs w:val="24"/>
              <w:lang w:val="en-GB" w:eastAsia="en-GB"/>
            </w:rPr>
          </w:pPr>
          <w:hyperlink w:anchor="_Toc132378252" w:history="1">
            <w:r w:rsidR="0044348A" w:rsidRPr="0044348A">
              <w:rPr>
                <w:rStyle w:val="Hyperlink"/>
                <w:color w:val="auto"/>
                <w:sz w:val="24"/>
                <w:szCs w:val="24"/>
              </w:rPr>
              <w:t>Appendix 3:   ICB Primary Care Rebate Scheme: Assessment and Decision Form</w:t>
            </w:r>
            <w:r w:rsidR="0044348A" w:rsidRPr="0044348A">
              <w:rPr>
                <w:webHidden/>
                <w:color w:val="auto"/>
                <w:sz w:val="24"/>
                <w:szCs w:val="24"/>
              </w:rPr>
              <w:tab/>
            </w:r>
            <w:r w:rsidR="0044348A" w:rsidRPr="0044348A">
              <w:rPr>
                <w:webHidden/>
                <w:color w:val="auto"/>
                <w:sz w:val="24"/>
                <w:szCs w:val="24"/>
              </w:rPr>
              <w:fldChar w:fldCharType="begin"/>
            </w:r>
            <w:r w:rsidR="0044348A" w:rsidRPr="0044348A">
              <w:rPr>
                <w:webHidden/>
                <w:color w:val="auto"/>
                <w:sz w:val="24"/>
                <w:szCs w:val="24"/>
              </w:rPr>
              <w:instrText xml:space="preserve"> PAGEREF _Toc132378252 \h </w:instrText>
            </w:r>
            <w:r w:rsidR="0044348A" w:rsidRPr="0044348A">
              <w:rPr>
                <w:webHidden/>
                <w:color w:val="auto"/>
                <w:sz w:val="24"/>
                <w:szCs w:val="24"/>
              </w:rPr>
            </w:r>
            <w:r w:rsidR="0044348A" w:rsidRPr="0044348A">
              <w:rPr>
                <w:webHidden/>
                <w:color w:val="auto"/>
                <w:sz w:val="24"/>
                <w:szCs w:val="24"/>
              </w:rPr>
              <w:fldChar w:fldCharType="separate"/>
            </w:r>
            <w:r w:rsidR="00DF7E9C">
              <w:rPr>
                <w:webHidden/>
                <w:color w:val="auto"/>
                <w:sz w:val="24"/>
                <w:szCs w:val="24"/>
              </w:rPr>
              <w:t>16</w:t>
            </w:r>
            <w:r w:rsidR="0044348A" w:rsidRPr="0044348A">
              <w:rPr>
                <w:webHidden/>
                <w:color w:val="auto"/>
                <w:sz w:val="24"/>
                <w:szCs w:val="24"/>
              </w:rPr>
              <w:fldChar w:fldCharType="end"/>
            </w:r>
          </w:hyperlink>
        </w:p>
        <w:p w14:paraId="198CDF09" w14:textId="03EB3630" w:rsidR="00D541D9" w:rsidRPr="0044348A" w:rsidRDefault="009F2C13" w:rsidP="006B004A">
          <w:pPr>
            <w:pStyle w:val="TOC2"/>
            <w:rPr>
              <w:color w:val="auto"/>
              <w:sz w:val="24"/>
              <w:szCs w:val="24"/>
            </w:rPr>
          </w:pPr>
          <w:r w:rsidRPr="0044348A">
            <w:rPr>
              <w:b/>
              <w:bCs/>
              <w:color w:val="auto"/>
              <w:sz w:val="24"/>
              <w:szCs w:val="24"/>
            </w:rPr>
            <w:fldChar w:fldCharType="end"/>
          </w:r>
        </w:p>
      </w:sdtContent>
    </w:sdt>
    <w:p w14:paraId="7B959553" w14:textId="77777777" w:rsidR="00CE5058" w:rsidRDefault="00CE5058">
      <w:pPr>
        <w:spacing w:line="240" w:lineRule="auto"/>
        <w:rPr>
          <w:b/>
          <w:color w:val="auto"/>
          <w:sz w:val="28"/>
          <w:szCs w:val="22"/>
        </w:rPr>
      </w:pPr>
      <w:bookmarkStart w:id="0" w:name="_Toc132378211"/>
      <w:r>
        <w:br w:type="page"/>
      </w:r>
    </w:p>
    <w:p w14:paraId="7A119E60" w14:textId="04599429" w:rsidR="00824982" w:rsidRDefault="00BE1D7D" w:rsidP="00AE286E">
      <w:pPr>
        <w:pStyle w:val="Heading1"/>
      </w:pPr>
      <w:r w:rsidRPr="00402368">
        <w:lastRenderedPageBreak/>
        <w:t>I</w:t>
      </w:r>
      <w:r w:rsidR="00E91015">
        <w:t>ntroduction</w:t>
      </w:r>
      <w:bookmarkEnd w:id="0"/>
    </w:p>
    <w:p w14:paraId="70DFEAE6" w14:textId="3B5FE920" w:rsidR="006B1B02" w:rsidRDefault="006B1B02" w:rsidP="000A5544">
      <w:pPr>
        <w:spacing w:line="240" w:lineRule="auto"/>
        <w:ind w:left="858"/>
        <w:rPr>
          <w:color w:val="000000" w:themeColor="text1"/>
        </w:rPr>
      </w:pPr>
      <w:r w:rsidRPr="006B1B02">
        <w:rPr>
          <w:color w:val="000000" w:themeColor="text1"/>
        </w:rPr>
        <w:t>The NHS operates a single 'Drug Tariff' pricing mechanism that accounts for an overwhelming majority of its prescriptions dispensed in primary care. This prevents local pricing arrangements affecting list prices. The list prices of medicines in the NHS Drug Tariff are regularly adjusted in response to the market, allowing the prices of generic medicines to go up or down.</w:t>
      </w:r>
    </w:p>
    <w:p w14:paraId="46A154C2" w14:textId="77777777" w:rsidR="006B1B02" w:rsidRPr="006B1B02" w:rsidRDefault="006B1B02" w:rsidP="000A5544">
      <w:pPr>
        <w:spacing w:line="240" w:lineRule="auto"/>
        <w:ind w:left="858"/>
        <w:rPr>
          <w:color w:val="000000" w:themeColor="text1"/>
        </w:rPr>
      </w:pPr>
    </w:p>
    <w:p w14:paraId="594377A8" w14:textId="7E5DCCFE" w:rsidR="006B1B02" w:rsidRDefault="006B1B02" w:rsidP="000A5544">
      <w:pPr>
        <w:spacing w:line="240" w:lineRule="auto"/>
        <w:ind w:left="858"/>
        <w:rPr>
          <w:color w:val="000000" w:themeColor="text1"/>
        </w:rPr>
      </w:pPr>
      <w:r w:rsidRPr="006B1B02">
        <w:rPr>
          <w:color w:val="000000" w:themeColor="text1"/>
        </w:rPr>
        <w:t>The Pharmaceutical Price Regulation Scheme (PPRS) is the mechanism by which the Department of Health ensures that the NHS has access to branded medicines at a reasonable price. The PPRS balances setting reasonable prices for the NHS against delivering a fair return for the pharmaceutical industry so that investment and innovation in pharmaceuticals is incentivised.</w:t>
      </w:r>
    </w:p>
    <w:p w14:paraId="6F8E3876" w14:textId="77777777" w:rsidR="006B1B02" w:rsidRPr="006B1B02" w:rsidRDefault="006B1B02" w:rsidP="000A5544">
      <w:pPr>
        <w:spacing w:line="240" w:lineRule="auto"/>
        <w:ind w:left="858"/>
        <w:rPr>
          <w:color w:val="000000" w:themeColor="text1"/>
        </w:rPr>
      </w:pPr>
    </w:p>
    <w:p w14:paraId="44658BBF" w14:textId="39D6C145" w:rsidR="00E91015" w:rsidRDefault="006B1B02" w:rsidP="000A5544">
      <w:pPr>
        <w:spacing w:line="240" w:lineRule="auto"/>
        <w:ind w:left="858"/>
        <w:rPr>
          <w:color w:val="000000" w:themeColor="text1"/>
        </w:rPr>
      </w:pPr>
      <w:r w:rsidRPr="006B1B02">
        <w:rPr>
          <w:color w:val="000000" w:themeColor="text1"/>
        </w:rPr>
        <w:t>Pharmaceutical companies can offer Primary Care Rebate Schemes (PCRS) to Integrated Care Boards (ICBs) nationwide, but sometimes these can be more targeted to specific localities. A rebate scheme is a confidential contractual agreement between the manufacturer and the ICB. Under the agreement the ICB receives funding from the manufacturer when its member GP practices prescribe a specific drug. Some schemes offer a straight-forward rebate pricing mechanism, such as a set price per packet or dose. However, some schemes are much more complex in nature involving 'stepped pricing' and 'ceiling and floor limits'.</w:t>
      </w:r>
    </w:p>
    <w:p w14:paraId="7EC13C98" w14:textId="77777777" w:rsidR="006B1B02" w:rsidRPr="00DD443C" w:rsidRDefault="006B1B02" w:rsidP="00332207">
      <w:pPr>
        <w:ind w:left="431"/>
      </w:pPr>
    </w:p>
    <w:p w14:paraId="3D6CB5D4" w14:textId="457226D2" w:rsidR="008C26B8" w:rsidRDefault="00E91015" w:rsidP="00332207">
      <w:pPr>
        <w:pStyle w:val="Heading1"/>
      </w:pPr>
      <w:bookmarkStart w:id="1" w:name="_Toc132378212"/>
      <w:r>
        <w:t>Purpose</w:t>
      </w:r>
      <w:bookmarkEnd w:id="1"/>
    </w:p>
    <w:p w14:paraId="1346B91A" w14:textId="2CD95236" w:rsidR="003668C1" w:rsidRDefault="003668C1" w:rsidP="000A5544">
      <w:pPr>
        <w:spacing w:line="240" w:lineRule="auto"/>
        <w:ind w:left="858"/>
        <w:rPr>
          <w:color w:val="000000" w:themeColor="text1"/>
        </w:rPr>
      </w:pPr>
      <w:r w:rsidRPr="003668C1">
        <w:rPr>
          <w:color w:val="000000" w:themeColor="text1"/>
        </w:rPr>
        <w:t xml:space="preserve">The aims and objectives of this policy are to protect the ICB along with its member GP practices, service users, staff, and other stakeholders, as well as the assets of the ICB, whilst ensuring delivery of its strategic and corporate objectives.  </w:t>
      </w:r>
    </w:p>
    <w:p w14:paraId="2833B89C" w14:textId="77777777" w:rsidR="003668C1" w:rsidRPr="003668C1" w:rsidRDefault="003668C1" w:rsidP="000A5544">
      <w:pPr>
        <w:spacing w:line="240" w:lineRule="auto"/>
        <w:ind w:left="858"/>
        <w:rPr>
          <w:color w:val="000000" w:themeColor="text1"/>
        </w:rPr>
      </w:pPr>
    </w:p>
    <w:p w14:paraId="0E885059" w14:textId="6BE7057F" w:rsidR="00DD443C" w:rsidRDefault="003668C1" w:rsidP="000A5544">
      <w:pPr>
        <w:spacing w:line="240" w:lineRule="auto"/>
        <w:ind w:left="858"/>
        <w:rPr>
          <w:color w:val="000000" w:themeColor="text1"/>
        </w:rPr>
      </w:pPr>
      <w:r w:rsidRPr="003668C1">
        <w:rPr>
          <w:color w:val="000000" w:themeColor="text1"/>
        </w:rPr>
        <w:t xml:space="preserve">Rebate agreements usually take the form of legal agreements between the manufacturer and the ICB. The aim of this policy is to provide a framework for managing rebates in a legal and ethical way to ensure that each scheme is only signed off if it provides good value for money to the public purse and its terms are in line with organisational vision, values, policies, and procedures and to ensure the ICB is transparent in its process for considering these schemes. The principles outlined in this policy document allow for the objective evaluation of schemes submitted to the ICB and a clear process for scrutinising and approving agreements.  </w:t>
      </w:r>
    </w:p>
    <w:p w14:paraId="18CADC7D" w14:textId="77777777" w:rsidR="003668C1" w:rsidRPr="00DD443C" w:rsidRDefault="003668C1" w:rsidP="00CE5058">
      <w:pPr>
        <w:ind w:left="431"/>
      </w:pPr>
    </w:p>
    <w:p w14:paraId="1E7F2101" w14:textId="69F05EE0" w:rsidR="00F8093B" w:rsidRDefault="00E91015" w:rsidP="00AE286E">
      <w:pPr>
        <w:pStyle w:val="Heading1"/>
      </w:pPr>
      <w:bookmarkStart w:id="2" w:name="_Toc132378213"/>
      <w:r>
        <w:t>Definition/ Explanation of Terms</w:t>
      </w:r>
      <w:bookmarkEnd w:id="2"/>
    </w:p>
    <w:tbl>
      <w:tblPr>
        <w:tblStyle w:val="TableGrid"/>
        <w:tblW w:w="0" w:type="auto"/>
        <w:tblInd w:w="858" w:type="dxa"/>
        <w:tblLook w:val="04A0" w:firstRow="1" w:lastRow="0" w:firstColumn="1" w:lastColumn="0" w:noHBand="0" w:noVBand="1"/>
      </w:tblPr>
      <w:tblGrid>
        <w:gridCol w:w="3106"/>
        <w:gridCol w:w="6492"/>
      </w:tblGrid>
      <w:tr w:rsidR="0044348A" w14:paraId="633DA1E2" w14:textId="77777777" w:rsidTr="0044348A">
        <w:tc>
          <w:tcPr>
            <w:tcW w:w="3106" w:type="dxa"/>
          </w:tcPr>
          <w:p w14:paraId="52ACBEC1" w14:textId="1ED1BFF8" w:rsidR="0044348A" w:rsidRDefault="0044348A" w:rsidP="0044348A">
            <w:pPr>
              <w:spacing w:line="240" w:lineRule="auto"/>
              <w:rPr>
                <w:color w:val="000000" w:themeColor="text1"/>
              </w:rPr>
            </w:pPr>
            <w:bookmarkStart w:id="3" w:name="_Hlk132377379"/>
            <w:r w:rsidRPr="00F36A69">
              <w:rPr>
                <w:color w:val="auto"/>
              </w:rPr>
              <w:t>Primary Care rebate scheme</w:t>
            </w:r>
          </w:p>
        </w:tc>
        <w:tc>
          <w:tcPr>
            <w:tcW w:w="6492" w:type="dxa"/>
          </w:tcPr>
          <w:p w14:paraId="481EDE29" w14:textId="518B2064" w:rsidR="0044348A" w:rsidRDefault="0044348A" w:rsidP="0044348A">
            <w:pPr>
              <w:spacing w:line="240" w:lineRule="auto"/>
              <w:rPr>
                <w:color w:val="000000" w:themeColor="text1"/>
              </w:rPr>
            </w:pPr>
            <w:r w:rsidRPr="00F36A69">
              <w:rPr>
                <w:color w:val="auto"/>
              </w:rPr>
              <w:t xml:space="preserve">Contractual arrangements offered by pharmaceutical companies, or </w:t>
            </w:r>
            <w:proofErr w:type="gramStart"/>
            <w:r w:rsidRPr="00F36A69">
              <w:rPr>
                <w:color w:val="auto"/>
              </w:rPr>
              <w:t>third party</w:t>
            </w:r>
            <w:proofErr w:type="gramEnd"/>
            <w:r w:rsidRPr="00F36A69">
              <w:rPr>
                <w:color w:val="auto"/>
              </w:rPr>
              <w:t xml:space="preserve"> companies, which offer financial rebates on GP prescribing expenditure for </w:t>
            </w:r>
            <w:r w:rsidR="00CE5058">
              <w:rPr>
                <w:color w:val="auto"/>
              </w:rPr>
              <w:t xml:space="preserve">a </w:t>
            </w:r>
            <w:r w:rsidRPr="00F36A69">
              <w:rPr>
                <w:color w:val="auto"/>
              </w:rPr>
              <w:t>particular branded medicine.</w:t>
            </w:r>
          </w:p>
        </w:tc>
      </w:tr>
      <w:tr w:rsidR="0044348A" w14:paraId="08B46B92" w14:textId="77777777" w:rsidTr="0044348A">
        <w:tc>
          <w:tcPr>
            <w:tcW w:w="3106" w:type="dxa"/>
          </w:tcPr>
          <w:p w14:paraId="4E7856E2" w14:textId="72D97A86" w:rsidR="0044348A" w:rsidRDefault="0044348A" w:rsidP="0044348A">
            <w:pPr>
              <w:spacing w:line="240" w:lineRule="auto"/>
              <w:rPr>
                <w:color w:val="000000" w:themeColor="text1"/>
              </w:rPr>
            </w:pPr>
            <w:r w:rsidRPr="00F36A69">
              <w:rPr>
                <w:color w:val="auto"/>
              </w:rPr>
              <w:t>QIPP</w:t>
            </w:r>
          </w:p>
        </w:tc>
        <w:tc>
          <w:tcPr>
            <w:tcW w:w="6492" w:type="dxa"/>
          </w:tcPr>
          <w:p w14:paraId="79A9F8A3" w14:textId="1C3E6323" w:rsidR="0044348A" w:rsidRDefault="0044348A" w:rsidP="0044348A">
            <w:pPr>
              <w:spacing w:line="240" w:lineRule="auto"/>
              <w:rPr>
                <w:color w:val="000000" w:themeColor="text1"/>
              </w:rPr>
            </w:pPr>
            <w:r w:rsidRPr="00F36A69">
              <w:rPr>
                <w:color w:val="auto"/>
              </w:rPr>
              <w:t xml:space="preserve">Quality, Innovation, Productivity and Prevention and is a </w:t>
            </w:r>
            <w:proofErr w:type="gramStart"/>
            <w:r w:rsidRPr="00F36A69">
              <w:rPr>
                <w:color w:val="auto"/>
              </w:rPr>
              <w:t>large scale</w:t>
            </w:r>
            <w:proofErr w:type="gramEnd"/>
            <w:r w:rsidRPr="00F36A69">
              <w:rPr>
                <w:color w:val="auto"/>
              </w:rPr>
              <w:t xml:space="preserve"> programme introduced across the NHS to ensure the NHS delivers more for the same funding</w:t>
            </w:r>
          </w:p>
        </w:tc>
      </w:tr>
      <w:tr w:rsidR="0044348A" w14:paraId="6FD52C84" w14:textId="77777777" w:rsidTr="0044348A">
        <w:tc>
          <w:tcPr>
            <w:tcW w:w="3106" w:type="dxa"/>
          </w:tcPr>
          <w:p w14:paraId="0C8F7850" w14:textId="206E0451" w:rsidR="0044348A" w:rsidRDefault="0044348A" w:rsidP="0044348A">
            <w:pPr>
              <w:spacing w:line="240" w:lineRule="auto"/>
              <w:rPr>
                <w:color w:val="000000" w:themeColor="text1"/>
              </w:rPr>
            </w:pPr>
            <w:r w:rsidRPr="00F36A69">
              <w:rPr>
                <w:color w:val="auto"/>
              </w:rPr>
              <w:t>Formulary</w:t>
            </w:r>
          </w:p>
        </w:tc>
        <w:tc>
          <w:tcPr>
            <w:tcW w:w="6492" w:type="dxa"/>
          </w:tcPr>
          <w:p w14:paraId="77075858" w14:textId="37A85FA8" w:rsidR="0044348A" w:rsidRDefault="0044348A" w:rsidP="0044348A">
            <w:pPr>
              <w:spacing w:line="240" w:lineRule="auto"/>
              <w:rPr>
                <w:color w:val="000000" w:themeColor="text1"/>
              </w:rPr>
            </w:pPr>
            <w:r w:rsidRPr="00F36A69">
              <w:rPr>
                <w:color w:val="auto"/>
              </w:rPr>
              <w:t>A list of medicines and medical devices approved for use by healthcare professionals</w:t>
            </w:r>
          </w:p>
        </w:tc>
      </w:tr>
      <w:tr w:rsidR="0044348A" w14:paraId="6690D9FB" w14:textId="77777777" w:rsidTr="0044348A">
        <w:tc>
          <w:tcPr>
            <w:tcW w:w="3106" w:type="dxa"/>
          </w:tcPr>
          <w:p w14:paraId="6019AA3B" w14:textId="516A8DC4" w:rsidR="0044348A" w:rsidRDefault="0044348A" w:rsidP="0044348A">
            <w:pPr>
              <w:spacing w:line="240" w:lineRule="auto"/>
              <w:rPr>
                <w:color w:val="000000" w:themeColor="text1"/>
              </w:rPr>
            </w:pPr>
            <w:r w:rsidRPr="00F36A69">
              <w:rPr>
                <w:color w:val="auto"/>
              </w:rPr>
              <w:t>DHSC</w:t>
            </w:r>
          </w:p>
        </w:tc>
        <w:tc>
          <w:tcPr>
            <w:tcW w:w="6492" w:type="dxa"/>
          </w:tcPr>
          <w:p w14:paraId="53A47106" w14:textId="7FCD7AF4" w:rsidR="0044348A" w:rsidRDefault="0044348A" w:rsidP="0044348A">
            <w:pPr>
              <w:spacing w:line="240" w:lineRule="auto"/>
              <w:rPr>
                <w:color w:val="000000" w:themeColor="text1"/>
              </w:rPr>
            </w:pPr>
            <w:r w:rsidRPr="00F36A69">
              <w:rPr>
                <w:color w:val="auto"/>
              </w:rPr>
              <w:t>Department of Health and Social Care</w:t>
            </w:r>
          </w:p>
        </w:tc>
      </w:tr>
      <w:tr w:rsidR="0044348A" w14:paraId="68DE57C6" w14:textId="77777777" w:rsidTr="0044348A">
        <w:tc>
          <w:tcPr>
            <w:tcW w:w="3106" w:type="dxa"/>
          </w:tcPr>
          <w:p w14:paraId="5E07541D" w14:textId="08F2F248" w:rsidR="0044348A" w:rsidRDefault="0044348A" w:rsidP="0044348A">
            <w:pPr>
              <w:spacing w:line="240" w:lineRule="auto"/>
              <w:rPr>
                <w:color w:val="000000" w:themeColor="text1"/>
              </w:rPr>
            </w:pPr>
            <w:r w:rsidRPr="00F36A69">
              <w:rPr>
                <w:color w:val="auto"/>
              </w:rPr>
              <w:t>Drug tariff</w:t>
            </w:r>
          </w:p>
        </w:tc>
        <w:tc>
          <w:tcPr>
            <w:tcW w:w="6492" w:type="dxa"/>
          </w:tcPr>
          <w:p w14:paraId="5A32C5E2" w14:textId="6B456F92" w:rsidR="0044348A" w:rsidRDefault="0044348A" w:rsidP="0044348A">
            <w:pPr>
              <w:spacing w:line="240" w:lineRule="auto"/>
              <w:rPr>
                <w:color w:val="000000" w:themeColor="text1"/>
              </w:rPr>
            </w:pPr>
            <w:r w:rsidRPr="00F36A69">
              <w:rPr>
                <w:color w:val="auto"/>
              </w:rPr>
              <w:t>The amount that the NHS repays pharmacies for generic prescription medications</w:t>
            </w:r>
          </w:p>
        </w:tc>
      </w:tr>
      <w:tr w:rsidR="0044348A" w14:paraId="0329F875" w14:textId="77777777" w:rsidTr="0044348A">
        <w:tc>
          <w:tcPr>
            <w:tcW w:w="3106" w:type="dxa"/>
          </w:tcPr>
          <w:p w14:paraId="34DA3D9E" w14:textId="3A060A11" w:rsidR="0044348A" w:rsidRDefault="0044348A" w:rsidP="0044348A">
            <w:pPr>
              <w:spacing w:line="240" w:lineRule="auto"/>
              <w:rPr>
                <w:color w:val="000000" w:themeColor="text1"/>
              </w:rPr>
            </w:pPr>
            <w:r w:rsidRPr="00F36A69">
              <w:rPr>
                <w:color w:val="auto"/>
              </w:rPr>
              <w:lastRenderedPageBreak/>
              <w:t>S</w:t>
            </w:r>
            <w:r w:rsidR="00CE5058">
              <w:rPr>
                <w:color w:val="auto"/>
              </w:rPr>
              <w:t xml:space="preserve">ummary of </w:t>
            </w:r>
            <w:r w:rsidRPr="00F36A69">
              <w:rPr>
                <w:color w:val="auto"/>
              </w:rPr>
              <w:t>product characteristics</w:t>
            </w:r>
          </w:p>
        </w:tc>
        <w:tc>
          <w:tcPr>
            <w:tcW w:w="6492" w:type="dxa"/>
          </w:tcPr>
          <w:p w14:paraId="337AA573" w14:textId="61667C89" w:rsidR="0044348A" w:rsidRDefault="0044348A" w:rsidP="00CE5058">
            <w:pPr>
              <w:spacing w:line="240" w:lineRule="auto"/>
              <w:rPr>
                <w:color w:val="000000" w:themeColor="text1"/>
              </w:rPr>
            </w:pPr>
            <w:r w:rsidRPr="00F36A69">
              <w:rPr>
                <w:color w:val="auto"/>
              </w:rPr>
              <w:t xml:space="preserve">Information about medicines outlining the form, clinical </w:t>
            </w:r>
            <w:proofErr w:type="gramStart"/>
            <w:r w:rsidRPr="00F36A69">
              <w:rPr>
                <w:color w:val="auto"/>
              </w:rPr>
              <w:t>parameters</w:t>
            </w:r>
            <w:proofErr w:type="gramEnd"/>
            <w:r w:rsidRPr="00F36A69">
              <w:rPr>
                <w:color w:val="auto"/>
              </w:rPr>
              <w:t xml:space="preserve"> and pharmacological properties, written and updated by pharmaceutical companies based on their product research and knowledge.</w:t>
            </w:r>
          </w:p>
        </w:tc>
      </w:tr>
      <w:tr w:rsidR="0044348A" w14:paraId="280DAD71" w14:textId="77777777" w:rsidTr="0044348A">
        <w:tc>
          <w:tcPr>
            <w:tcW w:w="3106" w:type="dxa"/>
          </w:tcPr>
          <w:p w14:paraId="7C2D6582" w14:textId="079E0743" w:rsidR="0044348A" w:rsidRDefault="0044348A" w:rsidP="0044348A">
            <w:pPr>
              <w:spacing w:line="240" w:lineRule="auto"/>
              <w:rPr>
                <w:color w:val="000000" w:themeColor="text1"/>
              </w:rPr>
            </w:pPr>
            <w:r w:rsidRPr="00F36A69">
              <w:rPr>
                <w:color w:val="auto"/>
              </w:rPr>
              <w:t>Data sheet</w:t>
            </w:r>
          </w:p>
        </w:tc>
        <w:tc>
          <w:tcPr>
            <w:tcW w:w="6492" w:type="dxa"/>
          </w:tcPr>
          <w:p w14:paraId="749C3798" w14:textId="54894538" w:rsidR="0044348A" w:rsidRDefault="0044348A" w:rsidP="0044348A">
            <w:pPr>
              <w:spacing w:line="240" w:lineRule="auto"/>
              <w:rPr>
                <w:color w:val="000000" w:themeColor="text1"/>
              </w:rPr>
            </w:pPr>
            <w:r w:rsidRPr="00F36A69">
              <w:rPr>
                <w:color w:val="auto"/>
              </w:rPr>
              <w:t>A publication containing detailed prescribing information on a specific medicine</w:t>
            </w:r>
          </w:p>
        </w:tc>
      </w:tr>
      <w:tr w:rsidR="0044348A" w14:paraId="002918D4" w14:textId="77777777" w:rsidTr="0044348A">
        <w:tc>
          <w:tcPr>
            <w:tcW w:w="3106" w:type="dxa"/>
          </w:tcPr>
          <w:p w14:paraId="2FC39F32" w14:textId="313151CE" w:rsidR="0044348A" w:rsidRDefault="0044348A" w:rsidP="0044348A">
            <w:pPr>
              <w:spacing w:line="240" w:lineRule="auto"/>
              <w:rPr>
                <w:color w:val="000000" w:themeColor="text1"/>
              </w:rPr>
            </w:pPr>
            <w:proofErr w:type="spellStart"/>
            <w:r w:rsidRPr="00F36A69">
              <w:rPr>
                <w:color w:val="auto"/>
              </w:rPr>
              <w:t>ePACT</w:t>
            </w:r>
            <w:proofErr w:type="spellEnd"/>
          </w:p>
        </w:tc>
        <w:tc>
          <w:tcPr>
            <w:tcW w:w="6492" w:type="dxa"/>
          </w:tcPr>
          <w:p w14:paraId="7EBEFE27" w14:textId="4C1C2B38" w:rsidR="0044348A" w:rsidRDefault="0044348A" w:rsidP="0044348A">
            <w:pPr>
              <w:spacing w:line="240" w:lineRule="auto"/>
              <w:rPr>
                <w:color w:val="000000" w:themeColor="text1"/>
              </w:rPr>
            </w:pPr>
            <w:r w:rsidRPr="00F36A69">
              <w:rPr>
                <w:color w:val="auto"/>
              </w:rPr>
              <w:t>Digital tool which gives authorised users access to prescription data which can then be analysed</w:t>
            </w:r>
          </w:p>
        </w:tc>
      </w:tr>
      <w:tr w:rsidR="0044348A" w14:paraId="6D3954BA" w14:textId="77777777" w:rsidTr="0044348A">
        <w:tc>
          <w:tcPr>
            <w:tcW w:w="3106" w:type="dxa"/>
          </w:tcPr>
          <w:p w14:paraId="43AA3DD4" w14:textId="6FB2E5F2" w:rsidR="0044348A" w:rsidRDefault="0044348A" w:rsidP="0044348A">
            <w:pPr>
              <w:spacing w:line="240" w:lineRule="auto"/>
              <w:rPr>
                <w:color w:val="000000" w:themeColor="text1"/>
              </w:rPr>
            </w:pPr>
            <w:r w:rsidRPr="00F36A69">
              <w:rPr>
                <w:color w:val="auto"/>
              </w:rPr>
              <w:t>Pharmaceutical Price Regulation Scheme (PPRS)</w:t>
            </w:r>
          </w:p>
        </w:tc>
        <w:tc>
          <w:tcPr>
            <w:tcW w:w="6492" w:type="dxa"/>
          </w:tcPr>
          <w:p w14:paraId="7512CC6C" w14:textId="37A82C8A" w:rsidR="0044348A" w:rsidRDefault="0044348A" w:rsidP="00413241">
            <w:pPr>
              <w:spacing w:line="240" w:lineRule="auto"/>
              <w:rPr>
                <w:color w:val="000000" w:themeColor="text1"/>
              </w:rPr>
            </w:pPr>
            <w:r w:rsidRPr="00F36A69">
              <w:rPr>
                <w:color w:val="auto"/>
              </w:rPr>
              <w:t>The mechanism used by the UK Department of Health to ensure that the NHS has access to good quality branded medicines at reasonable prices.</w:t>
            </w:r>
          </w:p>
        </w:tc>
      </w:tr>
    </w:tbl>
    <w:p w14:paraId="10940832" w14:textId="77777777" w:rsidR="00DA63CE" w:rsidRDefault="00DA63CE" w:rsidP="000A5544">
      <w:pPr>
        <w:spacing w:line="240" w:lineRule="auto"/>
        <w:ind w:left="858"/>
        <w:rPr>
          <w:color w:val="000000" w:themeColor="text1"/>
        </w:rPr>
      </w:pPr>
    </w:p>
    <w:p w14:paraId="726705E7" w14:textId="77777777" w:rsidR="00DA63CE" w:rsidRDefault="00DA63CE" w:rsidP="000A5544">
      <w:pPr>
        <w:spacing w:line="240" w:lineRule="auto"/>
        <w:ind w:left="858"/>
        <w:rPr>
          <w:color w:val="000000" w:themeColor="text1"/>
        </w:rPr>
      </w:pPr>
    </w:p>
    <w:p w14:paraId="448658E8" w14:textId="5E393F76" w:rsidR="00CE68BF" w:rsidRPr="00CE68BF" w:rsidRDefault="00E91015" w:rsidP="00CE68BF">
      <w:pPr>
        <w:pStyle w:val="Heading1"/>
      </w:pPr>
      <w:bookmarkStart w:id="4" w:name="_Toc430791102"/>
      <w:bookmarkStart w:id="5" w:name="_Toc132378214"/>
      <w:bookmarkEnd w:id="3"/>
      <w:r>
        <w:t xml:space="preserve">Scope of the </w:t>
      </w:r>
      <w:r w:rsidR="00AE286E" w:rsidRPr="00EE7401">
        <w:t>P</w:t>
      </w:r>
      <w:bookmarkEnd w:id="4"/>
      <w:r>
        <w:t>olicy</w:t>
      </w:r>
      <w:bookmarkEnd w:id="5"/>
    </w:p>
    <w:p w14:paraId="582097FE" w14:textId="0A14DB7F" w:rsidR="006B1B02" w:rsidRDefault="006B1B02" w:rsidP="000A5544">
      <w:pPr>
        <w:spacing w:line="240" w:lineRule="auto"/>
        <w:ind w:left="858"/>
        <w:rPr>
          <w:color w:val="000000" w:themeColor="text1"/>
        </w:rPr>
      </w:pPr>
      <w:r w:rsidRPr="006B1B02">
        <w:rPr>
          <w:color w:val="000000" w:themeColor="text1"/>
        </w:rPr>
        <w:t xml:space="preserve">This policy applies to </w:t>
      </w:r>
      <w:r>
        <w:rPr>
          <w:color w:val="000000" w:themeColor="text1"/>
        </w:rPr>
        <w:t xml:space="preserve">NHS </w:t>
      </w:r>
      <w:r w:rsidRPr="006B1B02">
        <w:rPr>
          <w:color w:val="000000" w:themeColor="text1"/>
        </w:rPr>
        <w:t xml:space="preserve">Humber and North Yorkshire </w:t>
      </w:r>
      <w:r w:rsidR="00A057B5">
        <w:rPr>
          <w:color w:val="000000" w:themeColor="text1"/>
        </w:rPr>
        <w:t xml:space="preserve">(HNY) </w:t>
      </w:r>
      <w:r w:rsidRPr="006B1B02">
        <w:rPr>
          <w:color w:val="000000" w:themeColor="text1"/>
        </w:rPr>
        <w:t xml:space="preserve">Integrated Care Board </w:t>
      </w:r>
      <w:r w:rsidR="00A057B5">
        <w:rPr>
          <w:color w:val="000000" w:themeColor="text1"/>
        </w:rPr>
        <w:t xml:space="preserve">(ICB) </w:t>
      </w:r>
      <w:r w:rsidRPr="006B1B02">
        <w:rPr>
          <w:color w:val="000000" w:themeColor="text1"/>
        </w:rPr>
        <w:t xml:space="preserve">and </w:t>
      </w:r>
      <w:proofErr w:type="gramStart"/>
      <w:r w:rsidRPr="006B1B02">
        <w:rPr>
          <w:color w:val="000000" w:themeColor="text1"/>
        </w:rPr>
        <w:t xml:space="preserve">all </w:t>
      </w:r>
      <w:r w:rsidR="000A5544">
        <w:rPr>
          <w:color w:val="000000" w:themeColor="text1"/>
        </w:rPr>
        <w:t>of</w:t>
      </w:r>
      <w:proofErr w:type="gramEnd"/>
      <w:r w:rsidR="000A5544">
        <w:rPr>
          <w:color w:val="000000" w:themeColor="text1"/>
        </w:rPr>
        <w:t xml:space="preserve"> </w:t>
      </w:r>
      <w:r w:rsidRPr="006B1B02">
        <w:rPr>
          <w:color w:val="000000" w:themeColor="text1"/>
        </w:rPr>
        <w:t xml:space="preserve">its employees, members of the Place, co-opted members, members of the </w:t>
      </w:r>
      <w:r>
        <w:rPr>
          <w:color w:val="000000" w:themeColor="text1"/>
        </w:rPr>
        <w:t>Board</w:t>
      </w:r>
      <w:r w:rsidRPr="006B1B02">
        <w:rPr>
          <w:color w:val="000000" w:themeColor="text1"/>
        </w:rPr>
        <w:t xml:space="preserve"> and its committees and employees of North of England </w:t>
      </w:r>
      <w:r w:rsidR="00555DB3">
        <w:rPr>
          <w:color w:val="000000" w:themeColor="text1"/>
        </w:rPr>
        <w:t xml:space="preserve">Commissioning </w:t>
      </w:r>
      <w:r w:rsidRPr="006B1B02">
        <w:rPr>
          <w:color w:val="000000" w:themeColor="text1"/>
        </w:rPr>
        <w:t>Support (NECS) providing services to any part or Place within the ICB. All must comply with the arrangements outlined in this policy.</w:t>
      </w:r>
    </w:p>
    <w:p w14:paraId="072D1CFD" w14:textId="77777777" w:rsidR="006B1B02" w:rsidRPr="006B1B02" w:rsidRDefault="006B1B02" w:rsidP="000A5544">
      <w:pPr>
        <w:spacing w:line="240" w:lineRule="auto"/>
        <w:ind w:left="858"/>
        <w:rPr>
          <w:color w:val="000000" w:themeColor="text1"/>
        </w:rPr>
      </w:pPr>
    </w:p>
    <w:p w14:paraId="7573E135" w14:textId="74A55654" w:rsidR="006B1B02" w:rsidRPr="006B1B02" w:rsidRDefault="006B1B02" w:rsidP="000A5544">
      <w:pPr>
        <w:spacing w:line="240" w:lineRule="auto"/>
        <w:ind w:left="858"/>
        <w:rPr>
          <w:color w:val="000000" w:themeColor="text1"/>
        </w:rPr>
      </w:pPr>
      <w:r w:rsidRPr="006B1B02">
        <w:rPr>
          <w:color w:val="000000" w:themeColor="text1"/>
        </w:rPr>
        <w:t xml:space="preserve">The policy relates only to 'primary care rebates', based on NHS prescribing in primary care. It should be used in conjunction with the following policies or procedures in place or in development: </w:t>
      </w:r>
    </w:p>
    <w:p w14:paraId="7993AAB5" w14:textId="325C2762" w:rsidR="006B1B02" w:rsidRPr="00A259A7" w:rsidRDefault="006B1B02" w:rsidP="000A5544">
      <w:pPr>
        <w:pStyle w:val="ListParagraph"/>
        <w:numPr>
          <w:ilvl w:val="0"/>
          <w:numId w:val="31"/>
        </w:numPr>
        <w:spacing w:line="240" w:lineRule="auto"/>
        <w:ind w:left="1507"/>
        <w:rPr>
          <w:color w:val="auto"/>
        </w:rPr>
      </w:pPr>
      <w:r w:rsidRPr="00A259A7">
        <w:rPr>
          <w:color w:val="auto"/>
        </w:rPr>
        <w:t xml:space="preserve">Operational Scheme of Delegation </w:t>
      </w:r>
    </w:p>
    <w:p w14:paraId="3108D6B8" w14:textId="4825D21E" w:rsidR="006B1B02" w:rsidRPr="00A259A7" w:rsidRDefault="006B1B02" w:rsidP="000A5544">
      <w:pPr>
        <w:pStyle w:val="ListParagraph"/>
        <w:numPr>
          <w:ilvl w:val="0"/>
          <w:numId w:val="31"/>
        </w:numPr>
        <w:spacing w:line="240" w:lineRule="auto"/>
        <w:ind w:left="1507"/>
        <w:rPr>
          <w:color w:val="auto"/>
        </w:rPr>
      </w:pPr>
      <w:r w:rsidRPr="00A259A7">
        <w:rPr>
          <w:color w:val="auto"/>
        </w:rPr>
        <w:t>Commercial Sponsorship Policy</w:t>
      </w:r>
    </w:p>
    <w:p w14:paraId="7A14A625" w14:textId="77777777" w:rsidR="006B1B02" w:rsidRDefault="006B1B02" w:rsidP="000A5544">
      <w:pPr>
        <w:spacing w:line="240" w:lineRule="auto"/>
        <w:ind w:left="858"/>
        <w:rPr>
          <w:color w:val="000000" w:themeColor="text1"/>
        </w:rPr>
      </w:pPr>
    </w:p>
    <w:p w14:paraId="7AF11A9C" w14:textId="11E0D9EA" w:rsidR="00E91015" w:rsidRDefault="006B1B02" w:rsidP="000A5544">
      <w:pPr>
        <w:spacing w:line="240" w:lineRule="auto"/>
        <w:ind w:left="858"/>
        <w:rPr>
          <w:color w:val="000000" w:themeColor="text1"/>
        </w:rPr>
      </w:pPr>
      <w:r w:rsidRPr="006B1B02">
        <w:rPr>
          <w:color w:val="000000" w:themeColor="text1"/>
        </w:rPr>
        <w:t>Failure to comply with this policy would be considered a breach of the terms and conditions of employment and may result in the matter being treated as a disciplinary offence under the individual's employer's disciplinary procedure.</w:t>
      </w:r>
    </w:p>
    <w:p w14:paraId="4BC5EF34" w14:textId="77777777" w:rsidR="00E91015" w:rsidRPr="00DD443C" w:rsidRDefault="00E91015" w:rsidP="00DD443C">
      <w:pPr>
        <w:ind w:left="432"/>
      </w:pPr>
    </w:p>
    <w:p w14:paraId="09703A50" w14:textId="7C36A1A6" w:rsidR="00E91015" w:rsidRPr="00E91015" w:rsidRDefault="00E91015" w:rsidP="00332207">
      <w:pPr>
        <w:pStyle w:val="Heading1"/>
        <w:ind w:left="856" w:hanging="431"/>
      </w:pPr>
      <w:bookmarkStart w:id="6" w:name="_Toc132378215"/>
      <w:r>
        <w:t>Duties/ Accountabilities and Responsibilities</w:t>
      </w:r>
      <w:bookmarkEnd w:id="6"/>
      <w:r w:rsidR="006E35D3" w:rsidRPr="006E35D3">
        <w:rPr>
          <w:b w:val="0"/>
          <w:sz w:val="24"/>
          <w:szCs w:val="24"/>
        </w:rPr>
        <w:t xml:space="preserve">     </w:t>
      </w:r>
    </w:p>
    <w:p w14:paraId="6F8AAC28" w14:textId="118FA04A" w:rsidR="008F16A6" w:rsidRDefault="00694ABB" w:rsidP="00332207">
      <w:pPr>
        <w:pStyle w:val="Heading2"/>
        <w:ind w:left="856" w:hanging="431"/>
      </w:pPr>
      <w:bookmarkStart w:id="7" w:name="_Toc430791104"/>
      <w:bookmarkStart w:id="8" w:name="_Toc132378216"/>
      <w:r>
        <w:t>Duties within the organisation</w:t>
      </w:r>
      <w:bookmarkEnd w:id="7"/>
      <w:bookmarkEnd w:id="8"/>
    </w:p>
    <w:p w14:paraId="35FB6EE5" w14:textId="24733DE6" w:rsidR="008F16A6" w:rsidRPr="008F16A6" w:rsidRDefault="003668C1" w:rsidP="00A259A7">
      <w:pPr>
        <w:spacing w:line="240" w:lineRule="auto"/>
        <w:ind w:left="856"/>
      </w:pPr>
      <w:r w:rsidRPr="00A259A7">
        <w:rPr>
          <w:color w:val="auto"/>
        </w:rPr>
        <w:t xml:space="preserve">The following gives an overview of the duties of individuals, </w:t>
      </w:r>
      <w:proofErr w:type="gramStart"/>
      <w:r w:rsidRPr="00A259A7">
        <w:rPr>
          <w:color w:val="auto"/>
        </w:rPr>
        <w:t>departments</w:t>
      </w:r>
      <w:proofErr w:type="gramEnd"/>
      <w:r w:rsidRPr="00A259A7">
        <w:rPr>
          <w:color w:val="auto"/>
        </w:rPr>
        <w:t xml:space="preserve"> and committees,</w:t>
      </w:r>
      <w:r w:rsidR="00A259A7">
        <w:rPr>
          <w:color w:val="auto"/>
        </w:rPr>
        <w:t xml:space="preserve"> </w:t>
      </w:r>
      <w:r w:rsidRPr="00A259A7">
        <w:rPr>
          <w:color w:val="auto"/>
        </w:rPr>
        <w:t>including levels of responsibility.</w:t>
      </w:r>
    </w:p>
    <w:p w14:paraId="6D69D2DB" w14:textId="17565B8D" w:rsidR="00694ABB" w:rsidRDefault="00694ABB" w:rsidP="00694ABB">
      <w:pPr>
        <w:pStyle w:val="Heading2"/>
        <w:ind w:left="856" w:hanging="431"/>
      </w:pPr>
      <w:bookmarkStart w:id="9" w:name="_Toc132378217"/>
      <w:r>
        <w:t>Chief Executive</w:t>
      </w:r>
      <w:r w:rsidR="003668C1">
        <w:t xml:space="preserve"> / </w:t>
      </w:r>
      <w:r w:rsidR="003668C1" w:rsidRPr="003668C1">
        <w:t>Accountable Officer</w:t>
      </w:r>
      <w:bookmarkEnd w:id="9"/>
    </w:p>
    <w:p w14:paraId="712D6EA6" w14:textId="3DACB527" w:rsidR="003668C1" w:rsidRPr="000A5544" w:rsidRDefault="003668C1" w:rsidP="000A5544">
      <w:pPr>
        <w:spacing w:line="240" w:lineRule="auto"/>
        <w:ind w:left="136" w:firstLine="720"/>
        <w:rPr>
          <w:color w:val="auto"/>
        </w:rPr>
      </w:pPr>
      <w:r w:rsidRPr="000A5544">
        <w:rPr>
          <w:color w:val="auto"/>
        </w:rPr>
        <w:t>Ensures the ICB has an appropriate policy in place</w:t>
      </w:r>
      <w:r w:rsidR="000A5544" w:rsidRPr="000A5544">
        <w:rPr>
          <w:color w:val="auto"/>
        </w:rPr>
        <w:t>.</w:t>
      </w:r>
    </w:p>
    <w:p w14:paraId="1DC5A3AE" w14:textId="2E0024C9" w:rsidR="00694ABB" w:rsidRDefault="003668C1" w:rsidP="00694ABB">
      <w:pPr>
        <w:pStyle w:val="Heading2"/>
        <w:ind w:left="856" w:hanging="431"/>
      </w:pPr>
      <w:bookmarkStart w:id="10" w:name="_Toc126850378"/>
      <w:bookmarkStart w:id="11" w:name="_Toc132378218"/>
      <w:bookmarkEnd w:id="10"/>
      <w:r w:rsidRPr="003668C1">
        <w:t>Executive Director of Finance and Investment</w:t>
      </w:r>
      <w:bookmarkEnd w:id="11"/>
    </w:p>
    <w:p w14:paraId="4ECFE071" w14:textId="7BF443E3" w:rsidR="003668C1" w:rsidRPr="00A259A7" w:rsidRDefault="003668C1" w:rsidP="00413241">
      <w:pPr>
        <w:pStyle w:val="ListParagraph"/>
        <w:numPr>
          <w:ilvl w:val="0"/>
          <w:numId w:val="31"/>
        </w:numPr>
        <w:spacing w:line="240" w:lineRule="auto"/>
        <w:ind w:left="1134" w:hanging="283"/>
        <w:rPr>
          <w:color w:val="auto"/>
        </w:rPr>
      </w:pPr>
      <w:r w:rsidRPr="00A259A7">
        <w:rPr>
          <w:color w:val="auto"/>
        </w:rPr>
        <w:t>Provides oversight of all aspects of this policy to ensure organisational compliance</w:t>
      </w:r>
      <w:r w:rsidR="000A5544">
        <w:rPr>
          <w:color w:val="auto"/>
        </w:rPr>
        <w:t>.</w:t>
      </w:r>
    </w:p>
    <w:p w14:paraId="17E22299" w14:textId="64DD4FE7" w:rsidR="003668C1" w:rsidRPr="00A259A7" w:rsidRDefault="003668C1" w:rsidP="00413241">
      <w:pPr>
        <w:pStyle w:val="ListParagraph"/>
        <w:numPr>
          <w:ilvl w:val="0"/>
          <w:numId w:val="31"/>
        </w:numPr>
        <w:spacing w:line="240" w:lineRule="auto"/>
        <w:ind w:left="1134" w:hanging="283"/>
        <w:rPr>
          <w:color w:val="auto"/>
        </w:rPr>
      </w:pPr>
      <w:r w:rsidRPr="00A259A7">
        <w:rPr>
          <w:color w:val="auto"/>
        </w:rPr>
        <w:t>Ensures agreed governance arrangements are in place for decision</w:t>
      </w:r>
      <w:r w:rsidR="000A5544">
        <w:rPr>
          <w:color w:val="auto"/>
        </w:rPr>
        <w:t xml:space="preserve"> making.</w:t>
      </w:r>
    </w:p>
    <w:p w14:paraId="06D615E7" w14:textId="60B600EA" w:rsidR="00A259A7" w:rsidRDefault="003668C1" w:rsidP="00413241">
      <w:pPr>
        <w:pStyle w:val="ListParagraph"/>
        <w:numPr>
          <w:ilvl w:val="0"/>
          <w:numId w:val="31"/>
        </w:numPr>
        <w:spacing w:line="240" w:lineRule="auto"/>
        <w:ind w:left="1134" w:hanging="283"/>
        <w:rPr>
          <w:color w:val="auto"/>
        </w:rPr>
      </w:pPr>
      <w:r w:rsidRPr="00A259A7">
        <w:rPr>
          <w:color w:val="auto"/>
        </w:rPr>
        <w:t>Provides regular reports to the Finance, Performance &amp; Delivery Board</w:t>
      </w:r>
      <w:r w:rsidR="000A5544">
        <w:rPr>
          <w:color w:val="auto"/>
        </w:rPr>
        <w:t>.</w:t>
      </w:r>
    </w:p>
    <w:p w14:paraId="74548369" w14:textId="00BD1DD6" w:rsidR="00A259A7" w:rsidRDefault="003668C1" w:rsidP="00413241">
      <w:pPr>
        <w:pStyle w:val="ListParagraph"/>
        <w:numPr>
          <w:ilvl w:val="0"/>
          <w:numId w:val="31"/>
        </w:numPr>
        <w:spacing w:line="240" w:lineRule="auto"/>
        <w:ind w:left="1134" w:hanging="283"/>
        <w:rPr>
          <w:color w:val="auto"/>
        </w:rPr>
      </w:pPr>
      <w:r w:rsidRPr="00A259A7">
        <w:rPr>
          <w:color w:val="auto"/>
        </w:rPr>
        <w:t>Is authorised to sign rebate agreements of behalf of the ICB</w:t>
      </w:r>
      <w:r w:rsidR="000A5544">
        <w:rPr>
          <w:color w:val="auto"/>
        </w:rPr>
        <w:t>.</w:t>
      </w:r>
    </w:p>
    <w:p w14:paraId="6D9147AE" w14:textId="156EEAD1" w:rsidR="00694ABB" w:rsidRPr="00A259A7" w:rsidRDefault="003668C1" w:rsidP="00413241">
      <w:pPr>
        <w:pStyle w:val="ListParagraph"/>
        <w:numPr>
          <w:ilvl w:val="0"/>
          <w:numId w:val="31"/>
        </w:numPr>
        <w:spacing w:line="240" w:lineRule="auto"/>
        <w:ind w:left="1134" w:hanging="283"/>
        <w:rPr>
          <w:color w:val="auto"/>
        </w:rPr>
      </w:pPr>
      <w:r w:rsidRPr="00A259A7">
        <w:rPr>
          <w:color w:val="auto"/>
        </w:rPr>
        <w:t xml:space="preserve">Ensures rebates are claimed in a timely fashion.  </w:t>
      </w:r>
    </w:p>
    <w:p w14:paraId="5B25D4F5" w14:textId="0EE63C0E" w:rsidR="009F2C13" w:rsidRPr="00A259A7" w:rsidRDefault="00A259A7" w:rsidP="00413241">
      <w:pPr>
        <w:pStyle w:val="ListParagraph"/>
        <w:numPr>
          <w:ilvl w:val="0"/>
          <w:numId w:val="31"/>
        </w:numPr>
        <w:spacing w:line="240" w:lineRule="auto"/>
        <w:ind w:left="1134" w:hanging="283"/>
        <w:rPr>
          <w:color w:val="auto"/>
        </w:rPr>
      </w:pPr>
      <w:r>
        <w:rPr>
          <w:color w:val="auto"/>
        </w:rPr>
        <w:t>M</w:t>
      </w:r>
      <w:r w:rsidR="00694ABB" w:rsidRPr="00A259A7">
        <w:rPr>
          <w:color w:val="auto"/>
        </w:rPr>
        <w:t xml:space="preserve">ust ensure that members of staff are aware of this policy and </w:t>
      </w:r>
      <w:r w:rsidR="00555DB3">
        <w:rPr>
          <w:color w:val="auto"/>
        </w:rPr>
        <w:t xml:space="preserve">the </w:t>
      </w:r>
      <w:r w:rsidR="00694ABB" w:rsidRPr="00A259A7">
        <w:rPr>
          <w:color w:val="auto"/>
        </w:rPr>
        <w:t>processes to be followed.</w:t>
      </w:r>
    </w:p>
    <w:p w14:paraId="3CF171F9" w14:textId="53FC3261" w:rsidR="003668C1" w:rsidRPr="003668C1" w:rsidRDefault="003668C1" w:rsidP="00413241">
      <w:pPr>
        <w:pStyle w:val="Heading2"/>
        <w:ind w:hanging="433"/>
      </w:pPr>
      <w:bookmarkStart w:id="12" w:name="_Toc132378219"/>
      <w:r w:rsidRPr="003668C1">
        <w:lastRenderedPageBreak/>
        <w:t>ICB Executive Director of Clinical &amp; Professional Services</w:t>
      </w:r>
      <w:bookmarkEnd w:id="12"/>
    </w:p>
    <w:p w14:paraId="15AE27CA" w14:textId="19387BCC" w:rsidR="003668C1" w:rsidRPr="00D541D9" w:rsidRDefault="003668C1" w:rsidP="00413241">
      <w:pPr>
        <w:pStyle w:val="ListParagraph"/>
        <w:numPr>
          <w:ilvl w:val="0"/>
          <w:numId w:val="46"/>
        </w:numPr>
        <w:spacing w:line="240" w:lineRule="auto"/>
        <w:ind w:left="1134" w:hanging="283"/>
        <w:rPr>
          <w:color w:val="auto"/>
        </w:rPr>
      </w:pPr>
      <w:r w:rsidRPr="00D541D9">
        <w:rPr>
          <w:color w:val="auto"/>
        </w:rPr>
        <w:t xml:space="preserve">Ensures this policy is adhered to in all decisions relating to acceptance or refusal of rebates.   </w:t>
      </w:r>
    </w:p>
    <w:p w14:paraId="55392B0D" w14:textId="49FB819F" w:rsidR="003668C1" w:rsidRPr="003668C1" w:rsidRDefault="003668C1" w:rsidP="00413241">
      <w:pPr>
        <w:pStyle w:val="Heading2"/>
        <w:ind w:hanging="433"/>
      </w:pPr>
      <w:bookmarkStart w:id="13" w:name="_Toc132378220"/>
      <w:r w:rsidRPr="003668C1">
        <w:t>Medicines Management/Optimisation Teams (MMT /MOT)</w:t>
      </w:r>
      <w:bookmarkEnd w:id="13"/>
    </w:p>
    <w:p w14:paraId="0D35742F" w14:textId="2BDAA326" w:rsidR="003668C1" w:rsidRPr="00A259A7" w:rsidRDefault="003668C1" w:rsidP="00413241">
      <w:pPr>
        <w:pStyle w:val="ListParagraph"/>
        <w:numPr>
          <w:ilvl w:val="0"/>
          <w:numId w:val="31"/>
        </w:numPr>
        <w:spacing w:line="240" w:lineRule="auto"/>
        <w:ind w:left="1134" w:hanging="283"/>
        <w:rPr>
          <w:color w:val="auto"/>
        </w:rPr>
      </w:pPr>
      <w:r w:rsidRPr="00A259A7">
        <w:rPr>
          <w:color w:val="auto"/>
        </w:rPr>
        <w:t>To establish and maintain an ICB Rebates Sub-group</w:t>
      </w:r>
      <w:r w:rsidR="000A5544">
        <w:rPr>
          <w:color w:val="auto"/>
        </w:rPr>
        <w:t>.</w:t>
      </w:r>
    </w:p>
    <w:p w14:paraId="56B6D61C" w14:textId="0EC3759A" w:rsidR="003668C1" w:rsidRPr="00A259A7" w:rsidRDefault="003668C1" w:rsidP="00413241">
      <w:pPr>
        <w:pStyle w:val="ListParagraph"/>
        <w:numPr>
          <w:ilvl w:val="0"/>
          <w:numId w:val="31"/>
        </w:numPr>
        <w:spacing w:line="240" w:lineRule="auto"/>
        <w:ind w:left="1134" w:hanging="283"/>
        <w:rPr>
          <w:color w:val="auto"/>
        </w:rPr>
      </w:pPr>
      <w:r w:rsidRPr="00A259A7">
        <w:rPr>
          <w:color w:val="auto"/>
        </w:rPr>
        <w:t>To identify potential PCRSs and channel those to the ICB Rebates Sub-group for consideration with accompanying relevant information</w:t>
      </w:r>
      <w:r w:rsidR="000A5544">
        <w:rPr>
          <w:color w:val="auto"/>
        </w:rPr>
        <w:t>.</w:t>
      </w:r>
    </w:p>
    <w:p w14:paraId="3F40E25D" w14:textId="25A84A52" w:rsidR="003668C1" w:rsidRPr="00A259A7" w:rsidRDefault="003668C1" w:rsidP="00413241">
      <w:pPr>
        <w:pStyle w:val="ListParagraph"/>
        <w:numPr>
          <w:ilvl w:val="0"/>
          <w:numId w:val="31"/>
        </w:numPr>
        <w:spacing w:line="240" w:lineRule="auto"/>
        <w:ind w:left="1134" w:hanging="283"/>
        <w:rPr>
          <w:color w:val="auto"/>
        </w:rPr>
      </w:pPr>
      <w:r w:rsidRPr="00A259A7">
        <w:rPr>
          <w:color w:val="auto"/>
        </w:rPr>
        <w:t>Support Finance and Accounting colleagues in claiming rebate income each quarter</w:t>
      </w:r>
      <w:r w:rsidR="000A5544">
        <w:rPr>
          <w:color w:val="auto"/>
        </w:rPr>
        <w:t>.</w:t>
      </w:r>
    </w:p>
    <w:p w14:paraId="3738DCBB" w14:textId="08C6A6E7" w:rsidR="003668C1" w:rsidRPr="003668C1" w:rsidRDefault="003668C1" w:rsidP="00413241">
      <w:pPr>
        <w:pStyle w:val="Heading2"/>
        <w:ind w:hanging="433"/>
      </w:pPr>
      <w:bookmarkStart w:id="14" w:name="_Toc132378221"/>
      <w:r w:rsidRPr="003668C1">
        <w:t>ICB Rebates Sub-</w:t>
      </w:r>
      <w:proofErr w:type="gramStart"/>
      <w:r w:rsidRPr="003668C1">
        <w:t>group</w:t>
      </w:r>
      <w:bookmarkEnd w:id="14"/>
      <w:proofErr w:type="gramEnd"/>
    </w:p>
    <w:p w14:paraId="1B78CEB3" w14:textId="0BBA87FC" w:rsidR="003668C1" w:rsidRPr="00A259A7" w:rsidRDefault="003668C1" w:rsidP="00413241">
      <w:pPr>
        <w:pStyle w:val="ListParagraph"/>
        <w:numPr>
          <w:ilvl w:val="0"/>
          <w:numId w:val="31"/>
        </w:numPr>
        <w:spacing w:line="240" w:lineRule="auto"/>
        <w:ind w:left="1134" w:hanging="283"/>
        <w:rPr>
          <w:color w:val="auto"/>
        </w:rPr>
      </w:pPr>
      <w:r w:rsidRPr="00A259A7">
        <w:rPr>
          <w:color w:val="auto"/>
        </w:rPr>
        <w:t xml:space="preserve">Review rebate schemes in line with criteria detailed within section </w:t>
      </w:r>
      <w:r w:rsidR="00EF7514">
        <w:rPr>
          <w:color w:val="auto"/>
        </w:rPr>
        <w:t>7.6</w:t>
      </w:r>
      <w:r w:rsidRPr="00A259A7">
        <w:rPr>
          <w:color w:val="auto"/>
        </w:rPr>
        <w:t xml:space="preserve"> of this policy, including consideration of external reviews, for example those carried out by </w:t>
      </w:r>
      <w:proofErr w:type="spellStart"/>
      <w:r w:rsidRPr="00A259A7">
        <w:rPr>
          <w:color w:val="auto"/>
        </w:rPr>
        <w:t>PrescQIPP</w:t>
      </w:r>
      <w:proofErr w:type="spellEnd"/>
      <w:r w:rsidRPr="00A259A7">
        <w:rPr>
          <w:color w:val="auto"/>
        </w:rPr>
        <w:t xml:space="preserve">.  </w:t>
      </w:r>
    </w:p>
    <w:p w14:paraId="049E5790" w14:textId="71C72207" w:rsidR="003668C1" w:rsidRPr="00A259A7" w:rsidRDefault="003668C1" w:rsidP="00413241">
      <w:pPr>
        <w:pStyle w:val="ListParagraph"/>
        <w:numPr>
          <w:ilvl w:val="0"/>
          <w:numId w:val="31"/>
        </w:numPr>
        <w:spacing w:line="240" w:lineRule="auto"/>
        <w:ind w:left="1134" w:hanging="283"/>
        <w:rPr>
          <w:color w:val="auto"/>
        </w:rPr>
      </w:pPr>
      <w:r w:rsidRPr="00A259A7">
        <w:rPr>
          <w:color w:val="auto"/>
        </w:rPr>
        <w:t xml:space="preserve">Provide an appraisal and recommendation to the representative Place Based Director of Finance and the Executive Director of Finance and Investment.  </w:t>
      </w:r>
    </w:p>
    <w:p w14:paraId="4991DB12" w14:textId="4AFA1E27" w:rsidR="003668C1" w:rsidRPr="00A259A7" w:rsidRDefault="003668C1" w:rsidP="00413241">
      <w:pPr>
        <w:pStyle w:val="ListParagraph"/>
        <w:numPr>
          <w:ilvl w:val="0"/>
          <w:numId w:val="31"/>
        </w:numPr>
        <w:spacing w:line="240" w:lineRule="auto"/>
        <w:ind w:left="1134" w:hanging="283"/>
        <w:rPr>
          <w:color w:val="auto"/>
        </w:rPr>
      </w:pPr>
      <w:r w:rsidRPr="00A259A7">
        <w:rPr>
          <w:color w:val="auto"/>
        </w:rPr>
        <w:t>Ensures th</w:t>
      </w:r>
      <w:r w:rsidR="00E8272A">
        <w:rPr>
          <w:color w:val="auto"/>
        </w:rPr>
        <w:t xml:space="preserve">e </w:t>
      </w:r>
      <w:r w:rsidRPr="00A259A7">
        <w:rPr>
          <w:color w:val="auto"/>
        </w:rPr>
        <w:t xml:space="preserve">policy is </w:t>
      </w:r>
      <w:r w:rsidR="00E8272A">
        <w:rPr>
          <w:color w:val="auto"/>
        </w:rPr>
        <w:t>followed to support</w:t>
      </w:r>
      <w:r w:rsidRPr="00A259A7">
        <w:rPr>
          <w:color w:val="auto"/>
        </w:rPr>
        <w:t xml:space="preserve"> in all decisions relating to acceptance or refusal of rebates. </w:t>
      </w:r>
    </w:p>
    <w:p w14:paraId="7B8E1E5F" w14:textId="3C98F6F1" w:rsidR="003668C1" w:rsidRPr="00A259A7" w:rsidRDefault="003668C1" w:rsidP="00413241">
      <w:pPr>
        <w:pStyle w:val="ListParagraph"/>
        <w:numPr>
          <w:ilvl w:val="0"/>
          <w:numId w:val="31"/>
        </w:numPr>
        <w:spacing w:line="240" w:lineRule="auto"/>
        <w:ind w:left="1134" w:hanging="283"/>
        <w:rPr>
          <w:color w:val="auto"/>
        </w:rPr>
      </w:pPr>
      <w:r w:rsidRPr="00A259A7">
        <w:rPr>
          <w:color w:val="auto"/>
        </w:rPr>
        <w:t>Regularly review the rebate scheme register, held on the ICB’s website, for accuracy</w:t>
      </w:r>
      <w:r w:rsidR="000A5544">
        <w:rPr>
          <w:color w:val="auto"/>
        </w:rPr>
        <w:t>.</w:t>
      </w:r>
    </w:p>
    <w:p w14:paraId="163024BD" w14:textId="5068AC71" w:rsidR="003668C1" w:rsidRPr="00A259A7" w:rsidRDefault="003668C1" w:rsidP="00413241">
      <w:pPr>
        <w:pStyle w:val="ListParagraph"/>
        <w:numPr>
          <w:ilvl w:val="0"/>
          <w:numId w:val="31"/>
        </w:numPr>
        <w:spacing w:line="240" w:lineRule="auto"/>
        <w:ind w:left="1134" w:hanging="283"/>
        <w:rPr>
          <w:color w:val="auto"/>
        </w:rPr>
      </w:pPr>
      <w:r w:rsidRPr="00A259A7">
        <w:rPr>
          <w:color w:val="auto"/>
        </w:rPr>
        <w:t xml:space="preserve">Ensures rebates are claimed in a timely fashion.  </w:t>
      </w:r>
    </w:p>
    <w:p w14:paraId="4FFE34CF" w14:textId="2853B7F0" w:rsidR="003668C1" w:rsidRPr="003668C1" w:rsidRDefault="003668C1" w:rsidP="00413241">
      <w:pPr>
        <w:pStyle w:val="Heading2"/>
        <w:ind w:hanging="433"/>
      </w:pPr>
      <w:bookmarkStart w:id="15" w:name="_Toc132378222"/>
      <w:r w:rsidRPr="003668C1">
        <w:t xml:space="preserve">ICB's Integrated </w:t>
      </w:r>
      <w:r w:rsidR="00F37B65">
        <w:t xml:space="preserve">Pharmacy and </w:t>
      </w:r>
      <w:r w:rsidRPr="003668C1">
        <w:t>Medicines Optimisation Committee (I</w:t>
      </w:r>
      <w:r w:rsidR="00F37B65">
        <w:t>P</w:t>
      </w:r>
      <w:r w:rsidRPr="003668C1">
        <w:t>MOC)</w:t>
      </w:r>
      <w:bookmarkEnd w:id="15"/>
    </w:p>
    <w:p w14:paraId="663CD458" w14:textId="40569FFC" w:rsidR="003668C1" w:rsidRPr="000A5544" w:rsidRDefault="00C20712" w:rsidP="000A5544">
      <w:pPr>
        <w:spacing w:line="240" w:lineRule="auto"/>
        <w:ind w:left="139" w:firstLine="720"/>
        <w:rPr>
          <w:color w:val="auto"/>
        </w:rPr>
      </w:pPr>
      <w:r>
        <w:rPr>
          <w:color w:val="auto"/>
        </w:rPr>
        <w:t>IPMOC</w:t>
      </w:r>
      <w:r w:rsidR="003668C1" w:rsidRPr="000A5544">
        <w:rPr>
          <w:color w:val="auto"/>
        </w:rPr>
        <w:t xml:space="preserve"> will discuss the rebate 'decision form' and endorse if appropriate.</w:t>
      </w:r>
    </w:p>
    <w:p w14:paraId="46AB2A6E" w14:textId="16339B0B" w:rsidR="003668C1" w:rsidRPr="003668C1" w:rsidRDefault="003668C1" w:rsidP="00413241">
      <w:pPr>
        <w:pStyle w:val="Heading2"/>
        <w:ind w:hanging="433"/>
      </w:pPr>
      <w:bookmarkStart w:id="16" w:name="_Toc132378223"/>
      <w:r w:rsidRPr="003668C1">
        <w:t>Heads of Medicines Management and Senior Strategic Lead Pharmacist</w:t>
      </w:r>
      <w:bookmarkEnd w:id="16"/>
    </w:p>
    <w:p w14:paraId="2F879E78" w14:textId="681F6EFA" w:rsidR="003668C1" w:rsidRPr="000A5544" w:rsidRDefault="003668C1" w:rsidP="000A5544">
      <w:pPr>
        <w:spacing w:line="240" w:lineRule="auto"/>
        <w:ind w:left="859"/>
        <w:rPr>
          <w:color w:val="auto"/>
        </w:rPr>
      </w:pPr>
      <w:r w:rsidRPr="000A5544">
        <w:rPr>
          <w:color w:val="auto"/>
        </w:rPr>
        <w:t>Both will review and approve the rebate offer on behalf of the six Places (as delegated) prior to sign-off by the Executive Director of Finance and Investment</w:t>
      </w:r>
      <w:r w:rsidR="000A5544" w:rsidRPr="000A5544">
        <w:rPr>
          <w:color w:val="auto"/>
        </w:rPr>
        <w:t>.</w:t>
      </w:r>
    </w:p>
    <w:p w14:paraId="00D739A4" w14:textId="18EE3834" w:rsidR="003668C1" w:rsidRPr="003668C1" w:rsidRDefault="003668C1" w:rsidP="00413241">
      <w:pPr>
        <w:pStyle w:val="Heading2"/>
        <w:ind w:left="856" w:hanging="431"/>
      </w:pPr>
      <w:bookmarkStart w:id="17" w:name="_Toc132378224"/>
      <w:r w:rsidRPr="003668C1">
        <w:t>A Place based director of Finance (Lead for Prescribing)</w:t>
      </w:r>
      <w:bookmarkEnd w:id="17"/>
    </w:p>
    <w:p w14:paraId="5BCAE619" w14:textId="3F1346BD" w:rsidR="003668C1" w:rsidRPr="000A5544" w:rsidRDefault="003668C1" w:rsidP="000A5544">
      <w:pPr>
        <w:spacing w:line="240" w:lineRule="auto"/>
        <w:ind w:left="859"/>
        <w:rPr>
          <w:color w:val="auto"/>
        </w:rPr>
      </w:pPr>
      <w:r w:rsidRPr="000A5544">
        <w:rPr>
          <w:color w:val="auto"/>
        </w:rPr>
        <w:t xml:space="preserve">Review and approve the rebate offer prior to sign-off by the Executive Director of Finance and Investment.  </w:t>
      </w:r>
    </w:p>
    <w:p w14:paraId="11EA3CA8" w14:textId="519DA37B" w:rsidR="003668C1" w:rsidRPr="003668C1" w:rsidRDefault="003668C1" w:rsidP="00413241">
      <w:pPr>
        <w:pStyle w:val="Heading2"/>
        <w:ind w:left="862" w:hanging="578"/>
      </w:pPr>
      <w:bookmarkStart w:id="18" w:name="_Toc132378225"/>
      <w:r w:rsidRPr="003668C1">
        <w:t>Head of Service – Financial Accounting &amp; Reporting</w:t>
      </w:r>
      <w:bookmarkEnd w:id="18"/>
    </w:p>
    <w:p w14:paraId="4F5E4B60" w14:textId="13EF5367" w:rsidR="003668C1" w:rsidRPr="000A5544" w:rsidRDefault="003668C1" w:rsidP="000A5544">
      <w:pPr>
        <w:spacing w:line="240" w:lineRule="auto"/>
        <w:ind w:left="139" w:firstLine="720"/>
        <w:rPr>
          <w:color w:val="auto"/>
        </w:rPr>
      </w:pPr>
      <w:r w:rsidRPr="000A5544">
        <w:rPr>
          <w:color w:val="auto"/>
        </w:rPr>
        <w:t>Reclaim rebate funding from the administrator of the scheme.</w:t>
      </w:r>
    </w:p>
    <w:p w14:paraId="1AD394E7" w14:textId="107819A0" w:rsidR="00694ABB" w:rsidRDefault="003668C1" w:rsidP="003668C1">
      <w:pPr>
        <w:pStyle w:val="Heading2"/>
      </w:pPr>
      <w:bookmarkStart w:id="19" w:name="_Toc132378226"/>
      <w:r w:rsidRPr="003668C1">
        <w:t>ICB's Quality Committee</w:t>
      </w:r>
      <w:bookmarkEnd w:id="19"/>
      <w:r w:rsidRPr="003668C1" w:rsidDel="003668C1">
        <w:t xml:space="preserve"> </w:t>
      </w:r>
    </w:p>
    <w:p w14:paraId="362B439B" w14:textId="081E7525" w:rsidR="00694ABB" w:rsidRPr="000A5544" w:rsidRDefault="003668C1" w:rsidP="000A5544">
      <w:pPr>
        <w:spacing w:line="240" w:lineRule="auto"/>
        <w:ind w:left="138" w:firstLine="720"/>
        <w:rPr>
          <w:color w:val="auto"/>
        </w:rPr>
      </w:pPr>
      <w:r w:rsidRPr="000A5544">
        <w:rPr>
          <w:color w:val="auto"/>
        </w:rPr>
        <w:t>The Quality Committee is responsible for the approval of this policy and its updates.</w:t>
      </w:r>
    </w:p>
    <w:p w14:paraId="66A1D27B" w14:textId="77777777" w:rsidR="00694ABB" w:rsidRPr="00694ABB" w:rsidRDefault="00694ABB" w:rsidP="007950E2">
      <w:pPr>
        <w:ind w:left="720"/>
        <w:rPr>
          <w:color w:val="auto"/>
        </w:rPr>
      </w:pPr>
    </w:p>
    <w:p w14:paraId="53B85001" w14:textId="160ED53F" w:rsidR="003668C1" w:rsidRDefault="003668C1" w:rsidP="003668C1">
      <w:pPr>
        <w:pStyle w:val="Heading1"/>
      </w:pPr>
      <w:bookmarkStart w:id="20" w:name="_Toc132378227"/>
      <w:r w:rsidRPr="003668C1">
        <w:t>Legal Advice</w:t>
      </w:r>
      <w:bookmarkEnd w:id="20"/>
    </w:p>
    <w:p w14:paraId="716455FB" w14:textId="04AF6554" w:rsidR="003668C1" w:rsidRDefault="003668C1" w:rsidP="003668C1">
      <w:pPr>
        <w:spacing w:line="240" w:lineRule="auto"/>
        <w:ind w:left="858"/>
        <w:rPr>
          <w:color w:val="auto"/>
        </w:rPr>
      </w:pPr>
      <w:r w:rsidRPr="003668C1">
        <w:rPr>
          <w:color w:val="auto"/>
        </w:rPr>
        <w:t xml:space="preserve">Concerns were previously raised by some NHS commissioners </w:t>
      </w:r>
      <w:r w:rsidR="00C20712">
        <w:rPr>
          <w:color w:val="auto"/>
        </w:rPr>
        <w:t>regarding</w:t>
      </w:r>
      <w:r w:rsidRPr="003668C1">
        <w:rPr>
          <w:color w:val="auto"/>
        </w:rPr>
        <w:t xml:space="preserve"> the lack of clarity </w:t>
      </w:r>
      <w:r w:rsidR="00C20712">
        <w:rPr>
          <w:color w:val="auto"/>
        </w:rPr>
        <w:t xml:space="preserve">in relation to </w:t>
      </w:r>
      <w:r w:rsidRPr="003668C1">
        <w:rPr>
          <w:color w:val="auto"/>
        </w:rPr>
        <w:t xml:space="preserve">such schemes </w:t>
      </w:r>
      <w:r w:rsidR="00C20712">
        <w:rPr>
          <w:color w:val="auto"/>
        </w:rPr>
        <w:t xml:space="preserve">and whether they </w:t>
      </w:r>
      <w:r w:rsidRPr="003668C1">
        <w:rPr>
          <w:color w:val="auto"/>
        </w:rPr>
        <w:t xml:space="preserve">are allowed under the current regulations. The London Primary Care Medicines Use and Procurement QIPP group, as part of the London Procurement Partnership (LPP), agreed that it was unclear whether these schemes were allowed within the regulations in 2015 and sought legal opinion from DAC Beechcroft. </w:t>
      </w:r>
    </w:p>
    <w:p w14:paraId="15AF820E" w14:textId="77777777" w:rsidR="003668C1" w:rsidRPr="003668C1" w:rsidRDefault="003668C1" w:rsidP="003668C1">
      <w:pPr>
        <w:spacing w:line="240" w:lineRule="auto"/>
        <w:ind w:left="858"/>
        <w:rPr>
          <w:color w:val="auto"/>
        </w:rPr>
      </w:pPr>
    </w:p>
    <w:p w14:paraId="3143636A" w14:textId="3FC0978B" w:rsidR="003668C1" w:rsidRDefault="003668C1" w:rsidP="003668C1">
      <w:pPr>
        <w:spacing w:line="240" w:lineRule="auto"/>
        <w:ind w:left="858"/>
        <w:rPr>
          <w:color w:val="auto"/>
        </w:rPr>
      </w:pPr>
      <w:r w:rsidRPr="003668C1">
        <w:rPr>
          <w:color w:val="auto"/>
        </w:rPr>
        <w:t>The detailed legal advice obtained by the LPP from DAC Beechcroft</w:t>
      </w:r>
      <w:r w:rsidRPr="00A057B5">
        <w:rPr>
          <w:color w:val="auto"/>
          <w:vertAlign w:val="superscript"/>
        </w:rPr>
        <w:t>1</w:t>
      </w:r>
      <w:r w:rsidRPr="003668C1">
        <w:rPr>
          <w:color w:val="auto"/>
        </w:rPr>
        <w:t xml:space="preserve"> in January 2016 has been shared within the NHS and is available from the MMT/MOT. Its stated conclusion was that primary care rebate schemes were not unlawful. It was therefore accepted to be within the powers of CCGs </w:t>
      </w:r>
      <w:r w:rsidR="00A057B5">
        <w:rPr>
          <w:color w:val="auto"/>
        </w:rPr>
        <w:t xml:space="preserve">(Clinical Commissioning Groups) </w:t>
      </w:r>
      <w:r w:rsidRPr="003668C1">
        <w:rPr>
          <w:color w:val="auto"/>
        </w:rPr>
        <w:t xml:space="preserve">to agree to PCRSs, provided </w:t>
      </w:r>
      <w:r w:rsidRPr="003668C1">
        <w:rPr>
          <w:color w:val="auto"/>
        </w:rPr>
        <w:lastRenderedPageBreak/>
        <w:t xml:space="preserve">they meet certain requirements. It is understood that current regulations have not altered this position, though </w:t>
      </w:r>
      <w:r w:rsidR="00A057B5">
        <w:rPr>
          <w:color w:val="auto"/>
        </w:rPr>
        <w:t xml:space="preserve">NHS </w:t>
      </w:r>
      <w:r w:rsidRPr="003668C1">
        <w:rPr>
          <w:color w:val="auto"/>
        </w:rPr>
        <w:t>Humber and North Yorkshire ICB can seek further legal advice as appropriate.</w:t>
      </w:r>
    </w:p>
    <w:p w14:paraId="3D62E804" w14:textId="77777777" w:rsidR="003668C1" w:rsidRPr="003668C1" w:rsidRDefault="003668C1" w:rsidP="003668C1">
      <w:pPr>
        <w:spacing w:line="240" w:lineRule="auto"/>
        <w:ind w:left="858"/>
        <w:rPr>
          <w:color w:val="auto"/>
        </w:rPr>
      </w:pPr>
    </w:p>
    <w:p w14:paraId="5217855D" w14:textId="166BA6C4" w:rsidR="003668C1" w:rsidRDefault="003668C1" w:rsidP="003668C1">
      <w:pPr>
        <w:spacing w:line="240" w:lineRule="auto"/>
        <w:ind w:left="858"/>
        <w:rPr>
          <w:color w:val="auto"/>
        </w:rPr>
      </w:pPr>
      <w:r w:rsidRPr="003668C1">
        <w:rPr>
          <w:color w:val="auto"/>
        </w:rPr>
        <w:t xml:space="preserve">The ICB may wish to take legal advice on the content of any </w:t>
      </w:r>
      <w:proofErr w:type="gramStart"/>
      <w:r w:rsidRPr="003668C1">
        <w:rPr>
          <w:color w:val="auto"/>
        </w:rPr>
        <w:t>particular scheme</w:t>
      </w:r>
      <w:proofErr w:type="gramEnd"/>
      <w:r w:rsidRPr="003668C1">
        <w:rPr>
          <w:color w:val="auto"/>
        </w:rPr>
        <w:t xml:space="preserve"> prior to entering into any agreement.</w:t>
      </w:r>
    </w:p>
    <w:p w14:paraId="3AE9615B" w14:textId="77777777" w:rsidR="003668C1" w:rsidRPr="003668C1" w:rsidRDefault="003668C1" w:rsidP="00675566">
      <w:pPr>
        <w:ind w:left="856"/>
        <w:rPr>
          <w:color w:val="auto"/>
        </w:rPr>
      </w:pPr>
    </w:p>
    <w:p w14:paraId="01805071" w14:textId="17EF55B9" w:rsidR="000E282A" w:rsidRPr="000E282A" w:rsidRDefault="000E282A" w:rsidP="00675566">
      <w:pPr>
        <w:pStyle w:val="Heading1"/>
        <w:ind w:left="856" w:hanging="431"/>
      </w:pPr>
      <w:bookmarkStart w:id="21" w:name="_Toc132378228"/>
      <w:r w:rsidRPr="000E282A">
        <w:t>Rebate Scheme Policy Requirements</w:t>
      </w:r>
      <w:bookmarkEnd w:id="21"/>
    </w:p>
    <w:p w14:paraId="3A1A6B20" w14:textId="25A9F6A5" w:rsidR="00DD443C" w:rsidRDefault="000E282A" w:rsidP="00A71628">
      <w:pPr>
        <w:spacing w:line="240" w:lineRule="auto"/>
        <w:ind w:left="858"/>
        <w:rPr>
          <w:color w:val="auto"/>
        </w:rPr>
      </w:pPr>
      <w:r w:rsidRPr="000E282A">
        <w:rPr>
          <w:color w:val="auto"/>
        </w:rPr>
        <w:t>It is preferable for pharmaceutical companies to supply medicines to the NHS using transparent pricing mechanisms, which do not create an additional administrative burden to the NHS. Any medicine should only be agreed for use within a rebate scheme if it is believed to be appropriate for a defined cohort of patients within a population. It is important that all patients continue to be treated as individuals and acceptance of a scheme should not constrain existing local decision-making processes or formulary development. This is in line with D</w:t>
      </w:r>
      <w:r w:rsidR="00C20712">
        <w:rPr>
          <w:color w:val="auto"/>
        </w:rPr>
        <w:t xml:space="preserve">epartment of </w:t>
      </w:r>
      <w:r w:rsidRPr="000E282A">
        <w:rPr>
          <w:color w:val="auto"/>
        </w:rPr>
        <w:t>H</w:t>
      </w:r>
      <w:r w:rsidR="00C20712">
        <w:rPr>
          <w:color w:val="auto"/>
        </w:rPr>
        <w:t>ealth</w:t>
      </w:r>
      <w:r w:rsidRPr="000E282A">
        <w:rPr>
          <w:color w:val="auto"/>
        </w:rPr>
        <w:t xml:space="preserve"> document (gateway reference 14802) on Strategies to Achieve Cost-Effective Prescribing (2010)</w:t>
      </w:r>
      <w:r w:rsidRPr="00A057B5">
        <w:rPr>
          <w:color w:val="auto"/>
          <w:vertAlign w:val="superscript"/>
        </w:rPr>
        <w:t>2</w:t>
      </w:r>
      <w:r w:rsidRPr="000E282A">
        <w:rPr>
          <w:color w:val="auto"/>
        </w:rPr>
        <w:t>. This states that the following principles should underpin local strategies:</w:t>
      </w:r>
    </w:p>
    <w:p w14:paraId="001F4B38" w14:textId="515CD921" w:rsidR="000E282A" w:rsidRPr="000E282A" w:rsidRDefault="000E282A" w:rsidP="00A71628">
      <w:pPr>
        <w:pStyle w:val="ListParagraph"/>
        <w:numPr>
          <w:ilvl w:val="0"/>
          <w:numId w:val="29"/>
        </w:numPr>
        <w:spacing w:line="240" w:lineRule="auto"/>
        <w:rPr>
          <w:i/>
          <w:iCs/>
          <w:color w:val="auto"/>
        </w:rPr>
      </w:pPr>
      <w:r w:rsidRPr="000E282A">
        <w:rPr>
          <w:i/>
          <w:iCs/>
          <w:color w:val="auto"/>
        </w:rPr>
        <w:t xml:space="preserve">The decision to initiate treatment or change a patient’s treatment regime should be based on up-to-date best clinical evidence or guidance, </w:t>
      </w:r>
      <w:proofErr w:type="gramStart"/>
      <w:r w:rsidRPr="000E282A">
        <w:rPr>
          <w:i/>
          <w:iCs/>
          <w:color w:val="auto"/>
        </w:rPr>
        <w:t>e.g.</w:t>
      </w:r>
      <w:proofErr w:type="gramEnd"/>
      <w:r w:rsidRPr="000E282A">
        <w:rPr>
          <w:i/>
          <w:iCs/>
          <w:color w:val="auto"/>
        </w:rPr>
        <w:t xml:space="preserve"> from the National Institute for Health and Clinical Excellence (NICE) or other authoritative sources.</w:t>
      </w:r>
    </w:p>
    <w:p w14:paraId="4B956175" w14:textId="5E5A33FB" w:rsidR="000E282A" w:rsidRPr="000E282A" w:rsidRDefault="000E282A" w:rsidP="00A71628">
      <w:pPr>
        <w:pStyle w:val="ListParagraph"/>
        <w:numPr>
          <w:ilvl w:val="0"/>
          <w:numId w:val="29"/>
        </w:numPr>
        <w:spacing w:line="240" w:lineRule="auto"/>
        <w:rPr>
          <w:i/>
          <w:iCs/>
          <w:color w:val="auto"/>
        </w:rPr>
      </w:pPr>
      <w:r w:rsidRPr="000E282A">
        <w:rPr>
          <w:i/>
          <w:iCs/>
          <w:color w:val="auto"/>
        </w:rPr>
        <w:t xml:space="preserve">Health professionals should base their prescribing decisions on individual assessments of their patients’ clinical circumstances, </w:t>
      </w:r>
      <w:proofErr w:type="gramStart"/>
      <w:r w:rsidRPr="000E282A">
        <w:rPr>
          <w:i/>
          <w:iCs/>
          <w:color w:val="auto"/>
        </w:rPr>
        <w:t>e.g.</w:t>
      </w:r>
      <w:proofErr w:type="gramEnd"/>
      <w:r w:rsidRPr="000E282A">
        <w:rPr>
          <w:i/>
          <w:iCs/>
          <w:color w:val="auto"/>
        </w:rPr>
        <w:t xml:space="preserve"> patients whose clinical history suggests they need a particular treatment should continue to receive it.</w:t>
      </w:r>
    </w:p>
    <w:p w14:paraId="3CC8B599" w14:textId="5555DC8E" w:rsidR="000E282A" w:rsidRPr="000E282A" w:rsidRDefault="000E282A" w:rsidP="00A71628">
      <w:pPr>
        <w:pStyle w:val="ListParagraph"/>
        <w:numPr>
          <w:ilvl w:val="0"/>
          <w:numId w:val="29"/>
        </w:numPr>
        <w:spacing w:line="240" w:lineRule="auto"/>
        <w:rPr>
          <w:i/>
          <w:iCs/>
          <w:color w:val="auto"/>
        </w:rPr>
      </w:pPr>
      <w:r w:rsidRPr="000E282A">
        <w:rPr>
          <w:i/>
          <w:iCs/>
          <w:color w:val="auto"/>
        </w:rPr>
        <w:t xml:space="preserve">The individual patient (and their guardian or carer where appropriate) should be informed about the action being taken and suitable arrangements should be made to involve the patient, ensuring they have an opportunity to discuss a proposed switch of medicines, and to monitor the patient following any switch.  </w:t>
      </w:r>
    </w:p>
    <w:p w14:paraId="7AEB8C9D" w14:textId="602785F7" w:rsidR="000E282A" w:rsidRPr="000E282A" w:rsidRDefault="000E282A" w:rsidP="00A71628">
      <w:pPr>
        <w:pStyle w:val="ListParagraph"/>
        <w:numPr>
          <w:ilvl w:val="0"/>
          <w:numId w:val="29"/>
        </w:numPr>
        <w:spacing w:line="240" w:lineRule="auto"/>
        <w:rPr>
          <w:i/>
          <w:iCs/>
          <w:color w:val="auto"/>
        </w:rPr>
      </w:pPr>
      <w:r w:rsidRPr="000E282A">
        <w:rPr>
          <w:i/>
          <w:iCs/>
          <w:color w:val="auto"/>
        </w:rPr>
        <w:t xml:space="preserve">Prescribers should be able to make their choice of medicinal products </w:t>
      </w:r>
      <w:proofErr w:type="gramStart"/>
      <w:r w:rsidRPr="000E282A">
        <w:rPr>
          <w:i/>
          <w:iCs/>
          <w:color w:val="auto"/>
        </w:rPr>
        <w:t>on the basis of</w:t>
      </w:r>
      <w:proofErr w:type="gramEnd"/>
      <w:r w:rsidRPr="000E282A">
        <w:rPr>
          <w:i/>
          <w:iCs/>
          <w:color w:val="auto"/>
        </w:rPr>
        <w:t xml:space="preserve"> clinical suitability, risk assessment and value for money.  </w:t>
      </w:r>
    </w:p>
    <w:p w14:paraId="397E61AA" w14:textId="37BD3240" w:rsidR="000E282A" w:rsidRPr="000E282A" w:rsidRDefault="000E282A" w:rsidP="00A71628">
      <w:pPr>
        <w:pStyle w:val="ListParagraph"/>
        <w:numPr>
          <w:ilvl w:val="0"/>
          <w:numId w:val="29"/>
        </w:numPr>
        <w:spacing w:line="240" w:lineRule="auto"/>
        <w:rPr>
          <w:i/>
          <w:iCs/>
          <w:color w:val="auto"/>
        </w:rPr>
      </w:pPr>
      <w:r w:rsidRPr="000E282A">
        <w:rPr>
          <w:i/>
          <w:iCs/>
          <w:color w:val="auto"/>
        </w:rPr>
        <w:t>Schemes should be reviewed whenever relevant NICE or alternative guidance are updated.</w:t>
      </w:r>
    </w:p>
    <w:p w14:paraId="22DA1CCB" w14:textId="7075ADBA" w:rsidR="000E282A" w:rsidRDefault="000E282A" w:rsidP="00A71628">
      <w:pPr>
        <w:pStyle w:val="ListParagraph"/>
        <w:numPr>
          <w:ilvl w:val="0"/>
          <w:numId w:val="29"/>
        </w:numPr>
        <w:spacing w:line="240" w:lineRule="auto"/>
        <w:rPr>
          <w:i/>
          <w:iCs/>
          <w:color w:val="auto"/>
        </w:rPr>
      </w:pPr>
      <w:r w:rsidRPr="000E282A">
        <w:rPr>
          <w:i/>
          <w:iCs/>
          <w:color w:val="auto"/>
        </w:rPr>
        <w:t>Limited scheme terms will be published on the ICB's website.</w:t>
      </w:r>
    </w:p>
    <w:p w14:paraId="6B214255" w14:textId="77777777" w:rsidR="000E282A" w:rsidRDefault="000E282A" w:rsidP="00332207">
      <w:pPr>
        <w:pStyle w:val="Heading2"/>
        <w:ind w:left="850" w:hanging="425"/>
      </w:pPr>
      <w:bookmarkStart w:id="22" w:name="_Toc132378229"/>
      <w:r w:rsidRPr="000E282A">
        <w:t>Good Practice Principles for Rebate Schemes</w:t>
      </w:r>
      <w:bookmarkEnd w:id="22"/>
      <w:r w:rsidRPr="000E282A">
        <w:t xml:space="preserve"> </w:t>
      </w:r>
    </w:p>
    <w:p w14:paraId="6DD1EC5A" w14:textId="77777777" w:rsidR="000E282A" w:rsidRPr="00A71628" w:rsidRDefault="000E282A" w:rsidP="00A71628">
      <w:pPr>
        <w:spacing w:line="240" w:lineRule="auto"/>
        <w:ind w:left="859"/>
        <w:rPr>
          <w:color w:val="auto"/>
        </w:rPr>
      </w:pPr>
      <w:r w:rsidRPr="00A71628">
        <w:rPr>
          <w:color w:val="auto"/>
        </w:rPr>
        <w:t xml:space="preserve">The detailed content of rebates offered to the ICB will differ between schemes. Any rebate scheme must be compatible with the effective, </w:t>
      </w:r>
      <w:proofErr w:type="gramStart"/>
      <w:r w:rsidRPr="00A71628">
        <w:rPr>
          <w:color w:val="auto"/>
        </w:rPr>
        <w:t>efficient</w:t>
      </w:r>
      <w:proofErr w:type="gramEnd"/>
      <w:r w:rsidRPr="00A71628">
        <w:rPr>
          <w:color w:val="auto"/>
        </w:rPr>
        <w:t xml:space="preserve"> and economic use of NHS resources. These Good Practice Principles can help the ICB in assessing these schemes. The ICB will need to be assured that the schemes offered do not breach any other UK legislation, in particular:</w:t>
      </w:r>
    </w:p>
    <w:p w14:paraId="29651FCC" w14:textId="77777777" w:rsidR="000E282A" w:rsidRPr="00A71628" w:rsidRDefault="000E282A" w:rsidP="00A057B5">
      <w:pPr>
        <w:pStyle w:val="ListParagraph"/>
        <w:numPr>
          <w:ilvl w:val="0"/>
          <w:numId w:val="31"/>
        </w:numPr>
        <w:spacing w:line="240" w:lineRule="auto"/>
        <w:ind w:left="1276"/>
        <w:rPr>
          <w:color w:val="auto"/>
        </w:rPr>
      </w:pPr>
      <w:r w:rsidRPr="00A71628">
        <w:rPr>
          <w:color w:val="auto"/>
        </w:rPr>
        <w:t xml:space="preserve">Reimbursement for pharmaceutical services according to the Drug Tariff, </w:t>
      </w:r>
    </w:p>
    <w:p w14:paraId="2781AC8D" w14:textId="217CD3A2" w:rsidR="000E282A" w:rsidRPr="00A71628" w:rsidRDefault="000E282A" w:rsidP="00A057B5">
      <w:pPr>
        <w:pStyle w:val="ListParagraph"/>
        <w:numPr>
          <w:ilvl w:val="0"/>
          <w:numId w:val="31"/>
        </w:numPr>
        <w:spacing w:line="240" w:lineRule="auto"/>
        <w:ind w:left="1276"/>
        <w:rPr>
          <w:color w:val="auto"/>
        </w:rPr>
      </w:pPr>
      <w:r w:rsidRPr="00A71628">
        <w:rPr>
          <w:color w:val="auto"/>
        </w:rPr>
        <w:t>Duty to comply with the DHSC’s controls on pricing made under the 2006 Act</w:t>
      </w:r>
      <w:r w:rsidR="00A057B5">
        <w:rPr>
          <w:color w:val="auto"/>
        </w:rPr>
        <w:t>,</w:t>
      </w:r>
      <w:r w:rsidRPr="00A71628">
        <w:rPr>
          <w:color w:val="auto"/>
        </w:rPr>
        <w:t xml:space="preserve"> </w:t>
      </w:r>
    </w:p>
    <w:p w14:paraId="34C57617" w14:textId="0CAE9E26" w:rsidR="000E282A" w:rsidRPr="00A71628" w:rsidRDefault="000E282A" w:rsidP="00A057B5">
      <w:pPr>
        <w:pStyle w:val="ListParagraph"/>
        <w:numPr>
          <w:ilvl w:val="0"/>
          <w:numId w:val="31"/>
        </w:numPr>
        <w:spacing w:line="240" w:lineRule="auto"/>
        <w:ind w:left="1276"/>
        <w:rPr>
          <w:color w:val="auto"/>
        </w:rPr>
      </w:pPr>
      <w:r w:rsidRPr="00A71628">
        <w:rPr>
          <w:color w:val="auto"/>
        </w:rPr>
        <w:t>The Medicines Act</w:t>
      </w:r>
      <w:r w:rsidR="00A057B5">
        <w:rPr>
          <w:color w:val="auto"/>
        </w:rPr>
        <w:t>,</w:t>
      </w:r>
      <w:r w:rsidRPr="00A71628">
        <w:rPr>
          <w:color w:val="auto"/>
        </w:rPr>
        <w:t xml:space="preserve"> </w:t>
      </w:r>
    </w:p>
    <w:p w14:paraId="1650142B" w14:textId="2A3BBE8B" w:rsidR="000E282A" w:rsidRPr="00A71628" w:rsidRDefault="000E282A" w:rsidP="00A057B5">
      <w:pPr>
        <w:pStyle w:val="ListParagraph"/>
        <w:numPr>
          <w:ilvl w:val="0"/>
          <w:numId w:val="31"/>
        </w:numPr>
        <w:spacing w:line="240" w:lineRule="auto"/>
        <w:ind w:left="1276"/>
        <w:rPr>
          <w:color w:val="auto"/>
        </w:rPr>
      </w:pPr>
      <w:r w:rsidRPr="00A71628">
        <w:rPr>
          <w:color w:val="auto"/>
        </w:rPr>
        <w:t>The Human Medicines Regulations 2012</w:t>
      </w:r>
      <w:r w:rsidR="00A057B5">
        <w:rPr>
          <w:color w:val="auto"/>
        </w:rPr>
        <w:t>,</w:t>
      </w:r>
      <w:r w:rsidRPr="00A71628">
        <w:rPr>
          <w:color w:val="auto"/>
        </w:rPr>
        <w:t xml:space="preserve"> </w:t>
      </w:r>
    </w:p>
    <w:p w14:paraId="192277DC" w14:textId="5218B66B" w:rsidR="000E282A" w:rsidRPr="00A71628" w:rsidRDefault="000E282A" w:rsidP="00A057B5">
      <w:pPr>
        <w:pStyle w:val="ListParagraph"/>
        <w:numPr>
          <w:ilvl w:val="0"/>
          <w:numId w:val="31"/>
        </w:numPr>
        <w:spacing w:line="240" w:lineRule="auto"/>
        <w:ind w:left="1276"/>
        <w:rPr>
          <w:color w:val="auto"/>
        </w:rPr>
      </w:pPr>
      <w:r w:rsidRPr="00A71628">
        <w:rPr>
          <w:color w:val="auto"/>
        </w:rPr>
        <w:t>The Bribery Act</w:t>
      </w:r>
      <w:r w:rsidR="00A057B5">
        <w:rPr>
          <w:color w:val="auto"/>
        </w:rPr>
        <w:t>,</w:t>
      </w:r>
      <w:r w:rsidRPr="00A71628">
        <w:rPr>
          <w:color w:val="auto"/>
        </w:rPr>
        <w:t xml:space="preserve"> </w:t>
      </w:r>
    </w:p>
    <w:p w14:paraId="5A5CFC47" w14:textId="5932DED5" w:rsidR="000E282A" w:rsidRPr="00A71628" w:rsidRDefault="000E282A" w:rsidP="00A057B5">
      <w:pPr>
        <w:pStyle w:val="ListParagraph"/>
        <w:numPr>
          <w:ilvl w:val="0"/>
          <w:numId w:val="31"/>
        </w:numPr>
        <w:spacing w:line="240" w:lineRule="auto"/>
        <w:ind w:left="1276"/>
        <w:rPr>
          <w:color w:val="auto"/>
        </w:rPr>
      </w:pPr>
      <w:r w:rsidRPr="00A71628">
        <w:rPr>
          <w:color w:val="auto"/>
        </w:rPr>
        <w:t>EU law and the public law principles of reasonableness</w:t>
      </w:r>
      <w:r w:rsidR="00A057B5">
        <w:rPr>
          <w:color w:val="auto"/>
        </w:rPr>
        <w:t>.</w:t>
      </w:r>
    </w:p>
    <w:p w14:paraId="3322F898" w14:textId="77777777" w:rsidR="00530B0A" w:rsidRDefault="00530B0A" w:rsidP="00A71628">
      <w:pPr>
        <w:spacing w:line="240" w:lineRule="auto"/>
        <w:ind w:left="859"/>
        <w:rPr>
          <w:color w:val="auto"/>
        </w:rPr>
      </w:pPr>
    </w:p>
    <w:p w14:paraId="3C4702F7" w14:textId="4BA5CFD5" w:rsidR="000E282A" w:rsidRDefault="000E282A" w:rsidP="00A71628">
      <w:pPr>
        <w:spacing w:line="240" w:lineRule="auto"/>
        <w:ind w:left="859"/>
        <w:rPr>
          <w:color w:val="auto"/>
        </w:rPr>
      </w:pPr>
      <w:r w:rsidRPr="00A71628">
        <w:rPr>
          <w:color w:val="auto"/>
        </w:rPr>
        <w:t>The ICB will also adopt the following principles when deciding whether to participate in a rebate scheme or not.</w:t>
      </w:r>
    </w:p>
    <w:p w14:paraId="6D717F3F" w14:textId="77777777" w:rsidR="00A71628" w:rsidRPr="00A71628" w:rsidRDefault="00A71628" w:rsidP="00675566">
      <w:pPr>
        <w:spacing w:before="200"/>
        <w:ind w:firstLine="851"/>
        <w:rPr>
          <w:b/>
          <w:bCs/>
          <w:color w:val="auto"/>
        </w:rPr>
      </w:pPr>
      <w:r w:rsidRPr="00A71628">
        <w:rPr>
          <w:b/>
          <w:bCs/>
          <w:color w:val="auto"/>
        </w:rPr>
        <w:t>Product related:</w:t>
      </w:r>
    </w:p>
    <w:p w14:paraId="362B9537" w14:textId="6368F0AA" w:rsidR="00A71628" w:rsidRPr="00A71628" w:rsidRDefault="00A71628" w:rsidP="00413241">
      <w:pPr>
        <w:pStyle w:val="ListParagraph"/>
        <w:numPr>
          <w:ilvl w:val="0"/>
          <w:numId w:val="31"/>
        </w:numPr>
        <w:spacing w:after="240" w:line="240" w:lineRule="auto"/>
        <w:ind w:left="1134" w:hanging="283"/>
        <w:rPr>
          <w:color w:val="auto"/>
        </w:rPr>
      </w:pPr>
      <w:r w:rsidRPr="00A71628">
        <w:rPr>
          <w:color w:val="auto"/>
        </w:rPr>
        <w:t xml:space="preserve">The ICB will only consider rebate schemes for a medicine / </w:t>
      </w:r>
      <w:proofErr w:type="spellStart"/>
      <w:r w:rsidRPr="00A71628">
        <w:rPr>
          <w:color w:val="auto"/>
        </w:rPr>
        <w:t>prescribable</w:t>
      </w:r>
      <w:proofErr w:type="spellEnd"/>
      <w:r w:rsidRPr="00A71628">
        <w:rPr>
          <w:color w:val="auto"/>
        </w:rPr>
        <w:t xml:space="preserve"> device that is already commissioned and included in both (</w:t>
      </w:r>
      <w:r w:rsidR="00A057B5">
        <w:rPr>
          <w:color w:val="auto"/>
        </w:rPr>
        <w:t>North Yorkshire and York (</w:t>
      </w:r>
      <w:r w:rsidRPr="00A71628">
        <w:rPr>
          <w:color w:val="auto"/>
        </w:rPr>
        <w:t>NYY</w:t>
      </w:r>
      <w:r w:rsidR="00A057B5">
        <w:rPr>
          <w:color w:val="auto"/>
        </w:rPr>
        <w:t>)</w:t>
      </w:r>
      <w:r w:rsidRPr="00A71628">
        <w:rPr>
          <w:color w:val="auto"/>
        </w:rPr>
        <w:t xml:space="preserve"> and </w:t>
      </w:r>
      <w:r w:rsidRPr="00A71628">
        <w:rPr>
          <w:color w:val="auto"/>
        </w:rPr>
        <w:lastRenderedPageBreak/>
        <w:t>Humber) of the ICB joint formularies. Ideally its place in a care pathway should already be established through an HNY Area Prescribing Committee or equivalent.  Existing or historical rebates may be continued.</w:t>
      </w:r>
    </w:p>
    <w:p w14:paraId="4108263D"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 xml:space="preserve">When selecting treatment for a patient, the price of a medicine / </w:t>
      </w:r>
      <w:proofErr w:type="spellStart"/>
      <w:r w:rsidRPr="00A71628">
        <w:rPr>
          <w:color w:val="auto"/>
        </w:rPr>
        <w:t>prescribable</w:t>
      </w:r>
      <w:proofErr w:type="spellEnd"/>
      <w:r w:rsidRPr="00A71628">
        <w:rPr>
          <w:color w:val="auto"/>
        </w:rPr>
        <w:t xml:space="preserve"> device will be considered but this consideration will be secondary to the clinical need for the medicine / device and its place in established pathways.  </w:t>
      </w:r>
    </w:p>
    <w:p w14:paraId="70AFC208"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 xml:space="preserve">Health professionals should always base their prescribing decisions primarily on assessments of the individual patient’s clinical circumstances. The impact of a rebate scheme is a secondary consideration.  </w:t>
      </w:r>
    </w:p>
    <w:p w14:paraId="21B39EE0"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 xml:space="preserve">The ICB will not consider or promote unlicensed or ‘off-label’ uses of medicines as part of a rebate scheme. Furthermore, a rebate scheme for a drug or product must be linked to total use of that drug or product and not limited to </w:t>
      </w:r>
      <w:proofErr w:type="gramStart"/>
      <w:r w:rsidRPr="00A71628">
        <w:rPr>
          <w:color w:val="auto"/>
        </w:rPr>
        <w:t>particular indications</w:t>
      </w:r>
      <w:proofErr w:type="gramEnd"/>
      <w:r w:rsidRPr="00A71628">
        <w:rPr>
          <w:color w:val="auto"/>
        </w:rPr>
        <w:t xml:space="preserve"> for which that drug can be used, and in line with the Specific Product Characteristics (SPC) for the drug in question.                                                              </w:t>
      </w:r>
    </w:p>
    <w:p w14:paraId="02E2B57F"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 xml:space="preserve">All recommendations for use of a medicine within a rebate scheme must be consistent with the UK Marketing Authorisation of the medicine / device in question, </w:t>
      </w:r>
      <w:proofErr w:type="gramStart"/>
      <w:r w:rsidRPr="00A71628">
        <w:rPr>
          <w:color w:val="auto"/>
        </w:rPr>
        <w:t>i.e.</w:t>
      </w:r>
      <w:proofErr w:type="gramEnd"/>
      <w:r w:rsidRPr="00A71628">
        <w:rPr>
          <w:color w:val="auto"/>
        </w:rPr>
        <w:t xml:space="preserve"> the rebate scheme should only advocate the use of the product in line with the data sheet / Specific Product Characteristics (SPC) for the product in question. </w:t>
      </w:r>
    </w:p>
    <w:p w14:paraId="4E596C81"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Medicines / devices with a current negative recommendation by NICE will not be considered unless they also have a positive recommendation for another indication.</w:t>
      </w:r>
    </w:p>
    <w:p w14:paraId="57A46083" w14:textId="48FE4985" w:rsidR="00A71628" w:rsidRPr="00A71628" w:rsidRDefault="00A71628" w:rsidP="00413241">
      <w:pPr>
        <w:pStyle w:val="ListParagraph"/>
        <w:numPr>
          <w:ilvl w:val="0"/>
          <w:numId w:val="31"/>
        </w:numPr>
        <w:spacing w:line="240" w:lineRule="auto"/>
        <w:ind w:left="1134" w:hanging="283"/>
        <w:rPr>
          <w:color w:val="auto"/>
        </w:rPr>
      </w:pPr>
      <w:r w:rsidRPr="00A71628">
        <w:rPr>
          <w:color w:val="auto"/>
        </w:rPr>
        <w:t xml:space="preserve">Any product rejected by the ICB's Integrated </w:t>
      </w:r>
      <w:r w:rsidR="00DE4BF1">
        <w:rPr>
          <w:color w:val="auto"/>
        </w:rPr>
        <w:t xml:space="preserve">Pharmacy and </w:t>
      </w:r>
      <w:r w:rsidRPr="00A71628">
        <w:rPr>
          <w:color w:val="auto"/>
        </w:rPr>
        <w:t>Medicines Optimisation Committee or the ICB's Area Prescribing Committees (or equivalent) will not be considered unless they have current positive approval for another indication.</w:t>
      </w:r>
    </w:p>
    <w:p w14:paraId="581775A7" w14:textId="18B0C89E" w:rsidR="00A71628" w:rsidRPr="00A71628" w:rsidRDefault="00A71628" w:rsidP="00413241">
      <w:pPr>
        <w:pStyle w:val="ListParagraph"/>
        <w:numPr>
          <w:ilvl w:val="0"/>
          <w:numId w:val="31"/>
        </w:numPr>
        <w:spacing w:line="240" w:lineRule="auto"/>
        <w:ind w:left="1134" w:hanging="283"/>
        <w:rPr>
          <w:color w:val="auto"/>
        </w:rPr>
      </w:pPr>
      <w:r w:rsidRPr="00A71628">
        <w:rPr>
          <w:color w:val="auto"/>
        </w:rPr>
        <w:t xml:space="preserve">Rebate schemes are not appropriate for medicines in Category M and some medicines in Category A of the Drug tariff because of the potential wider impact on community pharmacy reimbursement. </w:t>
      </w:r>
      <w:r w:rsidR="00C20712" w:rsidRPr="00C20712">
        <w:rPr>
          <w:color w:val="auto"/>
        </w:rPr>
        <w:t>Advice should be sought from a senior member of the ICB's MMT or MOT or the ICB Rebate Sub-group regarding any Category A products.</w:t>
      </w:r>
      <w:r w:rsidRPr="00A71628">
        <w:rPr>
          <w:color w:val="auto"/>
        </w:rPr>
        <w:t xml:space="preserve"> </w:t>
      </w:r>
    </w:p>
    <w:p w14:paraId="17096F5F" w14:textId="210B7F2A" w:rsidR="00A71628" w:rsidRPr="00A71628" w:rsidRDefault="00A71628" w:rsidP="00675566">
      <w:pPr>
        <w:spacing w:before="200"/>
        <w:ind w:firstLine="851"/>
        <w:rPr>
          <w:b/>
          <w:bCs/>
          <w:color w:val="auto"/>
        </w:rPr>
      </w:pPr>
      <w:r w:rsidRPr="00A71628">
        <w:rPr>
          <w:b/>
          <w:bCs/>
          <w:color w:val="auto"/>
        </w:rPr>
        <w:t>Rebate Scheme Related</w:t>
      </w:r>
    </w:p>
    <w:p w14:paraId="600251F9" w14:textId="77777777" w:rsidR="00A71628" w:rsidRPr="00A71628" w:rsidRDefault="00A71628" w:rsidP="00413241">
      <w:pPr>
        <w:pStyle w:val="ListParagraph"/>
        <w:numPr>
          <w:ilvl w:val="0"/>
          <w:numId w:val="31"/>
        </w:numPr>
        <w:spacing w:after="240" w:line="240" w:lineRule="auto"/>
        <w:ind w:left="1134" w:hanging="283"/>
        <w:rPr>
          <w:color w:val="auto"/>
        </w:rPr>
      </w:pPr>
      <w:r w:rsidRPr="00A71628">
        <w:rPr>
          <w:color w:val="auto"/>
        </w:rPr>
        <w:t xml:space="preserve">When selecting treatment for a patient, </w:t>
      </w:r>
      <w:proofErr w:type="gramStart"/>
      <w:r w:rsidRPr="00A71628">
        <w:rPr>
          <w:color w:val="auto"/>
        </w:rPr>
        <w:t>any and all</w:t>
      </w:r>
      <w:proofErr w:type="gramEnd"/>
      <w:r w:rsidRPr="00A71628">
        <w:rPr>
          <w:color w:val="auto"/>
        </w:rPr>
        <w:t xml:space="preserve"> decision-making processes will be clinically led and involve appropriate stakeholders, including patients as appropriate.  </w:t>
      </w:r>
    </w:p>
    <w:p w14:paraId="540F9BB7"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Rebate schemes should not be linked directly to requirements to increase market share or volume of prescribing and such rebates could be excluded on this basis alone.</w:t>
      </w:r>
    </w:p>
    <w:p w14:paraId="75D5A8A6"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Rebate schemes will be approved through robust local governance processes that include early-stage approval by the ICB's Rebate Sub-group, which will include direct representation from the ICB's MMT (NYY) and MOT (Humber) and an ICB Finance/contracting lead.</w:t>
      </w:r>
    </w:p>
    <w:p w14:paraId="20B3DB19"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 xml:space="preserve">The administrative burden to the NHS of setting up and running the scheme must be factored into the assessment of likely financial benefit of the scheme. Consideration should be given to audit requirements, financial governance, data collection, any other hidden </w:t>
      </w:r>
      <w:proofErr w:type="gramStart"/>
      <w:r w:rsidRPr="00A71628">
        <w:rPr>
          <w:color w:val="auto"/>
        </w:rPr>
        <w:t>costs</w:t>
      </w:r>
      <w:proofErr w:type="gramEnd"/>
      <w:r w:rsidRPr="00A71628">
        <w:rPr>
          <w:color w:val="auto"/>
        </w:rPr>
        <w:t xml:space="preserve"> and practical issues such as the term of agreement. There will be no requirement to collect or submit to the manufacturer any data other than volume of use as derived from </w:t>
      </w:r>
      <w:proofErr w:type="spellStart"/>
      <w:r w:rsidRPr="00A71628">
        <w:rPr>
          <w:color w:val="auto"/>
        </w:rPr>
        <w:t>ePACT</w:t>
      </w:r>
      <w:proofErr w:type="spellEnd"/>
      <w:r w:rsidRPr="00A71628">
        <w:rPr>
          <w:color w:val="auto"/>
        </w:rPr>
        <w:t xml:space="preserve"> data. </w:t>
      </w:r>
    </w:p>
    <w:p w14:paraId="2EE90C0D"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 xml:space="preserve">All negotiations around a scheme should be expressed as being "subject to contract", </w:t>
      </w:r>
      <w:proofErr w:type="gramStart"/>
      <w:r w:rsidRPr="00A71628">
        <w:rPr>
          <w:color w:val="auto"/>
        </w:rPr>
        <w:t>i.e.</w:t>
      </w:r>
      <w:proofErr w:type="gramEnd"/>
      <w:r w:rsidRPr="00A71628">
        <w:rPr>
          <w:color w:val="auto"/>
        </w:rPr>
        <w:t xml:space="preserve"> not binding until the formal contract has been signed by both parties.  </w:t>
      </w:r>
    </w:p>
    <w:p w14:paraId="3D800A84" w14:textId="77777777" w:rsidR="00A71628" w:rsidRPr="00A71628" w:rsidRDefault="00A71628" w:rsidP="00413241">
      <w:pPr>
        <w:pStyle w:val="ListParagraph"/>
        <w:numPr>
          <w:ilvl w:val="0"/>
          <w:numId w:val="31"/>
        </w:numPr>
        <w:spacing w:line="240" w:lineRule="auto"/>
        <w:ind w:left="1134" w:hanging="283"/>
        <w:rPr>
          <w:color w:val="auto"/>
        </w:rPr>
      </w:pPr>
      <w:r w:rsidRPr="00A71628">
        <w:rPr>
          <w:color w:val="auto"/>
        </w:rPr>
        <w:t>Agreements should include a right to terminate on notice (</w:t>
      </w:r>
      <w:proofErr w:type="gramStart"/>
      <w:r w:rsidRPr="00A71628">
        <w:rPr>
          <w:color w:val="auto"/>
        </w:rPr>
        <w:t>i.e.</w:t>
      </w:r>
      <w:proofErr w:type="gramEnd"/>
      <w:r w:rsidRPr="00A71628">
        <w:rPr>
          <w:color w:val="auto"/>
        </w:rPr>
        <w:t xml:space="preserve"> without having to have any reason for doing so) with a sensible notice period e.g. three months. The need for exit criteria and an exit strategy should be considered before a scheme is agreed. It is essential to allow flexibility to respond to emergence of significant new clinical evidence, or significant changes in market conditions. A shorter notice period should be agreed in these circumstances.</w:t>
      </w:r>
    </w:p>
    <w:p w14:paraId="0B49F0D0" w14:textId="7632D115" w:rsidR="00A71628" w:rsidRPr="007950E2" w:rsidRDefault="00A71628" w:rsidP="00413241">
      <w:pPr>
        <w:pStyle w:val="ListParagraph"/>
        <w:numPr>
          <w:ilvl w:val="0"/>
          <w:numId w:val="31"/>
        </w:numPr>
        <w:spacing w:line="240" w:lineRule="auto"/>
        <w:ind w:left="1134" w:hanging="283"/>
        <w:rPr>
          <w:color w:val="auto"/>
        </w:rPr>
      </w:pPr>
      <w:r w:rsidRPr="007950E2">
        <w:rPr>
          <w:color w:val="auto"/>
        </w:rPr>
        <w:t>Each existing rebate will be re-assessed and approved prior to resigning a new contract.</w:t>
      </w:r>
    </w:p>
    <w:p w14:paraId="12598ED1" w14:textId="1E73113D" w:rsidR="00A71628" w:rsidRPr="00A71628" w:rsidRDefault="00A71628" w:rsidP="00413241">
      <w:pPr>
        <w:pStyle w:val="Heading2"/>
        <w:ind w:left="850" w:hanging="425"/>
      </w:pPr>
      <w:bookmarkStart w:id="23" w:name="_Toc132378230"/>
      <w:r>
        <w:lastRenderedPageBreak/>
        <w:t>Interface with the Pharmacy Industry</w:t>
      </w:r>
      <w:bookmarkEnd w:id="23"/>
    </w:p>
    <w:p w14:paraId="77F4F11E" w14:textId="03F8D9B2" w:rsidR="00A71628" w:rsidRPr="00A71628" w:rsidRDefault="00A71628" w:rsidP="00A71628">
      <w:pPr>
        <w:spacing w:line="240" w:lineRule="auto"/>
        <w:ind w:left="859"/>
        <w:rPr>
          <w:color w:val="auto"/>
        </w:rPr>
      </w:pPr>
      <w:r w:rsidRPr="00A71628">
        <w:rPr>
          <w:color w:val="auto"/>
        </w:rPr>
        <w:t xml:space="preserve">The ICB must be able to demonstrate that all suppliers wishing to offer rebates are provided with equal access. When appointments to discuss a rebate offer are requested, the supplier should be given access to a copy of this policy. Meetings to discuss rebates should be attended by a senior member of the ICB's MMT or MOT.                                                             </w:t>
      </w:r>
    </w:p>
    <w:p w14:paraId="0AD2FE05" w14:textId="4A51712B" w:rsidR="00A71628" w:rsidRDefault="00A71628" w:rsidP="00A71628">
      <w:pPr>
        <w:spacing w:line="240" w:lineRule="auto"/>
        <w:ind w:left="859"/>
        <w:rPr>
          <w:color w:val="auto"/>
        </w:rPr>
      </w:pPr>
      <w:r w:rsidRPr="00A71628">
        <w:rPr>
          <w:color w:val="auto"/>
        </w:rPr>
        <w:t>Suppliers should not make guideline or formulary positioning of any product a condition to any rebate offer. Equally, the ICB must not offer or expect any favourable positioning of a product with respect to the local formulary in return for a rebate offer. To avoid misunderstandings, meetings pertaining to rebates must not influence formulary or guidelines status, positioning relative to competitor products or any other actions resulting from the rebate offer. This includes the execution of any medicines change programmes within the ICB. Suppliers must not discuss any potential joint working arrangements, medical education goods and services, sponsorship offers or patient support programmes. Exceptions are where these elements are explicitly part of the commercial offer and are included in a legal contract.</w:t>
      </w:r>
    </w:p>
    <w:p w14:paraId="316F4CC6" w14:textId="77777777" w:rsidR="00EF7514" w:rsidRPr="00A71628" w:rsidRDefault="00EF7514" w:rsidP="00A71628">
      <w:pPr>
        <w:spacing w:line="240" w:lineRule="auto"/>
        <w:ind w:left="859"/>
        <w:rPr>
          <w:color w:val="auto"/>
        </w:rPr>
      </w:pPr>
    </w:p>
    <w:p w14:paraId="2D9B14F4" w14:textId="5B67AB81" w:rsidR="000E282A" w:rsidRPr="00A71628" w:rsidRDefault="00A71628" w:rsidP="00A71628">
      <w:pPr>
        <w:spacing w:line="240" w:lineRule="auto"/>
        <w:ind w:left="859"/>
        <w:rPr>
          <w:color w:val="auto"/>
        </w:rPr>
      </w:pPr>
      <w:r w:rsidRPr="00A71628">
        <w:rPr>
          <w:color w:val="auto"/>
        </w:rPr>
        <w:t xml:space="preserve">In the event of the above not being adhered to in a meeting, the meeting must be terminated immediately, and the incident reported to the Executive Director of Finance and Investment to ascertain appropriate action.  </w:t>
      </w:r>
    </w:p>
    <w:p w14:paraId="475FFBB8" w14:textId="77777777" w:rsidR="00A71628" w:rsidRDefault="00A71628" w:rsidP="00675566">
      <w:pPr>
        <w:pStyle w:val="Heading2"/>
        <w:ind w:left="850" w:hanging="425"/>
      </w:pPr>
      <w:bookmarkStart w:id="24" w:name="_Toc132378231"/>
      <w:r>
        <w:t>Contracts</w:t>
      </w:r>
      <w:bookmarkEnd w:id="24"/>
      <w:r>
        <w:t xml:space="preserve"> </w:t>
      </w:r>
    </w:p>
    <w:p w14:paraId="4C7351CA" w14:textId="77777777" w:rsidR="00A71628" w:rsidRPr="00A71628" w:rsidRDefault="00A71628" w:rsidP="00A71628">
      <w:pPr>
        <w:spacing w:line="240" w:lineRule="auto"/>
        <w:ind w:left="859"/>
        <w:rPr>
          <w:color w:val="auto"/>
        </w:rPr>
      </w:pPr>
      <w:r w:rsidRPr="00A71628">
        <w:rPr>
          <w:color w:val="auto"/>
        </w:rPr>
        <w:t xml:space="preserve">ICB's Director of Pharmacy or a Head of Medicines Management/Optimisation and the Executive Director of Finance and Investment (or their Deputy) must ensure that a formal written contract is in place, signed by both parties to ensure: </w:t>
      </w:r>
    </w:p>
    <w:p w14:paraId="7F159E6D" w14:textId="62D9F076" w:rsidR="00A71628" w:rsidRPr="00A71628" w:rsidRDefault="00A71628" w:rsidP="00EF7514">
      <w:pPr>
        <w:pStyle w:val="ListParagraph"/>
        <w:numPr>
          <w:ilvl w:val="0"/>
          <w:numId w:val="31"/>
        </w:numPr>
        <w:spacing w:line="240" w:lineRule="auto"/>
        <w:ind w:left="1276"/>
        <w:rPr>
          <w:color w:val="auto"/>
        </w:rPr>
      </w:pPr>
      <w:r w:rsidRPr="00A71628">
        <w:rPr>
          <w:color w:val="auto"/>
        </w:rPr>
        <w:t>The terms of the scheme are clear</w:t>
      </w:r>
      <w:r w:rsidR="00EF7514">
        <w:rPr>
          <w:color w:val="auto"/>
        </w:rPr>
        <w:t>.</w:t>
      </w:r>
      <w:r w:rsidRPr="00A71628">
        <w:rPr>
          <w:color w:val="auto"/>
        </w:rPr>
        <w:t xml:space="preserve"> </w:t>
      </w:r>
    </w:p>
    <w:p w14:paraId="7B6BB8F3" w14:textId="017DE561" w:rsidR="00A71628" w:rsidRDefault="00A71628" w:rsidP="00EF7514">
      <w:pPr>
        <w:pStyle w:val="ListParagraph"/>
        <w:numPr>
          <w:ilvl w:val="0"/>
          <w:numId w:val="31"/>
        </w:numPr>
        <w:spacing w:line="240" w:lineRule="auto"/>
        <w:ind w:left="1276"/>
        <w:rPr>
          <w:color w:val="auto"/>
        </w:rPr>
      </w:pPr>
      <w:r w:rsidRPr="00A71628">
        <w:rPr>
          <w:color w:val="auto"/>
        </w:rPr>
        <w:t xml:space="preserve">Legal protection is maximised. </w:t>
      </w:r>
    </w:p>
    <w:p w14:paraId="55D57B93" w14:textId="77777777" w:rsidR="003A2F3F" w:rsidRPr="003A2F3F" w:rsidRDefault="003A2F3F" w:rsidP="003A2F3F">
      <w:pPr>
        <w:spacing w:line="240" w:lineRule="auto"/>
        <w:ind w:left="916"/>
        <w:rPr>
          <w:color w:val="auto"/>
        </w:rPr>
      </w:pPr>
    </w:p>
    <w:p w14:paraId="6EA33E22" w14:textId="549F326E" w:rsidR="00A71628" w:rsidRDefault="00A71628" w:rsidP="00A71628">
      <w:pPr>
        <w:spacing w:line="240" w:lineRule="auto"/>
        <w:ind w:left="859"/>
        <w:rPr>
          <w:color w:val="auto"/>
        </w:rPr>
      </w:pPr>
      <w:r w:rsidRPr="00A71628">
        <w:rPr>
          <w:color w:val="auto"/>
        </w:rPr>
        <w:t xml:space="preserve">All negotiations around a scheme should be expressed as being "subject to contract" i.e., not binding until the formal contract has been signed by both parties.  </w:t>
      </w:r>
    </w:p>
    <w:p w14:paraId="7A5E8D6F" w14:textId="77777777" w:rsidR="00E039EC" w:rsidRPr="00A71628" w:rsidRDefault="00E039EC" w:rsidP="00A71628">
      <w:pPr>
        <w:spacing w:line="240" w:lineRule="auto"/>
        <w:ind w:left="859"/>
        <w:rPr>
          <w:color w:val="auto"/>
        </w:rPr>
      </w:pPr>
    </w:p>
    <w:p w14:paraId="079381EF" w14:textId="0B086FAC" w:rsidR="00A71628" w:rsidRDefault="00A71628" w:rsidP="00A71628">
      <w:pPr>
        <w:spacing w:line="240" w:lineRule="auto"/>
        <w:ind w:left="859"/>
        <w:rPr>
          <w:color w:val="auto"/>
        </w:rPr>
      </w:pPr>
      <w:r w:rsidRPr="00A71628">
        <w:rPr>
          <w:color w:val="auto"/>
        </w:rPr>
        <w:t xml:space="preserve">PCRS agreements should include a right to terminate on notice </w:t>
      </w:r>
      <w:r w:rsidRPr="00E8660F">
        <w:rPr>
          <w:color w:val="auto"/>
        </w:rPr>
        <w:t>(</w:t>
      </w:r>
      <w:r w:rsidRPr="00E8272A">
        <w:rPr>
          <w:color w:val="auto"/>
        </w:rPr>
        <w:t xml:space="preserve">see </w:t>
      </w:r>
      <w:r w:rsidR="00E039EC" w:rsidRPr="00E8272A">
        <w:rPr>
          <w:color w:val="auto"/>
        </w:rPr>
        <w:t>7</w:t>
      </w:r>
      <w:r w:rsidRPr="00E8272A">
        <w:rPr>
          <w:color w:val="auto"/>
        </w:rPr>
        <w:t xml:space="preserve">.1, </w:t>
      </w:r>
      <w:proofErr w:type="gramStart"/>
      <w:r w:rsidRPr="00E8272A">
        <w:rPr>
          <w:color w:val="auto"/>
        </w:rPr>
        <w:t>i.e.</w:t>
      </w:r>
      <w:proofErr w:type="gramEnd"/>
      <w:r w:rsidRPr="00E8272A">
        <w:rPr>
          <w:color w:val="auto"/>
        </w:rPr>
        <w:t xml:space="preserve"> without having to have any reason for doing so</w:t>
      </w:r>
      <w:r w:rsidRPr="00A71628">
        <w:rPr>
          <w:color w:val="auto"/>
        </w:rPr>
        <w:t xml:space="preserve">) with a sensible notice period, e.g. three months. The need for exit criteria and an exit strategy should be considered before a scheme is agreed. It is essential to allow flexibility to respond to emergence of significant new clinical evidence, or significant changes in market conditions. A shorter notice period should be agreed in these circumstances.  </w:t>
      </w:r>
    </w:p>
    <w:p w14:paraId="775C5516" w14:textId="77777777" w:rsidR="00EF7514" w:rsidRPr="00A71628" w:rsidRDefault="00EF7514" w:rsidP="00A71628">
      <w:pPr>
        <w:spacing w:line="240" w:lineRule="auto"/>
        <w:ind w:left="859"/>
        <w:rPr>
          <w:color w:val="auto"/>
        </w:rPr>
      </w:pPr>
    </w:p>
    <w:p w14:paraId="29764CDF" w14:textId="77777777" w:rsidR="00A71628" w:rsidRDefault="00A71628" w:rsidP="00A71628">
      <w:pPr>
        <w:spacing w:line="240" w:lineRule="auto"/>
        <w:ind w:left="859"/>
        <w:rPr>
          <w:color w:val="auto"/>
        </w:rPr>
      </w:pPr>
      <w:r w:rsidRPr="00A71628">
        <w:rPr>
          <w:color w:val="auto"/>
        </w:rPr>
        <w:t>Freedom of Information issues (see below) should be discussed with the manufacturer before a commissioner enters into any agreement with them and should be contained in the contract.</w:t>
      </w:r>
    </w:p>
    <w:p w14:paraId="3E081688" w14:textId="77777777" w:rsidR="00A71628" w:rsidRDefault="00A71628" w:rsidP="00675566">
      <w:pPr>
        <w:pStyle w:val="Heading2"/>
        <w:ind w:left="862" w:hanging="436"/>
      </w:pPr>
      <w:bookmarkStart w:id="25" w:name="_Toc132378232"/>
      <w:r w:rsidRPr="00514A31">
        <w:t>Accountability</w:t>
      </w:r>
      <w:bookmarkEnd w:id="25"/>
      <w:r w:rsidRPr="00A71628">
        <w:t xml:space="preserve"> </w:t>
      </w:r>
    </w:p>
    <w:p w14:paraId="6AA955C2" w14:textId="55A9413A" w:rsidR="00A71628" w:rsidRPr="00A71628" w:rsidRDefault="00A71628" w:rsidP="00A71628">
      <w:pPr>
        <w:spacing w:line="240" w:lineRule="auto"/>
        <w:ind w:left="859"/>
        <w:rPr>
          <w:color w:val="auto"/>
        </w:rPr>
      </w:pPr>
      <w:r w:rsidRPr="00A71628">
        <w:rPr>
          <w:color w:val="auto"/>
        </w:rPr>
        <w:t xml:space="preserve">The MMT/MOT will assess schemes against the principles outlined in section </w:t>
      </w:r>
      <w:r w:rsidR="00E8272A" w:rsidRPr="00C20712">
        <w:rPr>
          <w:color w:val="auto"/>
        </w:rPr>
        <w:t>7</w:t>
      </w:r>
      <w:r w:rsidRPr="00C20712">
        <w:rPr>
          <w:color w:val="auto"/>
        </w:rPr>
        <w:t xml:space="preserve">.1 </w:t>
      </w:r>
      <w:r w:rsidRPr="00A71628">
        <w:rPr>
          <w:color w:val="auto"/>
        </w:rPr>
        <w:t xml:space="preserve">above. The “Rebate Scheme Decision Form” in Appendix 2 will be used to record the assessment against the principles and arrange first stage approval at the ICB's Rebate Sub-group. If supported the Rebate Sub-group will provide a recommendation to the ICB's </w:t>
      </w:r>
      <w:r w:rsidR="00C20712">
        <w:rPr>
          <w:color w:val="auto"/>
        </w:rPr>
        <w:t>IPMOC</w:t>
      </w:r>
      <w:r w:rsidRPr="00A71628">
        <w:rPr>
          <w:color w:val="auto"/>
        </w:rPr>
        <w:t>, which is responsible for final committee approval of rebate agreements on behalf of HNY ICB.</w:t>
      </w:r>
    </w:p>
    <w:p w14:paraId="49EEF8D2" w14:textId="77777777" w:rsidR="00A71628" w:rsidRDefault="00A71628" w:rsidP="00A71628">
      <w:pPr>
        <w:spacing w:line="240" w:lineRule="auto"/>
        <w:ind w:left="859"/>
        <w:rPr>
          <w:color w:val="auto"/>
        </w:rPr>
      </w:pPr>
    </w:p>
    <w:p w14:paraId="7DA2B1B7" w14:textId="6588BE07" w:rsidR="00A71628" w:rsidRDefault="00A71628" w:rsidP="00675566">
      <w:pPr>
        <w:spacing w:after="120" w:line="240" w:lineRule="auto"/>
        <w:ind w:left="856"/>
        <w:rPr>
          <w:color w:val="auto"/>
        </w:rPr>
      </w:pPr>
      <w:r w:rsidRPr="00A71628">
        <w:rPr>
          <w:color w:val="auto"/>
        </w:rPr>
        <w:t>Decision making process:</w:t>
      </w:r>
    </w:p>
    <w:tbl>
      <w:tblPr>
        <w:tblStyle w:val="TableGrid"/>
        <w:tblW w:w="0" w:type="auto"/>
        <w:jc w:val="right"/>
        <w:tblLook w:val="04A0" w:firstRow="1" w:lastRow="0" w:firstColumn="1" w:lastColumn="0" w:noHBand="0" w:noVBand="1"/>
      </w:tblPr>
      <w:tblGrid>
        <w:gridCol w:w="710"/>
        <w:gridCol w:w="3396"/>
        <w:gridCol w:w="5528"/>
      </w:tblGrid>
      <w:tr w:rsidR="00A71628" w:rsidRPr="00A71628" w14:paraId="0AADA43C" w14:textId="77777777" w:rsidTr="00675566">
        <w:trPr>
          <w:trHeight w:val="340"/>
          <w:jc w:val="right"/>
        </w:trPr>
        <w:tc>
          <w:tcPr>
            <w:tcW w:w="710" w:type="dxa"/>
            <w:shd w:val="clear" w:color="auto" w:fill="FABF8F" w:themeFill="accent6" w:themeFillTint="99"/>
          </w:tcPr>
          <w:p w14:paraId="43AC4EB2" w14:textId="77777777" w:rsidR="00A71628" w:rsidRPr="00675566" w:rsidRDefault="00A71628" w:rsidP="00A71628">
            <w:pPr>
              <w:spacing w:line="240" w:lineRule="auto"/>
              <w:jc w:val="center"/>
              <w:rPr>
                <w:color w:val="auto"/>
                <w:sz w:val="22"/>
                <w:szCs w:val="22"/>
              </w:rPr>
            </w:pPr>
            <w:r w:rsidRPr="00675566">
              <w:rPr>
                <w:color w:val="auto"/>
                <w:sz w:val="22"/>
                <w:szCs w:val="22"/>
              </w:rPr>
              <w:t>Step</w:t>
            </w:r>
          </w:p>
        </w:tc>
        <w:tc>
          <w:tcPr>
            <w:tcW w:w="3396" w:type="dxa"/>
            <w:shd w:val="clear" w:color="auto" w:fill="FABF8F" w:themeFill="accent6" w:themeFillTint="99"/>
          </w:tcPr>
          <w:p w14:paraId="4453CCB1" w14:textId="77777777" w:rsidR="00A71628" w:rsidRPr="00675566" w:rsidRDefault="00A71628" w:rsidP="00A71628">
            <w:pPr>
              <w:spacing w:line="240" w:lineRule="auto"/>
              <w:rPr>
                <w:color w:val="auto"/>
                <w:sz w:val="22"/>
                <w:szCs w:val="22"/>
              </w:rPr>
            </w:pPr>
            <w:r w:rsidRPr="00675566">
              <w:rPr>
                <w:color w:val="auto"/>
                <w:sz w:val="22"/>
                <w:szCs w:val="22"/>
              </w:rPr>
              <w:t>Group/individual</w:t>
            </w:r>
          </w:p>
        </w:tc>
        <w:tc>
          <w:tcPr>
            <w:tcW w:w="5528" w:type="dxa"/>
            <w:shd w:val="clear" w:color="auto" w:fill="FABF8F" w:themeFill="accent6" w:themeFillTint="99"/>
          </w:tcPr>
          <w:p w14:paraId="5DE08DD2" w14:textId="77777777" w:rsidR="00A71628" w:rsidRPr="00675566" w:rsidRDefault="00A71628" w:rsidP="00A71628">
            <w:pPr>
              <w:spacing w:line="240" w:lineRule="auto"/>
              <w:rPr>
                <w:color w:val="auto"/>
                <w:sz w:val="22"/>
                <w:szCs w:val="22"/>
              </w:rPr>
            </w:pPr>
            <w:r w:rsidRPr="00675566">
              <w:rPr>
                <w:color w:val="auto"/>
                <w:sz w:val="22"/>
                <w:szCs w:val="22"/>
              </w:rPr>
              <w:t>Function</w:t>
            </w:r>
          </w:p>
        </w:tc>
      </w:tr>
      <w:tr w:rsidR="00A71628" w:rsidRPr="00A71628" w14:paraId="64170040" w14:textId="77777777" w:rsidTr="00675566">
        <w:trPr>
          <w:jc w:val="right"/>
        </w:trPr>
        <w:tc>
          <w:tcPr>
            <w:tcW w:w="710" w:type="dxa"/>
          </w:tcPr>
          <w:p w14:paraId="42823756" w14:textId="77777777" w:rsidR="00A71628" w:rsidRPr="00675566" w:rsidRDefault="00A71628" w:rsidP="00A71628">
            <w:pPr>
              <w:spacing w:before="40" w:after="40" w:line="240" w:lineRule="auto"/>
              <w:jc w:val="center"/>
              <w:rPr>
                <w:color w:val="auto"/>
                <w:sz w:val="22"/>
                <w:szCs w:val="22"/>
              </w:rPr>
            </w:pPr>
            <w:r w:rsidRPr="00675566">
              <w:rPr>
                <w:color w:val="auto"/>
                <w:sz w:val="22"/>
                <w:szCs w:val="22"/>
              </w:rPr>
              <w:lastRenderedPageBreak/>
              <w:t>1</w:t>
            </w:r>
          </w:p>
        </w:tc>
        <w:tc>
          <w:tcPr>
            <w:tcW w:w="3396" w:type="dxa"/>
          </w:tcPr>
          <w:p w14:paraId="1891B829" w14:textId="77777777" w:rsidR="00A71628" w:rsidRPr="00675566" w:rsidRDefault="00A71628" w:rsidP="00A71628">
            <w:pPr>
              <w:spacing w:before="40" w:after="40" w:line="240" w:lineRule="auto"/>
              <w:rPr>
                <w:color w:val="auto"/>
                <w:sz w:val="22"/>
                <w:szCs w:val="22"/>
              </w:rPr>
            </w:pPr>
            <w:r w:rsidRPr="00675566">
              <w:rPr>
                <w:color w:val="auto"/>
                <w:sz w:val="22"/>
                <w:szCs w:val="22"/>
              </w:rPr>
              <w:t>MMT/MOT</w:t>
            </w:r>
          </w:p>
        </w:tc>
        <w:tc>
          <w:tcPr>
            <w:tcW w:w="5528" w:type="dxa"/>
          </w:tcPr>
          <w:p w14:paraId="2952AF2C" w14:textId="77777777" w:rsidR="00A71628" w:rsidRPr="00675566" w:rsidRDefault="00A71628" w:rsidP="00A71628">
            <w:pPr>
              <w:spacing w:before="40" w:after="40" w:line="240" w:lineRule="auto"/>
              <w:rPr>
                <w:color w:val="auto"/>
                <w:sz w:val="22"/>
                <w:szCs w:val="22"/>
              </w:rPr>
            </w:pPr>
            <w:r w:rsidRPr="00675566">
              <w:rPr>
                <w:color w:val="auto"/>
                <w:sz w:val="22"/>
                <w:szCs w:val="22"/>
              </w:rPr>
              <w:t>Identify potential PCRSs and channel those to the ICB Rebates Sub-group for consideration</w:t>
            </w:r>
          </w:p>
        </w:tc>
      </w:tr>
      <w:tr w:rsidR="00A71628" w:rsidRPr="00A71628" w14:paraId="519CD273" w14:textId="77777777" w:rsidTr="00675566">
        <w:trPr>
          <w:jc w:val="right"/>
        </w:trPr>
        <w:tc>
          <w:tcPr>
            <w:tcW w:w="710" w:type="dxa"/>
          </w:tcPr>
          <w:p w14:paraId="61718C36" w14:textId="77777777" w:rsidR="00A71628" w:rsidRPr="00675566" w:rsidRDefault="00A71628" w:rsidP="00A71628">
            <w:pPr>
              <w:spacing w:before="40" w:after="40" w:line="240" w:lineRule="auto"/>
              <w:jc w:val="center"/>
              <w:rPr>
                <w:color w:val="auto"/>
                <w:sz w:val="22"/>
                <w:szCs w:val="22"/>
              </w:rPr>
            </w:pPr>
            <w:r w:rsidRPr="00675566">
              <w:rPr>
                <w:color w:val="auto"/>
                <w:sz w:val="22"/>
                <w:szCs w:val="22"/>
              </w:rPr>
              <w:t>2</w:t>
            </w:r>
          </w:p>
        </w:tc>
        <w:tc>
          <w:tcPr>
            <w:tcW w:w="3396" w:type="dxa"/>
          </w:tcPr>
          <w:p w14:paraId="5C1CE236" w14:textId="77777777" w:rsidR="00A71628" w:rsidRPr="00675566" w:rsidRDefault="00A71628" w:rsidP="00A71628">
            <w:pPr>
              <w:spacing w:before="40" w:after="40" w:line="240" w:lineRule="auto"/>
              <w:rPr>
                <w:color w:val="auto"/>
                <w:sz w:val="22"/>
                <w:szCs w:val="22"/>
              </w:rPr>
            </w:pPr>
            <w:r w:rsidRPr="00675566">
              <w:rPr>
                <w:color w:val="auto"/>
                <w:sz w:val="22"/>
                <w:szCs w:val="22"/>
              </w:rPr>
              <w:t>Rebate sub-group</w:t>
            </w:r>
          </w:p>
        </w:tc>
        <w:tc>
          <w:tcPr>
            <w:tcW w:w="5528" w:type="dxa"/>
          </w:tcPr>
          <w:p w14:paraId="5B1F0F5A" w14:textId="77777777" w:rsidR="00A71628" w:rsidRPr="00675566" w:rsidRDefault="00A71628" w:rsidP="00A71628">
            <w:pPr>
              <w:spacing w:before="40" w:after="40" w:line="240" w:lineRule="auto"/>
              <w:rPr>
                <w:color w:val="auto"/>
                <w:sz w:val="22"/>
                <w:szCs w:val="22"/>
              </w:rPr>
            </w:pPr>
            <w:r w:rsidRPr="00675566">
              <w:rPr>
                <w:color w:val="auto"/>
                <w:sz w:val="22"/>
                <w:szCs w:val="22"/>
              </w:rPr>
              <w:t>Review and appraise rebate scheme in line with ICB policy criteria and make and record recommendation on rebate scheme decision form</w:t>
            </w:r>
          </w:p>
        </w:tc>
      </w:tr>
      <w:tr w:rsidR="00A71628" w:rsidRPr="00A71628" w14:paraId="38CF1388" w14:textId="77777777" w:rsidTr="00675566">
        <w:trPr>
          <w:jc w:val="right"/>
        </w:trPr>
        <w:tc>
          <w:tcPr>
            <w:tcW w:w="710" w:type="dxa"/>
          </w:tcPr>
          <w:p w14:paraId="08426F0E" w14:textId="77777777" w:rsidR="00A71628" w:rsidRPr="00675566" w:rsidRDefault="00A71628" w:rsidP="00A71628">
            <w:pPr>
              <w:spacing w:before="40" w:after="40" w:line="240" w:lineRule="auto"/>
              <w:jc w:val="center"/>
              <w:rPr>
                <w:color w:val="auto"/>
                <w:sz w:val="22"/>
                <w:szCs w:val="22"/>
              </w:rPr>
            </w:pPr>
            <w:r w:rsidRPr="00675566">
              <w:rPr>
                <w:color w:val="auto"/>
                <w:sz w:val="22"/>
                <w:szCs w:val="22"/>
              </w:rPr>
              <w:t>3</w:t>
            </w:r>
          </w:p>
        </w:tc>
        <w:tc>
          <w:tcPr>
            <w:tcW w:w="3396" w:type="dxa"/>
          </w:tcPr>
          <w:p w14:paraId="77AB276D" w14:textId="065CD8AB" w:rsidR="00A71628" w:rsidRPr="00675566" w:rsidRDefault="00C20712" w:rsidP="00A71628">
            <w:pPr>
              <w:spacing w:before="40" w:after="40" w:line="240" w:lineRule="auto"/>
              <w:rPr>
                <w:color w:val="auto"/>
                <w:sz w:val="22"/>
                <w:szCs w:val="22"/>
              </w:rPr>
            </w:pPr>
            <w:r w:rsidRPr="00675566">
              <w:rPr>
                <w:color w:val="auto"/>
                <w:sz w:val="22"/>
                <w:szCs w:val="22"/>
              </w:rPr>
              <w:t>IPMOC</w:t>
            </w:r>
          </w:p>
        </w:tc>
        <w:tc>
          <w:tcPr>
            <w:tcW w:w="5528" w:type="dxa"/>
          </w:tcPr>
          <w:p w14:paraId="7C147B67" w14:textId="77777777" w:rsidR="00A71628" w:rsidRPr="00675566" w:rsidRDefault="00A71628" w:rsidP="00A71628">
            <w:pPr>
              <w:spacing w:before="40" w:after="40" w:line="240" w:lineRule="auto"/>
              <w:rPr>
                <w:color w:val="auto"/>
                <w:sz w:val="22"/>
                <w:szCs w:val="22"/>
              </w:rPr>
            </w:pPr>
            <w:r w:rsidRPr="00675566">
              <w:rPr>
                <w:color w:val="auto"/>
                <w:sz w:val="22"/>
                <w:szCs w:val="22"/>
              </w:rPr>
              <w:t>Discuss the rebate 'decision form', affirm adherence to due process and endorse</w:t>
            </w:r>
          </w:p>
        </w:tc>
      </w:tr>
      <w:tr w:rsidR="00A71628" w:rsidRPr="00A71628" w14:paraId="1073D4D8" w14:textId="77777777" w:rsidTr="00675566">
        <w:trPr>
          <w:jc w:val="right"/>
        </w:trPr>
        <w:tc>
          <w:tcPr>
            <w:tcW w:w="710" w:type="dxa"/>
          </w:tcPr>
          <w:p w14:paraId="7B2D1EA5" w14:textId="77777777" w:rsidR="00A71628" w:rsidRPr="00675566" w:rsidRDefault="00A71628" w:rsidP="00A71628">
            <w:pPr>
              <w:spacing w:before="40" w:after="40" w:line="240" w:lineRule="auto"/>
              <w:jc w:val="center"/>
              <w:rPr>
                <w:color w:val="auto"/>
                <w:sz w:val="22"/>
                <w:szCs w:val="22"/>
              </w:rPr>
            </w:pPr>
            <w:r w:rsidRPr="00675566">
              <w:rPr>
                <w:color w:val="auto"/>
                <w:sz w:val="22"/>
                <w:szCs w:val="22"/>
              </w:rPr>
              <w:t>4</w:t>
            </w:r>
          </w:p>
        </w:tc>
        <w:tc>
          <w:tcPr>
            <w:tcW w:w="3396" w:type="dxa"/>
          </w:tcPr>
          <w:p w14:paraId="0CFDA2C5" w14:textId="77777777" w:rsidR="00A71628" w:rsidRPr="00675566" w:rsidRDefault="00A71628" w:rsidP="00A71628">
            <w:pPr>
              <w:spacing w:before="40" w:after="40" w:line="240" w:lineRule="auto"/>
              <w:rPr>
                <w:color w:val="auto"/>
                <w:sz w:val="22"/>
                <w:szCs w:val="22"/>
              </w:rPr>
            </w:pPr>
            <w:r w:rsidRPr="00675566">
              <w:rPr>
                <w:color w:val="auto"/>
                <w:sz w:val="22"/>
                <w:szCs w:val="22"/>
              </w:rPr>
              <w:t>Head of MM and Senior Strategic Lead Pharmacist</w:t>
            </w:r>
          </w:p>
        </w:tc>
        <w:tc>
          <w:tcPr>
            <w:tcW w:w="5528" w:type="dxa"/>
          </w:tcPr>
          <w:p w14:paraId="795A18BC" w14:textId="77777777" w:rsidR="00A71628" w:rsidRPr="00675566" w:rsidRDefault="00A71628" w:rsidP="00A71628">
            <w:pPr>
              <w:spacing w:before="40" w:after="40" w:line="240" w:lineRule="auto"/>
              <w:rPr>
                <w:color w:val="auto"/>
                <w:sz w:val="22"/>
                <w:szCs w:val="22"/>
              </w:rPr>
            </w:pPr>
            <w:r w:rsidRPr="00675566">
              <w:rPr>
                <w:color w:val="auto"/>
                <w:sz w:val="22"/>
                <w:szCs w:val="22"/>
              </w:rPr>
              <w:t>Approve (or otherwise) on behalf of Places (as delegated), recording on rebate scheme decision form</w:t>
            </w:r>
          </w:p>
        </w:tc>
      </w:tr>
      <w:tr w:rsidR="00A71628" w:rsidRPr="00A71628" w14:paraId="1D2A277C" w14:textId="77777777" w:rsidTr="00675566">
        <w:trPr>
          <w:jc w:val="right"/>
        </w:trPr>
        <w:tc>
          <w:tcPr>
            <w:tcW w:w="710" w:type="dxa"/>
          </w:tcPr>
          <w:p w14:paraId="46B90F5A" w14:textId="77777777" w:rsidR="00A71628" w:rsidRPr="00675566" w:rsidRDefault="00A71628" w:rsidP="00A71628">
            <w:pPr>
              <w:spacing w:before="40" w:after="40" w:line="240" w:lineRule="auto"/>
              <w:jc w:val="center"/>
              <w:rPr>
                <w:color w:val="auto"/>
                <w:sz w:val="22"/>
                <w:szCs w:val="22"/>
              </w:rPr>
            </w:pPr>
            <w:r w:rsidRPr="00675566">
              <w:rPr>
                <w:color w:val="auto"/>
                <w:sz w:val="22"/>
                <w:szCs w:val="22"/>
              </w:rPr>
              <w:t>5</w:t>
            </w:r>
          </w:p>
        </w:tc>
        <w:tc>
          <w:tcPr>
            <w:tcW w:w="3396" w:type="dxa"/>
          </w:tcPr>
          <w:p w14:paraId="448EC1F7" w14:textId="77777777" w:rsidR="00A71628" w:rsidRPr="00675566" w:rsidRDefault="00A71628" w:rsidP="00A71628">
            <w:pPr>
              <w:spacing w:before="40" w:after="40" w:line="240" w:lineRule="auto"/>
              <w:rPr>
                <w:color w:val="auto"/>
                <w:sz w:val="22"/>
                <w:szCs w:val="22"/>
              </w:rPr>
            </w:pPr>
            <w:r w:rsidRPr="00675566">
              <w:rPr>
                <w:color w:val="auto"/>
                <w:sz w:val="22"/>
                <w:szCs w:val="22"/>
              </w:rPr>
              <w:t>Place based Director of Finance (Lead for Prescribing)</w:t>
            </w:r>
          </w:p>
        </w:tc>
        <w:tc>
          <w:tcPr>
            <w:tcW w:w="5528" w:type="dxa"/>
          </w:tcPr>
          <w:p w14:paraId="33B40B81" w14:textId="77777777" w:rsidR="00A71628" w:rsidRPr="00675566" w:rsidRDefault="00A71628" w:rsidP="00A71628">
            <w:pPr>
              <w:spacing w:before="40" w:after="40" w:line="240" w:lineRule="auto"/>
              <w:rPr>
                <w:color w:val="auto"/>
                <w:sz w:val="22"/>
                <w:szCs w:val="22"/>
              </w:rPr>
            </w:pPr>
            <w:r w:rsidRPr="00675566">
              <w:rPr>
                <w:color w:val="auto"/>
                <w:sz w:val="22"/>
                <w:szCs w:val="22"/>
              </w:rPr>
              <w:t>Review and approve the rebate contract for signing, recording on the rebate scheme decision form</w:t>
            </w:r>
          </w:p>
        </w:tc>
      </w:tr>
      <w:tr w:rsidR="00A71628" w:rsidRPr="00A71628" w14:paraId="3286F6C4" w14:textId="77777777" w:rsidTr="00675566">
        <w:trPr>
          <w:jc w:val="right"/>
        </w:trPr>
        <w:tc>
          <w:tcPr>
            <w:tcW w:w="710" w:type="dxa"/>
          </w:tcPr>
          <w:p w14:paraId="75398ECB" w14:textId="77777777" w:rsidR="00A71628" w:rsidRPr="00675566" w:rsidRDefault="00A71628" w:rsidP="00A71628">
            <w:pPr>
              <w:spacing w:before="40" w:after="40" w:line="240" w:lineRule="auto"/>
              <w:jc w:val="center"/>
              <w:rPr>
                <w:color w:val="auto"/>
                <w:sz w:val="22"/>
                <w:szCs w:val="22"/>
              </w:rPr>
            </w:pPr>
            <w:r w:rsidRPr="00675566">
              <w:rPr>
                <w:color w:val="auto"/>
                <w:sz w:val="22"/>
                <w:szCs w:val="22"/>
              </w:rPr>
              <w:t>6</w:t>
            </w:r>
          </w:p>
        </w:tc>
        <w:tc>
          <w:tcPr>
            <w:tcW w:w="3396" w:type="dxa"/>
          </w:tcPr>
          <w:p w14:paraId="3C27FE47" w14:textId="77777777" w:rsidR="00A71628" w:rsidRPr="00675566" w:rsidRDefault="00A71628" w:rsidP="00A71628">
            <w:pPr>
              <w:spacing w:before="40" w:after="40" w:line="240" w:lineRule="auto"/>
              <w:rPr>
                <w:color w:val="auto"/>
                <w:sz w:val="22"/>
                <w:szCs w:val="22"/>
              </w:rPr>
            </w:pPr>
            <w:r w:rsidRPr="00675566">
              <w:rPr>
                <w:color w:val="auto"/>
                <w:sz w:val="22"/>
                <w:szCs w:val="22"/>
              </w:rPr>
              <w:t>Executive Director of Finance and Investment</w:t>
            </w:r>
          </w:p>
        </w:tc>
        <w:tc>
          <w:tcPr>
            <w:tcW w:w="5528" w:type="dxa"/>
          </w:tcPr>
          <w:p w14:paraId="6552BF6F" w14:textId="1DAFF89F" w:rsidR="00A71628" w:rsidRPr="00675566" w:rsidRDefault="00A71628" w:rsidP="00A71628">
            <w:pPr>
              <w:spacing w:before="40" w:after="40" w:line="240" w:lineRule="auto"/>
              <w:rPr>
                <w:color w:val="auto"/>
                <w:sz w:val="22"/>
                <w:szCs w:val="22"/>
              </w:rPr>
            </w:pPr>
            <w:r w:rsidRPr="00675566">
              <w:rPr>
                <w:color w:val="auto"/>
                <w:sz w:val="22"/>
                <w:szCs w:val="22"/>
              </w:rPr>
              <w:t>Signs contract and exchange</w:t>
            </w:r>
            <w:r w:rsidR="00E039EC" w:rsidRPr="00675566">
              <w:rPr>
                <w:color w:val="auto"/>
                <w:sz w:val="22"/>
                <w:szCs w:val="22"/>
              </w:rPr>
              <w:t>s</w:t>
            </w:r>
            <w:r w:rsidRPr="00675566">
              <w:rPr>
                <w:color w:val="auto"/>
                <w:sz w:val="22"/>
                <w:szCs w:val="22"/>
              </w:rPr>
              <w:t xml:space="preserve"> with company</w:t>
            </w:r>
          </w:p>
        </w:tc>
      </w:tr>
    </w:tbl>
    <w:p w14:paraId="3BBBA820" w14:textId="77777777" w:rsidR="00A71628" w:rsidRDefault="00A71628" w:rsidP="00A71628">
      <w:pPr>
        <w:spacing w:line="240" w:lineRule="auto"/>
        <w:ind w:left="859"/>
      </w:pPr>
    </w:p>
    <w:p w14:paraId="116B7DD0" w14:textId="2281497A" w:rsidR="00CB0EAA" w:rsidRDefault="00A71628" w:rsidP="00CB0EAA">
      <w:pPr>
        <w:spacing w:line="240" w:lineRule="auto"/>
        <w:ind w:left="859"/>
        <w:rPr>
          <w:color w:val="auto"/>
        </w:rPr>
      </w:pPr>
      <w:r w:rsidRPr="00A71628">
        <w:rPr>
          <w:color w:val="auto"/>
        </w:rPr>
        <w:t xml:space="preserve">The ICB </w:t>
      </w:r>
      <w:r w:rsidR="00C3380C">
        <w:rPr>
          <w:color w:val="auto"/>
        </w:rPr>
        <w:t xml:space="preserve">will ensure that </w:t>
      </w:r>
      <w:r w:rsidR="00906423">
        <w:rPr>
          <w:color w:val="auto"/>
        </w:rPr>
        <w:t xml:space="preserve">the </w:t>
      </w:r>
      <w:r w:rsidR="00C3380C" w:rsidRPr="00C3380C">
        <w:rPr>
          <w:color w:val="auto"/>
        </w:rPr>
        <w:t>testing of compliance</w:t>
      </w:r>
      <w:r w:rsidR="00906423">
        <w:rPr>
          <w:color w:val="auto"/>
        </w:rPr>
        <w:t xml:space="preserve"> and effectiveness of this policy</w:t>
      </w:r>
      <w:r w:rsidR="00C3380C">
        <w:rPr>
          <w:color w:val="auto"/>
        </w:rPr>
        <w:t xml:space="preserve"> is undertaken </w:t>
      </w:r>
      <w:r w:rsidR="00DA796A">
        <w:rPr>
          <w:color w:val="auto"/>
        </w:rPr>
        <w:t xml:space="preserve">in the </w:t>
      </w:r>
      <w:r w:rsidR="00C3380C">
        <w:rPr>
          <w:color w:val="auto"/>
        </w:rPr>
        <w:t>Internal Audit pro</w:t>
      </w:r>
      <w:r w:rsidR="00DA796A">
        <w:rPr>
          <w:color w:val="auto"/>
        </w:rPr>
        <w:t>gramme</w:t>
      </w:r>
      <w:r w:rsidR="00C3380C">
        <w:rPr>
          <w:color w:val="auto"/>
        </w:rPr>
        <w:t xml:space="preserve">. </w:t>
      </w:r>
    </w:p>
    <w:p w14:paraId="54B39501" w14:textId="0D98FECA" w:rsidR="00CB0EAA" w:rsidRDefault="00CB0EAA" w:rsidP="00675566">
      <w:pPr>
        <w:pStyle w:val="Heading2"/>
        <w:ind w:hanging="433"/>
      </w:pPr>
      <w:bookmarkStart w:id="26" w:name="_Toc132378233"/>
      <w:r w:rsidRPr="00CB0EAA">
        <w:t>Information Governance</w:t>
      </w:r>
      <w:bookmarkEnd w:id="26"/>
    </w:p>
    <w:p w14:paraId="3295CEDC" w14:textId="24C94188" w:rsidR="00CB0EAA" w:rsidRDefault="00CB0EAA" w:rsidP="00CB0EAA">
      <w:pPr>
        <w:spacing w:line="240" w:lineRule="auto"/>
        <w:ind w:left="859"/>
        <w:rPr>
          <w:color w:val="auto"/>
        </w:rPr>
      </w:pPr>
      <w:r w:rsidRPr="00CB0EAA">
        <w:rPr>
          <w:color w:val="auto"/>
        </w:rPr>
        <w:t>The ICB supports the principles of transparency enshrined in the Freedom of Information Act</w:t>
      </w:r>
      <w:r w:rsidR="00EF7514">
        <w:rPr>
          <w:color w:val="auto"/>
        </w:rPr>
        <w:t xml:space="preserve"> 2000 (FOIA)</w:t>
      </w:r>
      <w:r w:rsidRPr="00CB0EAA">
        <w:rPr>
          <w:color w:val="auto"/>
        </w:rPr>
        <w:t xml:space="preserve">. Rebate schemes often contain confidentiality clauses, which may restrict what information may be disclosed under Freedom of Information. The ICB will publish its policy for accepting rebate agreements.  </w:t>
      </w:r>
    </w:p>
    <w:p w14:paraId="2961A414" w14:textId="77777777" w:rsidR="00CB0EAA" w:rsidRPr="00CB0EAA" w:rsidRDefault="00CB0EAA" w:rsidP="00CB0EAA">
      <w:pPr>
        <w:spacing w:line="240" w:lineRule="auto"/>
        <w:ind w:left="859"/>
        <w:rPr>
          <w:color w:val="auto"/>
        </w:rPr>
      </w:pPr>
    </w:p>
    <w:p w14:paraId="382D89CA" w14:textId="1D4F8C62" w:rsidR="00CB0EAA" w:rsidRDefault="00CB0EAA" w:rsidP="00CB0EAA">
      <w:pPr>
        <w:spacing w:line="240" w:lineRule="auto"/>
        <w:ind w:left="859"/>
        <w:rPr>
          <w:color w:val="auto"/>
        </w:rPr>
      </w:pPr>
      <w:r w:rsidRPr="00CB0EAA">
        <w:rPr>
          <w:color w:val="auto"/>
        </w:rPr>
        <w:t>Whilst manufacturers often attempt to impose requirements for confidentiality that would restrict the ICB from disclosing the existence and level of any discount to any third party, the ICB recognise</w:t>
      </w:r>
      <w:r w:rsidR="00E34C4E">
        <w:rPr>
          <w:color w:val="auto"/>
        </w:rPr>
        <w:t>s</w:t>
      </w:r>
      <w:r w:rsidRPr="00CB0EAA">
        <w:rPr>
          <w:color w:val="auto"/>
        </w:rPr>
        <w:t xml:space="preserve"> that such agreements are likely not to be in the interests of the NHS.  This is on the basis both that it will compromise the ability of the ICB to evaluate whether it is obtaining the best possible terms and that in the medium to longer term it is likely to lead to price inflation.   </w:t>
      </w:r>
    </w:p>
    <w:p w14:paraId="36681D47" w14:textId="77777777" w:rsidR="00CB0EAA" w:rsidRPr="00CB0EAA" w:rsidRDefault="00CB0EAA" w:rsidP="00CB0EAA">
      <w:pPr>
        <w:spacing w:line="240" w:lineRule="auto"/>
        <w:ind w:left="859"/>
        <w:rPr>
          <w:color w:val="auto"/>
        </w:rPr>
      </w:pPr>
    </w:p>
    <w:p w14:paraId="460BE93E" w14:textId="1869D73D" w:rsidR="00CB0EAA" w:rsidRDefault="00CB0EAA" w:rsidP="00CB0EAA">
      <w:pPr>
        <w:spacing w:line="240" w:lineRule="auto"/>
        <w:ind w:left="859"/>
        <w:rPr>
          <w:color w:val="auto"/>
        </w:rPr>
      </w:pPr>
      <w:r w:rsidRPr="00CB0EAA">
        <w:rPr>
          <w:color w:val="auto"/>
        </w:rPr>
        <w:t xml:space="preserve">The ICB will ensure that all rebate scheme agreements meet the requirements of Data Protection </w:t>
      </w:r>
      <w:r w:rsidR="00EF7514">
        <w:rPr>
          <w:color w:val="auto"/>
        </w:rPr>
        <w:t>Legislation</w:t>
      </w:r>
      <w:r w:rsidRPr="00CB0EAA">
        <w:rPr>
          <w:color w:val="auto"/>
        </w:rPr>
        <w:t xml:space="preserve">, and patient confidentiality must never be compromised. The Freedom of Information Act 2000 provides the right of public access to information held by public authorities. The main principle behind freedom of information legislation is that people have a right to know about the activities of public authorities, unless there is a good reason for them not to. This may be described as a presumption or assumption in favour of disclosure. The ICB fully supports the principle of openness and accountability.  </w:t>
      </w:r>
    </w:p>
    <w:p w14:paraId="289F784D" w14:textId="77777777" w:rsidR="00CB0EAA" w:rsidRPr="00CB0EAA" w:rsidRDefault="00CB0EAA" w:rsidP="00CB0EAA">
      <w:pPr>
        <w:spacing w:line="240" w:lineRule="auto"/>
        <w:ind w:left="859"/>
        <w:rPr>
          <w:color w:val="auto"/>
        </w:rPr>
      </w:pPr>
    </w:p>
    <w:p w14:paraId="4472ECDE" w14:textId="2F73030C" w:rsidR="000E282A" w:rsidRPr="00CB0EAA" w:rsidRDefault="00CB0EAA" w:rsidP="00CB0EAA">
      <w:pPr>
        <w:spacing w:line="240" w:lineRule="auto"/>
        <w:ind w:left="859"/>
        <w:rPr>
          <w:color w:val="auto"/>
        </w:rPr>
      </w:pPr>
      <w:r w:rsidRPr="00CB0EAA">
        <w:rPr>
          <w:color w:val="auto"/>
        </w:rPr>
        <w:t xml:space="preserve">There may be occasions where specific information requested </w:t>
      </w:r>
      <w:proofErr w:type="gramStart"/>
      <w:r w:rsidRPr="00CB0EAA">
        <w:rPr>
          <w:color w:val="auto"/>
        </w:rPr>
        <w:t>is considered to be</w:t>
      </w:r>
      <w:proofErr w:type="gramEnd"/>
      <w:r w:rsidRPr="00CB0EAA">
        <w:rPr>
          <w:color w:val="auto"/>
        </w:rPr>
        <w:t xml:space="preserve"> exempt under section 43 “Commercial Interests” of the Freedom of Information Act. Some information appertaining to rebate agreements may meet the criteria advised by the Information Commissioner’s Office as being “Commercial</w:t>
      </w:r>
      <w:r w:rsidR="00EF7514">
        <w:rPr>
          <w:color w:val="auto"/>
        </w:rPr>
        <w:t>ly Sensitive</w:t>
      </w:r>
      <w:r w:rsidRPr="00CB0EAA">
        <w:rPr>
          <w:color w:val="auto"/>
        </w:rPr>
        <w:t xml:space="preserve">”. This Exemption would only be applied where the information requested would be considered to prejudice the commercial interests of the company to which it relates. This would be decided on a case-by-case basis.  </w:t>
      </w:r>
    </w:p>
    <w:p w14:paraId="7B51043C" w14:textId="432CE7E7" w:rsidR="00CB0EAA" w:rsidRPr="00CB0EAA" w:rsidRDefault="00CB0EAA" w:rsidP="00675566">
      <w:pPr>
        <w:pStyle w:val="Heading3"/>
        <w:ind w:hanging="549"/>
      </w:pPr>
      <w:bookmarkStart w:id="27" w:name="_Toc132378234"/>
      <w:r w:rsidRPr="00CB0EAA">
        <w:t>Sharing of information with prescribers and other stakeholders</w:t>
      </w:r>
      <w:bookmarkEnd w:id="27"/>
    </w:p>
    <w:p w14:paraId="2714F328" w14:textId="039CED32" w:rsidR="00CB0EAA" w:rsidRDefault="00CB0EAA" w:rsidP="00CB0EAA">
      <w:pPr>
        <w:spacing w:line="240" w:lineRule="auto"/>
        <w:ind w:left="833"/>
        <w:rPr>
          <w:color w:val="auto"/>
        </w:rPr>
      </w:pPr>
      <w:r w:rsidRPr="00CB0EAA">
        <w:rPr>
          <w:color w:val="auto"/>
        </w:rPr>
        <w:t xml:space="preserve">Individual contracts will contain details of any confidentiality agreements, but such agreements must not preclude the sharing of information, including discounts and scheme details, within the wider NHS. The Rebate Policy will be published on the ICB's </w:t>
      </w:r>
      <w:r w:rsidR="00EF7514">
        <w:rPr>
          <w:color w:val="auto"/>
        </w:rPr>
        <w:t>website</w:t>
      </w:r>
      <w:r w:rsidRPr="00CB0EAA">
        <w:rPr>
          <w:color w:val="auto"/>
        </w:rPr>
        <w:t xml:space="preserve">, as will details of PCRS </w:t>
      </w:r>
      <w:proofErr w:type="gramStart"/>
      <w:r w:rsidRPr="00CB0EAA">
        <w:rPr>
          <w:color w:val="auto"/>
        </w:rPr>
        <w:t>entered into</w:t>
      </w:r>
      <w:proofErr w:type="gramEnd"/>
      <w:r w:rsidRPr="00CB0EAA">
        <w:rPr>
          <w:color w:val="auto"/>
        </w:rPr>
        <w:t xml:space="preserve"> by the ICB, listing companies and the product(s) involved and the start and finish dates of the relevant contract. This information will continue to be published for the full financial year (to 31st March) following termination.</w:t>
      </w:r>
    </w:p>
    <w:p w14:paraId="663BB76B" w14:textId="77777777" w:rsidR="00CB0EAA" w:rsidRPr="00CB0EAA" w:rsidRDefault="00CB0EAA" w:rsidP="00CB0EAA">
      <w:pPr>
        <w:spacing w:line="240" w:lineRule="auto"/>
        <w:ind w:left="833"/>
        <w:rPr>
          <w:color w:val="auto"/>
        </w:rPr>
      </w:pPr>
    </w:p>
    <w:p w14:paraId="35C46312" w14:textId="5CB5CF40" w:rsidR="00CB0EAA" w:rsidRDefault="00CB0EAA" w:rsidP="00CB0EAA">
      <w:pPr>
        <w:spacing w:line="240" w:lineRule="auto"/>
        <w:ind w:left="833"/>
        <w:rPr>
          <w:color w:val="auto"/>
        </w:rPr>
      </w:pPr>
      <w:r w:rsidRPr="00CB0EAA">
        <w:rPr>
          <w:color w:val="auto"/>
        </w:rPr>
        <w:t xml:space="preserve">Information on the financial values of any rebate (in terms of rate and/or total monetary value) will be limited to those closely involved in considering and managing the rebate. For this reason, these details will be withheld from the papers submitted to </w:t>
      </w:r>
      <w:r w:rsidR="00C20712">
        <w:rPr>
          <w:color w:val="auto"/>
        </w:rPr>
        <w:t>IPMOC</w:t>
      </w:r>
      <w:r w:rsidRPr="00CB0EAA">
        <w:rPr>
          <w:color w:val="auto"/>
        </w:rPr>
        <w:t xml:space="preserve"> for consideration and approval, and instead the Rebate Sub-group will identify to </w:t>
      </w:r>
      <w:r w:rsidR="00C20712">
        <w:rPr>
          <w:color w:val="auto"/>
        </w:rPr>
        <w:t>IPMOC</w:t>
      </w:r>
      <w:r w:rsidRPr="00CB0EAA">
        <w:rPr>
          <w:color w:val="auto"/>
        </w:rPr>
        <w:t xml:space="preserve"> if the scheme is predicted to be financially worthwhile.</w:t>
      </w:r>
    </w:p>
    <w:p w14:paraId="7203D1C1" w14:textId="1428755F" w:rsidR="00CB0EAA" w:rsidRDefault="00CB0EAA" w:rsidP="00675566">
      <w:pPr>
        <w:pStyle w:val="Heading3"/>
        <w:ind w:hanging="549"/>
      </w:pPr>
      <w:bookmarkStart w:id="28" w:name="_Toc132378235"/>
      <w:r w:rsidRPr="00CB0EAA">
        <w:t>Freedom of Information Requests</w:t>
      </w:r>
      <w:bookmarkEnd w:id="28"/>
    </w:p>
    <w:p w14:paraId="6F2B6718" w14:textId="3595FE77" w:rsidR="00CB0EAA" w:rsidRPr="00CB0EAA" w:rsidRDefault="00CB0EAA" w:rsidP="00CB0EAA">
      <w:pPr>
        <w:spacing w:line="240" w:lineRule="auto"/>
        <w:ind w:left="833"/>
        <w:rPr>
          <w:color w:val="auto"/>
        </w:rPr>
      </w:pPr>
      <w:r w:rsidRPr="00CB0EAA">
        <w:rPr>
          <w:color w:val="auto"/>
        </w:rPr>
        <w:t>The ICB supports the principle of openness about its activities.  Any Decision from the Information Commissioner</w:t>
      </w:r>
      <w:r w:rsidR="00EF7514">
        <w:rPr>
          <w:color w:val="auto"/>
        </w:rPr>
        <w:t>’</w:t>
      </w:r>
      <w:r w:rsidRPr="00CB0EAA">
        <w:rPr>
          <w:color w:val="auto"/>
        </w:rPr>
        <w:t xml:space="preserve">s Office to disclose information must be adhered to.  </w:t>
      </w:r>
    </w:p>
    <w:p w14:paraId="56B28333" w14:textId="474D1BE5" w:rsidR="00CB0EAA" w:rsidRDefault="00CB0EAA" w:rsidP="00675566">
      <w:pPr>
        <w:pStyle w:val="Heading2"/>
        <w:ind w:left="856" w:hanging="431"/>
      </w:pPr>
      <w:bookmarkStart w:id="29" w:name="_Toc132378236"/>
      <w:r w:rsidRPr="00CB0EAA">
        <w:t>Use of Rebates</w:t>
      </w:r>
      <w:bookmarkEnd w:id="29"/>
    </w:p>
    <w:p w14:paraId="4CD53A5A" w14:textId="00D23820" w:rsidR="00CB0EAA" w:rsidRDefault="00CB0EAA" w:rsidP="00675566">
      <w:pPr>
        <w:spacing w:line="240" w:lineRule="auto"/>
        <w:ind w:left="856"/>
        <w:rPr>
          <w:color w:val="auto"/>
        </w:rPr>
      </w:pPr>
      <w:r w:rsidRPr="00CB0EAA">
        <w:rPr>
          <w:color w:val="auto"/>
        </w:rPr>
        <w:t xml:space="preserve">It is vital that any funds received by the ICB as part of a rebate are managed in a transparent, </w:t>
      </w:r>
      <w:proofErr w:type="gramStart"/>
      <w:r w:rsidRPr="00CB0EAA">
        <w:rPr>
          <w:color w:val="auto"/>
        </w:rPr>
        <w:t>legal</w:t>
      </w:r>
      <w:proofErr w:type="gramEnd"/>
      <w:r w:rsidRPr="00CB0EAA">
        <w:rPr>
          <w:color w:val="auto"/>
        </w:rPr>
        <w:t xml:space="preserve"> and ethical way. Oversight for any spending plans, redistribution of funds and control of destination budgets will be provided by the Executive Director of Finance and Investment. This will include oversight of the process to disseminate rebate income to Place based budgets based on prescribing activity (as per each rebate's methodology) in the respective Places. </w:t>
      </w:r>
    </w:p>
    <w:p w14:paraId="1BBFD528" w14:textId="77777777" w:rsidR="00CB0EAA" w:rsidRPr="00CB0EAA" w:rsidRDefault="00CB0EAA" w:rsidP="00CB0EAA">
      <w:pPr>
        <w:spacing w:line="240" w:lineRule="auto"/>
        <w:ind w:left="859"/>
        <w:rPr>
          <w:color w:val="auto"/>
        </w:rPr>
      </w:pPr>
    </w:p>
    <w:p w14:paraId="61819A21" w14:textId="2961157C" w:rsidR="00CB0EAA" w:rsidRDefault="00CB0EAA" w:rsidP="00CB0EAA">
      <w:pPr>
        <w:spacing w:line="240" w:lineRule="auto"/>
        <w:ind w:left="859"/>
        <w:rPr>
          <w:color w:val="auto"/>
        </w:rPr>
      </w:pPr>
      <w:r w:rsidRPr="00CB0EAA">
        <w:rPr>
          <w:color w:val="auto"/>
        </w:rPr>
        <w:t xml:space="preserve">No one individual should be </w:t>
      </w:r>
      <w:proofErr w:type="gramStart"/>
      <w:r w:rsidRPr="00CB0EAA">
        <w:rPr>
          <w:color w:val="auto"/>
        </w:rPr>
        <w:t>in a position</w:t>
      </w:r>
      <w:proofErr w:type="gramEnd"/>
      <w:r w:rsidRPr="00CB0EAA">
        <w:rPr>
          <w:color w:val="auto"/>
        </w:rPr>
        <w:t xml:space="preserve"> to benefit personally from the level of rebate received by the ICB.  </w:t>
      </w:r>
    </w:p>
    <w:p w14:paraId="0C81ECA3" w14:textId="6F8F3C5B" w:rsidR="00CB0EAA" w:rsidRDefault="00CB0EAA" w:rsidP="00CB0EAA">
      <w:pPr>
        <w:spacing w:line="240" w:lineRule="auto"/>
        <w:ind w:left="859"/>
        <w:rPr>
          <w:color w:val="auto"/>
        </w:rPr>
      </w:pPr>
    </w:p>
    <w:p w14:paraId="5A04E760" w14:textId="77777777" w:rsidR="00CB0EAA" w:rsidRPr="00CB0EAA" w:rsidRDefault="00CB0EAA" w:rsidP="00CB0EAA">
      <w:pPr>
        <w:spacing w:line="240" w:lineRule="auto"/>
        <w:ind w:left="859"/>
        <w:rPr>
          <w:color w:val="auto"/>
        </w:rPr>
      </w:pPr>
      <w:r w:rsidRPr="00CB0EAA">
        <w:rPr>
          <w:color w:val="auto"/>
        </w:rPr>
        <w:t xml:space="preserve">Examples of unacceptable practice: </w:t>
      </w:r>
    </w:p>
    <w:p w14:paraId="092D28D7" w14:textId="77777777" w:rsidR="00CB0EAA" w:rsidRPr="00CB0EAA" w:rsidRDefault="00CB0EAA" w:rsidP="00EF7514">
      <w:pPr>
        <w:pStyle w:val="ListParagraph"/>
        <w:numPr>
          <w:ilvl w:val="0"/>
          <w:numId w:val="31"/>
        </w:numPr>
        <w:spacing w:line="240" w:lineRule="auto"/>
        <w:ind w:left="1276"/>
        <w:rPr>
          <w:color w:val="auto"/>
        </w:rPr>
      </w:pPr>
      <w:r w:rsidRPr="00CB0EAA">
        <w:rPr>
          <w:color w:val="auto"/>
        </w:rPr>
        <w:t xml:space="preserve">A GP Local Enhanced Service for diabetes is funded by an insulin rebate. The higher the rebate payment, the more funds available for the LES. </w:t>
      </w:r>
    </w:p>
    <w:p w14:paraId="24848737" w14:textId="77777777" w:rsidR="00CB0EAA" w:rsidRPr="00CB0EAA" w:rsidRDefault="00CB0EAA" w:rsidP="00EF7514">
      <w:pPr>
        <w:pStyle w:val="ListParagraph"/>
        <w:numPr>
          <w:ilvl w:val="0"/>
          <w:numId w:val="31"/>
        </w:numPr>
        <w:spacing w:line="240" w:lineRule="auto"/>
        <w:ind w:left="1276"/>
        <w:rPr>
          <w:color w:val="auto"/>
        </w:rPr>
      </w:pPr>
      <w:r w:rsidRPr="00CB0EAA">
        <w:rPr>
          <w:color w:val="auto"/>
        </w:rPr>
        <w:t xml:space="preserve">The MMT/MOT create a budget for special projects. All rebates are paid into this budget and the team can use this for short term posts. </w:t>
      </w:r>
    </w:p>
    <w:p w14:paraId="1CED8998" w14:textId="77777777" w:rsidR="00CB0EAA" w:rsidRDefault="00CB0EAA" w:rsidP="00CB0EAA">
      <w:pPr>
        <w:spacing w:line="240" w:lineRule="auto"/>
        <w:ind w:left="859"/>
        <w:rPr>
          <w:color w:val="auto"/>
        </w:rPr>
      </w:pPr>
    </w:p>
    <w:p w14:paraId="0B440AEC" w14:textId="4D0A3DB1" w:rsidR="00CB0EAA" w:rsidRPr="00CB0EAA" w:rsidRDefault="00CB0EAA" w:rsidP="00CB0EAA">
      <w:pPr>
        <w:spacing w:line="240" w:lineRule="auto"/>
        <w:ind w:left="859"/>
        <w:rPr>
          <w:color w:val="auto"/>
        </w:rPr>
      </w:pPr>
      <w:r w:rsidRPr="00CB0EAA">
        <w:rPr>
          <w:color w:val="auto"/>
        </w:rPr>
        <w:t xml:space="preserve">Examples of acceptable practice: </w:t>
      </w:r>
    </w:p>
    <w:p w14:paraId="4C63AD37" w14:textId="77777777" w:rsidR="00CB0EAA" w:rsidRPr="00CB0EAA" w:rsidRDefault="00CB0EAA" w:rsidP="00332207">
      <w:pPr>
        <w:pStyle w:val="ListParagraph"/>
        <w:numPr>
          <w:ilvl w:val="0"/>
          <w:numId w:val="31"/>
        </w:numPr>
        <w:spacing w:line="240" w:lineRule="auto"/>
        <w:ind w:left="1276" w:hanging="357"/>
        <w:rPr>
          <w:color w:val="auto"/>
        </w:rPr>
      </w:pPr>
      <w:r w:rsidRPr="00CB0EAA">
        <w:rPr>
          <w:color w:val="auto"/>
        </w:rPr>
        <w:t>A diabetes ‘invest to save’ project is approved by the ICB or a Place. The business case includes an investment which is offset by a rebate scheme. The projected savings are in line with analysis of appropriate use and the project funding is secure even if rebate savings are not fully realised. Any surplus is not automatically allocated to the project.</w:t>
      </w:r>
    </w:p>
    <w:p w14:paraId="650B4FA4" w14:textId="77777777" w:rsidR="00CB0EAA" w:rsidRDefault="00CB0EAA" w:rsidP="00675566">
      <w:pPr>
        <w:ind w:left="856"/>
        <w:rPr>
          <w:color w:val="auto"/>
        </w:rPr>
      </w:pPr>
    </w:p>
    <w:p w14:paraId="41D76D86" w14:textId="2357677D" w:rsidR="00AE286E" w:rsidRDefault="00F12FE9" w:rsidP="00332207">
      <w:pPr>
        <w:pStyle w:val="Heading1"/>
        <w:ind w:left="856" w:hanging="431"/>
      </w:pPr>
      <w:bookmarkStart w:id="30" w:name="_Toc132378237"/>
      <w:bookmarkStart w:id="31" w:name="_Toc430791106"/>
      <w:r>
        <w:t>Consultation</w:t>
      </w:r>
      <w:bookmarkEnd w:id="30"/>
      <w:r>
        <w:t xml:space="preserve"> </w:t>
      </w:r>
      <w:bookmarkEnd w:id="31"/>
    </w:p>
    <w:p w14:paraId="0B142847" w14:textId="22079679" w:rsidR="00F12FE9" w:rsidRDefault="000E282A" w:rsidP="00332207">
      <w:pPr>
        <w:spacing w:line="240" w:lineRule="auto"/>
        <w:ind w:left="856"/>
        <w:rPr>
          <w:color w:val="auto"/>
        </w:rPr>
      </w:pPr>
      <w:r w:rsidRPr="000E282A">
        <w:rPr>
          <w:color w:val="auto"/>
        </w:rPr>
        <w:t>This Policy has been reviewed by the MMT and MOT and the Finance Team prior to endorsement by the Rebate Sub-group and I</w:t>
      </w:r>
      <w:r w:rsidR="00F37B65">
        <w:rPr>
          <w:color w:val="auto"/>
        </w:rPr>
        <w:t>P</w:t>
      </w:r>
      <w:r w:rsidRPr="000E282A">
        <w:rPr>
          <w:color w:val="auto"/>
        </w:rPr>
        <w:t>MOC, and approval by the Quality Committee.</w:t>
      </w:r>
    </w:p>
    <w:p w14:paraId="4B1B3FCB" w14:textId="545D8015" w:rsidR="00BF237A" w:rsidRDefault="00BF237A" w:rsidP="00332207">
      <w:pPr>
        <w:ind w:left="856"/>
        <w:rPr>
          <w:color w:val="auto"/>
        </w:rPr>
      </w:pPr>
    </w:p>
    <w:p w14:paraId="6C13F373" w14:textId="531468FD" w:rsidR="00AE286E" w:rsidRDefault="00F12FE9" w:rsidP="00332207">
      <w:pPr>
        <w:pStyle w:val="Heading1"/>
        <w:ind w:left="856" w:hanging="431"/>
      </w:pPr>
      <w:bookmarkStart w:id="32" w:name="_Toc430791107"/>
      <w:bookmarkStart w:id="33" w:name="_Toc132378238"/>
      <w:r>
        <w:t>Training</w:t>
      </w:r>
      <w:bookmarkEnd w:id="32"/>
      <w:bookmarkEnd w:id="33"/>
    </w:p>
    <w:p w14:paraId="546F6D67" w14:textId="3D91D154" w:rsidR="00DD443C" w:rsidRDefault="000E282A" w:rsidP="00332207">
      <w:pPr>
        <w:spacing w:line="240" w:lineRule="auto"/>
        <w:ind w:left="856"/>
        <w:rPr>
          <w:color w:val="auto"/>
        </w:rPr>
      </w:pPr>
      <w:r w:rsidRPr="000E282A">
        <w:rPr>
          <w:color w:val="auto"/>
        </w:rPr>
        <w:t>Training needs will be identified via the annual appraisal process and training needs analysis.</w:t>
      </w:r>
    </w:p>
    <w:p w14:paraId="1E184E99" w14:textId="77777777" w:rsidR="00CB0EAA" w:rsidRPr="00DD443C" w:rsidRDefault="00CB0EAA" w:rsidP="00332207">
      <w:pPr>
        <w:ind w:left="856"/>
      </w:pPr>
    </w:p>
    <w:p w14:paraId="51C4D9B7" w14:textId="26E80DFC" w:rsidR="00AE286E" w:rsidRDefault="00F12FE9" w:rsidP="00332207">
      <w:pPr>
        <w:pStyle w:val="Heading1"/>
        <w:ind w:left="856" w:hanging="431"/>
      </w:pPr>
      <w:bookmarkStart w:id="34" w:name="_Toc430791108"/>
      <w:bookmarkStart w:id="35" w:name="_Toc132378239"/>
      <w:r>
        <w:t>Monitoring Compliance</w:t>
      </w:r>
      <w:bookmarkEnd w:id="34"/>
      <w:bookmarkEnd w:id="35"/>
    </w:p>
    <w:p w14:paraId="07E11E65" w14:textId="7BB9AD96" w:rsidR="00DD443C" w:rsidRDefault="000E282A" w:rsidP="00332207">
      <w:pPr>
        <w:spacing w:line="240" w:lineRule="auto"/>
        <w:ind w:left="573" w:firstLine="289"/>
        <w:rPr>
          <w:color w:val="auto"/>
        </w:rPr>
      </w:pPr>
      <w:r w:rsidRPr="000E282A">
        <w:rPr>
          <w:color w:val="auto"/>
        </w:rPr>
        <w:t>The ICB will monitor compliance with this policy through the internal audit programme.</w:t>
      </w:r>
    </w:p>
    <w:p w14:paraId="1D454B3B" w14:textId="77777777" w:rsidR="00675566" w:rsidRDefault="00675566" w:rsidP="00332207">
      <w:pPr>
        <w:ind w:left="570" w:firstLine="288"/>
        <w:rPr>
          <w:color w:val="auto"/>
        </w:rPr>
      </w:pPr>
    </w:p>
    <w:p w14:paraId="6257C528" w14:textId="20905069" w:rsidR="00AE286E" w:rsidRDefault="00F12FE9" w:rsidP="00332207">
      <w:pPr>
        <w:pStyle w:val="Heading1"/>
        <w:ind w:left="856" w:hanging="431"/>
      </w:pPr>
      <w:bookmarkStart w:id="36" w:name="_Toc430791109"/>
      <w:bookmarkStart w:id="37" w:name="_Toc132378240"/>
      <w:r>
        <w:t>Arrangements for Re</w:t>
      </w:r>
      <w:bookmarkEnd w:id="36"/>
      <w:r>
        <w:t>view</w:t>
      </w:r>
      <w:bookmarkEnd w:id="37"/>
    </w:p>
    <w:p w14:paraId="5C337FC6" w14:textId="299EA7F5" w:rsidR="00DD443C" w:rsidRDefault="000E282A" w:rsidP="00332207">
      <w:pPr>
        <w:spacing w:line="240" w:lineRule="auto"/>
        <w:ind w:left="856"/>
        <w:rPr>
          <w:color w:val="auto"/>
        </w:rPr>
      </w:pPr>
      <w:r w:rsidRPr="000E282A">
        <w:rPr>
          <w:color w:val="auto"/>
        </w:rPr>
        <w:lastRenderedPageBreak/>
        <w:t>This policy will be reviewed after a period of no longer than 2 years as stated or in response to any relevant changes in local and/or national policies and guidance, whichever is sooner.</w:t>
      </w:r>
    </w:p>
    <w:p w14:paraId="469E3759" w14:textId="77777777" w:rsidR="000E282A" w:rsidRPr="00DD443C" w:rsidRDefault="000E282A" w:rsidP="00332207">
      <w:pPr>
        <w:ind w:left="432"/>
      </w:pPr>
    </w:p>
    <w:p w14:paraId="3EB9AC84" w14:textId="0FD3C9DE" w:rsidR="00AE286E" w:rsidRDefault="00F12FE9" w:rsidP="00332207">
      <w:pPr>
        <w:pStyle w:val="Heading1"/>
      </w:pPr>
      <w:bookmarkStart w:id="38" w:name="_Toc430791110"/>
      <w:bookmarkStart w:id="39" w:name="_Toc132378241"/>
      <w:r>
        <w:t>Disseminatio</w:t>
      </w:r>
      <w:bookmarkEnd w:id="38"/>
      <w:r>
        <w:t>n</w:t>
      </w:r>
      <w:bookmarkEnd w:id="39"/>
    </w:p>
    <w:p w14:paraId="1B0AA4E4" w14:textId="3D0D5CC2" w:rsidR="000E282A" w:rsidRDefault="000E282A" w:rsidP="00332207">
      <w:pPr>
        <w:spacing w:line="240" w:lineRule="auto"/>
        <w:ind w:left="856"/>
        <w:rPr>
          <w:color w:val="auto"/>
        </w:rPr>
      </w:pPr>
      <w:r w:rsidRPr="000E282A">
        <w:rPr>
          <w:color w:val="auto"/>
        </w:rPr>
        <w:t xml:space="preserve">All staff will be made aware of the policy via the ICB </w:t>
      </w:r>
      <w:r>
        <w:rPr>
          <w:color w:val="auto"/>
        </w:rPr>
        <w:t>website</w:t>
      </w:r>
      <w:r w:rsidR="00DA796A">
        <w:rPr>
          <w:color w:val="auto"/>
        </w:rPr>
        <w:t>, staff newsletter and other appropriate internal communication mechanisms</w:t>
      </w:r>
      <w:r w:rsidRPr="000E282A">
        <w:rPr>
          <w:color w:val="auto"/>
        </w:rPr>
        <w:t>.</w:t>
      </w:r>
    </w:p>
    <w:p w14:paraId="3BB4C60A" w14:textId="77777777" w:rsidR="000E282A" w:rsidRPr="000E282A" w:rsidRDefault="000E282A" w:rsidP="00332207">
      <w:pPr>
        <w:spacing w:line="240" w:lineRule="auto"/>
        <w:ind w:left="856"/>
        <w:rPr>
          <w:color w:val="auto"/>
        </w:rPr>
      </w:pPr>
    </w:p>
    <w:p w14:paraId="741C18C5" w14:textId="056E4D16" w:rsidR="00DD443C" w:rsidRDefault="000E282A" w:rsidP="00332207">
      <w:pPr>
        <w:spacing w:line="240" w:lineRule="auto"/>
        <w:ind w:left="856" w:firstLine="2"/>
        <w:rPr>
          <w:color w:val="auto"/>
        </w:rPr>
      </w:pPr>
      <w:r w:rsidRPr="000E282A">
        <w:rPr>
          <w:color w:val="auto"/>
        </w:rPr>
        <w:t>Staff directly impacted by this policy, such as colleagues in the MMT/MOT and the Finance Team, will be provided with a copy of the policy.</w:t>
      </w:r>
    </w:p>
    <w:p w14:paraId="738FE702" w14:textId="77777777" w:rsidR="00BF237A" w:rsidRPr="00DD443C" w:rsidRDefault="00BF237A" w:rsidP="00332207">
      <w:pPr>
        <w:ind w:left="432"/>
      </w:pPr>
    </w:p>
    <w:p w14:paraId="74EF2F14" w14:textId="67D97EA7" w:rsidR="00DD443C" w:rsidRDefault="000E3813" w:rsidP="00332207">
      <w:pPr>
        <w:pStyle w:val="Heading1"/>
      </w:pPr>
      <w:bookmarkStart w:id="40" w:name="_Toc430791111"/>
      <w:bookmarkStart w:id="41" w:name="_Toc132378242"/>
      <w:r>
        <w:t>Associated Document</w:t>
      </w:r>
      <w:bookmarkEnd w:id="40"/>
      <w:r>
        <w:t>ation</w:t>
      </w:r>
      <w:bookmarkEnd w:id="41"/>
    </w:p>
    <w:p w14:paraId="355608E2" w14:textId="220CC458" w:rsidR="00EF7514" w:rsidRPr="006B1B02" w:rsidRDefault="00EF7514" w:rsidP="00332207">
      <w:pPr>
        <w:spacing w:line="240" w:lineRule="auto"/>
        <w:ind w:left="858"/>
        <w:rPr>
          <w:color w:val="000000" w:themeColor="text1"/>
        </w:rPr>
      </w:pPr>
      <w:r w:rsidRPr="006B1B02">
        <w:rPr>
          <w:color w:val="000000" w:themeColor="text1"/>
        </w:rPr>
        <w:t xml:space="preserve">The policy relates only to 'primary care rebates', based on NHS prescribing in primary care. It should be used in conjunction with the following policies or procedures in place or in development: </w:t>
      </w:r>
    </w:p>
    <w:p w14:paraId="409F9407" w14:textId="77777777" w:rsidR="00EF7514" w:rsidRPr="00A259A7" w:rsidRDefault="00EF7514" w:rsidP="00332207">
      <w:pPr>
        <w:pStyle w:val="ListParagraph"/>
        <w:numPr>
          <w:ilvl w:val="0"/>
          <w:numId w:val="31"/>
        </w:numPr>
        <w:spacing w:line="240" w:lineRule="auto"/>
        <w:ind w:left="1507"/>
        <w:rPr>
          <w:color w:val="auto"/>
        </w:rPr>
      </w:pPr>
      <w:r w:rsidRPr="00A259A7">
        <w:rPr>
          <w:color w:val="auto"/>
        </w:rPr>
        <w:t xml:space="preserve">Operational Scheme of Delegation </w:t>
      </w:r>
    </w:p>
    <w:p w14:paraId="44FEA6C9" w14:textId="77777777" w:rsidR="00EF7514" w:rsidRPr="00A259A7" w:rsidRDefault="00EF7514" w:rsidP="00332207">
      <w:pPr>
        <w:pStyle w:val="ListParagraph"/>
        <w:numPr>
          <w:ilvl w:val="0"/>
          <w:numId w:val="31"/>
        </w:numPr>
        <w:spacing w:line="240" w:lineRule="auto"/>
        <w:ind w:left="1507"/>
        <w:rPr>
          <w:color w:val="auto"/>
        </w:rPr>
      </w:pPr>
      <w:r w:rsidRPr="00A259A7">
        <w:rPr>
          <w:color w:val="auto"/>
        </w:rPr>
        <w:t>Commercial Sponsorship Policy</w:t>
      </w:r>
    </w:p>
    <w:p w14:paraId="00019F71" w14:textId="77777777" w:rsidR="000E3813" w:rsidRPr="000E3813" w:rsidRDefault="000E3813" w:rsidP="00332207">
      <w:pPr>
        <w:ind w:left="856"/>
        <w:rPr>
          <w:color w:val="auto"/>
        </w:rPr>
      </w:pPr>
    </w:p>
    <w:p w14:paraId="5151D7A9" w14:textId="4512BCB3" w:rsidR="000E3813" w:rsidRDefault="000E3813" w:rsidP="00332207">
      <w:pPr>
        <w:pStyle w:val="Heading1"/>
      </w:pPr>
      <w:bookmarkStart w:id="42" w:name="_Toc132378243"/>
      <w:r>
        <w:t>References</w:t>
      </w:r>
      <w:bookmarkEnd w:id="42"/>
    </w:p>
    <w:p w14:paraId="1247A00E" w14:textId="0D9BD75B" w:rsidR="000E282A" w:rsidRPr="000E282A" w:rsidRDefault="000E282A" w:rsidP="000E282A">
      <w:pPr>
        <w:pStyle w:val="ListParagraph"/>
        <w:numPr>
          <w:ilvl w:val="0"/>
          <w:numId w:val="27"/>
        </w:numPr>
        <w:spacing w:line="240" w:lineRule="auto"/>
        <w:rPr>
          <w:color w:val="auto"/>
        </w:rPr>
      </w:pPr>
      <w:r w:rsidRPr="000E282A">
        <w:rPr>
          <w:color w:val="auto"/>
        </w:rPr>
        <w:t xml:space="preserve">London Procurement Programme Legal Response from DAC Beachcroft LLP – </w:t>
      </w:r>
      <w:proofErr w:type="spellStart"/>
      <w:r w:rsidRPr="000E282A">
        <w:rPr>
          <w:color w:val="auto"/>
        </w:rPr>
        <w:t>Personnal</w:t>
      </w:r>
      <w:proofErr w:type="spellEnd"/>
      <w:r w:rsidRPr="000E282A">
        <w:rPr>
          <w:color w:val="auto"/>
        </w:rPr>
        <w:t xml:space="preserve"> Communication </w:t>
      </w:r>
    </w:p>
    <w:p w14:paraId="5C7E0FCB" w14:textId="2DEB00FD" w:rsidR="000E3813" w:rsidRPr="000E282A" w:rsidRDefault="000E282A" w:rsidP="000E282A">
      <w:pPr>
        <w:pStyle w:val="ListParagraph"/>
        <w:numPr>
          <w:ilvl w:val="0"/>
          <w:numId w:val="27"/>
        </w:numPr>
        <w:spacing w:line="240" w:lineRule="auto"/>
        <w:rPr>
          <w:color w:val="auto"/>
        </w:rPr>
      </w:pPr>
      <w:r w:rsidRPr="000E282A">
        <w:rPr>
          <w:color w:val="auto"/>
        </w:rPr>
        <w:t>Department of Health. Strategies to Achieve Cost-Effective Prescribing (2010)</w:t>
      </w:r>
    </w:p>
    <w:p w14:paraId="1588EA3C" w14:textId="77777777" w:rsidR="000E282A" w:rsidRPr="000E3813" w:rsidRDefault="000E282A" w:rsidP="007950E2">
      <w:pPr>
        <w:ind w:left="856"/>
        <w:rPr>
          <w:color w:val="auto"/>
        </w:rPr>
      </w:pPr>
    </w:p>
    <w:p w14:paraId="16EE19AA" w14:textId="1D4A57FF" w:rsidR="009A3AAE" w:rsidRDefault="000E3813" w:rsidP="000E3813">
      <w:pPr>
        <w:pStyle w:val="Heading1"/>
      </w:pPr>
      <w:bookmarkStart w:id="43" w:name="_Toc132378244"/>
      <w:r>
        <w:t>Appendices</w:t>
      </w:r>
      <w:bookmarkEnd w:id="43"/>
    </w:p>
    <w:p w14:paraId="7059E239" w14:textId="1731191A" w:rsidR="009F2C13" w:rsidRDefault="00000000" w:rsidP="000E3813">
      <w:pPr>
        <w:spacing w:line="240" w:lineRule="auto"/>
        <w:ind w:left="856"/>
        <w:rPr>
          <w:color w:val="auto"/>
        </w:rPr>
      </w:pPr>
      <w:hyperlink w:anchor="_Appendix_1_-" w:history="1">
        <w:r w:rsidR="009F2C13" w:rsidRPr="00FD339C">
          <w:rPr>
            <w:rStyle w:val="Hyperlink"/>
          </w:rPr>
          <w:t>Appendix 1 - Anti-Fraud, Bribery and Corruption</w:t>
        </w:r>
      </w:hyperlink>
    </w:p>
    <w:p w14:paraId="0617497D" w14:textId="4597055D" w:rsidR="00CB0EAA" w:rsidRDefault="00000000" w:rsidP="000E3813">
      <w:pPr>
        <w:spacing w:line="240" w:lineRule="auto"/>
        <w:ind w:left="856"/>
        <w:rPr>
          <w:color w:val="auto"/>
        </w:rPr>
      </w:pPr>
      <w:hyperlink w:anchor="_Appendix_2:_Primary" w:history="1">
        <w:r w:rsidR="00CB0EAA" w:rsidRPr="00FD339C">
          <w:rPr>
            <w:rStyle w:val="Hyperlink"/>
          </w:rPr>
          <w:t xml:space="preserve">Appendix </w:t>
        </w:r>
        <w:r w:rsidR="00FD339C" w:rsidRPr="00FD339C">
          <w:rPr>
            <w:rStyle w:val="Hyperlink"/>
          </w:rPr>
          <w:t>2</w:t>
        </w:r>
        <w:r w:rsidR="00CB0EAA" w:rsidRPr="00FD339C">
          <w:rPr>
            <w:rStyle w:val="Hyperlink"/>
          </w:rPr>
          <w:t xml:space="preserve"> - Primary Care Rebate Scheme - Approval Process</w:t>
        </w:r>
      </w:hyperlink>
    </w:p>
    <w:p w14:paraId="7A4DA432" w14:textId="4DB59EF8" w:rsidR="00CB0EAA" w:rsidRPr="000E3813" w:rsidRDefault="00000000" w:rsidP="000E3813">
      <w:pPr>
        <w:spacing w:line="240" w:lineRule="auto"/>
        <w:ind w:left="856"/>
        <w:rPr>
          <w:color w:val="auto"/>
        </w:rPr>
      </w:pPr>
      <w:hyperlink w:anchor="_Appendix_3:_" w:history="1">
        <w:r w:rsidR="00CB0EAA" w:rsidRPr="00FD339C">
          <w:rPr>
            <w:rStyle w:val="Hyperlink"/>
          </w:rPr>
          <w:t xml:space="preserve">Appendix </w:t>
        </w:r>
        <w:r w:rsidR="00FD339C" w:rsidRPr="00FD339C">
          <w:rPr>
            <w:rStyle w:val="Hyperlink"/>
          </w:rPr>
          <w:t>3</w:t>
        </w:r>
        <w:r w:rsidR="00CB0EAA" w:rsidRPr="00FD339C">
          <w:rPr>
            <w:rStyle w:val="Hyperlink"/>
          </w:rPr>
          <w:t xml:space="preserve"> - </w:t>
        </w:r>
        <w:r w:rsidR="00CB0EAA" w:rsidRPr="00D541D9">
          <w:rPr>
            <w:rStyle w:val="Hyperlink"/>
          </w:rPr>
          <w:t>ICB Primary Care Rebate Scheme: Assessment and Decision Form</w:t>
        </w:r>
      </w:hyperlink>
    </w:p>
    <w:p w14:paraId="78CB65CB" w14:textId="77777777" w:rsidR="000E3813" w:rsidRPr="000E3813" w:rsidRDefault="000E3813" w:rsidP="00332207"/>
    <w:p w14:paraId="05DDADAC" w14:textId="5B990AD2" w:rsidR="000E3813" w:rsidRDefault="000E3813" w:rsidP="00332207">
      <w:pPr>
        <w:pStyle w:val="Heading1"/>
        <w:ind w:left="856" w:hanging="431"/>
      </w:pPr>
      <w:bookmarkStart w:id="44" w:name="_Toc132378245"/>
      <w:r>
        <w:t>Impact Assessments</w:t>
      </w:r>
      <w:bookmarkEnd w:id="44"/>
    </w:p>
    <w:p w14:paraId="57CF769B" w14:textId="2D203521" w:rsidR="000E3813" w:rsidRDefault="000E3813" w:rsidP="00332207">
      <w:pPr>
        <w:pStyle w:val="Heading2"/>
        <w:ind w:left="851" w:hanging="567"/>
      </w:pPr>
      <w:bookmarkStart w:id="45" w:name="_Toc132378246"/>
      <w:r>
        <w:t>Equality</w:t>
      </w:r>
      <w:bookmarkEnd w:id="45"/>
      <w:r>
        <w:t xml:space="preserve"> </w:t>
      </w:r>
    </w:p>
    <w:p w14:paraId="5CCBEE10" w14:textId="4D60CB17" w:rsidR="000E3813" w:rsidRPr="000E3813" w:rsidRDefault="000E3813" w:rsidP="00332207">
      <w:pPr>
        <w:spacing w:line="240" w:lineRule="auto"/>
        <w:ind w:left="851"/>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proofErr w:type="gramStart"/>
      <w:r w:rsidRPr="000E3813">
        <w:rPr>
          <w:color w:val="auto"/>
        </w:rPr>
        <w:t>population</w:t>
      </w:r>
      <w:proofErr w:type="gramEnd"/>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F37B65">
      <w:pPr>
        <w:spacing w:line="240" w:lineRule="auto"/>
        <w:ind w:left="720"/>
        <w:rPr>
          <w:color w:val="auto"/>
        </w:rPr>
      </w:pPr>
    </w:p>
    <w:p w14:paraId="7D0B7FBB" w14:textId="4723F4FD" w:rsidR="00FD339C" w:rsidRDefault="00AC34CB" w:rsidP="00332207">
      <w:pPr>
        <w:spacing w:line="240" w:lineRule="auto"/>
        <w:ind w:left="851"/>
        <w:rPr>
          <w:color w:val="auto"/>
        </w:rPr>
      </w:pPr>
      <w:r w:rsidRPr="00FD339C">
        <w:rPr>
          <w:color w:val="auto"/>
        </w:rPr>
        <w:t xml:space="preserve">In developing this policy an Equality Impact Analysis (EIA) has been undertaken.  As a result of the analysis, the policy, </w:t>
      </w:r>
      <w:proofErr w:type="gramStart"/>
      <w:r w:rsidRPr="00FD339C">
        <w:rPr>
          <w:color w:val="auto"/>
        </w:rPr>
        <w:t>project</w:t>
      </w:r>
      <w:proofErr w:type="gramEnd"/>
      <w:r w:rsidRPr="00FD339C">
        <w:rPr>
          <w:color w:val="auto"/>
        </w:rPr>
        <w:t xml:space="preserve"> or function does not appear to have any adverse effects on people who share Protected Characteristics, and no further actions are recommended at this stage.</w:t>
      </w:r>
    </w:p>
    <w:p w14:paraId="6CBCBE4A" w14:textId="37560A63" w:rsidR="00AE286E" w:rsidRDefault="00AE286E" w:rsidP="00332207">
      <w:pPr>
        <w:pStyle w:val="Heading2"/>
        <w:ind w:left="857" w:hanging="573"/>
      </w:pPr>
      <w:bookmarkStart w:id="46" w:name="_Toc132378247"/>
      <w:r>
        <w:t>S</w:t>
      </w:r>
      <w:r w:rsidR="000E3813">
        <w:t>ustainability</w:t>
      </w:r>
      <w:bookmarkEnd w:id="46"/>
    </w:p>
    <w:p w14:paraId="1FDD1C7D" w14:textId="39C5D3E5" w:rsidR="00DD443C" w:rsidRDefault="00306092" w:rsidP="007950E2">
      <w:pPr>
        <w:spacing w:after="240" w:line="240" w:lineRule="auto"/>
        <w:ind w:left="856"/>
        <w:rPr>
          <w:color w:val="FF0000"/>
        </w:rPr>
      </w:pPr>
      <w:r w:rsidRPr="00306092">
        <w:rPr>
          <w:color w:val="auto"/>
        </w:rPr>
        <w:t>A Sustainability Impact Assessment has been undertaken.  No positive or negative impacts were identified against the twelve sustainability themes.  The results of the assessment are displayed on the internet with this policy.</w:t>
      </w:r>
      <w:r>
        <w:rPr>
          <w:color w:val="auto"/>
        </w:rPr>
        <w:t xml:space="preserve"> </w:t>
      </w:r>
    </w:p>
    <w:p w14:paraId="671A407C" w14:textId="0AF8F9A5" w:rsidR="000E3813" w:rsidRDefault="000E3813" w:rsidP="00332207">
      <w:pPr>
        <w:pStyle w:val="Heading2"/>
        <w:ind w:left="857" w:hanging="573"/>
      </w:pPr>
      <w:bookmarkStart w:id="47" w:name="_Toc132378248"/>
      <w:r>
        <w:lastRenderedPageBreak/>
        <w:t>Bribery Act 2010</w:t>
      </w:r>
      <w:bookmarkEnd w:id="47"/>
    </w:p>
    <w:p w14:paraId="0C8DF753" w14:textId="1ABDB50D" w:rsidR="000E3813" w:rsidRDefault="000E3813" w:rsidP="00332207">
      <w:pPr>
        <w:spacing w:line="240" w:lineRule="auto"/>
        <w:ind w:left="851"/>
        <w:rPr>
          <w:color w:val="auto"/>
        </w:rPr>
      </w:pPr>
      <w:r w:rsidRPr="000E3813">
        <w:rPr>
          <w:color w:val="auto"/>
        </w:rPr>
        <w:t xml:space="preserve">Due consideration has been given to the Bribery Act 2010 in the development (or review, as appropriate) of this policy document, further details can be found in </w:t>
      </w:r>
      <w:hyperlink w:anchor="_Appendix_1_-" w:history="1">
        <w:r w:rsidRPr="00FD339C">
          <w:rPr>
            <w:rStyle w:val="Hyperlink"/>
          </w:rPr>
          <w:t>appendix 1</w:t>
        </w:r>
      </w:hyperlink>
      <w:r w:rsidRPr="000E3813">
        <w:rPr>
          <w:color w:val="auto"/>
        </w:rPr>
        <w:t>.</w:t>
      </w:r>
    </w:p>
    <w:p w14:paraId="17091E57" w14:textId="77777777" w:rsidR="000E3813" w:rsidRPr="000E3813" w:rsidRDefault="000E3813" w:rsidP="000E3813">
      <w:pPr>
        <w:spacing w:line="240" w:lineRule="auto"/>
        <w:ind w:left="720"/>
        <w:rPr>
          <w:color w:val="auto"/>
        </w:rPr>
      </w:pPr>
    </w:p>
    <w:p w14:paraId="70589BBA" w14:textId="019380BE" w:rsidR="009F2C13" w:rsidRPr="009F2C13" w:rsidRDefault="008F16A6" w:rsidP="00332207">
      <w:pPr>
        <w:pStyle w:val="Heading2"/>
        <w:ind w:left="856" w:hanging="572"/>
      </w:pPr>
      <w:bookmarkStart w:id="48" w:name="_Toc132378249"/>
      <w:r>
        <w:t>G</w:t>
      </w:r>
      <w:r w:rsidR="000E3813">
        <w:t xml:space="preserve">eneral </w:t>
      </w:r>
      <w:r>
        <w:t>D</w:t>
      </w:r>
      <w:r w:rsidR="000E3813">
        <w:t>ata Protection</w:t>
      </w:r>
      <w:r>
        <w:t xml:space="preserve"> R</w:t>
      </w:r>
      <w:r w:rsidR="000E3813">
        <w:t>egulations</w:t>
      </w:r>
      <w:r>
        <w:t xml:space="preserve"> (GDPR)</w:t>
      </w:r>
      <w:bookmarkEnd w:id="48"/>
    </w:p>
    <w:p w14:paraId="755BDF0B" w14:textId="617A2797" w:rsidR="00A856C4" w:rsidRPr="00991EE6" w:rsidRDefault="00991EE6" w:rsidP="00332207">
      <w:pPr>
        <w:pStyle w:val="ListParagraph"/>
        <w:spacing w:line="240" w:lineRule="auto"/>
        <w:ind w:left="851"/>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A130F1">
      <w:pPr>
        <w:pStyle w:val="ListParagraph"/>
        <w:spacing w:line="240" w:lineRule="auto"/>
        <w:rPr>
          <w:color w:val="000000" w:themeColor="text1"/>
        </w:rPr>
      </w:pPr>
    </w:p>
    <w:p w14:paraId="689966B7" w14:textId="77777777" w:rsidR="00991EE6" w:rsidRPr="00991EE6" w:rsidRDefault="00991EE6" w:rsidP="00332207">
      <w:pPr>
        <w:pStyle w:val="ListParagraph"/>
        <w:spacing w:line="240" w:lineRule="auto"/>
        <w:ind w:left="851"/>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60065930" w14:textId="77777777" w:rsidR="00991EE6" w:rsidRPr="00991EE6" w:rsidRDefault="00991EE6" w:rsidP="00A130F1">
      <w:pPr>
        <w:pStyle w:val="ListParagraph"/>
        <w:spacing w:line="240" w:lineRule="auto"/>
        <w:rPr>
          <w:color w:val="000000" w:themeColor="text1"/>
        </w:rPr>
      </w:pPr>
    </w:p>
    <w:p w14:paraId="0B1E878A" w14:textId="77777777" w:rsidR="008F16A6" w:rsidRDefault="008F16A6" w:rsidP="00316E2C"/>
    <w:p w14:paraId="017BE499" w14:textId="41A0D2C2" w:rsidR="008F16A6" w:rsidRDefault="008F16A6" w:rsidP="00332207">
      <w:pPr>
        <w:pStyle w:val="Heading2"/>
        <w:numPr>
          <w:ilvl w:val="0"/>
          <w:numId w:val="0"/>
        </w:numPr>
        <w:ind w:left="567"/>
      </w:pPr>
      <w:bookmarkStart w:id="49" w:name="_Appendix_1_-"/>
      <w:bookmarkEnd w:id="49"/>
      <w:r>
        <w:br w:type="page"/>
      </w:r>
      <w:bookmarkStart w:id="50" w:name="_Toc132378250"/>
      <w:r w:rsidRPr="008F16A6">
        <w:lastRenderedPageBreak/>
        <w:t xml:space="preserve">Appendix 1 </w:t>
      </w:r>
      <w:r w:rsidR="009F2C13">
        <w:t xml:space="preserve">- </w:t>
      </w:r>
      <w:r w:rsidR="009F2C13" w:rsidRPr="009F2C13">
        <w:t>Anti-Fraud, Bribery and Corruption</w:t>
      </w:r>
      <w:bookmarkEnd w:id="50"/>
    </w:p>
    <w:p w14:paraId="54196907" w14:textId="77777777" w:rsidR="00D541D9" w:rsidRDefault="00D541D9" w:rsidP="00710480">
      <w:pPr>
        <w:autoSpaceDE w:val="0"/>
        <w:autoSpaceDN w:val="0"/>
        <w:spacing w:line="240" w:lineRule="auto"/>
        <w:ind w:left="720"/>
        <w:jc w:val="both"/>
        <w:rPr>
          <w:rFonts w:eastAsia="Calibri"/>
          <w:color w:val="auto"/>
        </w:rPr>
      </w:pPr>
    </w:p>
    <w:p w14:paraId="1E713BA0" w14:textId="320A66E0"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The </w:t>
      </w:r>
      <w:r w:rsidR="009F2C13" w:rsidRPr="0032084D">
        <w:rPr>
          <w:rFonts w:eastAsia="Calibri"/>
          <w:color w:val="auto"/>
        </w:rPr>
        <w:t xml:space="preserve">ICB </w:t>
      </w:r>
      <w:r w:rsidRPr="0032084D">
        <w:rPr>
          <w:rFonts w:eastAsia="Calibri"/>
          <w:color w:val="auto"/>
        </w:rPr>
        <w:t>has a responsibility to ensure that all staff are made aware of their duties and responsibilities arising from the Bribery Act 2010.  Under the Bribery Act 2010 there are four criminal offences:</w:t>
      </w:r>
    </w:p>
    <w:p w14:paraId="790925E4" w14:textId="77777777" w:rsidR="00710480" w:rsidRPr="0032084D" w:rsidRDefault="00710480" w:rsidP="00710480">
      <w:pPr>
        <w:autoSpaceDE w:val="0"/>
        <w:autoSpaceDN w:val="0"/>
        <w:spacing w:line="240" w:lineRule="auto"/>
        <w:ind w:left="720"/>
        <w:jc w:val="both"/>
        <w:rPr>
          <w:rFonts w:eastAsia="Calibri"/>
          <w:color w:val="auto"/>
        </w:rPr>
      </w:pPr>
    </w:p>
    <w:p w14:paraId="6EFF819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           Bribing or offering to bribe another person (Section 1) </w:t>
      </w:r>
    </w:p>
    <w:p w14:paraId="5B1AFE6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Requesting, agreeing to receive or accepting a bribe (Section 2</w:t>
      </w:r>
      <w:proofErr w:type="gramStart"/>
      <w:r w:rsidRPr="0032084D">
        <w:rPr>
          <w:rFonts w:eastAsia="Calibri"/>
          <w:color w:val="auto"/>
        </w:rPr>
        <w:t>);</w:t>
      </w:r>
      <w:proofErr w:type="gramEnd"/>
    </w:p>
    <w:p w14:paraId="359DB39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Bribing, or offering to bribe, a foreign public official (Section 6</w:t>
      </w:r>
      <w:proofErr w:type="gramStart"/>
      <w:r w:rsidRPr="0032084D">
        <w:rPr>
          <w:rFonts w:eastAsia="Calibri"/>
          <w:color w:val="auto"/>
        </w:rPr>
        <w:t>);</w:t>
      </w:r>
      <w:proofErr w:type="gramEnd"/>
    </w:p>
    <w:p w14:paraId="7DFEA3D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Failing to prevent bribery (Section 7).</w:t>
      </w:r>
    </w:p>
    <w:p w14:paraId="2CDFFA45" w14:textId="77777777" w:rsidR="00710480" w:rsidRPr="0032084D" w:rsidRDefault="00710480" w:rsidP="00710480">
      <w:pPr>
        <w:autoSpaceDE w:val="0"/>
        <w:autoSpaceDN w:val="0"/>
        <w:spacing w:line="240" w:lineRule="auto"/>
        <w:ind w:left="720"/>
        <w:jc w:val="both"/>
        <w:rPr>
          <w:rFonts w:eastAsia="Calibri"/>
          <w:color w:val="auto"/>
        </w:rPr>
      </w:pPr>
    </w:p>
    <w:p w14:paraId="2791057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018B0B8F" w14:textId="77777777" w:rsidR="00710480" w:rsidRPr="0032084D" w:rsidRDefault="00710480" w:rsidP="00710480">
      <w:pPr>
        <w:autoSpaceDE w:val="0"/>
        <w:autoSpaceDN w:val="0"/>
        <w:spacing w:line="240" w:lineRule="auto"/>
        <w:ind w:left="720"/>
        <w:jc w:val="both"/>
        <w:rPr>
          <w:rFonts w:eastAsia="Calibri"/>
          <w:color w:val="auto"/>
        </w:rPr>
      </w:pPr>
    </w:p>
    <w:p w14:paraId="4E472D50"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It should be noted that there need not be any actual giving and receiving for financial or other advantage to be gained, to commit an offence.</w:t>
      </w:r>
    </w:p>
    <w:p w14:paraId="1BA23107" w14:textId="77777777" w:rsidR="00710480" w:rsidRPr="0032084D" w:rsidRDefault="00710480" w:rsidP="00710480">
      <w:pPr>
        <w:autoSpaceDE w:val="0"/>
        <w:autoSpaceDN w:val="0"/>
        <w:spacing w:line="240" w:lineRule="auto"/>
        <w:ind w:left="720"/>
        <w:jc w:val="both"/>
        <w:rPr>
          <w:rFonts w:eastAsia="Calibri"/>
          <w:color w:val="auto"/>
        </w:rPr>
      </w:pPr>
    </w:p>
    <w:p w14:paraId="383FAC1D"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auto"/>
        </w:rPr>
        <w:t xml:space="preserve">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w:t>
      </w:r>
      <w:r w:rsidRPr="0032084D">
        <w:rPr>
          <w:rFonts w:eastAsia="Calibri"/>
          <w:color w:val="000000" w:themeColor="text1"/>
        </w:rPr>
        <w:t>associated with it commits an act of bribery.</w:t>
      </w:r>
    </w:p>
    <w:p w14:paraId="7DBAB4D1"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EB79F6C" w14:textId="0FE9B082"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000000" w:themeColor="text1"/>
        </w:rPr>
        <w:t>Individuals should also be aware that a breach of this Act renders them liable to disciplinary action by the</w:t>
      </w:r>
      <w:r w:rsidR="009F2C13" w:rsidRPr="0032084D">
        <w:rPr>
          <w:rFonts w:eastAsia="Calibri"/>
          <w:color w:val="000000" w:themeColor="text1"/>
        </w:rPr>
        <w:t xml:space="preserve"> ICB</w:t>
      </w:r>
      <w:r w:rsidRPr="0032084D">
        <w:rPr>
          <w:rFonts w:eastAsia="Calibri"/>
          <w:color w:val="000000" w:themeColor="text1"/>
        </w:rPr>
        <w:t xml:space="preserve">, </w:t>
      </w:r>
      <w:proofErr w:type="gramStart"/>
      <w:r w:rsidRPr="0032084D">
        <w:rPr>
          <w:rFonts w:eastAsia="Calibri"/>
          <w:color w:val="000000" w:themeColor="text1"/>
        </w:rPr>
        <w:t>whether or not</w:t>
      </w:r>
      <w:proofErr w:type="gramEnd"/>
      <w:r w:rsidRPr="0032084D">
        <w:rPr>
          <w:rFonts w:eastAsia="Calibri"/>
          <w:color w:val="000000" w:themeColor="text1"/>
        </w:rPr>
        <w:t xml:space="preserve"> the breach leads to prosecution.  Where a material breach is found to have occurred, the likely sanction will be loss of employment and pension rights.</w:t>
      </w:r>
    </w:p>
    <w:p w14:paraId="656BE8D8"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7D094FC" w14:textId="0FDF3BF3" w:rsidR="00710480" w:rsidRPr="0032084D" w:rsidRDefault="00710480" w:rsidP="00710480">
      <w:pPr>
        <w:autoSpaceDE w:val="0"/>
        <w:autoSpaceDN w:val="0"/>
        <w:spacing w:line="240" w:lineRule="auto"/>
        <w:ind w:left="720"/>
        <w:jc w:val="both"/>
        <w:rPr>
          <w:rFonts w:eastAsia="Calibri"/>
          <w:color w:val="1F497D"/>
        </w:rPr>
      </w:pPr>
      <w:r w:rsidRPr="0032084D">
        <w:rPr>
          <w:rFonts w:eastAsia="Calibri"/>
          <w:color w:val="000000" w:themeColor="text1"/>
        </w:rPr>
        <w:t xml:space="preserve">To raise any suspicions of bribery and/or </w:t>
      </w:r>
      <w:r w:rsidRPr="0032084D">
        <w:rPr>
          <w:rFonts w:eastAsia="Calibri"/>
          <w:color w:val="auto"/>
        </w:rPr>
        <w:t xml:space="preserve">corruption please contact the </w:t>
      </w:r>
      <w:r w:rsidR="00DC226C">
        <w:rPr>
          <w:rFonts w:eastAsia="Calibri"/>
          <w:color w:val="auto"/>
        </w:rPr>
        <w:t>Executive Director of Finance and Investment</w:t>
      </w:r>
      <w:r w:rsidRPr="0032084D">
        <w:rPr>
          <w:rFonts w:eastAsia="Calibri"/>
          <w:color w:val="000000" w:themeColor="text1"/>
        </w:rPr>
        <w:t xml:space="preserve">.  Staff may also contact the Local Counter Fraud Specialist (LCFS) at – Audit Yorkshire, </w:t>
      </w:r>
      <w:r w:rsidRPr="0032084D">
        <w:rPr>
          <w:rFonts w:eastAsia="Calibri"/>
          <w:color w:val="auto"/>
        </w:rPr>
        <w:t xml:space="preserve">email:  </w:t>
      </w:r>
      <w:hyperlink r:id="rId12" w:history="1">
        <w:r w:rsidRPr="0032084D">
          <w:rPr>
            <w:rFonts w:eastAsia="Calibri"/>
            <w:color w:val="0000FF"/>
            <w:u w:val="single"/>
          </w:rPr>
          <w:t>nikki.cooper1@nhs.net</w:t>
        </w:r>
      </w:hyperlink>
      <w:r w:rsidRPr="0032084D">
        <w:rPr>
          <w:rFonts w:eastAsia="Calibri"/>
          <w:color w:val="auto"/>
        </w:rPr>
        <w:t xml:space="preserve">  </w:t>
      </w:r>
      <w:r w:rsidRPr="0032084D">
        <w:rPr>
          <w:rFonts w:eastAsia="Calibri"/>
          <w:color w:val="1F497D"/>
        </w:rPr>
        <w:t xml:space="preserve">or </w:t>
      </w:r>
      <w:r w:rsidRPr="0032084D">
        <w:rPr>
          <w:rFonts w:eastAsia="Calibri"/>
          <w:color w:val="000000" w:themeColor="text1"/>
          <w:lang w:eastAsia="en-US"/>
        </w:rPr>
        <w:t>mobile 07872 988939</w:t>
      </w:r>
      <w:r w:rsidRPr="0032084D">
        <w:rPr>
          <w:rFonts w:eastAsia="Calibri"/>
          <w:color w:val="000000" w:themeColor="text1"/>
        </w:rPr>
        <w:t>. </w:t>
      </w:r>
    </w:p>
    <w:p w14:paraId="17F084AE" w14:textId="77777777" w:rsidR="00710480" w:rsidRPr="0032084D" w:rsidRDefault="00710480" w:rsidP="00710480">
      <w:pPr>
        <w:autoSpaceDE w:val="0"/>
        <w:autoSpaceDN w:val="0"/>
        <w:spacing w:line="240" w:lineRule="auto"/>
        <w:ind w:left="720"/>
        <w:jc w:val="both"/>
        <w:rPr>
          <w:rFonts w:eastAsia="Calibri"/>
          <w:color w:val="1F497D"/>
        </w:rPr>
      </w:pPr>
    </w:p>
    <w:p w14:paraId="011EC7E1" w14:textId="51296824"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000000" w:themeColor="text1"/>
        </w:rPr>
        <w:t xml:space="preserve">The LCFS or </w:t>
      </w:r>
      <w:r w:rsidR="00DC226C">
        <w:rPr>
          <w:rFonts w:eastAsia="Calibri"/>
          <w:color w:val="000000" w:themeColor="text1"/>
        </w:rPr>
        <w:t>Executive Director of Finance and Investment</w:t>
      </w:r>
      <w:r w:rsidRPr="0032084D">
        <w:rPr>
          <w:rFonts w:eastAsia="Calibri"/>
          <w:color w:val="000000" w:themeColor="text1"/>
        </w:rPr>
        <w:t xml:space="preserve"> should be the contact for any su</w:t>
      </w:r>
      <w:r w:rsidRPr="0032084D">
        <w:rPr>
          <w:rFonts w:eastAsia="Calibri"/>
          <w:color w:val="auto"/>
        </w:rPr>
        <w:t xml:space="preserve">spicions of fraud. The LCFS will inform the </w:t>
      </w:r>
      <w:r w:rsidR="00DC226C">
        <w:rPr>
          <w:rFonts w:eastAsia="Calibri"/>
          <w:color w:val="auto"/>
        </w:rPr>
        <w:t>Executive Director of Finance and Investment</w:t>
      </w:r>
      <w:r w:rsidRPr="0032084D">
        <w:rPr>
          <w:rFonts w:eastAsia="Calibri"/>
          <w:color w:val="auto"/>
        </w:rPr>
        <w:t xml:space="preserve"> if the suspicion seems well founded and will conduct a thorough investigation.  Concerns may also be discussed with the </w:t>
      </w:r>
      <w:r w:rsidR="00DC226C">
        <w:rPr>
          <w:rFonts w:eastAsia="Calibri"/>
          <w:color w:val="auto"/>
        </w:rPr>
        <w:t>Executive Director of Finance and Investment</w:t>
      </w:r>
      <w:r w:rsidRPr="0032084D">
        <w:rPr>
          <w:rFonts w:eastAsia="Calibri"/>
          <w:color w:val="auto"/>
        </w:rPr>
        <w:t xml:space="preserve"> or the </w:t>
      </w:r>
      <w:r w:rsidR="00DC226C">
        <w:rPr>
          <w:rFonts w:eastAsia="Calibri"/>
          <w:color w:val="auto"/>
        </w:rPr>
        <w:t>Audit</w:t>
      </w:r>
      <w:r w:rsidRPr="0032084D">
        <w:rPr>
          <w:rFonts w:eastAsia="Calibri"/>
          <w:color w:val="auto"/>
        </w:rPr>
        <w:t xml:space="preserve"> Committee Chair.</w:t>
      </w:r>
    </w:p>
    <w:p w14:paraId="14E6ACDA" w14:textId="77777777" w:rsidR="00710480" w:rsidRPr="0032084D" w:rsidRDefault="00710480" w:rsidP="00710480">
      <w:pPr>
        <w:autoSpaceDE w:val="0"/>
        <w:autoSpaceDN w:val="0"/>
        <w:spacing w:line="240" w:lineRule="auto"/>
        <w:ind w:left="720"/>
        <w:jc w:val="both"/>
        <w:rPr>
          <w:rFonts w:eastAsia="Calibri"/>
          <w:color w:val="auto"/>
        </w:rPr>
      </w:pPr>
    </w:p>
    <w:p w14:paraId="7081DDD1" w14:textId="3C8D1681"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If staff prefer, they may call the NHS </w:t>
      </w:r>
      <w:r w:rsidR="00B9792A">
        <w:rPr>
          <w:rFonts w:eastAsia="Calibri"/>
          <w:color w:val="auto"/>
        </w:rPr>
        <w:t>Counter Fraud r</w:t>
      </w:r>
      <w:r w:rsidRPr="0032084D">
        <w:rPr>
          <w:rFonts w:eastAsia="Calibri"/>
          <w:color w:val="auto"/>
        </w:rPr>
        <w:t xml:space="preserve">eporting </w:t>
      </w:r>
      <w:r w:rsidR="00B9792A">
        <w:rPr>
          <w:rFonts w:eastAsia="Calibri"/>
          <w:color w:val="auto"/>
        </w:rPr>
        <w:t>l</w:t>
      </w:r>
      <w:r w:rsidRPr="0032084D">
        <w:rPr>
          <w:rFonts w:eastAsia="Calibri"/>
          <w:color w:val="auto"/>
        </w:rPr>
        <w:t xml:space="preserve">ine on 0800 028 40 60 between 8am-6pm Monday-Friday or report online at </w:t>
      </w:r>
      <w:hyperlink r:id="rId13" w:history="1">
        <w:r w:rsidRPr="0032084D">
          <w:rPr>
            <w:rFonts w:eastAsia="Calibri"/>
            <w:color w:val="0000FF"/>
            <w:u w:val="single"/>
          </w:rPr>
          <w:t>www.reportnhsfraud.nhs.uk</w:t>
        </w:r>
      </w:hyperlink>
      <w:r w:rsidRPr="0032084D">
        <w:rPr>
          <w:rFonts w:eastAsia="Calibri"/>
          <w:color w:val="auto"/>
        </w:rPr>
        <w:t xml:space="preserve">.  This would be the suggested contact if there is a concern that the LCFS or the </w:t>
      </w:r>
      <w:r w:rsidR="00DC226C">
        <w:rPr>
          <w:rFonts w:eastAsia="Calibri"/>
          <w:color w:val="auto"/>
        </w:rPr>
        <w:t>Executive Director of Finance and Investment</w:t>
      </w:r>
      <w:r w:rsidRPr="0032084D">
        <w:rPr>
          <w:rFonts w:eastAsia="Calibri"/>
          <w:color w:val="auto"/>
        </w:rPr>
        <w:t xml:space="preserve"> themselves may be implicated in suspected fraud, </w:t>
      </w:r>
      <w:proofErr w:type="gramStart"/>
      <w:r w:rsidRPr="0032084D">
        <w:rPr>
          <w:rFonts w:eastAsia="Calibri"/>
          <w:color w:val="auto"/>
        </w:rPr>
        <w:t>bribery</w:t>
      </w:r>
      <w:proofErr w:type="gramEnd"/>
      <w:r w:rsidRPr="0032084D">
        <w:rPr>
          <w:rFonts w:eastAsia="Calibri"/>
          <w:color w:val="auto"/>
        </w:rPr>
        <w:t xml:space="preserve"> or corruption. </w:t>
      </w:r>
    </w:p>
    <w:p w14:paraId="6121A8EF" w14:textId="77777777" w:rsidR="00710480" w:rsidRPr="008F16A6" w:rsidRDefault="00710480" w:rsidP="008F16A6">
      <w:pPr>
        <w:spacing w:line="240" w:lineRule="auto"/>
        <w:rPr>
          <w:b/>
        </w:rPr>
      </w:pPr>
    </w:p>
    <w:p w14:paraId="3833776B" w14:textId="1EB459C4" w:rsidR="00CB0EAA" w:rsidRDefault="00CB0EAA">
      <w:pPr>
        <w:spacing w:line="240" w:lineRule="auto"/>
      </w:pPr>
      <w:r>
        <w:br w:type="page"/>
      </w:r>
    </w:p>
    <w:p w14:paraId="07E48308" w14:textId="0525942C" w:rsidR="00F654F0" w:rsidRDefault="00CB0EAA" w:rsidP="00332207">
      <w:pPr>
        <w:pStyle w:val="Heading2"/>
        <w:numPr>
          <w:ilvl w:val="0"/>
          <w:numId w:val="0"/>
        </w:numPr>
        <w:ind w:left="567"/>
      </w:pPr>
      <w:bookmarkStart w:id="51" w:name="_Appendix_2:_Primary"/>
      <w:bookmarkStart w:id="52" w:name="_Toc132378251"/>
      <w:bookmarkEnd w:id="51"/>
      <w:r w:rsidRPr="00CB0EAA">
        <w:lastRenderedPageBreak/>
        <w:t xml:space="preserve">Appendix </w:t>
      </w:r>
      <w:r w:rsidR="00FD339C">
        <w:t>2</w:t>
      </w:r>
      <w:r w:rsidRPr="00CB0EAA">
        <w:t>: Primary Care Rebate Scheme - Approval Process</w:t>
      </w:r>
      <w:bookmarkEnd w:id="52"/>
    </w:p>
    <w:p w14:paraId="7A76C4E0" w14:textId="77777777" w:rsidR="00CB0EAA" w:rsidRDefault="00CB0EAA" w:rsidP="00CB0EAA">
      <w:pPr>
        <w:spacing w:line="240" w:lineRule="auto"/>
        <w:rPr>
          <w:b/>
        </w:rPr>
      </w:pPr>
    </w:p>
    <w:tbl>
      <w:tblPr>
        <w:tblStyle w:val="TableGrid"/>
        <w:tblW w:w="1045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6"/>
        <w:gridCol w:w="283"/>
        <w:gridCol w:w="7088"/>
      </w:tblGrid>
      <w:tr w:rsidR="00CB0EAA" w:rsidRPr="00CB0EAA" w14:paraId="0AFB54A8" w14:textId="77777777" w:rsidTr="00CB0EAA">
        <w:tc>
          <w:tcPr>
            <w:tcW w:w="3086" w:type="dxa"/>
            <w:tcBorders>
              <w:top w:val="single" w:sz="18" w:space="0" w:color="00B050"/>
              <w:left w:val="single" w:sz="18" w:space="0" w:color="00B050"/>
              <w:bottom w:val="single" w:sz="18" w:space="0" w:color="00B050"/>
              <w:right w:val="single" w:sz="18" w:space="0" w:color="00B050"/>
            </w:tcBorders>
          </w:tcPr>
          <w:p w14:paraId="32F59083" w14:textId="77777777" w:rsidR="00CB0EAA" w:rsidRPr="00CB0EAA" w:rsidRDefault="00CB0EAA" w:rsidP="00CB0EAA">
            <w:pPr>
              <w:spacing w:after="80" w:line="240" w:lineRule="auto"/>
              <w:jc w:val="center"/>
              <w:rPr>
                <w:b/>
                <w:bCs/>
                <w:color w:val="auto"/>
                <w:sz w:val="28"/>
                <w:szCs w:val="28"/>
              </w:rPr>
            </w:pPr>
            <w:r w:rsidRPr="00CB0EAA">
              <w:rPr>
                <w:b/>
                <w:bCs/>
                <w:color w:val="auto"/>
                <w:sz w:val="28"/>
                <w:szCs w:val="28"/>
              </w:rPr>
              <w:t>Rebate Offer</w:t>
            </w:r>
          </w:p>
        </w:tc>
        <w:tc>
          <w:tcPr>
            <w:tcW w:w="283" w:type="dxa"/>
            <w:tcBorders>
              <w:left w:val="single" w:sz="18" w:space="0" w:color="00B050"/>
              <w:right w:val="single" w:sz="18" w:space="0" w:color="00B050"/>
            </w:tcBorders>
          </w:tcPr>
          <w:p w14:paraId="11B5D360" w14:textId="77777777" w:rsidR="00CB0EAA" w:rsidRPr="00CB0EAA" w:rsidRDefault="00CB0EAA" w:rsidP="00CB0EAA">
            <w:pPr>
              <w:spacing w:after="80" w:line="240" w:lineRule="auto"/>
              <w:rPr>
                <w:color w:val="auto"/>
                <w:sz w:val="8"/>
                <w:szCs w:val="8"/>
              </w:rPr>
            </w:pPr>
          </w:p>
        </w:tc>
        <w:tc>
          <w:tcPr>
            <w:tcW w:w="7088" w:type="dxa"/>
            <w:tcBorders>
              <w:top w:val="single" w:sz="18" w:space="0" w:color="00B050"/>
              <w:left w:val="single" w:sz="18" w:space="0" w:color="00B050"/>
              <w:bottom w:val="single" w:sz="18" w:space="0" w:color="00B050"/>
              <w:right w:val="single" w:sz="18" w:space="0" w:color="00B050"/>
            </w:tcBorders>
          </w:tcPr>
          <w:p w14:paraId="077ABEEE" w14:textId="77777777" w:rsidR="00CB0EAA" w:rsidRPr="00CB0EAA" w:rsidRDefault="00CB0EAA" w:rsidP="00CB0EAA">
            <w:pPr>
              <w:spacing w:after="80" w:line="240" w:lineRule="auto"/>
              <w:rPr>
                <w:color w:val="auto"/>
              </w:rPr>
            </w:pPr>
            <w:r w:rsidRPr="00CB0EAA">
              <w:rPr>
                <w:color w:val="auto"/>
              </w:rPr>
              <w:t xml:space="preserve">It is essential that any product subject to a rebate offer has been previously reviewed by both Area Prescribing Committees (or equivalent), commissioned, and included in both joint formularies within H+NY ICS </w:t>
            </w:r>
          </w:p>
        </w:tc>
      </w:tr>
      <w:tr w:rsidR="00CB0EAA" w:rsidRPr="00CB0EAA" w14:paraId="6A9AD65C" w14:textId="77777777" w:rsidTr="00CB0EAA">
        <w:tc>
          <w:tcPr>
            <w:tcW w:w="3086" w:type="dxa"/>
            <w:tcBorders>
              <w:top w:val="single" w:sz="18" w:space="0" w:color="00B050"/>
              <w:bottom w:val="single" w:sz="18" w:space="0" w:color="00B050"/>
            </w:tcBorders>
          </w:tcPr>
          <w:p w14:paraId="66EB5A3D" w14:textId="77777777" w:rsidR="00CB0EAA" w:rsidRPr="00CB0EAA" w:rsidRDefault="00CB0EAA" w:rsidP="00CB0EAA">
            <w:pPr>
              <w:spacing w:after="80" w:line="240" w:lineRule="auto"/>
              <w:rPr>
                <w:color w:val="auto"/>
                <w:sz w:val="2"/>
                <w:szCs w:val="2"/>
              </w:rPr>
            </w:pPr>
          </w:p>
        </w:tc>
        <w:tc>
          <w:tcPr>
            <w:tcW w:w="283" w:type="dxa"/>
          </w:tcPr>
          <w:p w14:paraId="6DF1D29D" w14:textId="77777777" w:rsidR="00CB0EAA" w:rsidRPr="00CB0EAA" w:rsidRDefault="00CB0EAA" w:rsidP="00CB0EAA">
            <w:pPr>
              <w:spacing w:after="80" w:line="240" w:lineRule="auto"/>
              <w:rPr>
                <w:color w:val="auto"/>
                <w:sz w:val="2"/>
                <w:szCs w:val="2"/>
              </w:rPr>
            </w:pPr>
          </w:p>
        </w:tc>
        <w:tc>
          <w:tcPr>
            <w:tcW w:w="7088" w:type="dxa"/>
            <w:tcBorders>
              <w:top w:val="single" w:sz="18" w:space="0" w:color="00B050"/>
              <w:bottom w:val="single" w:sz="18" w:space="0" w:color="00B050"/>
            </w:tcBorders>
          </w:tcPr>
          <w:p w14:paraId="7129C5EC" w14:textId="77777777" w:rsidR="00CB0EAA" w:rsidRPr="00CB0EAA" w:rsidRDefault="00CB0EAA" w:rsidP="00CB0EAA">
            <w:pPr>
              <w:spacing w:after="80" w:line="240" w:lineRule="auto"/>
              <w:rPr>
                <w:color w:val="auto"/>
                <w:sz w:val="2"/>
                <w:szCs w:val="2"/>
              </w:rPr>
            </w:pPr>
          </w:p>
        </w:tc>
      </w:tr>
      <w:tr w:rsidR="00CB0EAA" w:rsidRPr="00CB0EAA" w14:paraId="5A2C4FCE" w14:textId="77777777" w:rsidTr="00CB0EAA">
        <w:tc>
          <w:tcPr>
            <w:tcW w:w="3086" w:type="dxa"/>
            <w:tcBorders>
              <w:top w:val="single" w:sz="18" w:space="0" w:color="00B050"/>
              <w:left w:val="single" w:sz="18" w:space="0" w:color="00B050"/>
              <w:bottom w:val="single" w:sz="18" w:space="0" w:color="00B050"/>
              <w:right w:val="single" w:sz="18" w:space="0" w:color="00B050"/>
            </w:tcBorders>
          </w:tcPr>
          <w:p w14:paraId="511E695A" w14:textId="77777777" w:rsidR="00CB0EAA" w:rsidRPr="00CB0EAA" w:rsidRDefault="00CB0EAA" w:rsidP="00CB0EAA">
            <w:pPr>
              <w:spacing w:after="80" w:line="240" w:lineRule="auto"/>
              <w:jc w:val="center"/>
              <w:rPr>
                <w:b/>
                <w:bCs/>
                <w:color w:val="auto"/>
                <w:sz w:val="28"/>
                <w:szCs w:val="28"/>
              </w:rPr>
            </w:pPr>
            <w:proofErr w:type="spellStart"/>
            <w:r w:rsidRPr="00CB0EAA">
              <w:rPr>
                <w:b/>
                <w:bCs/>
                <w:color w:val="auto"/>
                <w:sz w:val="28"/>
                <w:szCs w:val="28"/>
              </w:rPr>
              <w:t>PrescQIPP</w:t>
            </w:r>
            <w:proofErr w:type="spellEnd"/>
          </w:p>
        </w:tc>
        <w:tc>
          <w:tcPr>
            <w:tcW w:w="283" w:type="dxa"/>
            <w:tcBorders>
              <w:left w:val="single" w:sz="18" w:space="0" w:color="00B050"/>
              <w:right w:val="single" w:sz="18" w:space="0" w:color="00B050"/>
            </w:tcBorders>
          </w:tcPr>
          <w:p w14:paraId="16BC8B0C" w14:textId="77777777" w:rsidR="00CB0EAA" w:rsidRPr="00CB0EAA" w:rsidRDefault="00CB0EAA" w:rsidP="00CB0EAA">
            <w:pPr>
              <w:spacing w:after="80" w:line="240" w:lineRule="auto"/>
              <w:rPr>
                <w:color w:val="auto"/>
                <w:sz w:val="8"/>
                <w:szCs w:val="8"/>
              </w:rPr>
            </w:pPr>
          </w:p>
        </w:tc>
        <w:tc>
          <w:tcPr>
            <w:tcW w:w="7088" w:type="dxa"/>
            <w:tcBorders>
              <w:top w:val="single" w:sz="18" w:space="0" w:color="00B050"/>
              <w:left w:val="single" w:sz="18" w:space="0" w:color="00B050"/>
              <w:bottom w:val="single" w:sz="18" w:space="0" w:color="00B050"/>
              <w:right w:val="single" w:sz="18" w:space="0" w:color="00B050"/>
            </w:tcBorders>
          </w:tcPr>
          <w:p w14:paraId="5A2F0DAB" w14:textId="720A5FD1" w:rsidR="00CB0EAA" w:rsidRPr="00CB0EAA" w:rsidRDefault="00CB0EAA" w:rsidP="00CB0EAA">
            <w:pPr>
              <w:spacing w:after="80" w:line="240" w:lineRule="auto"/>
              <w:rPr>
                <w:color w:val="auto"/>
              </w:rPr>
            </w:pPr>
            <w:proofErr w:type="spellStart"/>
            <w:r w:rsidRPr="00CB0EAA">
              <w:rPr>
                <w:color w:val="auto"/>
              </w:rPr>
              <w:t>PrescQIPP</w:t>
            </w:r>
            <w:proofErr w:type="spellEnd"/>
            <w:r w:rsidRPr="00CB0EAA">
              <w:rPr>
                <w:color w:val="auto"/>
              </w:rPr>
              <w:t xml:space="preserve"> is an organisation hosted and funded by NHS England to support quality and optimise the use of medicines within the NHS. Their Pharmaceutical Industry Scheme Governance Review Board assesses rebate schemes for clinical, </w:t>
            </w:r>
            <w:proofErr w:type="gramStart"/>
            <w:r w:rsidRPr="00CB0EAA">
              <w:rPr>
                <w:color w:val="auto"/>
              </w:rPr>
              <w:t>financial</w:t>
            </w:r>
            <w:proofErr w:type="gramEnd"/>
            <w:r w:rsidRPr="00CB0EAA">
              <w:rPr>
                <w:color w:val="auto"/>
              </w:rPr>
              <w:t xml:space="preserve"> and contractual issues to support the ICB in addressing the risk of perverse incentives from such schemes. Otherwise, this can be </w:t>
            </w:r>
            <w:r w:rsidR="00DE4BF1">
              <w:rPr>
                <w:color w:val="auto"/>
              </w:rPr>
              <w:t xml:space="preserve">undertaken </w:t>
            </w:r>
            <w:r w:rsidRPr="00CB0EAA">
              <w:rPr>
                <w:color w:val="auto"/>
              </w:rPr>
              <w:t>by the ICB's MMT/MOT.</w:t>
            </w:r>
          </w:p>
        </w:tc>
      </w:tr>
      <w:tr w:rsidR="00CB0EAA" w:rsidRPr="00CB0EAA" w14:paraId="68948869" w14:textId="77777777" w:rsidTr="00CB0EAA">
        <w:tc>
          <w:tcPr>
            <w:tcW w:w="3086" w:type="dxa"/>
            <w:tcBorders>
              <w:top w:val="single" w:sz="18" w:space="0" w:color="00B050"/>
              <w:bottom w:val="single" w:sz="18" w:space="0" w:color="00B050"/>
            </w:tcBorders>
          </w:tcPr>
          <w:p w14:paraId="70FE873F" w14:textId="77777777" w:rsidR="00CB0EAA" w:rsidRPr="00CB0EAA" w:rsidRDefault="00CB0EAA" w:rsidP="00CB0EAA">
            <w:pPr>
              <w:spacing w:after="80" w:line="240" w:lineRule="auto"/>
              <w:rPr>
                <w:color w:val="auto"/>
                <w:sz w:val="2"/>
                <w:szCs w:val="2"/>
              </w:rPr>
            </w:pPr>
          </w:p>
        </w:tc>
        <w:tc>
          <w:tcPr>
            <w:tcW w:w="283" w:type="dxa"/>
          </w:tcPr>
          <w:p w14:paraId="6F976DED" w14:textId="77777777" w:rsidR="00CB0EAA" w:rsidRPr="00CB0EAA" w:rsidRDefault="00CB0EAA" w:rsidP="00CB0EAA">
            <w:pPr>
              <w:spacing w:after="80" w:line="240" w:lineRule="auto"/>
              <w:rPr>
                <w:color w:val="auto"/>
                <w:sz w:val="2"/>
                <w:szCs w:val="2"/>
              </w:rPr>
            </w:pPr>
          </w:p>
        </w:tc>
        <w:tc>
          <w:tcPr>
            <w:tcW w:w="7088" w:type="dxa"/>
            <w:tcBorders>
              <w:top w:val="single" w:sz="18" w:space="0" w:color="00B050"/>
              <w:bottom w:val="single" w:sz="18" w:space="0" w:color="00B050"/>
            </w:tcBorders>
          </w:tcPr>
          <w:p w14:paraId="1F61089F" w14:textId="77777777" w:rsidR="00CB0EAA" w:rsidRPr="00CB0EAA" w:rsidRDefault="00CB0EAA" w:rsidP="00CB0EAA">
            <w:pPr>
              <w:spacing w:after="80" w:line="240" w:lineRule="auto"/>
              <w:rPr>
                <w:color w:val="auto"/>
                <w:sz w:val="2"/>
                <w:szCs w:val="2"/>
              </w:rPr>
            </w:pPr>
          </w:p>
        </w:tc>
      </w:tr>
      <w:tr w:rsidR="00CB0EAA" w:rsidRPr="00CB0EAA" w14:paraId="2B7F567C" w14:textId="77777777" w:rsidTr="00CB0EAA">
        <w:tc>
          <w:tcPr>
            <w:tcW w:w="3086" w:type="dxa"/>
            <w:tcBorders>
              <w:top w:val="single" w:sz="18" w:space="0" w:color="00B050"/>
              <w:left w:val="single" w:sz="18" w:space="0" w:color="00B050"/>
              <w:bottom w:val="single" w:sz="18" w:space="0" w:color="00B050"/>
              <w:right w:val="single" w:sz="18" w:space="0" w:color="00B050"/>
            </w:tcBorders>
          </w:tcPr>
          <w:p w14:paraId="25421D61" w14:textId="77777777" w:rsidR="00CB0EAA" w:rsidRPr="00CB0EAA" w:rsidRDefault="00CB0EAA" w:rsidP="00CB0EAA">
            <w:pPr>
              <w:spacing w:after="80" w:line="240" w:lineRule="auto"/>
              <w:jc w:val="center"/>
              <w:rPr>
                <w:b/>
                <w:bCs/>
                <w:color w:val="auto"/>
                <w:sz w:val="28"/>
                <w:szCs w:val="28"/>
              </w:rPr>
            </w:pPr>
            <w:r w:rsidRPr="00CB0EAA">
              <w:rPr>
                <w:b/>
                <w:bCs/>
                <w:color w:val="auto"/>
                <w:sz w:val="28"/>
                <w:szCs w:val="28"/>
              </w:rPr>
              <w:t>Rebates sub-group</w:t>
            </w:r>
          </w:p>
        </w:tc>
        <w:tc>
          <w:tcPr>
            <w:tcW w:w="283" w:type="dxa"/>
            <w:tcBorders>
              <w:left w:val="single" w:sz="18" w:space="0" w:color="00B050"/>
              <w:right w:val="single" w:sz="18" w:space="0" w:color="00B050"/>
            </w:tcBorders>
          </w:tcPr>
          <w:p w14:paraId="746DE807" w14:textId="77777777" w:rsidR="00CB0EAA" w:rsidRPr="00CB0EAA" w:rsidRDefault="00CB0EAA" w:rsidP="00CB0EAA">
            <w:pPr>
              <w:spacing w:after="80" w:line="240" w:lineRule="auto"/>
              <w:rPr>
                <w:color w:val="auto"/>
                <w:sz w:val="4"/>
                <w:szCs w:val="4"/>
              </w:rPr>
            </w:pPr>
          </w:p>
        </w:tc>
        <w:tc>
          <w:tcPr>
            <w:tcW w:w="7088" w:type="dxa"/>
            <w:tcBorders>
              <w:top w:val="single" w:sz="18" w:space="0" w:color="00B050"/>
              <w:left w:val="single" w:sz="18" w:space="0" w:color="00B050"/>
              <w:bottom w:val="single" w:sz="18" w:space="0" w:color="00B050"/>
              <w:right w:val="single" w:sz="18" w:space="0" w:color="00B050"/>
            </w:tcBorders>
          </w:tcPr>
          <w:p w14:paraId="376B53EC" w14:textId="77777777" w:rsidR="00CB0EAA" w:rsidRPr="00CB0EAA" w:rsidRDefault="00CB0EAA" w:rsidP="00CB0EAA">
            <w:pPr>
              <w:spacing w:after="80" w:line="240" w:lineRule="auto"/>
              <w:rPr>
                <w:color w:val="auto"/>
              </w:rPr>
            </w:pPr>
            <w:r w:rsidRPr="00CB0EAA">
              <w:rPr>
                <w:color w:val="auto"/>
              </w:rPr>
              <w:t xml:space="preserve">The role of this ICB joint Senior Pharmacy and Finance representative group is to consider each rebate and recommend approval or otherwise based on criteria defined in the policy, including status in formularies and guidance, administrative burden, financial implications, MMT/MOT </w:t>
            </w:r>
            <w:proofErr w:type="gramStart"/>
            <w:r w:rsidRPr="00CB0EAA">
              <w:rPr>
                <w:color w:val="auto"/>
              </w:rPr>
              <w:t>priorities</w:t>
            </w:r>
            <w:proofErr w:type="gramEnd"/>
            <w:r w:rsidRPr="00CB0EAA">
              <w:rPr>
                <w:color w:val="auto"/>
              </w:rPr>
              <w:t xml:space="preserve"> and policy adherence.</w:t>
            </w:r>
          </w:p>
        </w:tc>
      </w:tr>
      <w:tr w:rsidR="00CB0EAA" w:rsidRPr="00CB0EAA" w14:paraId="7A62CDDB" w14:textId="77777777" w:rsidTr="00CB0EAA">
        <w:tc>
          <w:tcPr>
            <w:tcW w:w="3086" w:type="dxa"/>
            <w:tcBorders>
              <w:top w:val="single" w:sz="18" w:space="0" w:color="00B050"/>
              <w:bottom w:val="single" w:sz="18" w:space="0" w:color="00B050"/>
            </w:tcBorders>
          </w:tcPr>
          <w:p w14:paraId="4F258D0A" w14:textId="77777777" w:rsidR="00CB0EAA" w:rsidRPr="00CB0EAA" w:rsidRDefault="00CB0EAA" w:rsidP="00CB0EAA">
            <w:pPr>
              <w:spacing w:after="80" w:line="240" w:lineRule="auto"/>
              <w:rPr>
                <w:color w:val="auto"/>
                <w:sz w:val="2"/>
                <w:szCs w:val="2"/>
              </w:rPr>
            </w:pPr>
          </w:p>
        </w:tc>
        <w:tc>
          <w:tcPr>
            <w:tcW w:w="283" w:type="dxa"/>
          </w:tcPr>
          <w:p w14:paraId="6EA0A919" w14:textId="77777777" w:rsidR="00CB0EAA" w:rsidRPr="00CB0EAA" w:rsidRDefault="00CB0EAA" w:rsidP="00CB0EAA">
            <w:pPr>
              <w:spacing w:after="80" w:line="240" w:lineRule="auto"/>
              <w:rPr>
                <w:color w:val="auto"/>
                <w:sz w:val="2"/>
                <w:szCs w:val="2"/>
              </w:rPr>
            </w:pPr>
          </w:p>
        </w:tc>
        <w:tc>
          <w:tcPr>
            <w:tcW w:w="7088" w:type="dxa"/>
            <w:tcBorders>
              <w:top w:val="single" w:sz="18" w:space="0" w:color="00B050"/>
              <w:bottom w:val="single" w:sz="18" w:space="0" w:color="00B050"/>
            </w:tcBorders>
          </w:tcPr>
          <w:p w14:paraId="24841693" w14:textId="77777777" w:rsidR="00CB0EAA" w:rsidRPr="00CB0EAA" w:rsidRDefault="00CB0EAA" w:rsidP="00CB0EAA">
            <w:pPr>
              <w:spacing w:after="80" w:line="240" w:lineRule="auto"/>
              <w:rPr>
                <w:color w:val="auto"/>
                <w:sz w:val="2"/>
                <w:szCs w:val="2"/>
              </w:rPr>
            </w:pPr>
          </w:p>
        </w:tc>
      </w:tr>
      <w:tr w:rsidR="00CB0EAA" w:rsidRPr="00CB0EAA" w14:paraId="0468287E" w14:textId="77777777" w:rsidTr="00CB0EAA">
        <w:tc>
          <w:tcPr>
            <w:tcW w:w="3086" w:type="dxa"/>
            <w:tcBorders>
              <w:top w:val="single" w:sz="18" w:space="0" w:color="00B050"/>
              <w:left w:val="single" w:sz="18" w:space="0" w:color="00B050"/>
              <w:bottom w:val="single" w:sz="18" w:space="0" w:color="00B050"/>
              <w:right w:val="single" w:sz="18" w:space="0" w:color="00B050"/>
            </w:tcBorders>
          </w:tcPr>
          <w:p w14:paraId="3B803D33" w14:textId="15CBAAFD" w:rsidR="00CB0EAA" w:rsidRPr="00CB0EAA" w:rsidRDefault="00CB0EAA" w:rsidP="00CB0EAA">
            <w:pPr>
              <w:spacing w:after="80" w:line="240" w:lineRule="auto"/>
              <w:jc w:val="center"/>
              <w:rPr>
                <w:color w:val="auto"/>
                <w:sz w:val="4"/>
                <w:szCs w:val="4"/>
              </w:rPr>
            </w:pPr>
            <w:r w:rsidRPr="00CB0EAA">
              <w:rPr>
                <w:b/>
                <w:bCs/>
                <w:color w:val="auto"/>
                <w:sz w:val="28"/>
                <w:szCs w:val="28"/>
              </w:rPr>
              <w:t xml:space="preserve">Integrated </w:t>
            </w:r>
            <w:r w:rsidR="00DE4BF1">
              <w:rPr>
                <w:b/>
                <w:bCs/>
                <w:color w:val="auto"/>
                <w:sz w:val="28"/>
                <w:szCs w:val="28"/>
              </w:rPr>
              <w:t xml:space="preserve">Pharmacy and </w:t>
            </w:r>
            <w:r w:rsidRPr="00CB0EAA">
              <w:rPr>
                <w:b/>
                <w:bCs/>
                <w:color w:val="auto"/>
                <w:sz w:val="28"/>
                <w:szCs w:val="28"/>
              </w:rPr>
              <w:t>Medicines Optimisation Committee</w:t>
            </w:r>
          </w:p>
        </w:tc>
        <w:tc>
          <w:tcPr>
            <w:tcW w:w="283" w:type="dxa"/>
            <w:tcBorders>
              <w:left w:val="single" w:sz="18" w:space="0" w:color="00B050"/>
              <w:right w:val="single" w:sz="18" w:space="0" w:color="00B050"/>
            </w:tcBorders>
          </w:tcPr>
          <w:p w14:paraId="41B8A412" w14:textId="77777777" w:rsidR="00CB0EAA" w:rsidRPr="00CB0EAA" w:rsidRDefault="00CB0EAA" w:rsidP="00CB0EAA">
            <w:pPr>
              <w:spacing w:after="80" w:line="240" w:lineRule="auto"/>
              <w:rPr>
                <w:color w:val="auto"/>
                <w:sz w:val="4"/>
                <w:szCs w:val="4"/>
              </w:rPr>
            </w:pPr>
          </w:p>
        </w:tc>
        <w:tc>
          <w:tcPr>
            <w:tcW w:w="7088" w:type="dxa"/>
            <w:tcBorders>
              <w:top w:val="single" w:sz="18" w:space="0" w:color="00B050"/>
              <w:left w:val="single" w:sz="18" w:space="0" w:color="00B050"/>
              <w:bottom w:val="single" w:sz="18" w:space="0" w:color="00B050"/>
              <w:right w:val="single" w:sz="18" w:space="0" w:color="00B050"/>
            </w:tcBorders>
          </w:tcPr>
          <w:p w14:paraId="637B1882" w14:textId="6C1B71A5" w:rsidR="00CB0EAA" w:rsidRPr="00CB0EAA" w:rsidRDefault="00CB0EAA" w:rsidP="00CB0EAA">
            <w:pPr>
              <w:spacing w:after="80" w:line="240" w:lineRule="auto"/>
              <w:rPr>
                <w:color w:val="auto"/>
              </w:rPr>
            </w:pPr>
            <w:r w:rsidRPr="00CB0EAA">
              <w:rPr>
                <w:color w:val="auto"/>
              </w:rPr>
              <w:t>This allows senior management, including GP leads and lay members, to state assurance that appropriate decision-making process</w:t>
            </w:r>
            <w:r w:rsidR="00BF237A">
              <w:rPr>
                <w:color w:val="auto"/>
              </w:rPr>
              <w:t>es</w:t>
            </w:r>
            <w:r w:rsidRPr="00CB0EAA">
              <w:rPr>
                <w:color w:val="auto"/>
              </w:rPr>
              <w:t xml:space="preserve"> have been followed.</w:t>
            </w:r>
          </w:p>
        </w:tc>
      </w:tr>
      <w:tr w:rsidR="00CB0EAA" w:rsidRPr="00CB0EAA" w14:paraId="531CB9A1" w14:textId="77777777" w:rsidTr="00CB0EAA">
        <w:tc>
          <w:tcPr>
            <w:tcW w:w="3086" w:type="dxa"/>
            <w:tcBorders>
              <w:top w:val="single" w:sz="18" w:space="0" w:color="00B050"/>
              <w:bottom w:val="single" w:sz="18" w:space="0" w:color="00B050"/>
            </w:tcBorders>
          </w:tcPr>
          <w:p w14:paraId="2AE62784" w14:textId="77777777" w:rsidR="00CB0EAA" w:rsidRPr="00CB0EAA" w:rsidRDefault="00CB0EAA" w:rsidP="00CB0EAA">
            <w:pPr>
              <w:spacing w:after="80" w:line="240" w:lineRule="auto"/>
              <w:rPr>
                <w:color w:val="auto"/>
                <w:sz w:val="2"/>
                <w:szCs w:val="2"/>
              </w:rPr>
            </w:pPr>
          </w:p>
        </w:tc>
        <w:tc>
          <w:tcPr>
            <w:tcW w:w="283" w:type="dxa"/>
          </w:tcPr>
          <w:p w14:paraId="5A86C034" w14:textId="77777777" w:rsidR="00CB0EAA" w:rsidRPr="00CB0EAA" w:rsidRDefault="00CB0EAA" w:rsidP="00CB0EAA">
            <w:pPr>
              <w:spacing w:after="80" w:line="240" w:lineRule="auto"/>
              <w:rPr>
                <w:color w:val="auto"/>
                <w:sz w:val="2"/>
                <w:szCs w:val="2"/>
              </w:rPr>
            </w:pPr>
          </w:p>
        </w:tc>
        <w:tc>
          <w:tcPr>
            <w:tcW w:w="7088" w:type="dxa"/>
            <w:tcBorders>
              <w:top w:val="single" w:sz="18" w:space="0" w:color="00B050"/>
              <w:bottom w:val="single" w:sz="18" w:space="0" w:color="00B050"/>
            </w:tcBorders>
          </w:tcPr>
          <w:p w14:paraId="7E886F24" w14:textId="77777777" w:rsidR="00CB0EAA" w:rsidRPr="00CB0EAA" w:rsidRDefault="00CB0EAA" w:rsidP="00CB0EAA">
            <w:pPr>
              <w:spacing w:after="80" w:line="240" w:lineRule="auto"/>
              <w:rPr>
                <w:color w:val="auto"/>
                <w:sz w:val="2"/>
                <w:szCs w:val="2"/>
              </w:rPr>
            </w:pPr>
          </w:p>
        </w:tc>
      </w:tr>
      <w:tr w:rsidR="00CB0EAA" w:rsidRPr="00CB0EAA" w14:paraId="70872E65" w14:textId="77777777" w:rsidTr="00CB0EAA">
        <w:tc>
          <w:tcPr>
            <w:tcW w:w="3086" w:type="dxa"/>
            <w:tcBorders>
              <w:top w:val="single" w:sz="18" w:space="0" w:color="00B050"/>
              <w:left w:val="single" w:sz="18" w:space="0" w:color="00B050"/>
              <w:bottom w:val="single" w:sz="18" w:space="0" w:color="00B050"/>
              <w:right w:val="single" w:sz="18" w:space="0" w:color="00B050"/>
            </w:tcBorders>
          </w:tcPr>
          <w:p w14:paraId="100A3194" w14:textId="77777777" w:rsidR="00CB0EAA" w:rsidRPr="00CB0EAA" w:rsidRDefault="00CB0EAA" w:rsidP="00CB0EAA">
            <w:pPr>
              <w:spacing w:after="80" w:line="240" w:lineRule="auto"/>
              <w:jc w:val="center"/>
              <w:rPr>
                <w:b/>
                <w:bCs/>
                <w:color w:val="auto"/>
                <w:sz w:val="28"/>
                <w:szCs w:val="28"/>
              </w:rPr>
            </w:pPr>
            <w:r w:rsidRPr="00CB0EAA">
              <w:rPr>
                <w:b/>
                <w:bCs/>
                <w:color w:val="auto"/>
                <w:sz w:val="28"/>
                <w:szCs w:val="28"/>
              </w:rPr>
              <w:t>Head of Medicines Management and Senior Strategic Lead Pharmacist</w:t>
            </w:r>
          </w:p>
        </w:tc>
        <w:tc>
          <w:tcPr>
            <w:tcW w:w="283" w:type="dxa"/>
            <w:tcBorders>
              <w:left w:val="single" w:sz="18" w:space="0" w:color="00B050"/>
              <w:right w:val="single" w:sz="18" w:space="0" w:color="00B050"/>
            </w:tcBorders>
          </w:tcPr>
          <w:p w14:paraId="721CB74E" w14:textId="77777777" w:rsidR="00CB0EAA" w:rsidRPr="00CB0EAA" w:rsidRDefault="00CB0EAA" w:rsidP="00CB0EAA">
            <w:pPr>
              <w:spacing w:after="80" w:line="240" w:lineRule="auto"/>
              <w:rPr>
                <w:color w:val="auto"/>
                <w:sz w:val="4"/>
                <w:szCs w:val="4"/>
              </w:rPr>
            </w:pPr>
          </w:p>
        </w:tc>
        <w:tc>
          <w:tcPr>
            <w:tcW w:w="7088" w:type="dxa"/>
            <w:tcBorders>
              <w:top w:val="single" w:sz="18" w:space="0" w:color="00B050"/>
              <w:left w:val="single" w:sz="18" w:space="0" w:color="00B050"/>
              <w:bottom w:val="single" w:sz="18" w:space="0" w:color="00B050"/>
              <w:right w:val="single" w:sz="18" w:space="0" w:color="00B050"/>
            </w:tcBorders>
          </w:tcPr>
          <w:p w14:paraId="52B1228C" w14:textId="7F3DB667" w:rsidR="00CB0EAA" w:rsidRPr="00CB0EAA" w:rsidRDefault="00CB0EAA" w:rsidP="00CB0EAA">
            <w:pPr>
              <w:spacing w:after="80" w:line="240" w:lineRule="auto"/>
              <w:rPr>
                <w:color w:val="auto"/>
                <w:highlight w:val="green"/>
              </w:rPr>
            </w:pPr>
            <w:r w:rsidRPr="00CB0EAA">
              <w:rPr>
                <w:color w:val="auto"/>
              </w:rPr>
              <w:t>With delegate</w:t>
            </w:r>
            <w:r w:rsidR="00913B79">
              <w:rPr>
                <w:color w:val="auto"/>
              </w:rPr>
              <w:t>d</w:t>
            </w:r>
            <w:r w:rsidRPr="00CB0EAA">
              <w:rPr>
                <w:color w:val="auto"/>
              </w:rPr>
              <w:t xml:space="preserve"> decision</w:t>
            </w:r>
            <w:r w:rsidR="00BF237A">
              <w:rPr>
                <w:color w:val="auto"/>
              </w:rPr>
              <w:t>-</w:t>
            </w:r>
            <w:r w:rsidRPr="00CB0EAA">
              <w:rPr>
                <w:color w:val="auto"/>
              </w:rPr>
              <w:t>making authority by the six place directors in HNY, they will approve the rebate for sign-off by the Executive Director of Finance and Investment</w:t>
            </w:r>
            <w:r w:rsidR="00BF237A">
              <w:rPr>
                <w:color w:val="auto"/>
              </w:rPr>
              <w:t>.</w:t>
            </w:r>
          </w:p>
        </w:tc>
      </w:tr>
      <w:tr w:rsidR="00CB0EAA" w:rsidRPr="00CB0EAA" w14:paraId="1C64EA24" w14:textId="77777777" w:rsidTr="00CB0EAA">
        <w:tc>
          <w:tcPr>
            <w:tcW w:w="3086" w:type="dxa"/>
            <w:tcBorders>
              <w:top w:val="single" w:sz="18" w:space="0" w:color="00B050"/>
              <w:bottom w:val="single" w:sz="18" w:space="0" w:color="00B050"/>
            </w:tcBorders>
          </w:tcPr>
          <w:p w14:paraId="0D0BDB38" w14:textId="77777777" w:rsidR="00CB0EAA" w:rsidRPr="00CB0EAA" w:rsidRDefault="00CB0EAA" w:rsidP="00CB0EAA">
            <w:pPr>
              <w:spacing w:after="80" w:line="240" w:lineRule="auto"/>
              <w:rPr>
                <w:color w:val="auto"/>
                <w:sz w:val="2"/>
                <w:szCs w:val="2"/>
              </w:rPr>
            </w:pPr>
          </w:p>
        </w:tc>
        <w:tc>
          <w:tcPr>
            <w:tcW w:w="283" w:type="dxa"/>
          </w:tcPr>
          <w:p w14:paraId="1AE5B702" w14:textId="77777777" w:rsidR="00CB0EAA" w:rsidRPr="00CB0EAA" w:rsidRDefault="00CB0EAA" w:rsidP="00CB0EAA">
            <w:pPr>
              <w:spacing w:after="80" w:line="240" w:lineRule="auto"/>
              <w:rPr>
                <w:color w:val="auto"/>
                <w:sz w:val="2"/>
                <w:szCs w:val="2"/>
              </w:rPr>
            </w:pPr>
          </w:p>
        </w:tc>
        <w:tc>
          <w:tcPr>
            <w:tcW w:w="7088" w:type="dxa"/>
            <w:tcBorders>
              <w:top w:val="single" w:sz="18" w:space="0" w:color="00B050"/>
              <w:bottom w:val="single" w:sz="18" w:space="0" w:color="00B050"/>
            </w:tcBorders>
          </w:tcPr>
          <w:p w14:paraId="79AA7C06" w14:textId="77777777" w:rsidR="00CB0EAA" w:rsidRPr="00CB0EAA" w:rsidRDefault="00CB0EAA" w:rsidP="00CB0EAA">
            <w:pPr>
              <w:spacing w:after="80" w:line="240" w:lineRule="auto"/>
              <w:rPr>
                <w:color w:val="auto"/>
                <w:sz w:val="2"/>
                <w:szCs w:val="2"/>
              </w:rPr>
            </w:pPr>
          </w:p>
        </w:tc>
      </w:tr>
      <w:tr w:rsidR="00CB0EAA" w:rsidRPr="00CB0EAA" w14:paraId="43B36452" w14:textId="77777777" w:rsidTr="00CB0EAA">
        <w:tc>
          <w:tcPr>
            <w:tcW w:w="3086" w:type="dxa"/>
            <w:tcBorders>
              <w:top w:val="single" w:sz="18" w:space="0" w:color="00B050"/>
              <w:left w:val="single" w:sz="18" w:space="0" w:color="00B050"/>
              <w:bottom w:val="single" w:sz="18" w:space="0" w:color="00B050"/>
              <w:right w:val="single" w:sz="18" w:space="0" w:color="00B050"/>
            </w:tcBorders>
          </w:tcPr>
          <w:p w14:paraId="66773992" w14:textId="77777777" w:rsidR="00CB0EAA" w:rsidRPr="00CB0EAA" w:rsidRDefault="00CB0EAA" w:rsidP="00CB0EAA">
            <w:pPr>
              <w:spacing w:after="80" w:line="240" w:lineRule="auto"/>
              <w:jc w:val="center"/>
              <w:rPr>
                <w:b/>
                <w:bCs/>
                <w:color w:val="auto"/>
                <w:sz w:val="28"/>
                <w:szCs w:val="28"/>
              </w:rPr>
            </w:pPr>
            <w:r w:rsidRPr="00CB0EAA">
              <w:rPr>
                <w:b/>
                <w:bCs/>
                <w:color w:val="auto"/>
                <w:sz w:val="28"/>
                <w:szCs w:val="28"/>
              </w:rPr>
              <w:t>Chief Finance Officer</w:t>
            </w:r>
          </w:p>
        </w:tc>
        <w:tc>
          <w:tcPr>
            <w:tcW w:w="283" w:type="dxa"/>
            <w:tcBorders>
              <w:left w:val="single" w:sz="18" w:space="0" w:color="00B050"/>
              <w:right w:val="single" w:sz="18" w:space="0" w:color="00B050"/>
            </w:tcBorders>
          </w:tcPr>
          <w:p w14:paraId="06E895B8" w14:textId="77777777" w:rsidR="00CB0EAA" w:rsidRPr="00CB0EAA" w:rsidRDefault="00CB0EAA" w:rsidP="00CB0EAA">
            <w:pPr>
              <w:spacing w:after="80" w:line="240" w:lineRule="auto"/>
              <w:rPr>
                <w:color w:val="auto"/>
                <w:sz w:val="4"/>
                <w:szCs w:val="4"/>
              </w:rPr>
            </w:pPr>
          </w:p>
        </w:tc>
        <w:tc>
          <w:tcPr>
            <w:tcW w:w="7088" w:type="dxa"/>
            <w:tcBorders>
              <w:top w:val="single" w:sz="18" w:space="0" w:color="00B050"/>
              <w:left w:val="single" w:sz="18" w:space="0" w:color="00B050"/>
              <w:bottom w:val="single" w:sz="18" w:space="0" w:color="00B050"/>
              <w:right w:val="single" w:sz="18" w:space="0" w:color="00B050"/>
            </w:tcBorders>
          </w:tcPr>
          <w:p w14:paraId="23C47B1A" w14:textId="2BDF14DF" w:rsidR="00CB0EAA" w:rsidRPr="00CB0EAA" w:rsidRDefault="00CB0EAA" w:rsidP="00CB0EAA">
            <w:pPr>
              <w:spacing w:after="80" w:line="240" w:lineRule="auto"/>
              <w:rPr>
                <w:color w:val="auto"/>
              </w:rPr>
            </w:pPr>
            <w:r w:rsidRPr="00CB0EAA">
              <w:rPr>
                <w:color w:val="auto"/>
              </w:rPr>
              <w:t xml:space="preserve">To formally sign and approve the contract following approval by the </w:t>
            </w:r>
            <w:proofErr w:type="spellStart"/>
            <w:r w:rsidR="00C20712">
              <w:rPr>
                <w:color w:val="auto"/>
              </w:rPr>
              <w:t>IPMOC</w:t>
            </w:r>
            <w:r w:rsidRPr="00CB0EAA">
              <w:rPr>
                <w:color w:val="auto"/>
              </w:rPr>
              <w:t>ommittee</w:t>
            </w:r>
            <w:proofErr w:type="spellEnd"/>
            <w:r w:rsidRPr="00CB0EAA">
              <w:rPr>
                <w:color w:val="auto"/>
              </w:rPr>
              <w:t>.</w:t>
            </w:r>
          </w:p>
        </w:tc>
      </w:tr>
      <w:tr w:rsidR="00CB0EAA" w:rsidRPr="00CB0EAA" w14:paraId="6B40D337" w14:textId="77777777" w:rsidTr="00CB0EAA">
        <w:tc>
          <w:tcPr>
            <w:tcW w:w="3086" w:type="dxa"/>
            <w:tcBorders>
              <w:top w:val="single" w:sz="18" w:space="0" w:color="00B050"/>
              <w:bottom w:val="single" w:sz="18" w:space="0" w:color="00B050"/>
            </w:tcBorders>
          </w:tcPr>
          <w:p w14:paraId="541C6964" w14:textId="77777777" w:rsidR="00CB0EAA" w:rsidRPr="00CB0EAA" w:rsidRDefault="00CB0EAA" w:rsidP="00CB0EAA">
            <w:pPr>
              <w:spacing w:after="80" w:line="240" w:lineRule="auto"/>
              <w:rPr>
                <w:color w:val="auto"/>
                <w:sz w:val="2"/>
                <w:szCs w:val="2"/>
              </w:rPr>
            </w:pPr>
          </w:p>
        </w:tc>
        <w:tc>
          <w:tcPr>
            <w:tcW w:w="283" w:type="dxa"/>
          </w:tcPr>
          <w:p w14:paraId="610405BB" w14:textId="77777777" w:rsidR="00CB0EAA" w:rsidRPr="00CB0EAA" w:rsidRDefault="00CB0EAA" w:rsidP="00CB0EAA">
            <w:pPr>
              <w:spacing w:after="80" w:line="240" w:lineRule="auto"/>
              <w:rPr>
                <w:color w:val="auto"/>
                <w:sz w:val="2"/>
                <w:szCs w:val="2"/>
              </w:rPr>
            </w:pPr>
          </w:p>
        </w:tc>
        <w:tc>
          <w:tcPr>
            <w:tcW w:w="7088" w:type="dxa"/>
            <w:tcBorders>
              <w:top w:val="single" w:sz="18" w:space="0" w:color="00B050"/>
              <w:bottom w:val="single" w:sz="18" w:space="0" w:color="00B050"/>
            </w:tcBorders>
          </w:tcPr>
          <w:p w14:paraId="725CC00E" w14:textId="77777777" w:rsidR="00CB0EAA" w:rsidRPr="00CB0EAA" w:rsidRDefault="00CB0EAA" w:rsidP="00CB0EAA">
            <w:pPr>
              <w:spacing w:after="80" w:line="240" w:lineRule="auto"/>
              <w:rPr>
                <w:color w:val="auto"/>
                <w:sz w:val="2"/>
                <w:szCs w:val="2"/>
              </w:rPr>
            </w:pPr>
          </w:p>
        </w:tc>
      </w:tr>
      <w:tr w:rsidR="00CB0EAA" w:rsidRPr="00CB0EAA" w14:paraId="61ED5F85" w14:textId="77777777" w:rsidTr="00CB0EAA">
        <w:tc>
          <w:tcPr>
            <w:tcW w:w="3086" w:type="dxa"/>
            <w:tcBorders>
              <w:top w:val="single" w:sz="18" w:space="0" w:color="00B050"/>
              <w:left w:val="single" w:sz="18" w:space="0" w:color="00B050"/>
              <w:bottom w:val="single" w:sz="18" w:space="0" w:color="00B050"/>
              <w:right w:val="single" w:sz="18" w:space="0" w:color="00B050"/>
            </w:tcBorders>
          </w:tcPr>
          <w:p w14:paraId="30F3E82E" w14:textId="77777777" w:rsidR="00CB0EAA" w:rsidRPr="00CB0EAA" w:rsidRDefault="00CB0EAA" w:rsidP="00CB0EAA">
            <w:pPr>
              <w:spacing w:after="80" w:line="240" w:lineRule="auto"/>
              <w:jc w:val="center"/>
              <w:rPr>
                <w:b/>
                <w:bCs/>
                <w:color w:val="auto"/>
                <w:sz w:val="28"/>
                <w:szCs w:val="28"/>
              </w:rPr>
            </w:pPr>
            <w:r w:rsidRPr="00CB0EAA">
              <w:rPr>
                <w:b/>
                <w:bCs/>
                <w:color w:val="auto"/>
                <w:sz w:val="28"/>
                <w:szCs w:val="28"/>
              </w:rPr>
              <w:t>MMT/MOT</w:t>
            </w:r>
          </w:p>
        </w:tc>
        <w:tc>
          <w:tcPr>
            <w:tcW w:w="283" w:type="dxa"/>
            <w:tcBorders>
              <w:left w:val="single" w:sz="18" w:space="0" w:color="00B050"/>
              <w:right w:val="single" w:sz="18" w:space="0" w:color="00B050"/>
            </w:tcBorders>
          </w:tcPr>
          <w:p w14:paraId="181F08A7" w14:textId="77777777" w:rsidR="00CB0EAA" w:rsidRPr="00CB0EAA" w:rsidRDefault="00CB0EAA" w:rsidP="00CB0EAA">
            <w:pPr>
              <w:spacing w:after="80" w:line="240" w:lineRule="auto"/>
              <w:rPr>
                <w:color w:val="auto"/>
                <w:sz w:val="4"/>
                <w:szCs w:val="4"/>
              </w:rPr>
            </w:pPr>
          </w:p>
        </w:tc>
        <w:tc>
          <w:tcPr>
            <w:tcW w:w="7088" w:type="dxa"/>
            <w:tcBorders>
              <w:top w:val="single" w:sz="18" w:space="0" w:color="00B050"/>
              <w:left w:val="single" w:sz="18" w:space="0" w:color="00B050"/>
              <w:bottom w:val="single" w:sz="18" w:space="0" w:color="00B050"/>
              <w:right w:val="single" w:sz="18" w:space="0" w:color="00B050"/>
            </w:tcBorders>
          </w:tcPr>
          <w:p w14:paraId="799B9D45" w14:textId="026F296E" w:rsidR="00CB0EAA" w:rsidRPr="00CB0EAA" w:rsidRDefault="00CB0EAA" w:rsidP="00CB0EAA">
            <w:pPr>
              <w:spacing w:after="80" w:line="240" w:lineRule="auto"/>
              <w:rPr>
                <w:color w:val="auto"/>
              </w:rPr>
            </w:pPr>
            <w:r w:rsidRPr="00CB0EAA">
              <w:rPr>
                <w:color w:val="auto"/>
              </w:rPr>
              <w:t>Activate and monitor the contract with the company in conjunction with the ICB Finance Team</w:t>
            </w:r>
            <w:r w:rsidR="00BF237A">
              <w:rPr>
                <w:color w:val="auto"/>
              </w:rPr>
              <w:t xml:space="preserve"> a</w:t>
            </w:r>
            <w:r w:rsidRPr="00CB0EAA">
              <w:rPr>
                <w:color w:val="auto"/>
              </w:rPr>
              <w:t>nd to ensure publication of the approved rebate schemes on the ICB website.</w:t>
            </w:r>
          </w:p>
        </w:tc>
      </w:tr>
    </w:tbl>
    <w:p w14:paraId="7054D2EF" w14:textId="1E437261" w:rsidR="00CB0EAA" w:rsidRDefault="00CB0EAA" w:rsidP="00CB0EAA">
      <w:pPr>
        <w:spacing w:line="240" w:lineRule="auto"/>
        <w:rPr>
          <w:b/>
        </w:rPr>
      </w:pPr>
    </w:p>
    <w:p w14:paraId="1C87B208" w14:textId="4C6B69A1" w:rsidR="00CB0EAA" w:rsidRDefault="00CB0EAA" w:rsidP="00332207">
      <w:pPr>
        <w:pStyle w:val="Heading2"/>
        <w:numPr>
          <w:ilvl w:val="0"/>
          <w:numId w:val="0"/>
        </w:numPr>
        <w:ind w:left="567"/>
      </w:pPr>
      <w:bookmarkStart w:id="53" w:name="_Appendix_3:_"/>
      <w:bookmarkEnd w:id="53"/>
      <w:r>
        <w:br w:type="page"/>
      </w:r>
      <w:bookmarkStart w:id="54" w:name="_Toc132378252"/>
      <w:r w:rsidRPr="00CB0EAA">
        <w:lastRenderedPageBreak/>
        <w:t xml:space="preserve">Appendix </w:t>
      </w:r>
      <w:r w:rsidR="00FD339C">
        <w:t>3</w:t>
      </w:r>
      <w:r w:rsidRPr="00CB0EAA">
        <w:t>:   ICB Primary Care Rebate Scheme: Assessment and Decision Form</w:t>
      </w:r>
      <w:bookmarkEnd w:id="54"/>
    </w:p>
    <w:p w14:paraId="2BEC1640" w14:textId="06987F18" w:rsidR="00CB0EAA" w:rsidRDefault="00CB0EAA">
      <w:pPr>
        <w:spacing w:line="240" w:lineRule="auto"/>
        <w:rPr>
          <w:b/>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67"/>
        <w:gridCol w:w="992"/>
        <w:gridCol w:w="564"/>
        <w:gridCol w:w="1419"/>
        <w:gridCol w:w="632"/>
        <w:gridCol w:w="2201"/>
        <w:gridCol w:w="1417"/>
        <w:gridCol w:w="1135"/>
      </w:tblGrid>
      <w:tr w:rsidR="00CB0EAA" w:rsidRPr="00CB0EAA" w14:paraId="1D9988A4" w14:textId="77777777" w:rsidTr="00CB0EAA">
        <w:tc>
          <w:tcPr>
            <w:tcW w:w="1847" w:type="dxa"/>
            <w:gridSpan w:val="2"/>
            <w:tcBorders>
              <w:bottom w:val="single" w:sz="4" w:space="0" w:color="auto"/>
            </w:tcBorders>
            <w:shd w:val="clear" w:color="auto" w:fill="9CC2E5"/>
          </w:tcPr>
          <w:p w14:paraId="3342AED0"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Product</w:t>
            </w:r>
          </w:p>
          <w:p w14:paraId="20391F61" w14:textId="77777777" w:rsidR="00CB0EAA" w:rsidRPr="00CB0EAA" w:rsidRDefault="00CB0EAA" w:rsidP="00CB0EAA">
            <w:pPr>
              <w:spacing w:after="113" w:line="250" w:lineRule="auto"/>
              <w:ind w:left="10" w:hanging="10"/>
              <w:contextualSpacing/>
              <w:rPr>
                <w:rFonts w:eastAsia="Calibri"/>
                <w:b/>
                <w:color w:val="000000"/>
                <w:sz w:val="22"/>
                <w:szCs w:val="22"/>
              </w:rPr>
            </w:pPr>
          </w:p>
        </w:tc>
        <w:tc>
          <w:tcPr>
            <w:tcW w:w="8360" w:type="dxa"/>
            <w:gridSpan w:val="7"/>
            <w:tcBorders>
              <w:bottom w:val="single" w:sz="4" w:space="0" w:color="auto"/>
            </w:tcBorders>
            <w:shd w:val="clear" w:color="auto" w:fill="auto"/>
          </w:tcPr>
          <w:p w14:paraId="4A75A075" w14:textId="77777777" w:rsidR="00CB0EAA" w:rsidRPr="00CB0EAA" w:rsidRDefault="00CB0EAA" w:rsidP="00CB0EAA">
            <w:pPr>
              <w:spacing w:after="113" w:line="250" w:lineRule="auto"/>
              <w:ind w:left="10" w:hanging="10"/>
              <w:contextualSpacing/>
              <w:rPr>
                <w:rFonts w:eastAsia="Calibri"/>
                <w:bCs/>
                <w:color w:val="000000"/>
                <w:szCs w:val="22"/>
              </w:rPr>
            </w:pPr>
          </w:p>
        </w:tc>
      </w:tr>
      <w:tr w:rsidR="00CB0EAA" w:rsidRPr="00CB0EAA" w14:paraId="71DFCB89" w14:textId="77777777" w:rsidTr="00CB0EAA">
        <w:tc>
          <w:tcPr>
            <w:tcW w:w="1847" w:type="dxa"/>
            <w:gridSpan w:val="2"/>
            <w:tcBorders>
              <w:bottom w:val="single" w:sz="4" w:space="0" w:color="auto"/>
            </w:tcBorders>
            <w:shd w:val="clear" w:color="auto" w:fill="9CC2E5"/>
          </w:tcPr>
          <w:p w14:paraId="261BB0C7"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Manufacturer</w:t>
            </w:r>
          </w:p>
          <w:p w14:paraId="0F599AC9" w14:textId="77777777" w:rsidR="00CB0EAA" w:rsidRPr="00CB0EAA" w:rsidRDefault="00CB0EAA" w:rsidP="00CB0EAA">
            <w:pPr>
              <w:spacing w:after="113" w:line="250" w:lineRule="auto"/>
              <w:ind w:left="10" w:hanging="10"/>
              <w:contextualSpacing/>
              <w:rPr>
                <w:rFonts w:eastAsia="Calibri"/>
                <w:b/>
                <w:color w:val="000000"/>
                <w:sz w:val="22"/>
                <w:szCs w:val="22"/>
              </w:rPr>
            </w:pPr>
          </w:p>
        </w:tc>
        <w:tc>
          <w:tcPr>
            <w:tcW w:w="8360" w:type="dxa"/>
            <w:gridSpan w:val="7"/>
            <w:tcBorders>
              <w:bottom w:val="single" w:sz="4" w:space="0" w:color="auto"/>
            </w:tcBorders>
            <w:shd w:val="clear" w:color="auto" w:fill="auto"/>
          </w:tcPr>
          <w:p w14:paraId="7B93D859" w14:textId="77777777" w:rsidR="00CB0EAA" w:rsidRPr="00CB0EAA" w:rsidRDefault="00CB0EAA" w:rsidP="00CB0EAA">
            <w:pPr>
              <w:spacing w:after="113" w:line="250" w:lineRule="auto"/>
              <w:ind w:left="10" w:hanging="10"/>
              <w:contextualSpacing/>
              <w:rPr>
                <w:rFonts w:eastAsia="Calibri"/>
                <w:bCs/>
                <w:color w:val="000000"/>
                <w:szCs w:val="22"/>
              </w:rPr>
            </w:pPr>
          </w:p>
        </w:tc>
      </w:tr>
      <w:tr w:rsidR="00CB0EAA" w:rsidRPr="00CB0EAA" w14:paraId="094B793B" w14:textId="77777777" w:rsidTr="00CB0EAA">
        <w:tc>
          <w:tcPr>
            <w:tcW w:w="1847" w:type="dxa"/>
            <w:gridSpan w:val="2"/>
            <w:tcBorders>
              <w:bottom w:val="single" w:sz="4" w:space="0" w:color="auto"/>
            </w:tcBorders>
            <w:shd w:val="clear" w:color="auto" w:fill="9CC2E5"/>
          </w:tcPr>
          <w:p w14:paraId="319034B1"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Contact Details</w:t>
            </w:r>
          </w:p>
          <w:p w14:paraId="04422FC3" w14:textId="77777777" w:rsidR="00CB0EAA" w:rsidRPr="00CB0EAA" w:rsidRDefault="00CB0EAA" w:rsidP="00CB0EAA">
            <w:pPr>
              <w:spacing w:after="113" w:line="250" w:lineRule="auto"/>
              <w:ind w:left="10" w:hanging="10"/>
              <w:contextualSpacing/>
              <w:rPr>
                <w:rFonts w:eastAsia="Calibri"/>
                <w:b/>
                <w:color w:val="000000"/>
                <w:sz w:val="22"/>
                <w:szCs w:val="22"/>
              </w:rPr>
            </w:pPr>
          </w:p>
          <w:p w14:paraId="7A2F0DEC" w14:textId="77777777" w:rsidR="00CB0EAA" w:rsidRPr="00CB0EAA" w:rsidRDefault="00CB0EAA" w:rsidP="00CB0EAA">
            <w:pPr>
              <w:spacing w:after="113" w:line="250" w:lineRule="auto"/>
              <w:ind w:left="10" w:hanging="10"/>
              <w:contextualSpacing/>
              <w:rPr>
                <w:rFonts w:eastAsia="Calibri"/>
                <w:b/>
                <w:color w:val="000000"/>
                <w:sz w:val="22"/>
                <w:szCs w:val="22"/>
              </w:rPr>
            </w:pPr>
          </w:p>
        </w:tc>
        <w:tc>
          <w:tcPr>
            <w:tcW w:w="8360" w:type="dxa"/>
            <w:gridSpan w:val="7"/>
            <w:tcBorders>
              <w:bottom w:val="single" w:sz="4" w:space="0" w:color="auto"/>
            </w:tcBorders>
            <w:shd w:val="clear" w:color="auto" w:fill="auto"/>
          </w:tcPr>
          <w:p w14:paraId="7A361EE0" w14:textId="77777777" w:rsidR="00CB0EAA" w:rsidRPr="00CB0EAA" w:rsidRDefault="00CB0EAA" w:rsidP="00CB0EAA">
            <w:pPr>
              <w:spacing w:after="113" w:line="250" w:lineRule="auto"/>
              <w:ind w:left="10" w:hanging="10"/>
              <w:contextualSpacing/>
              <w:rPr>
                <w:rFonts w:eastAsia="Calibri"/>
                <w:b/>
                <w:color w:val="000000"/>
                <w:szCs w:val="22"/>
              </w:rPr>
            </w:pPr>
          </w:p>
        </w:tc>
      </w:tr>
      <w:tr w:rsidR="00CB0EAA" w:rsidRPr="00CB0EAA" w14:paraId="6ED9AD8A" w14:textId="77777777" w:rsidTr="00CB0EAA">
        <w:tc>
          <w:tcPr>
            <w:tcW w:w="10207" w:type="dxa"/>
            <w:gridSpan w:val="9"/>
            <w:tcBorders>
              <w:top w:val="single" w:sz="4" w:space="0" w:color="auto"/>
              <w:left w:val="nil"/>
              <w:bottom w:val="single" w:sz="4" w:space="0" w:color="auto"/>
              <w:right w:val="nil"/>
            </w:tcBorders>
            <w:shd w:val="clear" w:color="auto" w:fill="auto"/>
          </w:tcPr>
          <w:p w14:paraId="2F7677AB"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7E0FD033" w14:textId="77777777" w:rsidTr="00CB0EAA">
        <w:tc>
          <w:tcPr>
            <w:tcW w:w="1847" w:type="dxa"/>
            <w:gridSpan w:val="2"/>
            <w:tcBorders>
              <w:top w:val="single" w:sz="4" w:space="0" w:color="auto"/>
              <w:bottom w:val="single" w:sz="4" w:space="0" w:color="auto"/>
            </w:tcBorders>
            <w:shd w:val="clear" w:color="auto" w:fill="9CC2E5"/>
          </w:tcPr>
          <w:p w14:paraId="2FE37FD8"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Brief details of rebate scheme</w:t>
            </w:r>
          </w:p>
        </w:tc>
        <w:tc>
          <w:tcPr>
            <w:tcW w:w="8360" w:type="dxa"/>
            <w:gridSpan w:val="7"/>
            <w:tcBorders>
              <w:top w:val="single" w:sz="4" w:space="0" w:color="auto"/>
              <w:bottom w:val="single" w:sz="4" w:space="0" w:color="auto"/>
            </w:tcBorders>
            <w:shd w:val="clear" w:color="auto" w:fill="auto"/>
          </w:tcPr>
          <w:p w14:paraId="45AC4CEC" w14:textId="77777777" w:rsidR="00CB0EAA" w:rsidRPr="00CB0EAA" w:rsidRDefault="00CB0EAA" w:rsidP="00CB0EAA">
            <w:pPr>
              <w:spacing w:after="113" w:line="250" w:lineRule="auto"/>
              <w:ind w:left="10" w:hanging="10"/>
              <w:contextualSpacing/>
              <w:rPr>
                <w:rFonts w:eastAsia="Calibri"/>
                <w:b/>
                <w:color w:val="000000"/>
                <w:szCs w:val="22"/>
              </w:rPr>
            </w:pPr>
          </w:p>
        </w:tc>
      </w:tr>
      <w:tr w:rsidR="00CB0EAA" w:rsidRPr="00CB0EAA" w14:paraId="56C19549" w14:textId="77777777" w:rsidTr="00CB0EAA">
        <w:tc>
          <w:tcPr>
            <w:tcW w:w="10207" w:type="dxa"/>
            <w:gridSpan w:val="9"/>
            <w:tcBorders>
              <w:top w:val="single" w:sz="4" w:space="0" w:color="auto"/>
              <w:left w:val="nil"/>
              <w:bottom w:val="single" w:sz="4" w:space="0" w:color="auto"/>
              <w:right w:val="nil"/>
            </w:tcBorders>
            <w:shd w:val="clear" w:color="auto" w:fill="auto"/>
          </w:tcPr>
          <w:p w14:paraId="3FB325E5" w14:textId="77777777" w:rsidR="00CB0EAA" w:rsidRPr="00CB0EAA" w:rsidRDefault="00CB0EAA" w:rsidP="00CB0EAA">
            <w:pPr>
              <w:spacing w:after="113" w:line="250" w:lineRule="auto"/>
              <w:ind w:left="10" w:hanging="10"/>
              <w:contextualSpacing/>
              <w:rPr>
                <w:rFonts w:eastAsia="Calibri"/>
                <w:b/>
                <w:color w:val="000000"/>
                <w:szCs w:val="22"/>
              </w:rPr>
            </w:pPr>
          </w:p>
        </w:tc>
      </w:tr>
      <w:tr w:rsidR="00CB0EAA" w:rsidRPr="00CB0EAA" w14:paraId="1B9F5583" w14:textId="77777777" w:rsidTr="00332207">
        <w:tc>
          <w:tcPr>
            <w:tcW w:w="9072" w:type="dxa"/>
            <w:gridSpan w:val="8"/>
            <w:tcBorders>
              <w:top w:val="single" w:sz="4" w:space="0" w:color="auto"/>
              <w:left w:val="single" w:sz="4" w:space="0" w:color="auto"/>
              <w:bottom w:val="single" w:sz="4" w:space="0" w:color="auto"/>
              <w:right w:val="single" w:sz="4" w:space="0" w:color="auto"/>
            </w:tcBorders>
            <w:shd w:val="clear" w:color="auto" w:fill="9CC2E5"/>
          </w:tcPr>
          <w:p w14:paraId="5B88FC37"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Assessment Criteria</w:t>
            </w:r>
          </w:p>
        </w:tc>
        <w:tc>
          <w:tcPr>
            <w:tcW w:w="1135" w:type="dxa"/>
            <w:tcBorders>
              <w:top w:val="single" w:sz="4" w:space="0" w:color="auto"/>
              <w:left w:val="single" w:sz="4" w:space="0" w:color="auto"/>
              <w:bottom w:val="single" w:sz="4" w:space="0" w:color="auto"/>
              <w:right w:val="single" w:sz="4" w:space="0" w:color="auto"/>
            </w:tcBorders>
            <w:shd w:val="clear" w:color="auto" w:fill="9CC2E5"/>
          </w:tcPr>
          <w:p w14:paraId="3140BCFF"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Yes/No</w:t>
            </w:r>
          </w:p>
        </w:tc>
      </w:tr>
      <w:tr w:rsidR="00CB0EAA" w:rsidRPr="00CB0EAA" w14:paraId="1E5E3721" w14:textId="77777777" w:rsidTr="00332207">
        <w:tc>
          <w:tcPr>
            <w:tcW w:w="9072" w:type="dxa"/>
            <w:gridSpan w:val="8"/>
            <w:tcBorders>
              <w:top w:val="single" w:sz="4" w:space="0" w:color="auto"/>
            </w:tcBorders>
            <w:shd w:val="clear" w:color="auto" w:fill="DEEAF6"/>
          </w:tcPr>
          <w:p w14:paraId="4AA03205"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Is the product listed in both H+NY ICB joint formularies?</w:t>
            </w:r>
          </w:p>
        </w:tc>
        <w:tc>
          <w:tcPr>
            <w:tcW w:w="1135" w:type="dxa"/>
            <w:tcBorders>
              <w:top w:val="single" w:sz="4" w:space="0" w:color="auto"/>
            </w:tcBorders>
            <w:shd w:val="clear" w:color="auto" w:fill="auto"/>
          </w:tcPr>
          <w:p w14:paraId="7EABC2D4"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54A4CBAF" w14:textId="77777777" w:rsidTr="00332207">
        <w:trPr>
          <w:trHeight w:val="230"/>
        </w:trPr>
        <w:tc>
          <w:tcPr>
            <w:tcW w:w="9072" w:type="dxa"/>
            <w:gridSpan w:val="8"/>
            <w:shd w:val="clear" w:color="auto" w:fill="DEEAF6"/>
          </w:tcPr>
          <w:p w14:paraId="1F75A70F"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Does the product have NICE approval?</w:t>
            </w:r>
          </w:p>
        </w:tc>
        <w:tc>
          <w:tcPr>
            <w:tcW w:w="1135" w:type="dxa"/>
            <w:shd w:val="clear" w:color="auto" w:fill="auto"/>
          </w:tcPr>
          <w:p w14:paraId="7F96BB85"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786850D4" w14:textId="77777777" w:rsidTr="00332207">
        <w:trPr>
          <w:trHeight w:val="230"/>
        </w:trPr>
        <w:tc>
          <w:tcPr>
            <w:tcW w:w="9072" w:type="dxa"/>
            <w:gridSpan w:val="8"/>
            <w:shd w:val="clear" w:color="auto" w:fill="DEEAF6"/>
          </w:tcPr>
          <w:p w14:paraId="5126E7D8"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Is there a requirement for a directive or guideline to be given to health care professionals to prescribe the specific product?</w:t>
            </w:r>
          </w:p>
        </w:tc>
        <w:tc>
          <w:tcPr>
            <w:tcW w:w="1135" w:type="dxa"/>
            <w:shd w:val="clear" w:color="auto" w:fill="auto"/>
          </w:tcPr>
          <w:p w14:paraId="5C991931"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5123181F" w14:textId="77777777" w:rsidTr="00332207">
        <w:trPr>
          <w:trHeight w:val="230"/>
        </w:trPr>
        <w:tc>
          <w:tcPr>
            <w:tcW w:w="9072" w:type="dxa"/>
            <w:gridSpan w:val="8"/>
            <w:shd w:val="clear" w:color="auto" w:fill="DEEAF6"/>
          </w:tcPr>
          <w:p w14:paraId="54F1C1A9"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 xml:space="preserve">If the product is a medicine, is it licensed in the UK? </w:t>
            </w:r>
          </w:p>
        </w:tc>
        <w:tc>
          <w:tcPr>
            <w:tcW w:w="1135" w:type="dxa"/>
            <w:shd w:val="clear" w:color="auto" w:fill="auto"/>
          </w:tcPr>
          <w:p w14:paraId="599F58EB"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7AE2F201" w14:textId="77777777" w:rsidTr="00332207">
        <w:trPr>
          <w:trHeight w:val="230"/>
        </w:trPr>
        <w:tc>
          <w:tcPr>
            <w:tcW w:w="9072" w:type="dxa"/>
            <w:gridSpan w:val="8"/>
            <w:shd w:val="clear" w:color="auto" w:fill="DEEAF6"/>
          </w:tcPr>
          <w:p w14:paraId="4A61348E"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Is the rebate scheme designed to increase off label use of the drug?</w:t>
            </w:r>
          </w:p>
        </w:tc>
        <w:tc>
          <w:tcPr>
            <w:tcW w:w="1135" w:type="dxa"/>
            <w:shd w:val="clear" w:color="auto" w:fill="auto"/>
          </w:tcPr>
          <w:p w14:paraId="0E29F685"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0DEFED13" w14:textId="77777777" w:rsidTr="00332207">
        <w:trPr>
          <w:trHeight w:val="230"/>
        </w:trPr>
        <w:tc>
          <w:tcPr>
            <w:tcW w:w="9072" w:type="dxa"/>
            <w:gridSpan w:val="8"/>
            <w:shd w:val="clear" w:color="auto" w:fill="DEEAF6"/>
          </w:tcPr>
          <w:p w14:paraId="6F6AF836"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 xml:space="preserve">If the product is a device or nutritional </w:t>
            </w:r>
            <w:proofErr w:type="gramStart"/>
            <w:r w:rsidRPr="00CB0EAA">
              <w:rPr>
                <w:rFonts w:eastAsia="Calibri"/>
                <w:b/>
                <w:color w:val="000000"/>
                <w:sz w:val="22"/>
                <w:szCs w:val="22"/>
              </w:rPr>
              <w:t>supplement</w:t>
            </w:r>
            <w:proofErr w:type="gramEnd"/>
            <w:r w:rsidRPr="00CB0EAA">
              <w:rPr>
                <w:rFonts w:eastAsia="Calibri"/>
                <w:b/>
                <w:color w:val="000000"/>
                <w:sz w:val="22"/>
                <w:szCs w:val="22"/>
              </w:rPr>
              <w:t xml:space="preserve"> is it contained in the current Drug Tariff? </w:t>
            </w:r>
          </w:p>
        </w:tc>
        <w:tc>
          <w:tcPr>
            <w:tcW w:w="1135" w:type="dxa"/>
            <w:shd w:val="clear" w:color="auto" w:fill="auto"/>
          </w:tcPr>
          <w:p w14:paraId="75C12687"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4C343F7B" w14:textId="77777777" w:rsidTr="00332207">
        <w:trPr>
          <w:trHeight w:val="230"/>
        </w:trPr>
        <w:tc>
          <w:tcPr>
            <w:tcW w:w="9072" w:type="dxa"/>
            <w:gridSpan w:val="8"/>
            <w:shd w:val="clear" w:color="auto" w:fill="DEEAF6"/>
          </w:tcPr>
          <w:p w14:paraId="4866B843"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If the product is a vitamin or classed as a food supplement, is it recommended for NHS use in the ICB?</w:t>
            </w:r>
          </w:p>
        </w:tc>
        <w:tc>
          <w:tcPr>
            <w:tcW w:w="1135" w:type="dxa"/>
            <w:shd w:val="clear" w:color="auto" w:fill="auto"/>
          </w:tcPr>
          <w:p w14:paraId="27B7AB52"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136E283B" w14:textId="77777777" w:rsidTr="00332207">
        <w:trPr>
          <w:trHeight w:val="230"/>
        </w:trPr>
        <w:tc>
          <w:tcPr>
            <w:tcW w:w="9072" w:type="dxa"/>
            <w:gridSpan w:val="8"/>
            <w:shd w:val="clear" w:color="auto" w:fill="DEEAF6"/>
          </w:tcPr>
          <w:p w14:paraId="0B743198"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Does the rebate scheme require exclusive use of one specific brand ahead of any other product (</w:t>
            </w:r>
            <w:proofErr w:type="gramStart"/>
            <w:r w:rsidRPr="00CB0EAA">
              <w:rPr>
                <w:rFonts w:eastAsia="Calibri"/>
                <w:b/>
                <w:color w:val="000000"/>
                <w:sz w:val="22"/>
                <w:szCs w:val="22"/>
              </w:rPr>
              <w:t>i.e.</w:t>
            </w:r>
            <w:proofErr w:type="gramEnd"/>
            <w:r w:rsidRPr="00CB0EAA">
              <w:rPr>
                <w:rFonts w:eastAsia="Calibri"/>
                <w:b/>
                <w:color w:val="000000"/>
                <w:sz w:val="22"/>
                <w:szCs w:val="22"/>
              </w:rPr>
              <w:t xml:space="preserve"> preferential positioning)? </w:t>
            </w:r>
          </w:p>
        </w:tc>
        <w:tc>
          <w:tcPr>
            <w:tcW w:w="1135" w:type="dxa"/>
            <w:shd w:val="clear" w:color="auto" w:fill="auto"/>
          </w:tcPr>
          <w:p w14:paraId="039F5AE1"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4B4DD37B" w14:textId="77777777" w:rsidTr="00332207">
        <w:trPr>
          <w:trHeight w:val="230"/>
        </w:trPr>
        <w:tc>
          <w:tcPr>
            <w:tcW w:w="9072" w:type="dxa"/>
            <w:gridSpan w:val="8"/>
            <w:shd w:val="clear" w:color="auto" w:fill="DEEAF6"/>
          </w:tcPr>
          <w:p w14:paraId="040A25A5"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 xml:space="preserve">Is the product listed in Category A or M of the Drug Tariff? </w:t>
            </w:r>
          </w:p>
        </w:tc>
        <w:tc>
          <w:tcPr>
            <w:tcW w:w="1135" w:type="dxa"/>
            <w:shd w:val="clear" w:color="auto" w:fill="auto"/>
          </w:tcPr>
          <w:p w14:paraId="1452E5FD"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37CDE953" w14:textId="77777777" w:rsidTr="00332207">
        <w:trPr>
          <w:trHeight w:val="230"/>
        </w:trPr>
        <w:tc>
          <w:tcPr>
            <w:tcW w:w="9072" w:type="dxa"/>
            <w:gridSpan w:val="8"/>
            <w:shd w:val="clear" w:color="auto" w:fill="DEEAF6"/>
          </w:tcPr>
          <w:p w14:paraId="03B6F4D9"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 xml:space="preserve">Is the rebate scheme linked directly to a requirement for an increase in market share or volume of prescribing? </w:t>
            </w:r>
          </w:p>
        </w:tc>
        <w:tc>
          <w:tcPr>
            <w:tcW w:w="1135" w:type="dxa"/>
            <w:shd w:val="clear" w:color="auto" w:fill="auto"/>
          </w:tcPr>
          <w:p w14:paraId="1CDBD02C"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0D0EAA92" w14:textId="77777777" w:rsidTr="00332207">
        <w:trPr>
          <w:trHeight w:val="230"/>
        </w:trPr>
        <w:tc>
          <w:tcPr>
            <w:tcW w:w="9072" w:type="dxa"/>
            <w:gridSpan w:val="8"/>
            <w:shd w:val="clear" w:color="auto" w:fill="DEEAF6"/>
          </w:tcPr>
          <w:p w14:paraId="717CD79C"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 xml:space="preserve">Does the rebate scheme prevent consideration of other schemes? </w:t>
            </w:r>
          </w:p>
        </w:tc>
        <w:tc>
          <w:tcPr>
            <w:tcW w:w="1135" w:type="dxa"/>
            <w:shd w:val="clear" w:color="auto" w:fill="auto"/>
          </w:tcPr>
          <w:p w14:paraId="5D68804B"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6622D3BF" w14:textId="77777777" w:rsidTr="00332207">
        <w:trPr>
          <w:trHeight w:val="230"/>
        </w:trPr>
        <w:tc>
          <w:tcPr>
            <w:tcW w:w="9072" w:type="dxa"/>
            <w:gridSpan w:val="8"/>
            <w:tcBorders>
              <w:bottom w:val="single" w:sz="4" w:space="0" w:color="auto"/>
            </w:tcBorders>
            <w:shd w:val="clear" w:color="auto" w:fill="DEEAF6"/>
          </w:tcPr>
          <w:p w14:paraId="06B2570B"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 xml:space="preserve">Is there a requirement to submit additional information beyond the volume of prescribing of the product? </w:t>
            </w:r>
          </w:p>
        </w:tc>
        <w:tc>
          <w:tcPr>
            <w:tcW w:w="1135" w:type="dxa"/>
            <w:tcBorders>
              <w:bottom w:val="single" w:sz="4" w:space="0" w:color="auto"/>
            </w:tcBorders>
            <w:shd w:val="clear" w:color="auto" w:fill="auto"/>
          </w:tcPr>
          <w:p w14:paraId="02C1F6B9"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57F549D9" w14:textId="77777777" w:rsidTr="00332207">
        <w:trPr>
          <w:trHeight w:val="230"/>
        </w:trPr>
        <w:tc>
          <w:tcPr>
            <w:tcW w:w="9072" w:type="dxa"/>
            <w:gridSpan w:val="8"/>
            <w:tcBorders>
              <w:bottom w:val="single" w:sz="4" w:space="0" w:color="auto"/>
            </w:tcBorders>
            <w:shd w:val="clear" w:color="auto" w:fill="DEEAF6"/>
          </w:tcPr>
          <w:p w14:paraId="61223D99" w14:textId="5464D20D"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Are there any requirement</w:t>
            </w:r>
            <w:r w:rsidR="00913B79">
              <w:rPr>
                <w:rFonts w:eastAsia="Calibri"/>
                <w:b/>
                <w:color w:val="000000"/>
                <w:sz w:val="22"/>
                <w:szCs w:val="22"/>
              </w:rPr>
              <w:t>s</w:t>
            </w:r>
            <w:r w:rsidRPr="00CB0EAA">
              <w:rPr>
                <w:rFonts w:eastAsia="Calibri"/>
                <w:b/>
                <w:color w:val="000000"/>
                <w:sz w:val="22"/>
                <w:szCs w:val="22"/>
              </w:rPr>
              <w:t xml:space="preserve"> to collect patient specific data? </w:t>
            </w:r>
          </w:p>
        </w:tc>
        <w:tc>
          <w:tcPr>
            <w:tcW w:w="1135" w:type="dxa"/>
            <w:tcBorders>
              <w:bottom w:val="single" w:sz="4" w:space="0" w:color="auto"/>
            </w:tcBorders>
            <w:shd w:val="clear" w:color="auto" w:fill="auto"/>
          </w:tcPr>
          <w:p w14:paraId="79A2070C"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5735EAF2" w14:textId="77777777" w:rsidTr="00CB0EAA">
        <w:trPr>
          <w:trHeight w:val="230"/>
        </w:trPr>
        <w:tc>
          <w:tcPr>
            <w:tcW w:w="10207" w:type="dxa"/>
            <w:gridSpan w:val="9"/>
            <w:tcBorders>
              <w:top w:val="nil"/>
              <w:left w:val="nil"/>
              <w:bottom w:val="single" w:sz="4" w:space="0" w:color="auto"/>
              <w:right w:val="nil"/>
            </w:tcBorders>
            <w:shd w:val="clear" w:color="auto" w:fill="auto"/>
          </w:tcPr>
          <w:p w14:paraId="781EF8A6" w14:textId="77777777" w:rsidR="00CB0EAA" w:rsidRPr="00CB0EAA" w:rsidRDefault="00CB0EAA" w:rsidP="00CB0EAA">
            <w:pPr>
              <w:spacing w:before="120" w:after="120" w:line="250" w:lineRule="auto"/>
              <w:ind w:left="11" w:hanging="11"/>
              <w:rPr>
                <w:rFonts w:eastAsia="Calibri"/>
                <w:b/>
                <w:color w:val="000000"/>
                <w:sz w:val="22"/>
                <w:szCs w:val="22"/>
              </w:rPr>
            </w:pPr>
            <w:r w:rsidRPr="00CB0EAA">
              <w:rPr>
                <w:rFonts w:eastAsia="Calibri"/>
                <w:b/>
                <w:color w:val="000000"/>
                <w:sz w:val="22"/>
                <w:szCs w:val="22"/>
              </w:rPr>
              <w:t>Other Considerations:</w:t>
            </w:r>
          </w:p>
        </w:tc>
      </w:tr>
      <w:tr w:rsidR="00CB0EAA" w:rsidRPr="00CB0EAA" w14:paraId="271EC539" w14:textId="77777777" w:rsidTr="00CB0EAA">
        <w:trPr>
          <w:trHeight w:val="230"/>
        </w:trPr>
        <w:tc>
          <w:tcPr>
            <w:tcW w:w="5454" w:type="dxa"/>
            <w:gridSpan w:val="6"/>
            <w:tcBorders>
              <w:top w:val="single" w:sz="4" w:space="0" w:color="auto"/>
            </w:tcBorders>
            <w:shd w:val="clear" w:color="auto" w:fill="DEEAF6"/>
          </w:tcPr>
          <w:p w14:paraId="4A831C75" w14:textId="77777777" w:rsidR="00CB0EAA" w:rsidRPr="00CB0EAA" w:rsidRDefault="00CB0EAA" w:rsidP="00CB0EAA">
            <w:pPr>
              <w:spacing w:after="113" w:line="250" w:lineRule="auto"/>
              <w:ind w:left="10" w:hanging="10"/>
              <w:contextualSpacing/>
              <w:rPr>
                <w:rFonts w:eastAsia="Calibri"/>
                <w:b/>
                <w:color w:val="000000"/>
                <w:sz w:val="22"/>
                <w:szCs w:val="22"/>
              </w:rPr>
            </w:pPr>
            <w:proofErr w:type="spellStart"/>
            <w:r w:rsidRPr="00CB0EAA">
              <w:rPr>
                <w:rFonts w:eastAsia="Calibri"/>
                <w:b/>
                <w:color w:val="000000"/>
                <w:sz w:val="22"/>
                <w:szCs w:val="22"/>
              </w:rPr>
              <w:t>PrescQIPP</w:t>
            </w:r>
            <w:proofErr w:type="spellEnd"/>
            <w:r w:rsidRPr="00CB0EAA">
              <w:rPr>
                <w:rFonts w:eastAsia="Calibri"/>
                <w:b/>
                <w:color w:val="000000"/>
                <w:sz w:val="22"/>
                <w:szCs w:val="22"/>
              </w:rPr>
              <w:t xml:space="preserve"> Pharmaceutical Industry Scheme Governance Board assessment</w:t>
            </w:r>
          </w:p>
        </w:tc>
        <w:tc>
          <w:tcPr>
            <w:tcW w:w="4753" w:type="dxa"/>
            <w:gridSpan w:val="3"/>
            <w:tcBorders>
              <w:top w:val="single" w:sz="4" w:space="0" w:color="auto"/>
            </w:tcBorders>
            <w:shd w:val="clear" w:color="auto" w:fill="auto"/>
          </w:tcPr>
          <w:p w14:paraId="22E7867A"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48AC96CC" w14:textId="77777777" w:rsidTr="00CB0EAA">
        <w:trPr>
          <w:trHeight w:val="230"/>
        </w:trPr>
        <w:tc>
          <w:tcPr>
            <w:tcW w:w="5454" w:type="dxa"/>
            <w:gridSpan w:val="6"/>
            <w:tcBorders>
              <w:top w:val="single" w:sz="4" w:space="0" w:color="auto"/>
            </w:tcBorders>
            <w:shd w:val="clear" w:color="auto" w:fill="DEEAF6"/>
          </w:tcPr>
          <w:p w14:paraId="6280D972"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No. of years scheme is available? (Is it &gt;2 years?)</w:t>
            </w:r>
          </w:p>
        </w:tc>
        <w:tc>
          <w:tcPr>
            <w:tcW w:w="4753" w:type="dxa"/>
            <w:gridSpan w:val="3"/>
            <w:tcBorders>
              <w:top w:val="single" w:sz="4" w:space="0" w:color="auto"/>
            </w:tcBorders>
            <w:shd w:val="clear" w:color="auto" w:fill="auto"/>
          </w:tcPr>
          <w:p w14:paraId="0422DE08" w14:textId="77777777" w:rsidR="00CB0EAA" w:rsidRPr="00CB0EAA" w:rsidRDefault="00CB0EAA" w:rsidP="00CB0EAA">
            <w:pPr>
              <w:spacing w:after="113" w:line="250" w:lineRule="auto"/>
              <w:ind w:left="10" w:hanging="10"/>
              <w:contextualSpacing/>
              <w:rPr>
                <w:rFonts w:eastAsia="Calibri"/>
                <w:bCs/>
                <w:color w:val="000000"/>
                <w:sz w:val="22"/>
                <w:szCs w:val="22"/>
              </w:rPr>
            </w:pPr>
          </w:p>
        </w:tc>
      </w:tr>
      <w:tr w:rsidR="00CB0EAA" w:rsidRPr="00CB0EAA" w14:paraId="1F723F2D" w14:textId="77777777" w:rsidTr="00CB0EAA">
        <w:trPr>
          <w:trHeight w:val="230"/>
        </w:trPr>
        <w:tc>
          <w:tcPr>
            <w:tcW w:w="5454" w:type="dxa"/>
            <w:gridSpan w:val="6"/>
            <w:shd w:val="clear" w:color="auto" w:fill="DEEAF6"/>
          </w:tcPr>
          <w:p w14:paraId="2021EB4D"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Estimated potential savings (per patient and for ICB population per annum)?</w:t>
            </w:r>
          </w:p>
          <w:p w14:paraId="504C9E9F" w14:textId="77777777" w:rsidR="00CB0EAA" w:rsidRPr="00CB0EAA" w:rsidRDefault="00CB0EAA" w:rsidP="00CB0EAA">
            <w:pPr>
              <w:spacing w:after="113" w:line="250" w:lineRule="auto"/>
              <w:ind w:left="10" w:hanging="10"/>
              <w:contextualSpacing/>
              <w:rPr>
                <w:rFonts w:eastAsia="Calibri"/>
                <w:b/>
                <w:color w:val="FF0000"/>
                <w:sz w:val="22"/>
                <w:szCs w:val="22"/>
              </w:rPr>
            </w:pPr>
          </w:p>
          <w:p w14:paraId="266E15B3" w14:textId="77777777" w:rsidR="00CB0EAA" w:rsidRPr="00CB0EAA" w:rsidRDefault="00CB0EAA" w:rsidP="00CB0EAA">
            <w:pPr>
              <w:spacing w:after="113" w:line="250" w:lineRule="auto"/>
              <w:ind w:left="10" w:hanging="10"/>
              <w:contextualSpacing/>
              <w:rPr>
                <w:rFonts w:eastAsia="Calibri"/>
                <w:b/>
                <w:color w:val="FF0000"/>
                <w:sz w:val="22"/>
                <w:szCs w:val="22"/>
              </w:rPr>
            </w:pPr>
          </w:p>
          <w:p w14:paraId="684348FE" w14:textId="77777777" w:rsidR="00CB0EAA" w:rsidRPr="00CB0EAA" w:rsidRDefault="00CB0EAA" w:rsidP="00CB0EAA">
            <w:pPr>
              <w:spacing w:after="113" w:line="250" w:lineRule="auto"/>
              <w:ind w:left="10" w:hanging="10"/>
              <w:contextualSpacing/>
              <w:rPr>
                <w:rFonts w:eastAsia="Calibri"/>
                <w:b/>
                <w:color w:val="FF0000"/>
                <w:sz w:val="22"/>
                <w:szCs w:val="22"/>
              </w:rPr>
            </w:pPr>
          </w:p>
          <w:p w14:paraId="785437B9" w14:textId="636C9AD8" w:rsidR="00CB0EAA" w:rsidRPr="00CB0EAA" w:rsidRDefault="00CB0EAA" w:rsidP="00CB0EAA">
            <w:pPr>
              <w:spacing w:after="113" w:line="250" w:lineRule="auto"/>
              <w:ind w:left="10" w:hanging="10"/>
              <w:contextualSpacing/>
              <w:rPr>
                <w:rFonts w:eastAsia="Calibri"/>
                <w:b/>
                <w:color w:val="000000"/>
                <w:sz w:val="16"/>
                <w:szCs w:val="16"/>
              </w:rPr>
            </w:pPr>
            <w:r w:rsidRPr="00CB0EAA">
              <w:rPr>
                <w:rFonts w:eastAsia="Calibri"/>
                <w:b/>
                <w:color w:val="FF0000"/>
                <w:sz w:val="16"/>
                <w:szCs w:val="16"/>
              </w:rPr>
              <w:t>DETAIL IS 'COMMERCIAL IN CONFIDENCE': full detail to be considered by ICB Rebate Sub-group but I</w:t>
            </w:r>
            <w:r w:rsidR="00F37B65">
              <w:rPr>
                <w:rFonts w:eastAsia="Calibri"/>
                <w:b/>
                <w:color w:val="FF0000"/>
                <w:sz w:val="16"/>
                <w:szCs w:val="16"/>
              </w:rPr>
              <w:t>P</w:t>
            </w:r>
            <w:r w:rsidRPr="00CB0EAA">
              <w:rPr>
                <w:rFonts w:eastAsia="Calibri"/>
                <w:b/>
                <w:color w:val="FF0000"/>
                <w:sz w:val="16"/>
                <w:szCs w:val="16"/>
              </w:rPr>
              <w:t>MOC only to be advised if 'financially viable'</w:t>
            </w:r>
          </w:p>
        </w:tc>
        <w:tc>
          <w:tcPr>
            <w:tcW w:w="4753" w:type="dxa"/>
            <w:gridSpan w:val="3"/>
            <w:shd w:val="clear" w:color="auto" w:fill="auto"/>
          </w:tcPr>
          <w:p w14:paraId="51EAB349" w14:textId="77777777" w:rsidR="00CB0EAA" w:rsidRPr="00CB0EAA" w:rsidRDefault="00CB0EAA" w:rsidP="00CB0EAA">
            <w:pPr>
              <w:spacing w:after="113" w:line="250" w:lineRule="auto"/>
              <w:ind w:left="10" w:hanging="10"/>
              <w:contextualSpacing/>
              <w:rPr>
                <w:rFonts w:eastAsia="Calibri"/>
                <w:bCs/>
                <w:color w:val="000000"/>
                <w:sz w:val="22"/>
                <w:szCs w:val="22"/>
              </w:rPr>
            </w:pPr>
          </w:p>
          <w:p w14:paraId="33ECD3C2" w14:textId="77777777" w:rsidR="00CB0EAA" w:rsidRPr="00CB0EAA" w:rsidRDefault="00CB0EAA" w:rsidP="00CB0EAA">
            <w:pPr>
              <w:spacing w:after="113" w:line="250" w:lineRule="auto"/>
              <w:ind w:left="10" w:hanging="10"/>
              <w:contextualSpacing/>
              <w:rPr>
                <w:rFonts w:eastAsia="Calibri"/>
                <w:bCs/>
                <w:color w:val="000000"/>
                <w:sz w:val="22"/>
                <w:szCs w:val="22"/>
              </w:rPr>
            </w:pPr>
          </w:p>
          <w:p w14:paraId="1F8483F5" w14:textId="77777777" w:rsidR="00CB0EAA" w:rsidRPr="00CB0EAA" w:rsidRDefault="00CB0EAA" w:rsidP="00CB0EAA">
            <w:pPr>
              <w:spacing w:after="113" w:line="250" w:lineRule="auto"/>
              <w:ind w:left="10" w:hanging="10"/>
              <w:contextualSpacing/>
              <w:rPr>
                <w:rFonts w:eastAsia="Calibri"/>
                <w:bCs/>
                <w:color w:val="000000"/>
                <w:sz w:val="22"/>
                <w:szCs w:val="22"/>
              </w:rPr>
            </w:pPr>
          </w:p>
          <w:p w14:paraId="39C7169C" w14:textId="77777777" w:rsidR="00CB0EAA" w:rsidRPr="00CB0EAA" w:rsidRDefault="00CB0EAA" w:rsidP="00CB0EAA">
            <w:pPr>
              <w:spacing w:after="113" w:line="250" w:lineRule="auto"/>
              <w:ind w:left="10" w:hanging="10"/>
              <w:contextualSpacing/>
              <w:rPr>
                <w:rFonts w:eastAsia="Calibri"/>
                <w:bCs/>
                <w:color w:val="000000"/>
                <w:sz w:val="22"/>
                <w:szCs w:val="22"/>
              </w:rPr>
            </w:pPr>
          </w:p>
          <w:p w14:paraId="25BB38E3" w14:textId="77777777" w:rsidR="00CB0EAA" w:rsidRPr="00CB0EAA" w:rsidRDefault="00CB0EAA" w:rsidP="00CB0EAA">
            <w:pPr>
              <w:spacing w:after="113" w:line="250" w:lineRule="auto"/>
              <w:ind w:left="10" w:hanging="10"/>
              <w:contextualSpacing/>
              <w:rPr>
                <w:rFonts w:eastAsia="Calibri"/>
                <w:bCs/>
                <w:color w:val="000000"/>
                <w:sz w:val="22"/>
                <w:szCs w:val="22"/>
              </w:rPr>
            </w:pPr>
          </w:p>
          <w:p w14:paraId="1A822A9E" w14:textId="7FDBB76A" w:rsidR="00CB0EAA" w:rsidRPr="00CB0EAA" w:rsidRDefault="00CB0EAA" w:rsidP="00CB0EAA">
            <w:pPr>
              <w:spacing w:after="113" w:line="250" w:lineRule="auto"/>
              <w:ind w:left="10" w:hanging="10"/>
              <w:contextualSpacing/>
              <w:rPr>
                <w:rFonts w:eastAsia="Calibri"/>
                <w:b/>
                <w:color w:val="FF0000"/>
                <w:sz w:val="16"/>
                <w:szCs w:val="16"/>
              </w:rPr>
            </w:pPr>
            <w:r w:rsidRPr="00CB0EAA">
              <w:rPr>
                <w:rFonts w:eastAsia="Calibri"/>
                <w:b/>
                <w:color w:val="FF0000"/>
                <w:sz w:val="16"/>
                <w:szCs w:val="16"/>
              </w:rPr>
              <w:t>Limit detail for I</w:t>
            </w:r>
            <w:r w:rsidR="00F37B65">
              <w:rPr>
                <w:rFonts w:eastAsia="Calibri"/>
                <w:b/>
                <w:color w:val="FF0000"/>
                <w:sz w:val="16"/>
                <w:szCs w:val="16"/>
              </w:rPr>
              <w:t>P</w:t>
            </w:r>
            <w:r w:rsidRPr="00CB0EAA">
              <w:rPr>
                <w:rFonts w:eastAsia="Calibri"/>
                <w:b/>
                <w:color w:val="FF0000"/>
                <w:sz w:val="16"/>
                <w:szCs w:val="16"/>
              </w:rPr>
              <w:t>MOC to clarity if financially viable for ICB:</w:t>
            </w:r>
          </w:p>
          <w:p w14:paraId="0EA9B430" w14:textId="77777777" w:rsidR="00CB0EAA" w:rsidRPr="00CB0EAA" w:rsidRDefault="00CB0EAA" w:rsidP="00CB0EAA">
            <w:pPr>
              <w:spacing w:after="113" w:line="250" w:lineRule="auto"/>
              <w:ind w:left="10" w:hanging="10"/>
              <w:contextualSpacing/>
              <w:jc w:val="right"/>
              <w:rPr>
                <w:rFonts w:eastAsia="Calibri"/>
                <w:bCs/>
                <w:color w:val="000000"/>
                <w:sz w:val="22"/>
                <w:szCs w:val="22"/>
              </w:rPr>
            </w:pPr>
            <w:r w:rsidRPr="00CB0EAA">
              <w:rPr>
                <w:rFonts w:eastAsia="Calibri"/>
                <w:b/>
                <w:color w:val="FF0000"/>
                <w:sz w:val="16"/>
                <w:szCs w:val="16"/>
              </w:rPr>
              <w:t>YES / NO</w:t>
            </w:r>
          </w:p>
        </w:tc>
      </w:tr>
      <w:tr w:rsidR="00CB0EAA" w:rsidRPr="00CB0EAA" w14:paraId="207CBDE3" w14:textId="77777777" w:rsidTr="00CB0EAA">
        <w:trPr>
          <w:trHeight w:val="230"/>
        </w:trPr>
        <w:tc>
          <w:tcPr>
            <w:tcW w:w="5454" w:type="dxa"/>
            <w:gridSpan w:val="6"/>
            <w:shd w:val="clear" w:color="auto" w:fill="DEEAF6"/>
          </w:tcPr>
          <w:p w14:paraId="7CEE5B7D"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 xml:space="preserve">Have any other contractual or legal issues been identified during the evaluation? </w:t>
            </w:r>
          </w:p>
        </w:tc>
        <w:tc>
          <w:tcPr>
            <w:tcW w:w="4753" w:type="dxa"/>
            <w:gridSpan w:val="3"/>
            <w:shd w:val="clear" w:color="auto" w:fill="auto"/>
          </w:tcPr>
          <w:p w14:paraId="5F38C8D0" w14:textId="77777777" w:rsidR="00CB0EAA" w:rsidRPr="00CB0EAA" w:rsidRDefault="00CB0EAA" w:rsidP="00CB0EAA">
            <w:pPr>
              <w:spacing w:after="113" w:line="250" w:lineRule="auto"/>
              <w:ind w:left="10" w:hanging="10"/>
              <w:contextualSpacing/>
              <w:rPr>
                <w:rFonts w:eastAsia="Calibri"/>
                <w:bCs/>
                <w:color w:val="000000"/>
                <w:sz w:val="22"/>
                <w:szCs w:val="22"/>
              </w:rPr>
            </w:pPr>
          </w:p>
        </w:tc>
      </w:tr>
      <w:tr w:rsidR="00CB0EAA" w:rsidRPr="00CB0EAA" w14:paraId="3846A24F" w14:textId="77777777" w:rsidTr="00CB0EAA">
        <w:trPr>
          <w:trHeight w:val="1104"/>
        </w:trPr>
        <w:tc>
          <w:tcPr>
            <w:tcW w:w="10207" w:type="dxa"/>
            <w:gridSpan w:val="9"/>
            <w:shd w:val="clear" w:color="auto" w:fill="auto"/>
          </w:tcPr>
          <w:p w14:paraId="6C8D7DA3" w14:textId="77777777" w:rsidR="00CB0EAA" w:rsidRPr="00CB0EAA" w:rsidRDefault="00CB0EAA" w:rsidP="00CB0EAA">
            <w:pPr>
              <w:spacing w:after="120" w:line="250" w:lineRule="auto"/>
              <w:ind w:left="11" w:hanging="11"/>
              <w:rPr>
                <w:rFonts w:eastAsia="Calibri"/>
                <w:b/>
                <w:color w:val="000000"/>
                <w:sz w:val="22"/>
                <w:szCs w:val="22"/>
              </w:rPr>
            </w:pPr>
            <w:r w:rsidRPr="00CB0EAA">
              <w:rPr>
                <w:rFonts w:eastAsia="Calibri"/>
                <w:b/>
                <w:color w:val="000000"/>
                <w:sz w:val="22"/>
                <w:szCs w:val="22"/>
              </w:rPr>
              <w:t>Further information. Including the following where relevant:</w:t>
            </w:r>
          </w:p>
          <w:p w14:paraId="0B19BDB2" w14:textId="77777777" w:rsidR="00CB0EAA" w:rsidRPr="00CB0EAA" w:rsidRDefault="00CB0EAA" w:rsidP="00CB0EAA">
            <w:pPr>
              <w:spacing w:after="113" w:line="250" w:lineRule="auto"/>
              <w:ind w:left="10" w:hanging="10"/>
              <w:contextualSpacing/>
              <w:rPr>
                <w:rFonts w:eastAsia="Calibri"/>
                <w:b/>
                <w:i/>
                <w:color w:val="000000"/>
                <w:sz w:val="22"/>
                <w:szCs w:val="22"/>
              </w:rPr>
            </w:pPr>
            <w:r w:rsidRPr="00CB0EAA">
              <w:rPr>
                <w:rFonts w:eastAsia="Calibri"/>
                <w:b/>
                <w:i/>
                <w:color w:val="000000"/>
                <w:sz w:val="22"/>
                <w:szCs w:val="22"/>
              </w:rPr>
              <w:t xml:space="preserve">• Administrative burden: </w:t>
            </w:r>
          </w:p>
          <w:p w14:paraId="758F034B" w14:textId="77777777" w:rsidR="00CB0EAA" w:rsidRPr="00CB0EAA" w:rsidRDefault="00CB0EAA" w:rsidP="00CB0EAA">
            <w:pPr>
              <w:spacing w:after="113" w:line="250" w:lineRule="auto"/>
              <w:ind w:left="10" w:hanging="10"/>
              <w:contextualSpacing/>
              <w:rPr>
                <w:rFonts w:eastAsia="Calibri"/>
                <w:b/>
                <w:i/>
                <w:color w:val="000000"/>
                <w:sz w:val="22"/>
                <w:szCs w:val="22"/>
              </w:rPr>
            </w:pPr>
            <w:r w:rsidRPr="00CB0EAA">
              <w:rPr>
                <w:rFonts w:eastAsia="Calibri"/>
                <w:b/>
                <w:i/>
                <w:color w:val="000000"/>
                <w:sz w:val="22"/>
                <w:szCs w:val="22"/>
              </w:rPr>
              <w:t xml:space="preserve">• Governance issues: </w:t>
            </w:r>
          </w:p>
          <w:p w14:paraId="0A7E45D7" w14:textId="77777777" w:rsidR="00CB0EAA" w:rsidRPr="00CB0EAA" w:rsidRDefault="00CB0EAA" w:rsidP="00CB0EAA">
            <w:pPr>
              <w:spacing w:after="113" w:line="250" w:lineRule="auto"/>
              <w:ind w:left="10" w:hanging="10"/>
              <w:contextualSpacing/>
              <w:rPr>
                <w:rFonts w:eastAsia="Calibri"/>
                <w:b/>
                <w:i/>
                <w:color w:val="000000"/>
                <w:sz w:val="22"/>
                <w:szCs w:val="22"/>
              </w:rPr>
            </w:pPr>
            <w:r w:rsidRPr="00CB0EAA">
              <w:rPr>
                <w:rFonts w:eastAsia="Calibri"/>
                <w:b/>
                <w:i/>
                <w:color w:val="000000"/>
                <w:sz w:val="22"/>
                <w:szCs w:val="22"/>
              </w:rPr>
              <w:t xml:space="preserve">• Freedom of Information issues: </w:t>
            </w:r>
          </w:p>
          <w:p w14:paraId="294A0AAB" w14:textId="77777777" w:rsidR="00CB0EAA" w:rsidRPr="00CB0EAA" w:rsidRDefault="00CB0EAA" w:rsidP="00CB0EAA">
            <w:pPr>
              <w:spacing w:after="113" w:line="250" w:lineRule="auto"/>
              <w:ind w:left="10" w:hanging="10"/>
              <w:contextualSpacing/>
              <w:rPr>
                <w:rFonts w:eastAsia="Calibri"/>
                <w:b/>
                <w:i/>
                <w:color w:val="000000"/>
                <w:sz w:val="22"/>
                <w:szCs w:val="22"/>
              </w:rPr>
            </w:pPr>
            <w:r w:rsidRPr="00CB0EAA">
              <w:rPr>
                <w:rFonts w:eastAsia="Calibri"/>
                <w:b/>
                <w:i/>
                <w:color w:val="000000"/>
                <w:sz w:val="22"/>
                <w:szCs w:val="22"/>
              </w:rPr>
              <w:t xml:space="preserve">• Any other pertinent issues: </w:t>
            </w:r>
          </w:p>
          <w:p w14:paraId="1888197D" w14:textId="77777777" w:rsidR="00CB0EAA" w:rsidRPr="00CB0EAA" w:rsidRDefault="00CB0EAA" w:rsidP="00CB0EAA">
            <w:pPr>
              <w:spacing w:after="113" w:line="250" w:lineRule="auto"/>
              <w:ind w:left="360" w:hanging="10"/>
              <w:contextualSpacing/>
              <w:rPr>
                <w:rFonts w:eastAsia="Calibri"/>
                <w:b/>
                <w:color w:val="000000"/>
                <w:sz w:val="22"/>
                <w:szCs w:val="22"/>
              </w:rPr>
            </w:pPr>
          </w:p>
        </w:tc>
      </w:tr>
      <w:tr w:rsidR="00CB0EAA" w:rsidRPr="00CB0EAA" w14:paraId="11B61820" w14:textId="77777777" w:rsidTr="00CB0EAA">
        <w:trPr>
          <w:trHeight w:val="1104"/>
        </w:trPr>
        <w:tc>
          <w:tcPr>
            <w:tcW w:w="10207" w:type="dxa"/>
            <w:gridSpan w:val="9"/>
            <w:tcBorders>
              <w:bottom w:val="single" w:sz="4" w:space="0" w:color="auto"/>
            </w:tcBorders>
            <w:shd w:val="clear" w:color="auto" w:fill="auto"/>
          </w:tcPr>
          <w:p w14:paraId="08CD78A2"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lastRenderedPageBreak/>
              <w:t>Recommendation</w:t>
            </w:r>
          </w:p>
          <w:p w14:paraId="4D99A0B7" w14:textId="77777777" w:rsidR="00CB0EAA" w:rsidRPr="00CB0EAA" w:rsidRDefault="00CB0EAA" w:rsidP="00CB0EAA">
            <w:pPr>
              <w:spacing w:after="120" w:line="250" w:lineRule="auto"/>
              <w:ind w:left="11" w:hanging="11"/>
              <w:rPr>
                <w:rFonts w:eastAsia="Calibri"/>
                <w:bCs/>
                <w:color w:val="000000"/>
                <w:sz w:val="22"/>
                <w:szCs w:val="22"/>
              </w:rPr>
            </w:pPr>
            <w:r w:rsidRPr="00CB0EAA">
              <w:rPr>
                <w:rFonts w:eastAsia="Calibri"/>
                <w:bCs/>
                <w:color w:val="000000"/>
                <w:sz w:val="22"/>
                <w:szCs w:val="22"/>
              </w:rPr>
              <w:t xml:space="preserve">If </w:t>
            </w:r>
            <w:proofErr w:type="spellStart"/>
            <w:r w:rsidRPr="00CB0EAA">
              <w:rPr>
                <w:rFonts w:eastAsia="Calibri"/>
                <w:bCs/>
                <w:color w:val="000000"/>
                <w:sz w:val="22"/>
                <w:szCs w:val="22"/>
              </w:rPr>
              <w:t>PrescQIPP</w:t>
            </w:r>
            <w:proofErr w:type="spellEnd"/>
            <w:r w:rsidRPr="00CB0EAA">
              <w:rPr>
                <w:rFonts w:eastAsia="Calibri"/>
                <w:bCs/>
                <w:color w:val="000000"/>
                <w:sz w:val="22"/>
                <w:szCs w:val="22"/>
              </w:rPr>
              <w:t xml:space="preserve"> reviewed this PCRS, what was their recommendation?</w:t>
            </w:r>
          </w:p>
          <w:p w14:paraId="19B7595C" w14:textId="77777777" w:rsidR="00CB0EAA" w:rsidRPr="00CB0EAA" w:rsidRDefault="00CB0EAA" w:rsidP="00CB0EAA">
            <w:pPr>
              <w:spacing w:after="120" w:line="250" w:lineRule="auto"/>
              <w:ind w:left="11" w:hanging="11"/>
              <w:rPr>
                <w:rFonts w:eastAsia="Calibri"/>
                <w:b/>
                <w:color w:val="000000"/>
                <w:sz w:val="22"/>
                <w:szCs w:val="22"/>
              </w:rPr>
            </w:pPr>
          </w:p>
          <w:p w14:paraId="29EBDFD6" w14:textId="77777777" w:rsidR="00CB0EAA" w:rsidRPr="00CB0EAA" w:rsidRDefault="00CB0EAA" w:rsidP="00CB0EAA">
            <w:pPr>
              <w:spacing w:after="120" w:line="250" w:lineRule="auto"/>
              <w:ind w:left="11" w:hanging="11"/>
              <w:rPr>
                <w:rFonts w:eastAsia="Calibri"/>
                <w:bCs/>
                <w:color w:val="000000"/>
                <w:sz w:val="22"/>
                <w:szCs w:val="22"/>
              </w:rPr>
            </w:pPr>
            <w:r w:rsidRPr="00CB0EAA">
              <w:rPr>
                <w:rFonts w:eastAsia="Calibri"/>
                <w:bCs/>
                <w:color w:val="000000"/>
                <w:sz w:val="22"/>
                <w:szCs w:val="22"/>
              </w:rPr>
              <w:t>If MMT/MOT reviewed this PCRS, what was their recommendation?</w:t>
            </w:r>
          </w:p>
          <w:p w14:paraId="58F6DE2C" w14:textId="77777777" w:rsidR="00CB0EAA" w:rsidRPr="00CB0EAA" w:rsidRDefault="00CB0EAA" w:rsidP="00CB0EAA">
            <w:pPr>
              <w:spacing w:after="120" w:line="250" w:lineRule="auto"/>
              <w:rPr>
                <w:rFonts w:eastAsia="Calibri"/>
                <w:b/>
                <w:color w:val="000000"/>
                <w:sz w:val="22"/>
                <w:szCs w:val="22"/>
              </w:rPr>
            </w:pPr>
          </w:p>
        </w:tc>
      </w:tr>
      <w:tr w:rsidR="00CB0EAA" w:rsidRPr="00CB0EAA" w14:paraId="0572CB89" w14:textId="77777777" w:rsidTr="00CB0EAA">
        <w:trPr>
          <w:trHeight w:val="359"/>
        </w:trPr>
        <w:tc>
          <w:tcPr>
            <w:tcW w:w="1280" w:type="dxa"/>
            <w:shd w:val="clear" w:color="auto" w:fill="DEEAF6"/>
          </w:tcPr>
          <w:p w14:paraId="11C84ACF" w14:textId="77777777" w:rsidR="00CB0EAA" w:rsidRPr="00CB0EAA" w:rsidRDefault="00CB0EAA" w:rsidP="00CB0EAA">
            <w:pPr>
              <w:spacing w:before="120" w:after="120" w:line="250" w:lineRule="auto"/>
              <w:ind w:left="11" w:hanging="11"/>
              <w:rPr>
                <w:rFonts w:eastAsia="Calibri"/>
                <w:b/>
                <w:color w:val="000000"/>
                <w:sz w:val="22"/>
                <w:szCs w:val="22"/>
              </w:rPr>
            </w:pPr>
            <w:r w:rsidRPr="00CB0EAA">
              <w:rPr>
                <w:rFonts w:eastAsia="Calibri"/>
                <w:b/>
                <w:color w:val="000000"/>
                <w:sz w:val="22"/>
                <w:szCs w:val="22"/>
              </w:rPr>
              <w:t>Rationale:</w:t>
            </w:r>
          </w:p>
        </w:tc>
        <w:tc>
          <w:tcPr>
            <w:tcW w:w="8927" w:type="dxa"/>
            <w:gridSpan w:val="8"/>
            <w:shd w:val="clear" w:color="auto" w:fill="auto"/>
          </w:tcPr>
          <w:p w14:paraId="4BEAB01B"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5FF8F268" w14:textId="77777777" w:rsidTr="00CB0EAA">
        <w:trPr>
          <w:trHeight w:val="673"/>
        </w:trPr>
        <w:tc>
          <w:tcPr>
            <w:tcW w:w="2839" w:type="dxa"/>
            <w:gridSpan w:val="3"/>
            <w:shd w:val="clear" w:color="auto" w:fill="DEEAF6"/>
          </w:tcPr>
          <w:p w14:paraId="1FF70470" w14:textId="77777777" w:rsidR="00CB0EAA" w:rsidRPr="00CB0EAA" w:rsidRDefault="00CB0EAA" w:rsidP="00CB0EAA">
            <w:pPr>
              <w:tabs>
                <w:tab w:val="left" w:pos="0"/>
              </w:tabs>
              <w:spacing w:before="120" w:line="250" w:lineRule="auto"/>
              <w:ind w:left="11" w:right="-113" w:hanging="11"/>
              <w:rPr>
                <w:rFonts w:eastAsia="Calibri"/>
                <w:b/>
                <w:color w:val="000000"/>
                <w:sz w:val="22"/>
                <w:szCs w:val="22"/>
              </w:rPr>
            </w:pPr>
            <w:r w:rsidRPr="00CB0EAA">
              <w:rPr>
                <w:rFonts w:eastAsia="Calibri"/>
                <w:b/>
                <w:color w:val="000000"/>
                <w:sz w:val="22"/>
                <w:szCs w:val="22"/>
              </w:rPr>
              <w:t>Evaluation carried out by:</w:t>
            </w:r>
          </w:p>
          <w:p w14:paraId="627202F8" w14:textId="77777777" w:rsidR="00CB0EAA" w:rsidRPr="00CB0EAA" w:rsidRDefault="00CB0EAA" w:rsidP="00CB0EAA">
            <w:pPr>
              <w:spacing w:after="120" w:line="250" w:lineRule="auto"/>
              <w:ind w:left="11" w:hanging="11"/>
              <w:rPr>
                <w:rFonts w:eastAsia="Calibri"/>
                <w:bCs/>
                <w:color w:val="000000"/>
                <w:sz w:val="22"/>
                <w:szCs w:val="22"/>
              </w:rPr>
            </w:pPr>
            <w:r w:rsidRPr="00CB0EAA">
              <w:rPr>
                <w:rFonts w:eastAsia="Calibri"/>
                <w:bCs/>
                <w:color w:val="000000"/>
                <w:sz w:val="22"/>
                <w:szCs w:val="22"/>
              </w:rPr>
              <w:t>(Name, Title &amp; Date)</w:t>
            </w:r>
          </w:p>
        </w:tc>
        <w:tc>
          <w:tcPr>
            <w:tcW w:w="7368" w:type="dxa"/>
            <w:gridSpan w:val="6"/>
            <w:shd w:val="clear" w:color="auto" w:fill="auto"/>
          </w:tcPr>
          <w:p w14:paraId="4AE8CC78" w14:textId="77777777" w:rsidR="00CB0EAA" w:rsidRPr="00CB0EAA" w:rsidRDefault="00CB0EAA" w:rsidP="00CB0EAA">
            <w:pPr>
              <w:spacing w:after="113" w:line="250" w:lineRule="auto"/>
              <w:ind w:left="10" w:hanging="10"/>
              <w:contextualSpacing/>
              <w:rPr>
                <w:rFonts w:eastAsia="Calibri"/>
                <w:bCs/>
                <w:color w:val="000000"/>
                <w:sz w:val="22"/>
                <w:szCs w:val="22"/>
              </w:rPr>
            </w:pPr>
          </w:p>
        </w:tc>
      </w:tr>
      <w:tr w:rsidR="00CB0EAA" w:rsidRPr="00CB0EAA" w14:paraId="4745C2DB" w14:textId="77777777" w:rsidTr="00CB0EAA">
        <w:trPr>
          <w:trHeight w:val="555"/>
        </w:trPr>
        <w:tc>
          <w:tcPr>
            <w:tcW w:w="2839" w:type="dxa"/>
            <w:gridSpan w:val="3"/>
            <w:tcBorders>
              <w:bottom w:val="single" w:sz="4" w:space="0" w:color="auto"/>
            </w:tcBorders>
            <w:shd w:val="clear" w:color="auto" w:fill="DEEAF6"/>
          </w:tcPr>
          <w:p w14:paraId="6C785F50" w14:textId="77777777" w:rsidR="00CB0EAA" w:rsidRPr="00CB0EAA" w:rsidRDefault="00CB0EAA" w:rsidP="00CB0EAA">
            <w:pPr>
              <w:spacing w:before="120" w:line="250" w:lineRule="auto"/>
              <w:ind w:left="11" w:hanging="11"/>
              <w:rPr>
                <w:rFonts w:eastAsia="Calibri"/>
                <w:b/>
                <w:color w:val="000000"/>
                <w:sz w:val="22"/>
                <w:szCs w:val="22"/>
              </w:rPr>
            </w:pPr>
            <w:r w:rsidRPr="00CB0EAA">
              <w:rPr>
                <w:rFonts w:eastAsia="Calibri"/>
                <w:b/>
                <w:color w:val="000000"/>
                <w:sz w:val="22"/>
                <w:szCs w:val="22"/>
              </w:rPr>
              <w:t>Reviewed by:</w:t>
            </w:r>
          </w:p>
          <w:p w14:paraId="60ED709A" w14:textId="77777777" w:rsidR="00CB0EAA" w:rsidRPr="00CB0EAA" w:rsidRDefault="00CB0EAA" w:rsidP="00CB0EAA">
            <w:pPr>
              <w:spacing w:after="120" w:line="250" w:lineRule="auto"/>
              <w:ind w:left="11" w:hanging="11"/>
              <w:rPr>
                <w:rFonts w:eastAsia="Calibri"/>
                <w:bCs/>
                <w:color w:val="000000"/>
                <w:sz w:val="22"/>
                <w:szCs w:val="22"/>
              </w:rPr>
            </w:pPr>
            <w:r w:rsidRPr="00CB0EAA">
              <w:rPr>
                <w:rFonts w:eastAsia="Calibri"/>
                <w:bCs/>
                <w:color w:val="000000"/>
                <w:sz w:val="22"/>
                <w:szCs w:val="22"/>
              </w:rPr>
              <w:t>(Name, Title &amp; Date)</w:t>
            </w:r>
          </w:p>
        </w:tc>
        <w:tc>
          <w:tcPr>
            <w:tcW w:w="7368" w:type="dxa"/>
            <w:gridSpan w:val="6"/>
            <w:tcBorders>
              <w:bottom w:val="single" w:sz="4" w:space="0" w:color="auto"/>
            </w:tcBorders>
            <w:shd w:val="clear" w:color="auto" w:fill="auto"/>
          </w:tcPr>
          <w:p w14:paraId="1005BD8F" w14:textId="77777777" w:rsidR="00CB0EAA" w:rsidRPr="00CB0EAA" w:rsidRDefault="00CB0EAA" w:rsidP="00CB0EAA">
            <w:pPr>
              <w:spacing w:after="113" w:line="250" w:lineRule="auto"/>
              <w:ind w:left="10" w:hanging="10"/>
              <w:contextualSpacing/>
              <w:rPr>
                <w:rFonts w:eastAsia="Calibri"/>
                <w:b/>
                <w:color w:val="000000"/>
                <w:sz w:val="22"/>
                <w:szCs w:val="22"/>
              </w:rPr>
            </w:pPr>
          </w:p>
        </w:tc>
      </w:tr>
      <w:tr w:rsidR="00CB0EAA" w:rsidRPr="00CB0EAA" w14:paraId="789E2E7F" w14:textId="77777777" w:rsidTr="00CB0EAA">
        <w:trPr>
          <w:trHeight w:val="70"/>
        </w:trPr>
        <w:tc>
          <w:tcPr>
            <w:tcW w:w="10207" w:type="dxa"/>
            <w:gridSpan w:val="9"/>
            <w:tcBorders>
              <w:left w:val="nil"/>
              <w:bottom w:val="single" w:sz="12" w:space="0" w:color="auto"/>
              <w:right w:val="nil"/>
            </w:tcBorders>
            <w:shd w:val="clear" w:color="auto" w:fill="auto"/>
          </w:tcPr>
          <w:p w14:paraId="5A513655" w14:textId="77777777" w:rsidR="00CB0EAA" w:rsidRPr="00CB0EAA" w:rsidRDefault="00CB0EAA" w:rsidP="00CB0EAA">
            <w:pPr>
              <w:spacing w:line="250" w:lineRule="auto"/>
              <w:ind w:left="11" w:hanging="11"/>
              <w:jc w:val="center"/>
              <w:rPr>
                <w:rFonts w:eastAsia="Calibri"/>
                <w:b/>
                <w:color w:val="000000"/>
                <w:sz w:val="22"/>
                <w:szCs w:val="22"/>
              </w:rPr>
            </w:pPr>
          </w:p>
        </w:tc>
      </w:tr>
      <w:tr w:rsidR="00CB0EAA" w:rsidRPr="00CB0EAA" w14:paraId="3BD3F72E" w14:textId="77777777" w:rsidTr="00CB0EAA">
        <w:trPr>
          <w:trHeight w:val="117"/>
        </w:trPr>
        <w:tc>
          <w:tcPr>
            <w:tcW w:w="4822" w:type="dxa"/>
            <w:gridSpan w:val="5"/>
            <w:tcBorders>
              <w:top w:val="single" w:sz="12" w:space="0" w:color="auto"/>
              <w:left w:val="single" w:sz="12" w:space="0" w:color="auto"/>
              <w:bottom w:val="single" w:sz="4" w:space="0" w:color="auto"/>
              <w:right w:val="single" w:sz="4" w:space="0" w:color="auto"/>
            </w:tcBorders>
            <w:shd w:val="clear" w:color="auto" w:fill="FFC000"/>
          </w:tcPr>
          <w:p w14:paraId="676AB33F"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ICB Rebate Sub-</w:t>
            </w:r>
            <w:proofErr w:type="gramStart"/>
            <w:r w:rsidRPr="00CB0EAA">
              <w:rPr>
                <w:rFonts w:eastAsia="Calibri"/>
                <w:b/>
                <w:color w:val="000000"/>
                <w:sz w:val="22"/>
                <w:szCs w:val="22"/>
              </w:rPr>
              <w:t>group</w:t>
            </w:r>
            <w:proofErr w:type="gramEnd"/>
          </w:p>
          <w:p w14:paraId="036B747F" w14:textId="77777777" w:rsidR="00CB0EAA" w:rsidRPr="00CB0EAA" w:rsidRDefault="00CB0EAA" w:rsidP="00CB0EAA">
            <w:pPr>
              <w:spacing w:after="113" w:line="250" w:lineRule="auto"/>
              <w:ind w:left="10" w:hanging="10"/>
              <w:contextualSpacing/>
              <w:rPr>
                <w:rFonts w:eastAsia="Calibri"/>
                <w:b/>
                <w:color w:val="000000"/>
                <w:sz w:val="22"/>
                <w:szCs w:val="22"/>
              </w:rPr>
            </w:pPr>
            <w:r w:rsidRPr="00CB0EAA">
              <w:rPr>
                <w:rFonts w:eastAsia="Calibri"/>
                <w:b/>
                <w:color w:val="000000"/>
                <w:sz w:val="22"/>
                <w:szCs w:val="22"/>
              </w:rPr>
              <w:t xml:space="preserve"> </w:t>
            </w:r>
          </w:p>
        </w:tc>
        <w:tc>
          <w:tcPr>
            <w:tcW w:w="5385" w:type="dxa"/>
            <w:gridSpan w:val="4"/>
            <w:tcBorders>
              <w:top w:val="single" w:sz="12" w:space="0" w:color="auto"/>
              <w:left w:val="single" w:sz="4" w:space="0" w:color="auto"/>
              <w:bottom w:val="single" w:sz="4" w:space="0" w:color="auto"/>
              <w:right w:val="single" w:sz="12" w:space="0" w:color="auto"/>
            </w:tcBorders>
            <w:shd w:val="clear" w:color="auto" w:fill="FFE599"/>
          </w:tcPr>
          <w:p w14:paraId="4C60E23C" w14:textId="77777777" w:rsidR="00CB0EAA" w:rsidRPr="00CB0EAA" w:rsidRDefault="00CB0EAA" w:rsidP="00CB0EAA">
            <w:pPr>
              <w:spacing w:before="60" w:after="60" w:line="250" w:lineRule="auto"/>
              <w:ind w:left="11" w:hanging="11"/>
              <w:jc w:val="center"/>
              <w:rPr>
                <w:rFonts w:eastAsia="Calibri"/>
                <w:b/>
                <w:color w:val="000000"/>
                <w:sz w:val="22"/>
                <w:szCs w:val="22"/>
              </w:rPr>
            </w:pPr>
            <w:r w:rsidRPr="00CB0EAA">
              <w:rPr>
                <w:rFonts w:eastAsia="Calibri"/>
                <w:b/>
                <w:color w:val="000000"/>
                <w:sz w:val="22"/>
                <w:szCs w:val="22"/>
              </w:rPr>
              <w:t>Recommendation to approve:</w:t>
            </w:r>
          </w:p>
        </w:tc>
      </w:tr>
      <w:tr w:rsidR="00CB0EAA" w:rsidRPr="00CB0EAA" w14:paraId="76F36B13" w14:textId="77777777" w:rsidTr="00CB0EAA">
        <w:trPr>
          <w:trHeight w:val="437"/>
        </w:trPr>
        <w:tc>
          <w:tcPr>
            <w:tcW w:w="2839" w:type="dxa"/>
            <w:gridSpan w:val="3"/>
            <w:tcBorders>
              <w:top w:val="single" w:sz="4" w:space="0" w:color="auto"/>
              <w:left w:val="single" w:sz="12" w:space="0" w:color="auto"/>
              <w:bottom w:val="single" w:sz="12" w:space="0" w:color="auto"/>
              <w:right w:val="single" w:sz="4" w:space="0" w:color="auto"/>
            </w:tcBorders>
            <w:shd w:val="clear" w:color="auto" w:fill="FFE599"/>
          </w:tcPr>
          <w:p w14:paraId="4DBE8251" w14:textId="77777777" w:rsidR="00CB0EAA" w:rsidRPr="00CB0EAA" w:rsidRDefault="00CB0EAA" w:rsidP="00CB0EAA">
            <w:pPr>
              <w:spacing w:before="120" w:after="120" w:line="250" w:lineRule="auto"/>
              <w:ind w:left="11" w:hanging="11"/>
              <w:jc w:val="right"/>
              <w:rPr>
                <w:rFonts w:eastAsia="Calibri"/>
                <w:b/>
                <w:color w:val="000000"/>
                <w:sz w:val="22"/>
                <w:szCs w:val="22"/>
              </w:rPr>
            </w:pPr>
            <w:r w:rsidRPr="00CB0EAA">
              <w:rPr>
                <w:rFonts w:eastAsia="Calibri"/>
                <w:b/>
                <w:color w:val="000000"/>
                <w:sz w:val="22"/>
                <w:szCs w:val="22"/>
              </w:rPr>
              <w:t>Date:</w:t>
            </w:r>
          </w:p>
        </w:tc>
        <w:tc>
          <w:tcPr>
            <w:tcW w:w="1983" w:type="dxa"/>
            <w:gridSpan w:val="2"/>
            <w:tcBorders>
              <w:top w:val="single" w:sz="4" w:space="0" w:color="auto"/>
              <w:bottom w:val="single" w:sz="12" w:space="0" w:color="auto"/>
              <w:right w:val="single" w:sz="4" w:space="0" w:color="auto"/>
            </w:tcBorders>
            <w:shd w:val="clear" w:color="auto" w:fill="auto"/>
          </w:tcPr>
          <w:p w14:paraId="209A38C4" w14:textId="77777777" w:rsidR="00CB0EAA" w:rsidRPr="00CB0EAA" w:rsidRDefault="00CB0EAA" w:rsidP="00CB0EAA">
            <w:pPr>
              <w:spacing w:after="113" w:line="250" w:lineRule="auto"/>
              <w:ind w:left="10" w:hanging="10"/>
              <w:rPr>
                <w:rFonts w:eastAsia="Calibri"/>
                <w:b/>
                <w:color w:val="000000"/>
                <w:sz w:val="22"/>
                <w:szCs w:val="22"/>
              </w:rPr>
            </w:pPr>
          </w:p>
        </w:tc>
        <w:tc>
          <w:tcPr>
            <w:tcW w:w="5385" w:type="dxa"/>
            <w:gridSpan w:val="4"/>
            <w:tcBorders>
              <w:top w:val="single" w:sz="4" w:space="0" w:color="auto"/>
              <w:left w:val="single" w:sz="4" w:space="0" w:color="auto"/>
              <w:bottom w:val="single" w:sz="12" w:space="0" w:color="auto"/>
              <w:right w:val="single" w:sz="12" w:space="0" w:color="auto"/>
            </w:tcBorders>
            <w:shd w:val="clear" w:color="auto" w:fill="auto"/>
          </w:tcPr>
          <w:p w14:paraId="57807ACA" w14:textId="77777777" w:rsidR="00CB0EAA" w:rsidRPr="00CB0EAA" w:rsidRDefault="00CB0EAA" w:rsidP="00CB0EAA">
            <w:pPr>
              <w:spacing w:before="120" w:after="120" w:line="250" w:lineRule="auto"/>
              <w:ind w:left="11" w:hanging="11"/>
              <w:jc w:val="center"/>
              <w:rPr>
                <w:rFonts w:eastAsia="Calibri"/>
                <w:b/>
                <w:color w:val="000000"/>
                <w:sz w:val="22"/>
                <w:szCs w:val="22"/>
              </w:rPr>
            </w:pPr>
            <w:r w:rsidRPr="00CB0EAA">
              <w:rPr>
                <w:rFonts w:eastAsia="Calibri"/>
                <w:b/>
                <w:color w:val="000000"/>
                <w:sz w:val="22"/>
                <w:szCs w:val="22"/>
              </w:rPr>
              <w:t>YES    or    NO</w:t>
            </w:r>
          </w:p>
        </w:tc>
      </w:tr>
      <w:tr w:rsidR="00CB0EAA" w:rsidRPr="00CB0EAA" w14:paraId="39889C98" w14:textId="77777777" w:rsidTr="00CB0EAA">
        <w:trPr>
          <w:trHeight w:val="70"/>
        </w:trPr>
        <w:tc>
          <w:tcPr>
            <w:tcW w:w="10207" w:type="dxa"/>
            <w:gridSpan w:val="9"/>
            <w:tcBorders>
              <w:top w:val="single" w:sz="12" w:space="0" w:color="auto"/>
              <w:left w:val="nil"/>
              <w:bottom w:val="single" w:sz="12" w:space="0" w:color="auto"/>
              <w:right w:val="nil"/>
            </w:tcBorders>
            <w:shd w:val="clear" w:color="auto" w:fill="auto"/>
          </w:tcPr>
          <w:p w14:paraId="735FB3FB" w14:textId="77777777" w:rsidR="00CB0EAA" w:rsidRPr="00CB0EAA" w:rsidRDefault="00CB0EAA" w:rsidP="00CB0EAA">
            <w:pPr>
              <w:spacing w:line="250" w:lineRule="auto"/>
              <w:ind w:left="11" w:hanging="11"/>
              <w:jc w:val="center"/>
              <w:rPr>
                <w:rFonts w:eastAsia="Calibri"/>
                <w:b/>
                <w:color w:val="000000"/>
                <w:sz w:val="22"/>
                <w:szCs w:val="22"/>
              </w:rPr>
            </w:pPr>
          </w:p>
        </w:tc>
      </w:tr>
      <w:tr w:rsidR="00CB0EAA" w:rsidRPr="00CB0EAA" w14:paraId="2BBF90D9" w14:textId="77777777" w:rsidTr="00CB0EAA">
        <w:trPr>
          <w:trHeight w:val="307"/>
        </w:trPr>
        <w:tc>
          <w:tcPr>
            <w:tcW w:w="10207" w:type="dxa"/>
            <w:gridSpan w:val="9"/>
            <w:tcBorders>
              <w:top w:val="single" w:sz="12" w:space="0" w:color="auto"/>
              <w:left w:val="single" w:sz="12" w:space="0" w:color="auto"/>
              <w:bottom w:val="single" w:sz="4" w:space="0" w:color="auto"/>
              <w:right w:val="single" w:sz="12" w:space="0" w:color="auto"/>
            </w:tcBorders>
            <w:shd w:val="clear" w:color="auto" w:fill="A8D08D"/>
          </w:tcPr>
          <w:p w14:paraId="48EC4929" w14:textId="56DA5685" w:rsidR="00CB0EAA" w:rsidRPr="00CB0EAA" w:rsidRDefault="00CB0EAA" w:rsidP="00CB0EAA">
            <w:pPr>
              <w:spacing w:before="120" w:after="120" w:line="250" w:lineRule="auto"/>
              <w:ind w:left="11" w:hanging="11"/>
              <w:rPr>
                <w:rFonts w:eastAsia="Calibri"/>
                <w:b/>
                <w:color w:val="000000"/>
                <w:sz w:val="22"/>
                <w:szCs w:val="22"/>
              </w:rPr>
            </w:pPr>
            <w:r w:rsidRPr="00CB0EAA">
              <w:rPr>
                <w:rFonts w:eastAsia="Arial"/>
                <w:b/>
                <w:color w:val="000000"/>
                <w:sz w:val="22"/>
                <w:szCs w:val="22"/>
              </w:rPr>
              <w:t xml:space="preserve">Discussion at H&amp;NY ICB's Integrated </w:t>
            </w:r>
            <w:r w:rsidR="00F37B65">
              <w:rPr>
                <w:rFonts w:eastAsia="Arial"/>
                <w:b/>
                <w:color w:val="000000"/>
                <w:sz w:val="22"/>
                <w:szCs w:val="22"/>
              </w:rPr>
              <w:t xml:space="preserve">Pharmacy and </w:t>
            </w:r>
            <w:r w:rsidRPr="00CB0EAA">
              <w:rPr>
                <w:rFonts w:eastAsia="Arial"/>
                <w:b/>
                <w:color w:val="000000"/>
                <w:sz w:val="22"/>
                <w:szCs w:val="22"/>
              </w:rPr>
              <w:t>Medicines Optimisation Committee</w:t>
            </w:r>
          </w:p>
        </w:tc>
      </w:tr>
      <w:tr w:rsidR="00CB0EAA" w:rsidRPr="00CB0EAA" w14:paraId="74F481C1" w14:textId="77777777" w:rsidTr="00CB0EAA">
        <w:trPr>
          <w:trHeight w:val="343"/>
        </w:trPr>
        <w:tc>
          <w:tcPr>
            <w:tcW w:w="7655" w:type="dxa"/>
            <w:gridSpan w:val="7"/>
            <w:tcBorders>
              <w:top w:val="single" w:sz="4" w:space="0" w:color="auto"/>
              <w:left w:val="single" w:sz="12" w:space="0" w:color="auto"/>
              <w:bottom w:val="single" w:sz="4" w:space="0" w:color="auto"/>
              <w:right w:val="single" w:sz="4" w:space="0" w:color="auto"/>
            </w:tcBorders>
            <w:shd w:val="clear" w:color="auto" w:fill="E2EFD9"/>
          </w:tcPr>
          <w:p w14:paraId="6F249E56" w14:textId="77777777" w:rsidR="00CB0EAA" w:rsidRPr="00CB0EAA" w:rsidRDefault="00CB0EAA" w:rsidP="00CB0EAA">
            <w:pPr>
              <w:spacing w:before="120" w:after="120" w:line="250" w:lineRule="auto"/>
              <w:ind w:left="11" w:hanging="11"/>
              <w:rPr>
                <w:rFonts w:eastAsia="Calibri"/>
                <w:b/>
                <w:color w:val="000000"/>
                <w:sz w:val="22"/>
                <w:szCs w:val="22"/>
              </w:rPr>
            </w:pPr>
            <w:r w:rsidRPr="00CB0EAA">
              <w:rPr>
                <w:rFonts w:eastAsia="Arial"/>
                <w:b/>
                <w:color w:val="000000"/>
                <w:sz w:val="22"/>
                <w:szCs w:val="22"/>
              </w:rPr>
              <w:t>The Committee does support the decision to agree to this primary care rebate scheme</w:t>
            </w:r>
          </w:p>
        </w:tc>
        <w:tc>
          <w:tcPr>
            <w:tcW w:w="2552" w:type="dxa"/>
            <w:gridSpan w:val="2"/>
            <w:tcBorders>
              <w:top w:val="single" w:sz="4" w:space="0" w:color="auto"/>
              <w:left w:val="single" w:sz="4" w:space="0" w:color="auto"/>
              <w:bottom w:val="single" w:sz="4" w:space="0" w:color="auto"/>
              <w:right w:val="single" w:sz="12" w:space="0" w:color="auto"/>
            </w:tcBorders>
            <w:shd w:val="clear" w:color="auto" w:fill="auto"/>
          </w:tcPr>
          <w:p w14:paraId="6ADB2A59" w14:textId="77777777" w:rsidR="00CB0EAA" w:rsidRPr="00CB0EAA" w:rsidRDefault="00CB0EAA" w:rsidP="00CB0EAA">
            <w:pPr>
              <w:spacing w:before="120" w:after="120" w:line="250" w:lineRule="auto"/>
              <w:ind w:left="11" w:hanging="11"/>
              <w:jc w:val="center"/>
              <w:rPr>
                <w:rFonts w:eastAsia="Calibri"/>
                <w:b/>
                <w:color w:val="000000"/>
                <w:sz w:val="22"/>
                <w:szCs w:val="22"/>
              </w:rPr>
            </w:pPr>
            <w:proofErr w:type="gramStart"/>
            <w:r w:rsidRPr="00CB0EAA">
              <w:rPr>
                <w:rFonts w:eastAsia="Calibri"/>
                <w:b/>
                <w:color w:val="000000"/>
                <w:sz w:val="22"/>
                <w:szCs w:val="22"/>
              </w:rPr>
              <w:t>YES  or</w:t>
            </w:r>
            <w:proofErr w:type="gramEnd"/>
            <w:r w:rsidRPr="00CB0EAA">
              <w:rPr>
                <w:rFonts w:eastAsia="Calibri"/>
                <w:b/>
                <w:color w:val="000000"/>
                <w:sz w:val="22"/>
                <w:szCs w:val="22"/>
              </w:rPr>
              <w:t xml:space="preserve">   NO</w:t>
            </w:r>
          </w:p>
        </w:tc>
      </w:tr>
      <w:tr w:rsidR="00CB0EAA" w:rsidRPr="00CB0EAA" w14:paraId="4596EF77" w14:textId="77777777" w:rsidTr="00CB0EAA">
        <w:trPr>
          <w:trHeight w:val="155"/>
        </w:trPr>
        <w:tc>
          <w:tcPr>
            <w:tcW w:w="3403" w:type="dxa"/>
            <w:gridSpan w:val="4"/>
            <w:tcBorders>
              <w:top w:val="single" w:sz="4" w:space="0" w:color="auto"/>
              <w:left w:val="single" w:sz="12" w:space="0" w:color="auto"/>
              <w:bottom w:val="single" w:sz="4" w:space="0" w:color="auto"/>
              <w:right w:val="single" w:sz="4" w:space="0" w:color="auto"/>
            </w:tcBorders>
            <w:shd w:val="clear" w:color="auto" w:fill="E2EFD9"/>
          </w:tcPr>
          <w:p w14:paraId="6322B8D4" w14:textId="77777777" w:rsidR="00CB0EAA" w:rsidRPr="00CB0EAA" w:rsidRDefault="00CB0EAA" w:rsidP="00CB0EAA">
            <w:pPr>
              <w:spacing w:before="120" w:after="120" w:line="250" w:lineRule="auto"/>
              <w:ind w:left="11" w:hanging="11"/>
              <w:rPr>
                <w:rFonts w:eastAsia="Calibri"/>
                <w:b/>
                <w:color w:val="000000"/>
                <w:sz w:val="22"/>
                <w:szCs w:val="22"/>
              </w:rPr>
            </w:pPr>
            <w:r w:rsidRPr="00CB0EAA">
              <w:rPr>
                <w:rFonts w:eastAsia="Arial"/>
                <w:b/>
                <w:color w:val="000000"/>
                <w:sz w:val="22"/>
                <w:szCs w:val="22"/>
              </w:rPr>
              <w:t>Place MM/MO representatives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461996A0" w14:textId="77777777" w:rsidR="00CB0EAA" w:rsidRPr="00CB0EAA" w:rsidRDefault="00CB0EAA" w:rsidP="00CB0EAA">
            <w:pPr>
              <w:spacing w:before="120" w:after="120" w:line="250" w:lineRule="auto"/>
              <w:ind w:left="11" w:hanging="11"/>
              <w:jc w:val="center"/>
              <w:rPr>
                <w:rFonts w:eastAsia="Calibri"/>
                <w:b/>
                <w:color w:val="000000"/>
                <w:sz w:val="22"/>
                <w:szCs w:val="22"/>
              </w:rPr>
            </w:pPr>
          </w:p>
        </w:tc>
        <w:tc>
          <w:tcPr>
            <w:tcW w:w="2552" w:type="dxa"/>
            <w:gridSpan w:val="2"/>
            <w:tcBorders>
              <w:top w:val="single" w:sz="4" w:space="0" w:color="auto"/>
              <w:left w:val="single" w:sz="4" w:space="0" w:color="auto"/>
              <w:bottom w:val="single" w:sz="4" w:space="0" w:color="auto"/>
              <w:right w:val="single" w:sz="12" w:space="0" w:color="auto"/>
            </w:tcBorders>
            <w:shd w:val="clear" w:color="auto" w:fill="E2EFD9"/>
          </w:tcPr>
          <w:p w14:paraId="5EB44A65" w14:textId="77777777" w:rsidR="00CB0EAA" w:rsidRPr="00CB0EAA" w:rsidRDefault="00CB0EAA" w:rsidP="00CB0EAA">
            <w:pPr>
              <w:spacing w:before="240" w:line="250" w:lineRule="auto"/>
              <w:ind w:left="11" w:hanging="11"/>
              <w:jc w:val="center"/>
              <w:rPr>
                <w:rFonts w:eastAsia="Calibri"/>
                <w:b/>
                <w:color w:val="000000"/>
                <w:sz w:val="22"/>
                <w:szCs w:val="22"/>
              </w:rPr>
            </w:pPr>
            <w:r w:rsidRPr="00CB0EAA">
              <w:rPr>
                <w:rFonts w:eastAsia="Arial"/>
                <w:b/>
                <w:color w:val="000000"/>
                <w:sz w:val="22"/>
                <w:szCs w:val="22"/>
              </w:rPr>
              <w:t>Date:</w:t>
            </w:r>
          </w:p>
        </w:tc>
      </w:tr>
      <w:tr w:rsidR="00CB0EAA" w:rsidRPr="00CB0EAA" w14:paraId="5306D51F" w14:textId="77777777" w:rsidTr="00CB0EAA">
        <w:trPr>
          <w:trHeight w:val="70"/>
        </w:trPr>
        <w:tc>
          <w:tcPr>
            <w:tcW w:w="3403" w:type="dxa"/>
            <w:gridSpan w:val="4"/>
            <w:tcBorders>
              <w:top w:val="single" w:sz="4" w:space="0" w:color="auto"/>
              <w:left w:val="single" w:sz="12" w:space="0" w:color="auto"/>
              <w:bottom w:val="single" w:sz="12" w:space="0" w:color="auto"/>
              <w:right w:val="single" w:sz="4" w:space="0" w:color="auto"/>
            </w:tcBorders>
            <w:shd w:val="clear" w:color="auto" w:fill="E2EFD9"/>
          </w:tcPr>
          <w:p w14:paraId="4A6D7BDA" w14:textId="77777777" w:rsidR="00CB0EAA" w:rsidRPr="00CB0EAA" w:rsidRDefault="00CB0EAA" w:rsidP="00CB0EAA">
            <w:pPr>
              <w:spacing w:before="120" w:after="120" w:line="250" w:lineRule="auto"/>
              <w:ind w:left="11" w:hanging="11"/>
              <w:rPr>
                <w:rFonts w:eastAsia="Calibri"/>
                <w:b/>
                <w:color w:val="000000"/>
                <w:sz w:val="22"/>
                <w:szCs w:val="22"/>
              </w:rPr>
            </w:pPr>
            <w:r w:rsidRPr="00CB0EAA">
              <w:rPr>
                <w:rFonts w:eastAsia="Arial"/>
                <w:b/>
                <w:color w:val="000000"/>
                <w:sz w:val="22"/>
                <w:szCs w:val="22"/>
              </w:rPr>
              <w:t>Place Finance representative</w:t>
            </w:r>
          </w:p>
        </w:tc>
        <w:tc>
          <w:tcPr>
            <w:tcW w:w="4252" w:type="dxa"/>
            <w:gridSpan w:val="3"/>
            <w:tcBorders>
              <w:top w:val="single" w:sz="4" w:space="0" w:color="auto"/>
              <w:left w:val="single" w:sz="4" w:space="0" w:color="auto"/>
              <w:bottom w:val="single" w:sz="12" w:space="0" w:color="auto"/>
              <w:right w:val="single" w:sz="4" w:space="0" w:color="auto"/>
            </w:tcBorders>
            <w:shd w:val="clear" w:color="auto" w:fill="auto"/>
          </w:tcPr>
          <w:p w14:paraId="653528F1" w14:textId="77777777" w:rsidR="00CB0EAA" w:rsidRPr="00CB0EAA" w:rsidRDefault="00CB0EAA" w:rsidP="00CB0EAA">
            <w:pPr>
              <w:spacing w:before="120" w:after="120" w:line="250" w:lineRule="auto"/>
              <w:ind w:left="11" w:hanging="11"/>
              <w:jc w:val="center"/>
              <w:rPr>
                <w:rFonts w:eastAsia="Calibri"/>
                <w:b/>
                <w:color w:val="000000"/>
                <w:sz w:val="22"/>
                <w:szCs w:val="22"/>
              </w:rPr>
            </w:pPr>
          </w:p>
        </w:tc>
        <w:tc>
          <w:tcPr>
            <w:tcW w:w="2552" w:type="dxa"/>
            <w:gridSpan w:val="2"/>
            <w:tcBorders>
              <w:top w:val="single" w:sz="4" w:space="0" w:color="auto"/>
              <w:left w:val="single" w:sz="4" w:space="0" w:color="auto"/>
              <w:bottom w:val="single" w:sz="12" w:space="0" w:color="auto"/>
              <w:right w:val="single" w:sz="12" w:space="0" w:color="auto"/>
            </w:tcBorders>
            <w:shd w:val="clear" w:color="auto" w:fill="auto"/>
          </w:tcPr>
          <w:p w14:paraId="4370A215" w14:textId="77777777" w:rsidR="00CB0EAA" w:rsidRPr="00CB0EAA" w:rsidRDefault="00CB0EAA" w:rsidP="00CB0EAA">
            <w:pPr>
              <w:spacing w:before="120" w:after="120" w:line="250" w:lineRule="auto"/>
              <w:ind w:left="11" w:hanging="11"/>
              <w:jc w:val="center"/>
              <w:rPr>
                <w:rFonts w:eastAsia="Calibri"/>
                <w:b/>
                <w:color w:val="000000"/>
                <w:sz w:val="22"/>
                <w:szCs w:val="22"/>
              </w:rPr>
            </w:pPr>
          </w:p>
        </w:tc>
      </w:tr>
      <w:tr w:rsidR="00CB0EAA" w:rsidRPr="00CB0EAA" w14:paraId="6DD30F2E" w14:textId="77777777" w:rsidTr="00CB0EAA">
        <w:trPr>
          <w:trHeight w:val="70"/>
        </w:trPr>
        <w:tc>
          <w:tcPr>
            <w:tcW w:w="7655" w:type="dxa"/>
            <w:gridSpan w:val="7"/>
            <w:tcBorders>
              <w:top w:val="single" w:sz="12" w:space="0" w:color="auto"/>
              <w:left w:val="single" w:sz="12" w:space="0" w:color="auto"/>
              <w:bottom w:val="single" w:sz="12" w:space="0" w:color="auto"/>
              <w:right w:val="single" w:sz="4" w:space="0" w:color="auto"/>
            </w:tcBorders>
            <w:shd w:val="clear" w:color="auto" w:fill="E2EFD9"/>
          </w:tcPr>
          <w:p w14:paraId="482AE9C4" w14:textId="77777777" w:rsidR="00CB0EAA" w:rsidRPr="00CB0EAA" w:rsidRDefault="00CB0EAA" w:rsidP="00CB0EAA">
            <w:pPr>
              <w:spacing w:before="120" w:after="120" w:line="250" w:lineRule="auto"/>
              <w:ind w:left="11" w:hanging="11"/>
              <w:rPr>
                <w:rFonts w:eastAsia="Calibri"/>
                <w:b/>
                <w:color w:val="000000"/>
                <w:sz w:val="22"/>
                <w:szCs w:val="22"/>
              </w:rPr>
            </w:pPr>
            <w:r w:rsidRPr="00CB0EAA">
              <w:rPr>
                <w:rFonts w:eastAsia="Arial"/>
                <w:b/>
                <w:color w:val="000000"/>
                <w:sz w:val="22"/>
                <w:szCs w:val="22"/>
              </w:rPr>
              <w:t>Date sent to Executive Director of Finance and Investment:</w:t>
            </w:r>
          </w:p>
        </w:tc>
        <w:tc>
          <w:tcPr>
            <w:tcW w:w="2552" w:type="dxa"/>
            <w:gridSpan w:val="2"/>
            <w:tcBorders>
              <w:top w:val="single" w:sz="12" w:space="0" w:color="auto"/>
              <w:left w:val="single" w:sz="4" w:space="0" w:color="auto"/>
              <w:bottom w:val="single" w:sz="12" w:space="0" w:color="auto"/>
              <w:right w:val="single" w:sz="12" w:space="0" w:color="auto"/>
            </w:tcBorders>
            <w:shd w:val="clear" w:color="auto" w:fill="auto"/>
          </w:tcPr>
          <w:p w14:paraId="3156E66F" w14:textId="77777777" w:rsidR="00CB0EAA" w:rsidRPr="00CB0EAA" w:rsidRDefault="00CB0EAA" w:rsidP="00CB0EAA">
            <w:pPr>
              <w:spacing w:before="120" w:after="120" w:line="250" w:lineRule="auto"/>
              <w:ind w:left="11" w:hanging="11"/>
              <w:jc w:val="center"/>
              <w:rPr>
                <w:rFonts w:eastAsia="Calibri"/>
                <w:b/>
                <w:color w:val="000000"/>
                <w:sz w:val="22"/>
                <w:szCs w:val="22"/>
              </w:rPr>
            </w:pPr>
          </w:p>
        </w:tc>
      </w:tr>
    </w:tbl>
    <w:p w14:paraId="23506FF2" w14:textId="77777777" w:rsidR="00CB0EAA" w:rsidRDefault="00CB0EAA">
      <w:pPr>
        <w:spacing w:line="240" w:lineRule="auto"/>
        <w:rPr>
          <w:b/>
        </w:rPr>
      </w:pPr>
    </w:p>
    <w:sectPr w:rsidR="00CB0EAA" w:rsidSect="004F3CD4">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43FE" w14:textId="77777777" w:rsidR="0038513C" w:rsidRDefault="0038513C">
      <w:r>
        <w:separator/>
      </w:r>
    </w:p>
  </w:endnote>
  <w:endnote w:type="continuationSeparator" w:id="0">
    <w:p w14:paraId="491A5A76" w14:textId="77777777" w:rsidR="0038513C" w:rsidRDefault="0038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1FFFB638"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0E282A" w:rsidRPr="000E282A">
      <w:t xml:space="preserve"> </w:t>
    </w:r>
    <w:r w:rsidR="000E282A" w:rsidRPr="000E282A">
      <w:rPr>
        <w:color w:val="auto"/>
        <w:sz w:val="18"/>
        <w:szCs w:val="18"/>
        <w:lang w:val="en-GB"/>
      </w:rPr>
      <w:t xml:space="preserve">Primary Care Rebate Scheme - </w:t>
    </w:r>
    <w:r w:rsidRPr="00DD014E">
      <w:rPr>
        <w:color w:val="auto"/>
        <w:sz w:val="18"/>
        <w:szCs w:val="18"/>
        <w:lang w:val="en-GB"/>
      </w:rPr>
      <w:t>Policy</w:t>
    </w:r>
    <w:r w:rsidR="00F05D43" w:rsidRPr="00DD014E">
      <w:rPr>
        <w:color w:val="auto"/>
        <w:sz w:val="18"/>
        <w:szCs w:val="18"/>
        <w:lang w:val="en-GB"/>
      </w:rPr>
      <w:t xml:space="preserve"> Publication</w:t>
    </w:r>
    <w:r w:rsidR="00D244B4">
      <w:rPr>
        <w:color w:val="auto"/>
        <w:sz w:val="18"/>
        <w:szCs w:val="18"/>
        <w:lang w:val="en-GB"/>
      </w:rPr>
      <w:t xml:space="preserve"> September</w:t>
    </w:r>
    <w:r w:rsidR="000B6334">
      <w:rPr>
        <w:color w:val="auto"/>
        <w:sz w:val="18"/>
        <w:szCs w:val="18"/>
        <w:lang w:val="en-GB"/>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9F0F" w14:textId="77777777" w:rsidR="0038513C" w:rsidRDefault="0038513C">
      <w:r>
        <w:separator/>
      </w:r>
    </w:p>
  </w:footnote>
  <w:footnote w:type="continuationSeparator" w:id="0">
    <w:p w14:paraId="48990D92" w14:textId="77777777" w:rsidR="0038513C" w:rsidRDefault="0038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2A5"/>
    <w:multiLevelType w:val="hybridMultilevel"/>
    <w:tmpl w:val="884074D8"/>
    <w:lvl w:ilvl="0" w:tplc="1B0C1D66">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A2B"/>
    <w:multiLevelType w:val="hybridMultilevel"/>
    <w:tmpl w:val="F24629E0"/>
    <w:lvl w:ilvl="0" w:tplc="3D74028C">
      <w:numFmt w:val="bullet"/>
      <w:lvlText w:val="•"/>
      <w:lvlJc w:val="left"/>
      <w:pPr>
        <w:ind w:left="1216" w:hanging="360"/>
      </w:pPr>
      <w:rPr>
        <w:rFonts w:ascii="Arial" w:eastAsia="Times New Roman" w:hAnsi="Arial" w:cs="Aria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71F7127"/>
    <w:multiLevelType w:val="hybridMultilevel"/>
    <w:tmpl w:val="F8B4A438"/>
    <w:lvl w:ilvl="0" w:tplc="3D74028C">
      <w:numFmt w:val="bullet"/>
      <w:lvlText w:val="•"/>
      <w:lvlJc w:val="left"/>
      <w:pPr>
        <w:ind w:left="791" w:hanging="360"/>
      </w:pPr>
      <w:rPr>
        <w:rFonts w:ascii="Arial" w:eastAsia="Times New Roman"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0AF87D86"/>
    <w:multiLevelType w:val="hybridMultilevel"/>
    <w:tmpl w:val="C8D6749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A2935"/>
    <w:multiLevelType w:val="hybridMultilevel"/>
    <w:tmpl w:val="044E802A"/>
    <w:lvl w:ilvl="0" w:tplc="1B0C1D66">
      <w:numFmt w:val="bullet"/>
      <w:lvlText w:val="•"/>
      <w:lvlJc w:val="left"/>
      <w:pPr>
        <w:ind w:left="3600" w:hanging="720"/>
      </w:pPr>
      <w:rPr>
        <w:rFonts w:ascii="Calibri" w:eastAsia="Arial"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C55A2"/>
    <w:multiLevelType w:val="hybridMultilevel"/>
    <w:tmpl w:val="02AA7114"/>
    <w:lvl w:ilvl="0" w:tplc="3D74028C">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9" w15:restartNumberingAfterBreak="0">
    <w:nsid w:val="149F551B"/>
    <w:multiLevelType w:val="hybridMultilevel"/>
    <w:tmpl w:val="D6BC735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815D7"/>
    <w:multiLevelType w:val="hybridMultilevel"/>
    <w:tmpl w:val="1D827C24"/>
    <w:lvl w:ilvl="0" w:tplc="9998DB50">
      <w:start w:val="1"/>
      <w:numFmt w:val="bullet"/>
      <w:lvlText w:val=""/>
      <w:lvlJc w:val="left"/>
      <w:pPr>
        <w:ind w:left="1579" w:hanging="360"/>
      </w:pPr>
      <w:rPr>
        <w:rFonts w:ascii="Symbol" w:hAnsi="Symbol" w:hint="default"/>
        <w:color w:val="auto"/>
      </w:rPr>
    </w:lvl>
    <w:lvl w:ilvl="1" w:tplc="08090003" w:tentative="1">
      <w:start w:val="1"/>
      <w:numFmt w:val="bullet"/>
      <w:lvlText w:val="o"/>
      <w:lvlJc w:val="left"/>
      <w:pPr>
        <w:ind w:left="2299" w:hanging="360"/>
      </w:pPr>
      <w:rPr>
        <w:rFonts w:ascii="Courier New" w:hAnsi="Courier New" w:cs="Courier New" w:hint="default"/>
      </w:rPr>
    </w:lvl>
    <w:lvl w:ilvl="2" w:tplc="08090005" w:tentative="1">
      <w:start w:val="1"/>
      <w:numFmt w:val="bullet"/>
      <w:lvlText w:val=""/>
      <w:lvlJc w:val="left"/>
      <w:pPr>
        <w:ind w:left="3019" w:hanging="360"/>
      </w:pPr>
      <w:rPr>
        <w:rFonts w:ascii="Wingdings" w:hAnsi="Wingdings" w:hint="default"/>
      </w:rPr>
    </w:lvl>
    <w:lvl w:ilvl="3" w:tplc="08090001" w:tentative="1">
      <w:start w:val="1"/>
      <w:numFmt w:val="bullet"/>
      <w:lvlText w:val=""/>
      <w:lvlJc w:val="left"/>
      <w:pPr>
        <w:ind w:left="3739" w:hanging="360"/>
      </w:pPr>
      <w:rPr>
        <w:rFonts w:ascii="Symbol" w:hAnsi="Symbol" w:hint="default"/>
      </w:rPr>
    </w:lvl>
    <w:lvl w:ilvl="4" w:tplc="08090003" w:tentative="1">
      <w:start w:val="1"/>
      <w:numFmt w:val="bullet"/>
      <w:lvlText w:val="o"/>
      <w:lvlJc w:val="left"/>
      <w:pPr>
        <w:ind w:left="4459" w:hanging="360"/>
      </w:pPr>
      <w:rPr>
        <w:rFonts w:ascii="Courier New" w:hAnsi="Courier New" w:cs="Courier New" w:hint="default"/>
      </w:rPr>
    </w:lvl>
    <w:lvl w:ilvl="5" w:tplc="08090005" w:tentative="1">
      <w:start w:val="1"/>
      <w:numFmt w:val="bullet"/>
      <w:lvlText w:val=""/>
      <w:lvlJc w:val="left"/>
      <w:pPr>
        <w:ind w:left="5179" w:hanging="360"/>
      </w:pPr>
      <w:rPr>
        <w:rFonts w:ascii="Wingdings" w:hAnsi="Wingdings" w:hint="default"/>
      </w:rPr>
    </w:lvl>
    <w:lvl w:ilvl="6" w:tplc="08090001" w:tentative="1">
      <w:start w:val="1"/>
      <w:numFmt w:val="bullet"/>
      <w:lvlText w:val=""/>
      <w:lvlJc w:val="left"/>
      <w:pPr>
        <w:ind w:left="5899" w:hanging="360"/>
      </w:pPr>
      <w:rPr>
        <w:rFonts w:ascii="Symbol" w:hAnsi="Symbol" w:hint="default"/>
      </w:rPr>
    </w:lvl>
    <w:lvl w:ilvl="7" w:tplc="08090003" w:tentative="1">
      <w:start w:val="1"/>
      <w:numFmt w:val="bullet"/>
      <w:lvlText w:val="o"/>
      <w:lvlJc w:val="left"/>
      <w:pPr>
        <w:ind w:left="6619" w:hanging="360"/>
      </w:pPr>
      <w:rPr>
        <w:rFonts w:ascii="Courier New" w:hAnsi="Courier New" w:cs="Courier New" w:hint="default"/>
      </w:rPr>
    </w:lvl>
    <w:lvl w:ilvl="8" w:tplc="08090005" w:tentative="1">
      <w:start w:val="1"/>
      <w:numFmt w:val="bullet"/>
      <w:lvlText w:val=""/>
      <w:lvlJc w:val="left"/>
      <w:pPr>
        <w:ind w:left="7339" w:hanging="360"/>
      </w:pPr>
      <w:rPr>
        <w:rFonts w:ascii="Wingdings" w:hAnsi="Wingdings" w:hint="default"/>
      </w:rPr>
    </w:lvl>
  </w:abstractNum>
  <w:abstractNum w:abstractNumId="11" w15:restartNumberingAfterBreak="0">
    <w:nsid w:val="154F1FE1"/>
    <w:multiLevelType w:val="hybridMultilevel"/>
    <w:tmpl w:val="610A332C"/>
    <w:lvl w:ilvl="0" w:tplc="1B0C1D66">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70941"/>
    <w:multiLevelType w:val="hybridMultilevel"/>
    <w:tmpl w:val="2EBC4D12"/>
    <w:lvl w:ilvl="0" w:tplc="9998DB50">
      <w:start w:val="1"/>
      <w:numFmt w:val="bullet"/>
      <w:lvlText w:val=""/>
      <w:lvlJc w:val="left"/>
      <w:pPr>
        <w:ind w:left="3600" w:hanging="720"/>
      </w:pPr>
      <w:rPr>
        <w:rFonts w:ascii="Symbol" w:hAnsi="Symbol" w:hint="default"/>
        <w:color w:val="auto"/>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4"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A86589"/>
    <w:multiLevelType w:val="hybridMultilevel"/>
    <w:tmpl w:val="EDDEE0EC"/>
    <w:lvl w:ilvl="0" w:tplc="6C86D9C4">
      <w:start w:val="1"/>
      <w:numFmt w:val="lowerRoman"/>
      <w:lvlText w:val="%1."/>
      <w:lvlJc w:val="left"/>
      <w:pPr>
        <w:ind w:left="1578" w:hanging="72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18"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3FB71916"/>
    <w:multiLevelType w:val="hybridMultilevel"/>
    <w:tmpl w:val="26002DBE"/>
    <w:lvl w:ilvl="0" w:tplc="3D74028C">
      <w:numFmt w:val="bullet"/>
      <w:lvlText w:val="•"/>
      <w:lvlJc w:val="left"/>
      <w:pPr>
        <w:ind w:left="1650" w:hanging="360"/>
      </w:pPr>
      <w:rPr>
        <w:rFonts w:ascii="Arial" w:eastAsia="Times New Roman" w:hAnsi="Arial" w:cs="Arial" w:hint="default"/>
      </w:rPr>
    </w:lvl>
    <w:lvl w:ilvl="1" w:tplc="08090003" w:tentative="1">
      <w:start w:val="1"/>
      <w:numFmt w:val="bullet"/>
      <w:lvlText w:val="o"/>
      <w:lvlJc w:val="left"/>
      <w:pPr>
        <w:ind w:left="2299" w:hanging="360"/>
      </w:pPr>
      <w:rPr>
        <w:rFonts w:ascii="Courier New" w:hAnsi="Courier New" w:cs="Courier New" w:hint="default"/>
      </w:rPr>
    </w:lvl>
    <w:lvl w:ilvl="2" w:tplc="08090005" w:tentative="1">
      <w:start w:val="1"/>
      <w:numFmt w:val="bullet"/>
      <w:lvlText w:val=""/>
      <w:lvlJc w:val="left"/>
      <w:pPr>
        <w:ind w:left="3019" w:hanging="360"/>
      </w:pPr>
      <w:rPr>
        <w:rFonts w:ascii="Wingdings" w:hAnsi="Wingdings" w:hint="default"/>
      </w:rPr>
    </w:lvl>
    <w:lvl w:ilvl="3" w:tplc="08090001" w:tentative="1">
      <w:start w:val="1"/>
      <w:numFmt w:val="bullet"/>
      <w:lvlText w:val=""/>
      <w:lvlJc w:val="left"/>
      <w:pPr>
        <w:ind w:left="3739" w:hanging="360"/>
      </w:pPr>
      <w:rPr>
        <w:rFonts w:ascii="Symbol" w:hAnsi="Symbol" w:hint="default"/>
      </w:rPr>
    </w:lvl>
    <w:lvl w:ilvl="4" w:tplc="08090003" w:tentative="1">
      <w:start w:val="1"/>
      <w:numFmt w:val="bullet"/>
      <w:lvlText w:val="o"/>
      <w:lvlJc w:val="left"/>
      <w:pPr>
        <w:ind w:left="4459" w:hanging="360"/>
      </w:pPr>
      <w:rPr>
        <w:rFonts w:ascii="Courier New" w:hAnsi="Courier New" w:cs="Courier New" w:hint="default"/>
      </w:rPr>
    </w:lvl>
    <w:lvl w:ilvl="5" w:tplc="08090005" w:tentative="1">
      <w:start w:val="1"/>
      <w:numFmt w:val="bullet"/>
      <w:lvlText w:val=""/>
      <w:lvlJc w:val="left"/>
      <w:pPr>
        <w:ind w:left="5179" w:hanging="360"/>
      </w:pPr>
      <w:rPr>
        <w:rFonts w:ascii="Wingdings" w:hAnsi="Wingdings" w:hint="default"/>
      </w:rPr>
    </w:lvl>
    <w:lvl w:ilvl="6" w:tplc="08090001" w:tentative="1">
      <w:start w:val="1"/>
      <w:numFmt w:val="bullet"/>
      <w:lvlText w:val=""/>
      <w:lvlJc w:val="left"/>
      <w:pPr>
        <w:ind w:left="5899" w:hanging="360"/>
      </w:pPr>
      <w:rPr>
        <w:rFonts w:ascii="Symbol" w:hAnsi="Symbol" w:hint="default"/>
      </w:rPr>
    </w:lvl>
    <w:lvl w:ilvl="7" w:tplc="08090003" w:tentative="1">
      <w:start w:val="1"/>
      <w:numFmt w:val="bullet"/>
      <w:lvlText w:val="o"/>
      <w:lvlJc w:val="left"/>
      <w:pPr>
        <w:ind w:left="6619" w:hanging="360"/>
      </w:pPr>
      <w:rPr>
        <w:rFonts w:ascii="Courier New" w:hAnsi="Courier New" w:cs="Courier New" w:hint="default"/>
      </w:rPr>
    </w:lvl>
    <w:lvl w:ilvl="8" w:tplc="08090005" w:tentative="1">
      <w:start w:val="1"/>
      <w:numFmt w:val="bullet"/>
      <w:lvlText w:val=""/>
      <w:lvlJc w:val="left"/>
      <w:pPr>
        <w:ind w:left="7339" w:hanging="360"/>
      </w:pPr>
      <w:rPr>
        <w:rFonts w:ascii="Wingdings" w:hAnsi="Wingdings" w:hint="default"/>
      </w:rPr>
    </w:lvl>
  </w:abstractNum>
  <w:abstractNum w:abstractNumId="20" w15:restartNumberingAfterBreak="0">
    <w:nsid w:val="41EC2F7D"/>
    <w:multiLevelType w:val="hybridMultilevel"/>
    <w:tmpl w:val="20444600"/>
    <w:lvl w:ilvl="0" w:tplc="3D74028C">
      <w:numFmt w:val="bullet"/>
      <w:lvlText w:val="•"/>
      <w:lvlJc w:val="left"/>
      <w:pPr>
        <w:ind w:left="1151"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2753D0"/>
    <w:multiLevelType w:val="hybridMultilevel"/>
    <w:tmpl w:val="76E23A4E"/>
    <w:lvl w:ilvl="0" w:tplc="4DDEBB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FD4D6C"/>
    <w:multiLevelType w:val="hybridMultilevel"/>
    <w:tmpl w:val="23943ED0"/>
    <w:lvl w:ilvl="0" w:tplc="08090001">
      <w:start w:val="1"/>
      <w:numFmt w:val="bullet"/>
      <w:lvlText w:val=""/>
      <w:lvlJc w:val="left"/>
      <w:pPr>
        <w:ind w:left="3600" w:hanging="72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4" w15:restartNumberingAfterBreak="0">
    <w:nsid w:val="4EDC1BAF"/>
    <w:multiLevelType w:val="hybridMultilevel"/>
    <w:tmpl w:val="7616B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E11A06"/>
    <w:multiLevelType w:val="hybridMultilevel"/>
    <w:tmpl w:val="334C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B379B"/>
    <w:multiLevelType w:val="hybridMultilevel"/>
    <w:tmpl w:val="F5ECF918"/>
    <w:lvl w:ilvl="0" w:tplc="9998DB50">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729" w:hanging="360"/>
      </w:pPr>
      <w:rPr>
        <w:rFonts w:ascii="Courier New" w:hAnsi="Courier New" w:cs="Courier New" w:hint="default"/>
      </w:rPr>
    </w:lvl>
    <w:lvl w:ilvl="2" w:tplc="FFFFFFFF" w:tentative="1">
      <w:start w:val="1"/>
      <w:numFmt w:val="bullet"/>
      <w:lvlText w:val=""/>
      <w:lvlJc w:val="left"/>
      <w:pPr>
        <w:ind w:left="2449" w:hanging="360"/>
      </w:pPr>
      <w:rPr>
        <w:rFonts w:ascii="Wingdings" w:hAnsi="Wingdings" w:hint="default"/>
      </w:rPr>
    </w:lvl>
    <w:lvl w:ilvl="3" w:tplc="FFFFFFFF" w:tentative="1">
      <w:start w:val="1"/>
      <w:numFmt w:val="bullet"/>
      <w:lvlText w:val=""/>
      <w:lvlJc w:val="left"/>
      <w:pPr>
        <w:ind w:left="3169" w:hanging="360"/>
      </w:pPr>
      <w:rPr>
        <w:rFonts w:ascii="Symbol" w:hAnsi="Symbol" w:hint="default"/>
      </w:rPr>
    </w:lvl>
    <w:lvl w:ilvl="4" w:tplc="FFFFFFFF" w:tentative="1">
      <w:start w:val="1"/>
      <w:numFmt w:val="bullet"/>
      <w:lvlText w:val="o"/>
      <w:lvlJc w:val="left"/>
      <w:pPr>
        <w:ind w:left="3889" w:hanging="360"/>
      </w:pPr>
      <w:rPr>
        <w:rFonts w:ascii="Courier New" w:hAnsi="Courier New" w:cs="Courier New" w:hint="default"/>
      </w:rPr>
    </w:lvl>
    <w:lvl w:ilvl="5" w:tplc="FFFFFFFF" w:tentative="1">
      <w:start w:val="1"/>
      <w:numFmt w:val="bullet"/>
      <w:lvlText w:val=""/>
      <w:lvlJc w:val="left"/>
      <w:pPr>
        <w:ind w:left="4609" w:hanging="360"/>
      </w:pPr>
      <w:rPr>
        <w:rFonts w:ascii="Wingdings" w:hAnsi="Wingdings" w:hint="default"/>
      </w:rPr>
    </w:lvl>
    <w:lvl w:ilvl="6" w:tplc="FFFFFFFF" w:tentative="1">
      <w:start w:val="1"/>
      <w:numFmt w:val="bullet"/>
      <w:lvlText w:val=""/>
      <w:lvlJc w:val="left"/>
      <w:pPr>
        <w:ind w:left="5329" w:hanging="360"/>
      </w:pPr>
      <w:rPr>
        <w:rFonts w:ascii="Symbol" w:hAnsi="Symbol" w:hint="default"/>
      </w:rPr>
    </w:lvl>
    <w:lvl w:ilvl="7" w:tplc="FFFFFFFF" w:tentative="1">
      <w:start w:val="1"/>
      <w:numFmt w:val="bullet"/>
      <w:lvlText w:val="o"/>
      <w:lvlJc w:val="left"/>
      <w:pPr>
        <w:ind w:left="6049" w:hanging="360"/>
      </w:pPr>
      <w:rPr>
        <w:rFonts w:ascii="Courier New" w:hAnsi="Courier New" w:cs="Courier New" w:hint="default"/>
      </w:rPr>
    </w:lvl>
    <w:lvl w:ilvl="8" w:tplc="FFFFFFFF" w:tentative="1">
      <w:start w:val="1"/>
      <w:numFmt w:val="bullet"/>
      <w:lvlText w:val=""/>
      <w:lvlJc w:val="left"/>
      <w:pPr>
        <w:ind w:left="6769" w:hanging="360"/>
      </w:pPr>
      <w:rPr>
        <w:rFonts w:ascii="Wingdings" w:hAnsi="Wingdings" w:hint="default"/>
      </w:rPr>
    </w:lvl>
  </w:abstractNum>
  <w:abstractNum w:abstractNumId="27" w15:restartNumberingAfterBreak="0">
    <w:nsid w:val="5E011DFB"/>
    <w:multiLevelType w:val="hybridMultilevel"/>
    <w:tmpl w:val="DF8ECABA"/>
    <w:lvl w:ilvl="0" w:tplc="0809000F">
      <w:start w:val="1"/>
      <w:numFmt w:val="decimal"/>
      <w:lvlText w:val="%1."/>
      <w:lvlJc w:val="left"/>
      <w:pPr>
        <w:ind w:left="1578" w:hanging="360"/>
      </w:pPr>
    </w:lvl>
    <w:lvl w:ilvl="1" w:tplc="08090019" w:tentative="1">
      <w:start w:val="1"/>
      <w:numFmt w:val="lowerLetter"/>
      <w:lvlText w:val="%2."/>
      <w:lvlJc w:val="left"/>
      <w:pPr>
        <w:ind w:left="2298" w:hanging="360"/>
      </w:pPr>
    </w:lvl>
    <w:lvl w:ilvl="2" w:tplc="0809001B" w:tentative="1">
      <w:start w:val="1"/>
      <w:numFmt w:val="lowerRoman"/>
      <w:lvlText w:val="%3."/>
      <w:lvlJc w:val="right"/>
      <w:pPr>
        <w:ind w:left="3018" w:hanging="180"/>
      </w:pPr>
    </w:lvl>
    <w:lvl w:ilvl="3" w:tplc="0809000F" w:tentative="1">
      <w:start w:val="1"/>
      <w:numFmt w:val="decimal"/>
      <w:lvlText w:val="%4."/>
      <w:lvlJc w:val="left"/>
      <w:pPr>
        <w:ind w:left="3738" w:hanging="360"/>
      </w:pPr>
    </w:lvl>
    <w:lvl w:ilvl="4" w:tplc="08090019" w:tentative="1">
      <w:start w:val="1"/>
      <w:numFmt w:val="lowerLetter"/>
      <w:lvlText w:val="%5."/>
      <w:lvlJc w:val="left"/>
      <w:pPr>
        <w:ind w:left="4458" w:hanging="360"/>
      </w:pPr>
    </w:lvl>
    <w:lvl w:ilvl="5" w:tplc="0809001B" w:tentative="1">
      <w:start w:val="1"/>
      <w:numFmt w:val="lowerRoman"/>
      <w:lvlText w:val="%6."/>
      <w:lvlJc w:val="right"/>
      <w:pPr>
        <w:ind w:left="5178" w:hanging="180"/>
      </w:pPr>
    </w:lvl>
    <w:lvl w:ilvl="6" w:tplc="0809000F" w:tentative="1">
      <w:start w:val="1"/>
      <w:numFmt w:val="decimal"/>
      <w:lvlText w:val="%7."/>
      <w:lvlJc w:val="left"/>
      <w:pPr>
        <w:ind w:left="5898" w:hanging="360"/>
      </w:pPr>
    </w:lvl>
    <w:lvl w:ilvl="7" w:tplc="08090019" w:tentative="1">
      <w:start w:val="1"/>
      <w:numFmt w:val="lowerLetter"/>
      <w:lvlText w:val="%8."/>
      <w:lvlJc w:val="left"/>
      <w:pPr>
        <w:ind w:left="6618" w:hanging="360"/>
      </w:pPr>
    </w:lvl>
    <w:lvl w:ilvl="8" w:tplc="0809001B" w:tentative="1">
      <w:start w:val="1"/>
      <w:numFmt w:val="lowerRoman"/>
      <w:lvlText w:val="%9."/>
      <w:lvlJc w:val="right"/>
      <w:pPr>
        <w:ind w:left="7338" w:hanging="180"/>
      </w:pPr>
    </w:lvl>
  </w:abstractNum>
  <w:abstractNum w:abstractNumId="28" w15:restartNumberingAfterBreak="0">
    <w:nsid w:val="67C54D67"/>
    <w:multiLevelType w:val="hybridMultilevel"/>
    <w:tmpl w:val="418265F8"/>
    <w:lvl w:ilvl="0" w:tplc="3D74028C">
      <w:numFmt w:val="bullet"/>
      <w:lvlText w:val="•"/>
      <w:lvlJc w:val="left"/>
      <w:pPr>
        <w:ind w:left="1216" w:hanging="360"/>
      </w:pPr>
      <w:rPr>
        <w:rFonts w:ascii="Arial" w:eastAsia="Times New Roman"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9"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30" w15:restartNumberingAfterBreak="0">
    <w:nsid w:val="68CF1B43"/>
    <w:multiLevelType w:val="hybridMultilevel"/>
    <w:tmpl w:val="86D89F04"/>
    <w:lvl w:ilvl="0" w:tplc="4894E060">
      <w:start w:val="1"/>
      <w:numFmt w:val="decimal"/>
      <w:lvlText w:val="%1."/>
      <w:lvlJc w:val="left"/>
      <w:pPr>
        <w:ind w:left="1441" w:hanging="585"/>
      </w:pPr>
      <w:rPr>
        <w:rFonts w:hint="default"/>
      </w:rPr>
    </w:lvl>
    <w:lvl w:ilvl="1" w:tplc="08090019" w:tentative="1">
      <w:start w:val="1"/>
      <w:numFmt w:val="lowerLetter"/>
      <w:lvlText w:val="%2."/>
      <w:lvlJc w:val="left"/>
      <w:pPr>
        <w:ind w:left="1936" w:hanging="360"/>
      </w:pPr>
    </w:lvl>
    <w:lvl w:ilvl="2" w:tplc="0809001B" w:tentative="1">
      <w:start w:val="1"/>
      <w:numFmt w:val="lowerRoman"/>
      <w:lvlText w:val="%3."/>
      <w:lvlJc w:val="right"/>
      <w:pPr>
        <w:ind w:left="2656" w:hanging="180"/>
      </w:pPr>
    </w:lvl>
    <w:lvl w:ilvl="3" w:tplc="0809000F" w:tentative="1">
      <w:start w:val="1"/>
      <w:numFmt w:val="decimal"/>
      <w:lvlText w:val="%4."/>
      <w:lvlJc w:val="left"/>
      <w:pPr>
        <w:ind w:left="3376" w:hanging="360"/>
      </w:pPr>
    </w:lvl>
    <w:lvl w:ilvl="4" w:tplc="08090019" w:tentative="1">
      <w:start w:val="1"/>
      <w:numFmt w:val="lowerLetter"/>
      <w:lvlText w:val="%5."/>
      <w:lvlJc w:val="left"/>
      <w:pPr>
        <w:ind w:left="4096" w:hanging="360"/>
      </w:pPr>
    </w:lvl>
    <w:lvl w:ilvl="5" w:tplc="0809001B" w:tentative="1">
      <w:start w:val="1"/>
      <w:numFmt w:val="lowerRoman"/>
      <w:lvlText w:val="%6."/>
      <w:lvlJc w:val="right"/>
      <w:pPr>
        <w:ind w:left="4816" w:hanging="180"/>
      </w:pPr>
    </w:lvl>
    <w:lvl w:ilvl="6" w:tplc="0809000F" w:tentative="1">
      <w:start w:val="1"/>
      <w:numFmt w:val="decimal"/>
      <w:lvlText w:val="%7."/>
      <w:lvlJc w:val="left"/>
      <w:pPr>
        <w:ind w:left="5536" w:hanging="360"/>
      </w:pPr>
    </w:lvl>
    <w:lvl w:ilvl="7" w:tplc="08090019" w:tentative="1">
      <w:start w:val="1"/>
      <w:numFmt w:val="lowerLetter"/>
      <w:lvlText w:val="%8."/>
      <w:lvlJc w:val="left"/>
      <w:pPr>
        <w:ind w:left="6256" w:hanging="360"/>
      </w:pPr>
    </w:lvl>
    <w:lvl w:ilvl="8" w:tplc="0809001B" w:tentative="1">
      <w:start w:val="1"/>
      <w:numFmt w:val="lowerRoman"/>
      <w:lvlText w:val="%9."/>
      <w:lvlJc w:val="right"/>
      <w:pPr>
        <w:ind w:left="6976" w:hanging="180"/>
      </w:pPr>
    </w:lvl>
  </w:abstractNum>
  <w:abstractNum w:abstractNumId="31" w15:restartNumberingAfterBreak="0">
    <w:nsid w:val="6B1F40E7"/>
    <w:multiLevelType w:val="hybridMultilevel"/>
    <w:tmpl w:val="3BD83C80"/>
    <w:lvl w:ilvl="0" w:tplc="1B0C1D66">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41CB1"/>
    <w:multiLevelType w:val="hybridMultilevel"/>
    <w:tmpl w:val="64BAAA1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33"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18"/>
  </w:num>
  <w:num w:numId="2" w16cid:durableId="318660694">
    <w:abstractNumId w:val="29"/>
  </w:num>
  <w:num w:numId="3" w16cid:durableId="2111274883">
    <w:abstractNumId w:val="14"/>
  </w:num>
  <w:num w:numId="4" w16cid:durableId="145171991">
    <w:abstractNumId w:val="21"/>
  </w:num>
  <w:num w:numId="5" w16cid:durableId="625234906">
    <w:abstractNumId w:val="33"/>
  </w:num>
  <w:num w:numId="6" w16cid:durableId="141119935">
    <w:abstractNumId w:val="7"/>
  </w:num>
  <w:num w:numId="7" w16cid:durableId="1227111691">
    <w:abstractNumId w:val="5"/>
  </w:num>
  <w:num w:numId="8" w16cid:durableId="1379821715">
    <w:abstractNumId w:val="29"/>
  </w:num>
  <w:num w:numId="9" w16cid:durableId="1974559865">
    <w:abstractNumId w:val="12"/>
  </w:num>
  <w:num w:numId="10" w16cid:durableId="785657245">
    <w:abstractNumId w:val="15"/>
  </w:num>
  <w:num w:numId="11" w16cid:durableId="476798177">
    <w:abstractNumId w:val="34"/>
  </w:num>
  <w:num w:numId="12" w16cid:durableId="7196752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597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8468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3410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2996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252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5522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486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1309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764020">
    <w:abstractNumId w:val="2"/>
  </w:num>
  <w:num w:numId="22" w16cid:durableId="530189052">
    <w:abstractNumId w:val="32"/>
  </w:num>
  <w:num w:numId="23" w16cid:durableId="227300865">
    <w:abstractNumId w:val="16"/>
  </w:num>
  <w:num w:numId="24" w16cid:durableId="434904632">
    <w:abstractNumId w:val="22"/>
  </w:num>
  <w:num w:numId="25" w16cid:durableId="229389965">
    <w:abstractNumId w:val="4"/>
  </w:num>
  <w:num w:numId="26" w16cid:durableId="195123966">
    <w:abstractNumId w:val="3"/>
  </w:num>
  <w:num w:numId="27" w16cid:durableId="619918933">
    <w:abstractNumId w:val="30"/>
  </w:num>
  <w:num w:numId="28" w16cid:durableId="2007510848">
    <w:abstractNumId w:val="27"/>
  </w:num>
  <w:num w:numId="29" w16cid:durableId="1543592983">
    <w:abstractNumId w:val="17"/>
  </w:num>
  <w:num w:numId="30" w16cid:durableId="332874734">
    <w:abstractNumId w:val="19"/>
  </w:num>
  <w:num w:numId="31" w16cid:durableId="1854805682">
    <w:abstractNumId w:val="26"/>
  </w:num>
  <w:num w:numId="32" w16cid:durableId="46808715">
    <w:abstractNumId w:val="9"/>
  </w:num>
  <w:num w:numId="33" w16cid:durableId="619923826">
    <w:abstractNumId w:val="0"/>
  </w:num>
  <w:num w:numId="34" w16cid:durableId="873033295">
    <w:abstractNumId w:val="6"/>
  </w:num>
  <w:num w:numId="35" w16cid:durableId="1669595392">
    <w:abstractNumId w:val="23"/>
  </w:num>
  <w:num w:numId="36" w16cid:durableId="987899799">
    <w:abstractNumId w:val="13"/>
  </w:num>
  <w:num w:numId="37" w16cid:durableId="1875262628">
    <w:abstractNumId w:val="10"/>
  </w:num>
  <w:num w:numId="38" w16cid:durableId="962613220">
    <w:abstractNumId w:val="8"/>
  </w:num>
  <w:num w:numId="39" w16cid:durableId="301234464">
    <w:abstractNumId w:val="25"/>
  </w:num>
  <w:num w:numId="40" w16cid:durableId="3141156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921577">
    <w:abstractNumId w:val="31"/>
  </w:num>
  <w:num w:numId="42" w16cid:durableId="382827310">
    <w:abstractNumId w:val="11"/>
  </w:num>
  <w:num w:numId="43" w16cid:durableId="873808801">
    <w:abstractNumId w:val="20"/>
  </w:num>
  <w:num w:numId="44" w16cid:durableId="1137525890">
    <w:abstractNumId w:val="28"/>
  </w:num>
  <w:num w:numId="45" w16cid:durableId="543753960">
    <w:abstractNumId w:val="1"/>
  </w:num>
  <w:num w:numId="46" w16cid:durableId="133348778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FC0"/>
    <w:rsid w:val="0000341C"/>
    <w:rsid w:val="0000439A"/>
    <w:rsid w:val="00005158"/>
    <w:rsid w:val="00010464"/>
    <w:rsid w:val="0001202C"/>
    <w:rsid w:val="000142AB"/>
    <w:rsid w:val="000226CA"/>
    <w:rsid w:val="0002728C"/>
    <w:rsid w:val="00034924"/>
    <w:rsid w:val="00037322"/>
    <w:rsid w:val="00042958"/>
    <w:rsid w:val="00044CAA"/>
    <w:rsid w:val="000457E3"/>
    <w:rsid w:val="00052AC3"/>
    <w:rsid w:val="00053BFA"/>
    <w:rsid w:val="00062B01"/>
    <w:rsid w:val="00064F5D"/>
    <w:rsid w:val="000674E1"/>
    <w:rsid w:val="00074553"/>
    <w:rsid w:val="0008204A"/>
    <w:rsid w:val="000836E4"/>
    <w:rsid w:val="000879BB"/>
    <w:rsid w:val="000952C1"/>
    <w:rsid w:val="000A5544"/>
    <w:rsid w:val="000B384A"/>
    <w:rsid w:val="000B3D60"/>
    <w:rsid w:val="000B6334"/>
    <w:rsid w:val="000B67F2"/>
    <w:rsid w:val="000D255A"/>
    <w:rsid w:val="000D3F4F"/>
    <w:rsid w:val="000E282A"/>
    <w:rsid w:val="000E2D3D"/>
    <w:rsid w:val="000E3813"/>
    <w:rsid w:val="000E5A92"/>
    <w:rsid w:val="000F16BF"/>
    <w:rsid w:val="000F6CEB"/>
    <w:rsid w:val="001106E3"/>
    <w:rsid w:val="00114EEF"/>
    <w:rsid w:val="0011757E"/>
    <w:rsid w:val="001212DF"/>
    <w:rsid w:val="00127ABF"/>
    <w:rsid w:val="001323C3"/>
    <w:rsid w:val="001336B6"/>
    <w:rsid w:val="00143C3F"/>
    <w:rsid w:val="00155511"/>
    <w:rsid w:val="00171FBF"/>
    <w:rsid w:val="00182E52"/>
    <w:rsid w:val="00184039"/>
    <w:rsid w:val="00184DB4"/>
    <w:rsid w:val="00191244"/>
    <w:rsid w:val="00194292"/>
    <w:rsid w:val="00194D3F"/>
    <w:rsid w:val="00197EC7"/>
    <w:rsid w:val="001A2F73"/>
    <w:rsid w:val="001A77EE"/>
    <w:rsid w:val="001B20EB"/>
    <w:rsid w:val="001B301E"/>
    <w:rsid w:val="001B625D"/>
    <w:rsid w:val="001D0129"/>
    <w:rsid w:val="001E20E6"/>
    <w:rsid w:val="001E3BBA"/>
    <w:rsid w:val="001E47F7"/>
    <w:rsid w:val="001F0DBB"/>
    <w:rsid w:val="001F2370"/>
    <w:rsid w:val="001F7035"/>
    <w:rsid w:val="0020078D"/>
    <w:rsid w:val="0020189D"/>
    <w:rsid w:val="00202882"/>
    <w:rsid w:val="00202D4D"/>
    <w:rsid w:val="00216B0E"/>
    <w:rsid w:val="00231173"/>
    <w:rsid w:val="00242A41"/>
    <w:rsid w:val="00252291"/>
    <w:rsid w:val="00266601"/>
    <w:rsid w:val="00274054"/>
    <w:rsid w:val="00280044"/>
    <w:rsid w:val="00281C3C"/>
    <w:rsid w:val="00297BDA"/>
    <w:rsid w:val="002D4175"/>
    <w:rsid w:val="002E049A"/>
    <w:rsid w:val="002E27F0"/>
    <w:rsid w:val="002E653C"/>
    <w:rsid w:val="002E72CE"/>
    <w:rsid w:val="002F015C"/>
    <w:rsid w:val="002F0537"/>
    <w:rsid w:val="002F463C"/>
    <w:rsid w:val="002F782B"/>
    <w:rsid w:val="0030168F"/>
    <w:rsid w:val="003057AE"/>
    <w:rsid w:val="00305985"/>
    <w:rsid w:val="00306092"/>
    <w:rsid w:val="00312385"/>
    <w:rsid w:val="00316E2C"/>
    <w:rsid w:val="0032084D"/>
    <w:rsid w:val="00320F23"/>
    <w:rsid w:val="00325E3E"/>
    <w:rsid w:val="00331E26"/>
    <w:rsid w:val="00332207"/>
    <w:rsid w:val="003339F7"/>
    <w:rsid w:val="00335C2C"/>
    <w:rsid w:val="00343666"/>
    <w:rsid w:val="00346792"/>
    <w:rsid w:val="00346CEE"/>
    <w:rsid w:val="00347E68"/>
    <w:rsid w:val="003668C1"/>
    <w:rsid w:val="003668FC"/>
    <w:rsid w:val="00366E54"/>
    <w:rsid w:val="00371EB5"/>
    <w:rsid w:val="00373F70"/>
    <w:rsid w:val="00377706"/>
    <w:rsid w:val="003837ED"/>
    <w:rsid w:val="0038513C"/>
    <w:rsid w:val="00390E0C"/>
    <w:rsid w:val="003917C0"/>
    <w:rsid w:val="00393CCD"/>
    <w:rsid w:val="003A2F3F"/>
    <w:rsid w:val="003B00B8"/>
    <w:rsid w:val="003C0002"/>
    <w:rsid w:val="003E1783"/>
    <w:rsid w:val="003E408C"/>
    <w:rsid w:val="00400016"/>
    <w:rsid w:val="00402368"/>
    <w:rsid w:val="00402E4B"/>
    <w:rsid w:val="00404CF2"/>
    <w:rsid w:val="004060F5"/>
    <w:rsid w:val="00406627"/>
    <w:rsid w:val="004067F2"/>
    <w:rsid w:val="00410D38"/>
    <w:rsid w:val="00413241"/>
    <w:rsid w:val="00413C1C"/>
    <w:rsid w:val="004167BD"/>
    <w:rsid w:val="00424FC9"/>
    <w:rsid w:val="00434409"/>
    <w:rsid w:val="0043516E"/>
    <w:rsid w:val="0043581D"/>
    <w:rsid w:val="0044348A"/>
    <w:rsid w:val="004553E3"/>
    <w:rsid w:val="004571F2"/>
    <w:rsid w:val="00462AA3"/>
    <w:rsid w:val="00463199"/>
    <w:rsid w:val="00470891"/>
    <w:rsid w:val="00472046"/>
    <w:rsid w:val="00477C6D"/>
    <w:rsid w:val="00481B3E"/>
    <w:rsid w:val="0048654F"/>
    <w:rsid w:val="004910A8"/>
    <w:rsid w:val="00496F39"/>
    <w:rsid w:val="004A2349"/>
    <w:rsid w:val="004A7617"/>
    <w:rsid w:val="004B45FF"/>
    <w:rsid w:val="004C329B"/>
    <w:rsid w:val="004D0FC2"/>
    <w:rsid w:val="004D55F8"/>
    <w:rsid w:val="004D7F55"/>
    <w:rsid w:val="004E3B80"/>
    <w:rsid w:val="004F3CD4"/>
    <w:rsid w:val="00506EDC"/>
    <w:rsid w:val="005073EB"/>
    <w:rsid w:val="00507A84"/>
    <w:rsid w:val="00517266"/>
    <w:rsid w:val="00520E0E"/>
    <w:rsid w:val="00525BB1"/>
    <w:rsid w:val="00525D4D"/>
    <w:rsid w:val="00530824"/>
    <w:rsid w:val="00530B0A"/>
    <w:rsid w:val="005334BB"/>
    <w:rsid w:val="0053680F"/>
    <w:rsid w:val="0055310F"/>
    <w:rsid w:val="00555575"/>
    <w:rsid w:val="00555DB3"/>
    <w:rsid w:val="0055649E"/>
    <w:rsid w:val="005564E8"/>
    <w:rsid w:val="00556A80"/>
    <w:rsid w:val="00562B68"/>
    <w:rsid w:val="00563A1A"/>
    <w:rsid w:val="0056470A"/>
    <w:rsid w:val="00565928"/>
    <w:rsid w:val="005669AF"/>
    <w:rsid w:val="00567211"/>
    <w:rsid w:val="00573EFA"/>
    <w:rsid w:val="005741DA"/>
    <w:rsid w:val="00575DA6"/>
    <w:rsid w:val="00577FC3"/>
    <w:rsid w:val="00587DC0"/>
    <w:rsid w:val="00591B68"/>
    <w:rsid w:val="005A0A84"/>
    <w:rsid w:val="005A5E5A"/>
    <w:rsid w:val="005B2577"/>
    <w:rsid w:val="005B3595"/>
    <w:rsid w:val="005B6373"/>
    <w:rsid w:val="005C1A4A"/>
    <w:rsid w:val="005C5C0C"/>
    <w:rsid w:val="005C7687"/>
    <w:rsid w:val="005D04CE"/>
    <w:rsid w:val="005D71F2"/>
    <w:rsid w:val="005D72A8"/>
    <w:rsid w:val="005D73B2"/>
    <w:rsid w:val="005E24B7"/>
    <w:rsid w:val="005E39D3"/>
    <w:rsid w:val="005E55D4"/>
    <w:rsid w:val="005F0E20"/>
    <w:rsid w:val="005F1933"/>
    <w:rsid w:val="005F365E"/>
    <w:rsid w:val="005F4E82"/>
    <w:rsid w:val="005F5119"/>
    <w:rsid w:val="005F657F"/>
    <w:rsid w:val="005F789D"/>
    <w:rsid w:val="006023E9"/>
    <w:rsid w:val="0060474C"/>
    <w:rsid w:val="006218B6"/>
    <w:rsid w:val="0062611D"/>
    <w:rsid w:val="00632B88"/>
    <w:rsid w:val="0063449D"/>
    <w:rsid w:val="00636CF6"/>
    <w:rsid w:val="00644152"/>
    <w:rsid w:val="0064454C"/>
    <w:rsid w:val="00646775"/>
    <w:rsid w:val="00654784"/>
    <w:rsid w:val="00663DD5"/>
    <w:rsid w:val="00675566"/>
    <w:rsid w:val="006810C5"/>
    <w:rsid w:val="00684131"/>
    <w:rsid w:val="00685571"/>
    <w:rsid w:val="00687140"/>
    <w:rsid w:val="00694ABB"/>
    <w:rsid w:val="006A0778"/>
    <w:rsid w:val="006A0AF3"/>
    <w:rsid w:val="006A26E8"/>
    <w:rsid w:val="006A482F"/>
    <w:rsid w:val="006B004A"/>
    <w:rsid w:val="006B079B"/>
    <w:rsid w:val="006B0CE3"/>
    <w:rsid w:val="006B1B02"/>
    <w:rsid w:val="006B7553"/>
    <w:rsid w:val="006B7EB2"/>
    <w:rsid w:val="006C4BB3"/>
    <w:rsid w:val="006C4D90"/>
    <w:rsid w:val="006C5F59"/>
    <w:rsid w:val="006C659D"/>
    <w:rsid w:val="006D31EB"/>
    <w:rsid w:val="006D41F2"/>
    <w:rsid w:val="006D46D5"/>
    <w:rsid w:val="006D5E9C"/>
    <w:rsid w:val="006E0D71"/>
    <w:rsid w:val="006E35D3"/>
    <w:rsid w:val="006F05CF"/>
    <w:rsid w:val="00700A8F"/>
    <w:rsid w:val="007020F6"/>
    <w:rsid w:val="007042C9"/>
    <w:rsid w:val="00710480"/>
    <w:rsid w:val="00715B0F"/>
    <w:rsid w:val="007247BA"/>
    <w:rsid w:val="00737343"/>
    <w:rsid w:val="0074040D"/>
    <w:rsid w:val="00745335"/>
    <w:rsid w:val="00757F3B"/>
    <w:rsid w:val="007678FC"/>
    <w:rsid w:val="00767FD3"/>
    <w:rsid w:val="0077110B"/>
    <w:rsid w:val="00771699"/>
    <w:rsid w:val="00780716"/>
    <w:rsid w:val="00782006"/>
    <w:rsid w:val="007838EA"/>
    <w:rsid w:val="00790705"/>
    <w:rsid w:val="0079391F"/>
    <w:rsid w:val="007950E2"/>
    <w:rsid w:val="007A3550"/>
    <w:rsid w:val="007A3C18"/>
    <w:rsid w:val="007B0BE6"/>
    <w:rsid w:val="007C1E97"/>
    <w:rsid w:val="007C1FA0"/>
    <w:rsid w:val="007C3E70"/>
    <w:rsid w:val="007C7B79"/>
    <w:rsid w:val="007D24B2"/>
    <w:rsid w:val="007D5352"/>
    <w:rsid w:val="007E0215"/>
    <w:rsid w:val="007E12D0"/>
    <w:rsid w:val="007E2212"/>
    <w:rsid w:val="007E3B6D"/>
    <w:rsid w:val="007F06E1"/>
    <w:rsid w:val="007F5CA5"/>
    <w:rsid w:val="007F6C7D"/>
    <w:rsid w:val="00802608"/>
    <w:rsid w:val="0080529E"/>
    <w:rsid w:val="00813F91"/>
    <w:rsid w:val="00815AB5"/>
    <w:rsid w:val="00822706"/>
    <w:rsid w:val="008237CF"/>
    <w:rsid w:val="00824982"/>
    <w:rsid w:val="00830D10"/>
    <w:rsid w:val="00834AC4"/>
    <w:rsid w:val="00842035"/>
    <w:rsid w:val="00842826"/>
    <w:rsid w:val="00842D39"/>
    <w:rsid w:val="00845F62"/>
    <w:rsid w:val="00863900"/>
    <w:rsid w:val="00871886"/>
    <w:rsid w:val="00873CE2"/>
    <w:rsid w:val="0087660C"/>
    <w:rsid w:val="008766F3"/>
    <w:rsid w:val="008778B0"/>
    <w:rsid w:val="00884052"/>
    <w:rsid w:val="008A2F65"/>
    <w:rsid w:val="008A3C16"/>
    <w:rsid w:val="008B2623"/>
    <w:rsid w:val="008B432B"/>
    <w:rsid w:val="008B4D6A"/>
    <w:rsid w:val="008B5EAC"/>
    <w:rsid w:val="008B7C70"/>
    <w:rsid w:val="008C07BF"/>
    <w:rsid w:val="008C26B8"/>
    <w:rsid w:val="008D5AA1"/>
    <w:rsid w:val="008E46F8"/>
    <w:rsid w:val="008E4BC2"/>
    <w:rsid w:val="008E6362"/>
    <w:rsid w:val="008E79B7"/>
    <w:rsid w:val="008F16A6"/>
    <w:rsid w:val="008F260E"/>
    <w:rsid w:val="008F5848"/>
    <w:rsid w:val="008F5DF0"/>
    <w:rsid w:val="00900021"/>
    <w:rsid w:val="00906423"/>
    <w:rsid w:val="00907441"/>
    <w:rsid w:val="00913B79"/>
    <w:rsid w:val="00936E4A"/>
    <w:rsid w:val="009372A4"/>
    <w:rsid w:val="009377D1"/>
    <w:rsid w:val="0095282C"/>
    <w:rsid w:val="009605B9"/>
    <w:rsid w:val="00961D90"/>
    <w:rsid w:val="009644A6"/>
    <w:rsid w:val="00966834"/>
    <w:rsid w:val="00972410"/>
    <w:rsid w:val="009774E6"/>
    <w:rsid w:val="00981005"/>
    <w:rsid w:val="00987BCE"/>
    <w:rsid w:val="00991EE6"/>
    <w:rsid w:val="00992658"/>
    <w:rsid w:val="009A3AAE"/>
    <w:rsid w:val="009A46A6"/>
    <w:rsid w:val="009A721A"/>
    <w:rsid w:val="009B0D52"/>
    <w:rsid w:val="009B0E24"/>
    <w:rsid w:val="009C4B3C"/>
    <w:rsid w:val="009C5AF7"/>
    <w:rsid w:val="009D2C52"/>
    <w:rsid w:val="009D5354"/>
    <w:rsid w:val="009D7686"/>
    <w:rsid w:val="009E46C0"/>
    <w:rsid w:val="009E7762"/>
    <w:rsid w:val="009F0284"/>
    <w:rsid w:val="009F0A09"/>
    <w:rsid w:val="009F2C13"/>
    <w:rsid w:val="009F381C"/>
    <w:rsid w:val="00A057B5"/>
    <w:rsid w:val="00A060C6"/>
    <w:rsid w:val="00A06313"/>
    <w:rsid w:val="00A102B7"/>
    <w:rsid w:val="00A10CE8"/>
    <w:rsid w:val="00A125E6"/>
    <w:rsid w:val="00A130F1"/>
    <w:rsid w:val="00A208E9"/>
    <w:rsid w:val="00A20AD3"/>
    <w:rsid w:val="00A2528D"/>
    <w:rsid w:val="00A259A7"/>
    <w:rsid w:val="00A26D2F"/>
    <w:rsid w:val="00A305DB"/>
    <w:rsid w:val="00A3701C"/>
    <w:rsid w:val="00A41E64"/>
    <w:rsid w:val="00A61A0E"/>
    <w:rsid w:val="00A71628"/>
    <w:rsid w:val="00A739FB"/>
    <w:rsid w:val="00A8209A"/>
    <w:rsid w:val="00A824CB"/>
    <w:rsid w:val="00A856C4"/>
    <w:rsid w:val="00A90F8F"/>
    <w:rsid w:val="00A935DF"/>
    <w:rsid w:val="00A9684A"/>
    <w:rsid w:val="00A979FA"/>
    <w:rsid w:val="00AB10AA"/>
    <w:rsid w:val="00AB2B8E"/>
    <w:rsid w:val="00AB3992"/>
    <w:rsid w:val="00AB6567"/>
    <w:rsid w:val="00AC2462"/>
    <w:rsid w:val="00AC295A"/>
    <w:rsid w:val="00AC34CB"/>
    <w:rsid w:val="00AD45BB"/>
    <w:rsid w:val="00AD57C7"/>
    <w:rsid w:val="00AE286E"/>
    <w:rsid w:val="00AE3607"/>
    <w:rsid w:val="00AE677A"/>
    <w:rsid w:val="00AF244F"/>
    <w:rsid w:val="00AF2ADC"/>
    <w:rsid w:val="00AF5D6A"/>
    <w:rsid w:val="00B04F29"/>
    <w:rsid w:val="00B05D06"/>
    <w:rsid w:val="00B05DC7"/>
    <w:rsid w:val="00B11DFC"/>
    <w:rsid w:val="00B146F6"/>
    <w:rsid w:val="00B27842"/>
    <w:rsid w:val="00B321E8"/>
    <w:rsid w:val="00B32D83"/>
    <w:rsid w:val="00B353F6"/>
    <w:rsid w:val="00B447E7"/>
    <w:rsid w:val="00B5148D"/>
    <w:rsid w:val="00B52359"/>
    <w:rsid w:val="00B52FD5"/>
    <w:rsid w:val="00B61038"/>
    <w:rsid w:val="00B66F2E"/>
    <w:rsid w:val="00B71E96"/>
    <w:rsid w:val="00B91189"/>
    <w:rsid w:val="00B93ADA"/>
    <w:rsid w:val="00B942B8"/>
    <w:rsid w:val="00B95852"/>
    <w:rsid w:val="00B961E9"/>
    <w:rsid w:val="00B969EF"/>
    <w:rsid w:val="00B96AB7"/>
    <w:rsid w:val="00B9792A"/>
    <w:rsid w:val="00BA15F1"/>
    <w:rsid w:val="00BA4E2F"/>
    <w:rsid w:val="00BA6FEA"/>
    <w:rsid w:val="00BB1833"/>
    <w:rsid w:val="00BB6EA8"/>
    <w:rsid w:val="00BC15C7"/>
    <w:rsid w:val="00BC7371"/>
    <w:rsid w:val="00BD0CE7"/>
    <w:rsid w:val="00BD0FFC"/>
    <w:rsid w:val="00BD6E39"/>
    <w:rsid w:val="00BE053A"/>
    <w:rsid w:val="00BE1D7D"/>
    <w:rsid w:val="00BE20DB"/>
    <w:rsid w:val="00BE5C6E"/>
    <w:rsid w:val="00BE6A79"/>
    <w:rsid w:val="00BF01FC"/>
    <w:rsid w:val="00BF237A"/>
    <w:rsid w:val="00BF2AD9"/>
    <w:rsid w:val="00BF3B93"/>
    <w:rsid w:val="00BF7EDF"/>
    <w:rsid w:val="00C10A68"/>
    <w:rsid w:val="00C10A91"/>
    <w:rsid w:val="00C1520D"/>
    <w:rsid w:val="00C20712"/>
    <w:rsid w:val="00C25446"/>
    <w:rsid w:val="00C263E8"/>
    <w:rsid w:val="00C3040F"/>
    <w:rsid w:val="00C3380C"/>
    <w:rsid w:val="00C37A7A"/>
    <w:rsid w:val="00C4094A"/>
    <w:rsid w:val="00C448D9"/>
    <w:rsid w:val="00C4582C"/>
    <w:rsid w:val="00C47064"/>
    <w:rsid w:val="00C544F8"/>
    <w:rsid w:val="00C741D2"/>
    <w:rsid w:val="00C76E9B"/>
    <w:rsid w:val="00C828E2"/>
    <w:rsid w:val="00C83586"/>
    <w:rsid w:val="00C851D2"/>
    <w:rsid w:val="00C92E8F"/>
    <w:rsid w:val="00C97C1F"/>
    <w:rsid w:val="00CB0EAA"/>
    <w:rsid w:val="00CB4620"/>
    <w:rsid w:val="00CC0BDE"/>
    <w:rsid w:val="00CC1E05"/>
    <w:rsid w:val="00CC7A68"/>
    <w:rsid w:val="00CD06BA"/>
    <w:rsid w:val="00CD533D"/>
    <w:rsid w:val="00CE2162"/>
    <w:rsid w:val="00CE2CFF"/>
    <w:rsid w:val="00CE5058"/>
    <w:rsid w:val="00CE68BF"/>
    <w:rsid w:val="00CF644C"/>
    <w:rsid w:val="00CF6B0E"/>
    <w:rsid w:val="00D001A2"/>
    <w:rsid w:val="00D01364"/>
    <w:rsid w:val="00D05C76"/>
    <w:rsid w:val="00D07F7D"/>
    <w:rsid w:val="00D244B4"/>
    <w:rsid w:val="00D267BB"/>
    <w:rsid w:val="00D47EBA"/>
    <w:rsid w:val="00D51923"/>
    <w:rsid w:val="00D541D9"/>
    <w:rsid w:val="00D56752"/>
    <w:rsid w:val="00D71B95"/>
    <w:rsid w:val="00D723E0"/>
    <w:rsid w:val="00D82D0F"/>
    <w:rsid w:val="00D866C5"/>
    <w:rsid w:val="00D97712"/>
    <w:rsid w:val="00DA0FCE"/>
    <w:rsid w:val="00DA0FE0"/>
    <w:rsid w:val="00DA1755"/>
    <w:rsid w:val="00DA2CA8"/>
    <w:rsid w:val="00DA3BBD"/>
    <w:rsid w:val="00DA63CE"/>
    <w:rsid w:val="00DA693D"/>
    <w:rsid w:val="00DA7006"/>
    <w:rsid w:val="00DA796A"/>
    <w:rsid w:val="00DA7A59"/>
    <w:rsid w:val="00DC09D5"/>
    <w:rsid w:val="00DC226C"/>
    <w:rsid w:val="00DC478C"/>
    <w:rsid w:val="00DC60F4"/>
    <w:rsid w:val="00DD014E"/>
    <w:rsid w:val="00DD2B89"/>
    <w:rsid w:val="00DD443C"/>
    <w:rsid w:val="00DE2340"/>
    <w:rsid w:val="00DE3811"/>
    <w:rsid w:val="00DE4BF1"/>
    <w:rsid w:val="00DE5131"/>
    <w:rsid w:val="00DF0887"/>
    <w:rsid w:val="00DF3017"/>
    <w:rsid w:val="00DF46D0"/>
    <w:rsid w:val="00DF7E9C"/>
    <w:rsid w:val="00E039EC"/>
    <w:rsid w:val="00E25A2F"/>
    <w:rsid w:val="00E27036"/>
    <w:rsid w:val="00E347B2"/>
    <w:rsid w:val="00E34C4E"/>
    <w:rsid w:val="00E361E0"/>
    <w:rsid w:val="00E40EEF"/>
    <w:rsid w:val="00E52812"/>
    <w:rsid w:val="00E52EEE"/>
    <w:rsid w:val="00E63077"/>
    <w:rsid w:val="00E6354C"/>
    <w:rsid w:val="00E66AF4"/>
    <w:rsid w:val="00E67077"/>
    <w:rsid w:val="00E67238"/>
    <w:rsid w:val="00E67D08"/>
    <w:rsid w:val="00E717E1"/>
    <w:rsid w:val="00E7749A"/>
    <w:rsid w:val="00E816C3"/>
    <w:rsid w:val="00E8272A"/>
    <w:rsid w:val="00E833B5"/>
    <w:rsid w:val="00E85368"/>
    <w:rsid w:val="00E85F6A"/>
    <w:rsid w:val="00E8660F"/>
    <w:rsid w:val="00E86E8E"/>
    <w:rsid w:val="00E91015"/>
    <w:rsid w:val="00E92762"/>
    <w:rsid w:val="00E963E9"/>
    <w:rsid w:val="00EB1BA0"/>
    <w:rsid w:val="00EB23EC"/>
    <w:rsid w:val="00EB51FB"/>
    <w:rsid w:val="00EB5C44"/>
    <w:rsid w:val="00EC334A"/>
    <w:rsid w:val="00EC7BEA"/>
    <w:rsid w:val="00ED0541"/>
    <w:rsid w:val="00EE254A"/>
    <w:rsid w:val="00EE2CA3"/>
    <w:rsid w:val="00EE317A"/>
    <w:rsid w:val="00EE4DD8"/>
    <w:rsid w:val="00EE6EB7"/>
    <w:rsid w:val="00EE7401"/>
    <w:rsid w:val="00EF3B93"/>
    <w:rsid w:val="00EF7514"/>
    <w:rsid w:val="00EF7C70"/>
    <w:rsid w:val="00F01246"/>
    <w:rsid w:val="00F01C58"/>
    <w:rsid w:val="00F05D43"/>
    <w:rsid w:val="00F063B9"/>
    <w:rsid w:val="00F11374"/>
    <w:rsid w:val="00F11E4B"/>
    <w:rsid w:val="00F12FE9"/>
    <w:rsid w:val="00F169A4"/>
    <w:rsid w:val="00F31234"/>
    <w:rsid w:val="00F3377F"/>
    <w:rsid w:val="00F37B65"/>
    <w:rsid w:val="00F40BDE"/>
    <w:rsid w:val="00F42432"/>
    <w:rsid w:val="00F472C5"/>
    <w:rsid w:val="00F558EA"/>
    <w:rsid w:val="00F62AA9"/>
    <w:rsid w:val="00F654F0"/>
    <w:rsid w:val="00F67465"/>
    <w:rsid w:val="00F8093B"/>
    <w:rsid w:val="00F82795"/>
    <w:rsid w:val="00F8626C"/>
    <w:rsid w:val="00F86C10"/>
    <w:rsid w:val="00F909B2"/>
    <w:rsid w:val="00FA3FF3"/>
    <w:rsid w:val="00FA56E3"/>
    <w:rsid w:val="00FA58F8"/>
    <w:rsid w:val="00FB0EC6"/>
    <w:rsid w:val="00FB51E3"/>
    <w:rsid w:val="00FB67F2"/>
    <w:rsid w:val="00FC7D14"/>
    <w:rsid w:val="00FD0623"/>
    <w:rsid w:val="00FD0CBE"/>
    <w:rsid w:val="00FD0CF8"/>
    <w:rsid w:val="00FD339C"/>
    <w:rsid w:val="00FD630A"/>
    <w:rsid w:val="00FE17D2"/>
    <w:rsid w:val="00FE1D1E"/>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CB0EAA"/>
    <w:pPr>
      <w:keepNext/>
      <w:keepLines/>
      <w:numPr>
        <w:ilvl w:val="2"/>
        <w:numId w:val="2"/>
      </w:numPr>
      <w:spacing w:before="200"/>
      <w:ind w:left="833"/>
      <w:outlineLvl w:val="2"/>
    </w:pPr>
    <w:rPr>
      <w:rFonts w:eastAsiaTheme="majorEastAsia" w:cstheme="majorBidi"/>
      <w:b/>
      <w:bCs/>
      <w:color w:val="auto"/>
      <w:sz w:val="22"/>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6B004A"/>
    <w:pPr>
      <w:tabs>
        <w:tab w:val="left" w:pos="880"/>
        <w:tab w:val="right" w:leader="dot" w:pos="10065"/>
      </w:tabs>
      <w:spacing w:line="276" w:lineRule="auto"/>
    </w:pPr>
    <w:rPr>
      <w:rFonts w:eastAsiaTheme="minorEastAsia"/>
      <w:noProof/>
      <w:sz w:val="22"/>
      <w:szCs w:val="22"/>
      <w:lang w:val="en-US" w:eastAsia="ja-JP"/>
    </w:rPr>
  </w:style>
  <w:style w:type="paragraph" w:styleId="TOC1">
    <w:name w:val="toc 1"/>
    <w:basedOn w:val="Normal"/>
    <w:next w:val="Normal"/>
    <w:autoRedefine/>
    <w:uiPriority w:val="39"/>
    <w:unhideWhenUsed/>
    <w:qFormat/>
    <w:rsid w:val="00371EB5"/>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CB0EAA"/>
    <w:rPr>
      <w:rFonts w:eastAsiaTheme="majorEastAsia" w:cstheme="majorBidi"/>
      <w:b/>
      <w:bCs/>
      <w:color w:val="auto"/>
      <w:sz w:val="22"/>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styleId="UnresolvedMention">
    <w:name w:val="Unresolved Mention"/>
    <w:basedOn w:val="DefaultParagraphFont"/>
    <w:uiPriority w:val="99"/>
    <w:semiHidden/>
    <w:unhideWhenUsed/>
    <w:rsid w:val="00FD3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portnhsfraud.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kki.cooper1@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2.xml><?xml version="1.0" encoding="utf-8"?>
<ds:datastoreItem xmlns:ds="http://schemas.openxmlformats.org/officeDocument/2006/customXml" ds:itemID="{28E09659-C5E6-4D9A-A722-DCF4CE12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DABDE-F6EC-4681-9E0B-A99F304B8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5914</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39545</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LONGDEN, Michelle (NHS HUMBER AND NORTH YORKSHIRE ICB - 03F)</cp:lastModifiedBy>
  <cp:revision>6</cp:revision>
  <cp:lastPrinted>2015-11-09T11:32:00Z</cp:lastPrinted>
  <dcterms:created xsi:type="dcterms:W3CDTF">2023-04-14T16:36:00Z</dcterms:created>
  <dcterms:modified xsi:type="dcterms:W3CDTF">2023-09-07T16:33:00Z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