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E9E4" w14:textId="4E564A7D" w:rsidR="00CD54C5" w:rsidRDefault="001664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4908" wp14:editId="1E8F283F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5797550" cy="80962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809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A163E" id="Rectangle 12" o:spid="_x0000_s1026" style="position:absolute;margin-left:405.3pt;margin-top:47pt;width:456.5pt;height:6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" fillcolor="#365f91 [2404]" stroked="f" strokeweight="2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63F0EBF" wp14:editId="5ED4F148">
            <wp:simplePos x="0" y="0"/>
            <wp:positionH relativeFrom="margin">
              <wp:posOffset>4212590</wp:posOffset>
            </wp:positionH>
            <wp:positionV relativeFrom="paragraph">
              <wp:posOffset>-269875</wp:posOffset>
            </wp:positionV>
            <wp:extent cx="1493520" cy="647700"/>
            <wp:effectExtent l="0" t="0" r="0" b="0"/>
            <wp:wrapNone/>
            <wp:docPr id="27" name="Picture 27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F4D0E" wp14:editId="65D05C8B">
            <wp:extent cx="2171700" cy="558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4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29527" wp14:editId="6F41B67F">
                <wp:simplePos x="0" y="0"/>
                <wp:positionH relativeFrom="column">
                  <wp:posOffset>-12700</wp:posOffset>
                </wp:positionH>
                <wp:positionV relativeFrom="paragraph">
                  <wp:posOffset>-660400</wp:posOffset>
                </wp:positionV>
                <wp:extent cx="5962650" cy="5822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597F5" id="Rectangle 1" o:spid="_x0000_s1026" style="position:absolute;margin-left:-1pt;margin-top:-52pt;width:469.5pt;height:4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" filled="f" stroked="f" strokeweight="2pt"/>
            </w:pict>
          </mc:Fallback>
        </mc:AlternateContent>
      </w:r>
      <w:r w:rsidR="00CD54C5">
        <w:t xml:space="preserve"> </w:t>
      </w:r>
      <w:r w:rsidR="00CD54C5">
        <w:rPr>
          <w:noProof/>
        </w:rPr>
        <w:t xml:space="preserve">                                </w:t>
      </w:r>
      <w:r w:rsidR="00CD54C5">
        <w:t xml:space="preserve">                                     </w:t>
      </w:r>
    </w:p>
    <w:p w14:paraId="72999ECD" w14:textId="6105BD81" w:rsidR="00CD54C5" w:rsidRDefault="00A37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22B" wp14:editId="032372CD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5759450" cy="66484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66484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B6A36" w14:textId="77777777" w:rsidR="00CD54C5" w:rsidRPr="008878E7" w:rsidRDefault="00CD54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45850F0" w14:textId="1C339985" w:rsidR="00CD54C5" w:rsidRPr="00A37E4E" w:rsidRDefault="00CD54C5" w:rsidP="00A3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</w:p>
                          <w:p w14:paraId="5B25DDF4" w14:textId="77777777" w:rsidR="00CD54C5" w:rsidRPr="00A37E4E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</w:t>
                            </w:r>
                          </w:p>
                          <w:p w14:paraId="56C0C084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37E4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Integrated Finance Report for the period </w:t>
                            </w:r>
                            <w:proofErr w:type="gramStart"/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ending</w:t>
                            </w:r>
                            <w:proofErr w:type="gramEnd"/>
                          </w:p>
                          <w:p w14:paraId="3BA670DA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</w:p>
                          <w:p w14:paraId="7B44406C" w14:textId="77777777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                       </w:t>
                            </w:r>
                          </w:p>
                          <w:p w14:paraId="0468584A" w14:textId="5E7223EB" w:rsidR="00CD54C5" w:rsidRPr="00AA2D23" w:rsidRDefault="00CD54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052A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3</w:t>
                            </w:r>
                            <w:r w:rsidR="00715E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0</w:t>
                            </w:r>
                            <w:r w:rsidR="00C93F1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15E4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September</w:t>
                            </w:r>
                            <w:r w:rsidRPr="00AA2D2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3444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15538E30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61614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3557096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6688B59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E5A6B78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E52E05F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C6C874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705326B" w14:textId="77777777" w:rsidR="00AA2D23" w:rsidRDefault="00AA2D23" w:rsidP="00AA2D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4253FBC" w14:textId="6304B79F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For presentation at the</w:t>
                            </w:r>
                          </w:p>
                          <w:p w14:paraId="540B060F" w14:textId="77777777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ICB Board</w:t>
                            </w:r>
                          </w:p>
                          <w:p w14:paraId="1E5D565E" w14:textId="33C71051" w:rsidR="00AA2D23" w:rsidRPr="0012687E" w:rsidRDefault="00AA2D23" w:rsidP="00AA2D2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</w:pP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 xml:space="preserve">Date: </w:t>
                            </w:r>
                            <w:r w:rsidR="00715E49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13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FB0D14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</w:t>
                            </w:r>
                            <w:r w:rsidR="00715E49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1</w:t>
                            </w:r>
                            <w:r w:rsidRPr="0012687E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/</w:t>
                            </w:r>
                            <w:r w:rsidR="00F066E5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202</w:t>
                            </w:r>
                            <w:r w:rsidR="00D45FF0">
                              <w:rPr>
                                <w:rFonts w:ascii="Arial" w:hAnsi="Arial" w:cs="Arial"/>
                                <w:b/>
                                <w:bCs/>
                                <w:color w:val="95B3D7" w:themeColor="accent1" w:themeTint="9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A22B" id="Rectangle 23" o:spid="_x0000_s1026" style="position:absolute;margin-left:402.3pt;margin-top:26.05pt;width:453.5pt;height:52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" filled="f" stroked="f" strokeweight=".25pt">
                <v:textbox>
                  <w:txbxContent>
                    <w:p w14:paraId="7AFB6A36" w14:textId="77777777" w:rsidR="00CD54C5" w:rsidRPr="008878E7" w:rsidRDefault="00CD54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45850F0" w14:textId="1C339985" w:rsidR="00CD54C5" w:rsidRPr="00A37E4E" w:rsidRDefault="00CD54C5" w:rsidP="00A37E4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  </w:t>
                      </w: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</w:p>
                    <w:p w14:paraId="5B25DDF4" w14:textId="77777777" w:rsidR="00CD54C5" w:rsidRPr="00A37E4E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</w:t>
                      </w:r>
                    </w:p>
                    <w:p w14:paraId="56C0C084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37E4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 xml:space="preserve">  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Integrated Finance Report for the period </w:t>
                      </w:r>
                      <w:proofErr w:type="gramStart"/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ending</w:t>
                      </w:r>
                      <w:proofErr w:type="gramEnd"/>
                    </w:p>
                    <w:p w14:paraId="3BA670DA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</w:t>
                      </w:r>
                    </w:p>
                    <w:p w14:paraId="7B44406C" w14:textId="77777777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                       </w:t>
                      </w:r>
                    </w:p>
                    <w:p w14:paraId="0468584A" w14:textId="5E7223EB" w:rsidR="00CD54C5" w:rsidRPr="00AA2D23" w:rsidRDefault="00CD54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</w:t>
                      </w:r>
                      <w:r w:rsidR="009052A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3</w:t>
                      </w:r>
                      <w:r w:rsidR="00715E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0</w:t>
                      </w:r>
                      <w:r w:rsidR="00C93F1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715E4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September</w:t>
                      </w:r>
                      <w:r w:rsidRPr="00AA2D2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202</w:t>
                      </w:r>
                      <w:r w:rsidR="003444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4</w:t>
                      </w:r>
                    </w:p>
                    <w:p w14:paraId="15538E30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61614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3557096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6688B59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E5A6B78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E52E05F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C6C874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705326B" w14:textId="77777777" w:rsidR="00AA2D23" w:rsidRDefault="00AA2D23" w:rsidP="00AA2D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4253FBC" w14:textId="6304B79F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For presentation at the</w:t>
                      </w:r>
                    </w:p>
                    <w:p w14:paraId="540B060F" w14:textId="77777777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ICB Board</w:t>
                      </w:r>
                    </w:p>
                    <w:p w14:paraId="1E5D565E" w14:textId="33C71051" w:rsidR="00AA2D23" w:rsidRPr="0012687E" w:rsidRDefault="00AA2D23" w:rsidP="00AA2D2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</w:pP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 xml:space="preserve">Date: </w:t>
                      </w:r>
                      <w:r w:rsidR="00715E49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13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FB0D14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</w:t>
                      </w:r>
                      <w:r w:rsidR="00715E49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1</w:t>
                      </w:r>
                      <w:r w:rsidRPr="0012687E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/</w:t>
                      </w:r>
                      <w:r w:rsidR="00F066E5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202</w:t>
                      </w:r>
                      <w:r w:rsidR="00D45FF0">
                        <w:rPr>
                          <w:rFonts w:ascii="Arial" w:hAnsi="Arial" w:cs="Arial"/>
                          <w:b/>
                          <w:bCs/>
                          <w:color w:val="95B3D7" w:themeColor="accent1" w:themeTint="99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54C5">
        <w:t xml:space="preserve"> </w:t>
      </w:r>
    </w:p>
    <w:p w14:paraId="0A6E1503" w14:textId="09998165" w:rsidR="00CD54C5" w:rsidRDefault="00CD54C5"/>
    <w:p w14:paraId="3C28D55A" w14:textId="77777777" w:rsidR="00CD54C5" w:rsidRDefault="00CD54C5">
      <w:r>
        <w:t xml:space="preserve">         </w:t>
      </w:r>
    </w:p>
    <w:p w14:paraId="058DBF8E" w14:textId="75373499" w:rsidR="00CD54C5" w:rsidRDefault="00CD54C5">
      <w:r>
        <w:br w:type="page"/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5D031D" w14:paraId="0380EA75" w14:textId="77777777" w:rsidTr="00C4637F">
        <w:trPr>
          <w:trHeight w:val="416"/>
        </w:trPr>
        <w:tc>
          <w:tcPr>
            <w:tcW w:w="9060" w:type="dxa"/>
            <w:shd w:val="clear" w:color="auto" w:fill="365F91" w:themeFill="accent1" w:themeFillShade="BF"/>
          </w:tcPr>
          <w:p w14:paraId="656F8CFE" w14:textId="7178E73A" w:rsidR="005D031D" w:rsidRDefault="005D031D">
            <w:pPr>
              <w:rPr>
                <w:color w:val="000000" w:themeColor="text1"/>
              </w:rPr>
            </w:pPr>
            <w:r w:rsidRPr="00002DB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Contents</w:t>
            </w:r>
          </w:p>
        </w:tc>
      </w:tr>
      <w:tr w:rsidR="00C4637F" w14:paraId="03438847" w14:textId="77777777" w:rsidTr="00C4637F">
        <w:trPr>
          <w:trHeight w:val="644"/>
        </w:trPr>
        <w:tc>
          <w:tcPr>
            <w:tcW w:w="9060" w:type="dxa"/>
            <w:shd w:val="clear" w:color="auto" w:fill="auto"/>
          </w:tcPr>
          <w:p w14:paraId="5B4C6867" w14:textId="03D982AC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A76AF2A" w14:textId="16BA1EE6" w:rsidR="00C4637F" w:rsidRPr="00EA0680" w:rsidRDefault="00EA06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0680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                                                                                                        Page No.</w:t>
            </w:r>
          </w:p>
          <w:p w14:paraId="2DD04135" w14:textId="77777777" w:rsidR="00EA0680" w:rsidRPr="00C4637F" w:rsidRDefault="00EA0680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CF621C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bookmarkStart w:id="0" w:name="_Hlk140853719"/>
            <w:r w:rsidRPr="00C4637F">
              <w:rPr>
                <w:rFonts w:ascii="Arial" w:hAnsi="Arial" w:cs="Arial"/>
                <w:sz w:val="24"/>
                <w:szCs w:val="24"/>
              </w:rPr>
              <w:t>1.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Executive Financial Summary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F39873" w14:textId="77777777" w:rsidR="00C4637F" w:rsidRPr="00C4637F" w:rsidRDefault="00C4637F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4637F">
              <w:rPr>
                <w:rFonts w:ascii="Arial" w:hAnsi="Arial" w:cs="Arial"/>
                <w:sz w:val="24"/>
                <w:szCs w:val="24"/>
              </w:rPr>
              <w:t>2.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Financial Commentary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Pr="00C4637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D263E05" w14:textId="2356F3AA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</w:t>
            </w:r>
            <w:r w:rsidR="00AF565A">
              <w:rPr>
                <w:rFonts w:ascii="Arial" w:hAnsi="Arial" w:cs="Arial"/>
                <w:sz w:val="24"/>
                <w:szCs w:val="24"/>
              </w:rPr>
              <w:t xml:space="preserve">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 xml:space="preserve">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261CF6" w14:textId="27D1EF49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ICS Provider Income &amp;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431C65B" w14:textId="644785AF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Efficiencies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AF565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B63D296" w14:textId="0EFF488E" w:rsidR="00C4637F" w:rsidRPr="00C4637F" w:rsidRDefault="000F3B00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Capital Summary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AF565A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00B53AE9" w14:textId="7FF74FF9" w:rsidR="00C4637F" w:rsidRP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Provider Agency Expenditure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0E2DA3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3A19A17" w14:textId="64C015CF" w:rsidR="00C4637F" w:rsidRDefault="00AF565A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ICB Cash Position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3EEF00E3" w14:textId="17A5550B" w:rsidR="0024752E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Pr="00C4637F">
              <w:rPr>
                <w:rFonts w:ascii="Arial" w:hAnsi="Arial" w:cs="Arial"/>
                <w:sz w:val="24"/>
                <w:szCs w:val="24"/>
              </w:rPr>
              <w:tab/>
              <w:t xml:space="preserve">System BPPC Performance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2C1227D3" w14:textId="1BB48A4A" w:rsidR="00C4637F" w:rsidRDefault="0024752E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>.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tab/>
              <w:t xml:space="preserve">Recommendations </w:t>
            </w:r>
            <w:r w:rsidR="00C4637F"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bookmarkEnd w:id="0"/>
            <w:r w:rsidR="00735179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41C45FE9" w14:textId="66887132" w:rsidR="00AD1168" w:rsidRDefault="00AD1168" w:rsidP="00AD116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Appendices  </w:t>
            </w:r>
            <w:r w:rsidRPr="00C4637F">
              <w:rPr>
                <w:rFonts w:ascii="Arial" w:hAnsi="Arial" w:cs="Arial"/>
                <w:sz w:val="24"/>
                <w:szCs w:val="24"/>
              </w:rPr>
              <w:ptab w:relativeTo="margin" w:alignment="right" w:leader="dot"/>
            </w:r>
            <w:r w:rsidR="00735179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5811F65" w14:textId="77777777" w:rsidR="00AD1168" w:rsidRPr="00C4637F" w:rsidRDefault="00AD1168" w:rsidP="00C4637F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66D6BBE1" w14:textId="3E45D9EF" w:rsidR="00C4637F" w:rsidRDefault="00EF40F2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Appendix 1 </w:t>
            </w:r>
            <w:r w:rsidRPr="00EF40F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ab/>
              <w:t>16</w:t>
            </w:r>
          </w:p>
          <w:p w14:paraId="5CCA9C4D" w14:textId="63DB26AA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FFC0F07" w14:textId="77777777" w:rsidR="00C4637F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DD5845B" w14:textId="57C6206C" w:rsidR="00C4637F" w:rsidRPr="00002DBC" w:rsidRDefault="00C4637F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2D6BA15D" w14:textId="77777777" w:rsidR="005D031D" w:rsidRDefault="005D031D">
      <w:pPr>
        <w:rPr>
          <w:color w:val="000000" w:themeColor="text1"/>
        </w:rPr>
      </w:pPr>
    </w:p>
    <w:p w14:paraId="77ECDE7D" w14:textId="77777777" w:rsidR="005D031D" w:rsidRDefault="005D031D">
      <w:pPr>
        <w:rPr>
          <w:color w:val="000000" w:themeColor="text1"/>
        </w:rPr>
        <w:sectPr w:rsidR="005D031D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5D69A5FD" w14:textId="6B2183A0" w:rsidR="005F4FEC" w:rsidRDefault="00896F28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5F4FEC">
        <w:rPr>
          <w:rFonts w:ascii="Arial" w:hAnsi="Arial" w:cs="Arial"/>
          <w:b/>
          <w:bCs/>
          <w:sz w:val="24"/>
          <w:szCs w:val="24"/>
        </w:rPr>
        <w:lastRenderedPageBreak/>
        <w:t>Executive Financial Summary</w:t>
      </w:r>
    </w:p>
    <w:p w14:paraId="7FC37DB1" w14:textId="77777777" w:rsidR="00A368CB" w:rsidRDefault="00A368CB" w:rsidP="00A368CB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C250374" w14:textId="3ECE48C4" w:rsidR="008A54B5" w:rsidRPr="0087153D" w:rsidRDefault="005F4FEC" w:rsidP="005F44C8">
      <w:pPr>
        <w:pStyle w:val="Default"/>
        <w:jc w:val="both"/>
        <w:rPr>
          <w:sz w:val="22"/>
          <w:szCs w:val="22"/>
        </w:rPr>
      </w:pPr>
      <w:r w:rsidRPr="0087153D">
        <w:rPr>
          <w:sz w:val="22"/>
          <w:szCs w:val="22"/>
        </w:rPr>
        <w:t xml:space="preserve">Humber and North Yorkshire NHS system </w:t>
      </w:r>
      <w:r w:rsidR="004A4D37" w:rsidRPr="0087153D">
        <w:rPr>
          <w:sz w:val="22"/>
          <w:szCs w:val="22"/>
        </w:rPr>
        <w:t>a</w:t>
      </w:r>
      <w:r w:rsidR="00715E49" w:rsidRPr="0087153D">
        <w:rPr>
          <w:sz w:val="22"/>
          <w:szCs w:val="22"/>
        </w:rPr>
        <w:t xml:space="preserve">greed a </w:t>
      </w:r>
      <w:r w:rsidR="004A4D37" w:rsidRPr="0087153D">
        <w:rPr>
          <w:sz w:val="22"/>
          <w:szCs w:val="22"/>
        </w:rPr>
        <w:t>£50m deficit plan with NHS England (NHSE)</w:t>
      </w:r>
      <w:r w:rsidR="00715E49" w:rsidRPr="0087153D">
        <w:rPr>
          <w:sz w:val="22"/>
          <w:szCs w:val="22"/>
        </w:rPr>
        <w:t xml:space="preserve"> for 2024/25</w:t>
      </w:r>
      <w:r w:rsidR="004A4D37" w:rsidRPr="0087153D">
        <w:rPr>
          <w:sz w:val="22"/>
          <w:szCs w:val="22"/>
        </w:rPr>
        <w:t xml:space="preserve">. </w:t>
      </w:r>
      <w:r w:rsidR="00715E49" w:rsidRPr="0087153D">
        <w:rPr>
          <w:sz w:val="22"/>
          <w:szCs w:val="22"/>
        </w:rPr>
        <w:t>In</w:t>
      </w:r>
      <w:r w:rsidR="00D077EB" w:rsidRPr="0087153D">
        <w:rPr>
          <w:sz w:val="22"/>
          <w:szCs w:val="22"/>
        </w:rPr>
        <w:t xml:space="preserve"> line with the</w:t>
      </w:r>
      <w:r w:rsidR="005F44C8" w:rsidRPr="0087153D">
        <w:rPr>
          <w:sz w:val="22"/>
          <w:szCs w:val="22"/>
        </w:rPr>
        <w:t xml:space="preserve"> new NHS</w:t>
      </w:r>
      <w:r w:rsidR="00D077EB" w:rsidRPr="0087153D">
        <w:rPr>
          <w:sz w:val="22"/>
          <w:szCs w:val="22"/>
        </w:rPr>
        <w:t xml:space="preserve"> financial framework,</w:t>
      </w:r>
      <w:r w:rsidR="004A4D37" w:rsidRPr="0087153D">
        <w:rPr>
          <w:sz w:val="22"/>
          <w:szCs w:val="22"/>
        </w:rPr>
        <w:t xml:space="preserve"> </w:t>
      </w:r>
      <w:r w:rsidR="00715E49" w:rsidRPr="0087153D">
        <w:rPr>
          <w:sz w:val="22"/>
          <w:szCs w:val="22"/>
        </w:rPr>
        <w:t xml:space="preserve">the system received </w:t>
      </w:r>
      <w:r w:rsidR="004A4D37" w:rsidRPr="0087153D">
        <w:rPr>
          <w:sz w:val="22"/>
          <w:szCs w:val="22"/>
        </w:rPr>
        <w:t xml:space="preserve">a non-recurrent deficit support revenue allocation equal to the £50m deficit </w:t>
      </w:r>
      <w:r w:rsidR="00FB0D14" w:rsidRPr="0087153D">
        <w:rPr>
          <w:sz w:val="22"/>
          <w:szCs w:val="22"/>
        </w:rPr>
        <w:t>plan</w:t>
      </w:r>
      <w:r w:rsidR="00715E49" w:rsidRPr="0087153D">
        <w:rPr>
          <w:sz w:val="22"/>
          <w:szCs w:val="22"/>
        </w:rPr>
        <w:t xml:space="preserve"> at month 6</w:t>
      </w:r>
      <w:r w:rsidR="00164C6D" w:rsidRPr="0087153D">
        <w:rPr>
          <w:sz w:val="22"/>
          <w:szCs w:val="22"/>
        </w:rPr>
        <w:t xml:space="preserve">. </w:t>
      </w:r>
      <w:r w:rsidR="00715E49" w:rsidRPr="0087153D">
        <w:rPr>
          <w:sz w:val="22"/>
          <w:szCs w:val="22"/>
        </w:rPr>
        <w:t>This allocation is conditional on the system delivering a breakeven position</w:t>
      </w:r>
      <w:r w:rsidR="00887BC1" w:rsidRPr="0087153D">
        <w:rPr>
          <w:sz w:val="22"/>
          <w:szCs w:val="22"/>
        </w:rPr>
        <w:t xml:space="preserve"> for 2024/25. </w:t>
      </w:r>
    </w:p>
    <w:p w14:paraId="36AD8918" w14:textId="77777777" w:rsidR="009072B0" w:rsidRPr="0087153D" w:rsidRDefault="009072B0" w:rsidP="005F44C8">
      <w:pPr>
        <w:pStyle w:val="Default"/>
        <w:jc w:val="both"/>
        <w:rPr>
          <w:sz w:val="22"/>
          <w:szCs w:val="22"/>
        </w:rPr>
      </w:pPr>
    </w:p>
    <w:p w14:paraId="2578CFCA" w14:textId="016FFBA3" w:rsidR="009072B0" w:rsidRPr="0087153D" w:rsidRDefault="00FB0D14" w:rsidP="005F44C8">
      <w:pPr>
        <w:spacing w:after="0"/>
        <w:jc w:val="both"/>
        <w:rPr>
          <w:rFonts w:ascii="Arial" w:hAnsi="Arial" w:cs="Arial"/>
        </w:rPr>
      </w:pPr>
      <w:r w:rsidRPr="0087153D">
        <w:rPr>
          <w:rFonts w:ascii="Arial" w:hAnsi="Arial" w:cs="Arial"/>
        </w:rPr>
        <w:t>The</w:t>
      </w:r>
      <w:r w:rsidRPr="0087153D">
        <w:t xml:space="preserve"> </w:t>
      </w:r>
      <w:r w:rsidRPr="0087153D">
        <w:rPr>
          <w:rFonts w:ascii="Arial" w:hAnsi="Arial" w:cs="Arial"/>
        </w:rPr>
        <w:t>ICS has reported a £</w:t>
      </w:r>
      <w:r w:rsidR="00887BC1" w:rsidRPr="0087153D">
        <w:rPr>
          <w:rFonts w:ascii="Arial" w:hAnsi="Arial" w:cs="Arial"/>
        </w:rPr>
        <w:t>19</w:t>
      </w:r>
      <w:r w:rsidRPr="0087153D">
        <w:rPr>
          <w:rFonts w:ascii="Arial" w:hAnsi="Arial" w:cs="Arial"/>
        </w:rPr>
        <w:t>.9m deficit against a £</w:t>
      </w:r>
      <w:r w:rsidR="00887BC1" w:rsidRPr="0087153D">
        <w:rPr>
          <w:rFonts w:ascii="Arial" w:hAnsi="Arial" w:cs="Arial"/>
        </w:rPr>
        <w:t>1</w:t>
      </w:r>
      <w:r w:rsidRPr="0087153D">
        <w:rPr>
          <w:rFonts w:ascii="Arial" w:hAnsi="Arial" w:cs="Arial"/>
        </w:rPr>
        <w:t>8.</w:t>
      </w:r>
      <w:r w:rsidR="00887BC1" w:rsidRPr="0087153D">
        <w:rPr>
          <w:rFonts w:ascii="Arial" w:hAnsi="Arial" w:cs="Arial"/>
        </w:rPr>
        <w:t>5</w:t>
      </w:r>
      <w:r w:rsidRPr="0087153D">
        <w:rPr>
          <w:rFonts w:ascii="Arial" w:hAnsi="Arial" w:cs="Arial"/>
        </w:rPr>
        <w:t>m year to date plan. This is an overspend of £</w:t>
      </w:r>
      <w:r w:rsidR="00887BC1" w:rsidRPr="0087153D">
        <w:rPr>
          <w:rFonts w:ascii="Arial" w:hAnsi="Arial" w:cs="Arial"/>
        </w:rPr>
        <w:t>1.4</w:t>
      </w:r>
      <w:r w:rsidRPr="0087153D">
        <w:rPr>
          <w:rFonts w:ascii="Arial" w:hAnsi="Arial" w:cs="Arial"/>
        </w:rPr>
        <w:t xml:space="preserve">m against plan </w:t>
      </w:r>
      <w:r w:rsidR="00164C6D" w:rsidRPr="0087153D">
        <w:rPr>
          <w:rFonts w:ascii="Arial" w:hAnsi="Arial" w:cs="Arial"/>
        </w:rPr>
        <w:t xml:space="preserve">that is mainly due </w:t>
      </w:r>
      <w:r w:rsidR="003C2E86">
        <w:rPr>
          <w:rFonts w:ascii="Arial" w:hAnsi="Arial" w:cs="Arial"/>
        </w:rPr>
        <w:t xml:space="preserve">to </w:t>
      </w:r>
      <w:r w:rsidR="00887BC1" w:rsidRPr="0087153D">
        <w:rPr>
          <w:rFonts w:ascii="Arial" w:hAnsi="Arial" w:cs="Arial"/>
        </w:rPr>
        <w:t xml:space="preserve">slippage in </w:t>
      </w:r>
      <w:r w:rsidR="003C2E86">
        <w:rPr>
          <w:rFonts w:ascii="Arial" w:hAnsi="Arial" w:cs="Arial"/>
        </w:rPr>
        <w:t xml:space="preserve">provider </w:t>
      </w:r>
      <w:r w:rsidR="00887BC1" w:rsidRPr="0087153D">
        <w:rPr>
          <w:rFonts w:ascii="Arial" w:hAnsi="Arial" w:cs="Arial"/>
        </w:rPr>
        <w:t>efficiency programme</w:t>
      </w:r>
      <w:r w:rsidRPr="0087153D">
        <w:rPr>
          <w:rFonts w:ascii="Arial" w:hAnsi="Arial" w:cs="Arial"/>
        </w:rPr>
        <w:t xml:space="preserve">. </w:t>
      </w:r>
      <w:r w:rsidR="0007211B" w:rsidRPr="0087153D">
        <w:rPr>
          <w:rFonts w:ascii="Arial" w:hAnsi="Arial" w:cs="Arial"/>
        </w:rPr>
        <w:t>The</w:t>
      </w:r>
      <w:r w:rsidRPr="0087153D">
        <w:rPr>
          <w:rFonts w:ascii="Arial" w:hAnsi="Arial" w:cs="Arial"/>
        </w:rPr>
        <w:t xml:space="preserve"> </w:t>
      </w:r>
      <w:r w:rsidR="00164C6D" w:rsidRPr="0087153D">
        <w:rPr>
          <w:rFonts w:ascii="Arial" w:hAnsi="Arial" w:cs="Arial"/>
        </w:rPr>
        <w:t>level of actual year to date deficit</w:t>
      </w:r>
      <w:r w:rsidR="00887BC1" w:rsidRPr="0087153D">
        <w:rPr>
          <w:rFonts w:ascii="Arial" w:hAnsi="Arial" w:cs="Arial"/>
        </w:rPr>
        <w:t xml:space="preserve"> </w:t>
      </w:r>
      <w:r w:rsidR="00164C6D" w:rsidRPr="0087153D">
        <w:rPr>
          <w:rFonts w:ascii="Arial" w:hAnsi="Arial" w:cs="Arial"/>
        </w:rPr>
        <w:t xml:space="preserve">requires the system to </w:t>
      </w:r>
      <w:r w:rsidR="00887BC1" w:rsidRPr="0087153D">
        <w:rPr>
          <w:rFonts w:ascii="Arial" w:hAnsi="Arial" w:cs="Arial"/>
        </w:rPr>
        <w:t>urgently progress additional savings plans</w:t>
      </w:r>
      <w:r w:rsidR="0007211B" w:rsidRPr="0087153D">
        <w:rPr>
          <w:rFonts w:ascii="Arial" w:hAnsi="Arial" w:cs="Arial"/>
        </w:rPr>
        <w:t xml:space="preserve"> in the remainder of the financial year to support </w:t>
      </w:r>
      <w:r w:rsidR="00164C6D" w:rsidRPr="0087153D">
        <w:rPr>
          <w:rFonts w:ascii="Arial" w:hAnsi="Arial" w:cs="Arial"/>
        </w:rPr>
        <w:t>delivery of the planned financial position</w:t>
      </w:r>
      <w:r w:rsidR="0007211B" w:rsidRPr="0087153D">
        <w:rPr>
          <w:rFonts w:ascii="Arial" w:hAnsi="Arial" w:cs="Arial"/>
        </w:rPr>
        <w:t xml:space="preserve">. </w:t>
      </w:r>
    </w:p>
    <w:p w14:paraId="26C83F57" w14:textId="77777777" w:rsidR="009072B0" w:rsidRPr="0087153D" w:rsidRDefault="009072B0" w:rsidP="005F44C8">
      <w:pPr>
        <w:spacing w:after="0"/>
        <w:jc w:val="both"/>
        <w:rPr>
          <w:rFonts w:ascii="Arial" w:hAnsi="Arial" w:cs="Arial"/>
        </w:rPr>
      </w:pPr>
    </w:p>
    <w:p w14:paraId="1936A6E1" w14:textId="6C229DDB" w:rsidR="00CA554F" w:rsidRPr="0087153D" w:rsidRDefault="00164C6D" w:rsidP="00FB0D14">
      <w:pPr>
        <w:spacing w:after="0"/>
        <w:jc w:val="both"/>
        <w:rPr>
          <w:rFonts w:ascii="Arial" w:hAnsi="Arial" w:cs="Arial"/>
        </w:rPr>
      </w:pPr>
      <w:bookmarkStart w:id="1" w:name="_Hlk181608687"/>
      <w:r w:rsidRPr="0087153D">
        <w:rPr>
          <w:rFonts w:ascii="Arial" w:hAnsi="Arial" w:cs="Arial"/>
        </w:rPr>
        <w:t>The</w:t>
      </w:r>
      <w:r w:rsidR="00CA554F" w:rsidRPr="0087153D">
        <w:rPr>
          <w:rFonts w:ascii="Arial" w:hAnsi="Arial" w:cs="Arial"/>
        </w:rPr>
        <w:t xml:space="preserve"> </w:t>
      </w:r>
      <w:r w:rsidR="0034001E" w:rsidRPr="0087153D">
        <w:rPr>
          <w:rFonts w:ascii="Arial" w:hAnsi="Arial" w:cs="Arial"/>
        </w:rPr>
        <w:t xml:space="preserve">system has highlighted the risk to delivery of the overall financial position at circa £34m. The </w:t>
      </w:r>
      <w:r w:rsidR="00FB0D14" w:rsidRPr="0087153D">
        <w:rPr>
          <w:rFonts w:ascii="Arial" w:hAnsi="Arial" w:cs="Arial"/>
        </w:rPr>
        <w:t>m</w:t>
      </w:r>
      <w:r w:rsidR="00CA554F" w:rsidRPr="0087153D">
        <w:rPr>
          <w:rFonts w:ascii="Arial" w:hAnsi="Arial" w:cs="Arial"/>
        </w:rPr>
        <w:t>ulti-disciplinary summi</w:t>
      </w:r>
      <w:r w:rsidR="00FB0D14" w:rsidRPr="0087153D">
        <w:rPr>
          <w:rFonts w:ascii="Arial" w:hAnsi="Arial" w:cs="Arial"/>
        </w:rPr>
        <w:t>t</w:t>
      </w:r>
      <w:r w:rsidR="00CA554F" w:rsidRPr="0087153D">
        <w:rPr>
          <w:rFonts w:ascii="Arial" w:hAnsi="Arial" w:cs="Arial"/>
        </w:rPr>
        <w:t xml:space="preserve"> </w:t>
      </w:r>
      <w:r w:rsidRPr="0087153D">
        <w:rPr>
          <w:rFonts w:ascii="Arial" w:hAnsi="Arial" w:cs="Arial"/>
        </w:rPr>
        <w:t xml:space="preserve">on 27 September 2024 </w:t>
      </w:r>
      <w:r w:rsidR="0034001E" w:rsidRPr="0087153D">
        <w:rPr>
          <w:rFonts w:ascii="Arial" w:hAnsi="Arial" w:cs="Arial"/>
        </w:rPr>
        <w:t>identified potential opportunity for a material sum of circa £20m</w:t>
      </w:r>
      <w:r w:rsidR="00CA554F" w:rsidRPr="0087153D">
        <w:rPr>
          <w:rFonts w:ascii="Arial" w:hAnsi="Arial" w:cs="Arial"/>
        </w:rPr>
        <w:t xml:space="preserve">. </w:t>
      </w:r>
      <w:r w:rsidR="0034001E" w:rsidRPr="0087153D">
        <w:rPr>
          <w:rFonts w:ascii="Arial" w:hAnsi="Arial" w:cs="Arial"/>
        </w:rPr>
        <w:t>All system partners have been asked</w:t>
      </w:r>
      <w:r w:rsidR="0087153D" w:rsidRPr="0087153D">
        <w:rPr>
          <w:rFonts w:ascii="Arial" w:hAnsi="Arial" w:cs="Arial"/>
        </w:rPr>
        <w:t xml:space="preserve">, </w:t>
      </w:r>
      <w:r w:rsidR="0087153D" w:rsidRPr="0087153D">
        <w:rPr>
          <w:rFonts w:ascii="Arial" w:hAnsi="Arial" w:cs="Arial"/>
        </w:rPr>
        <w:t>with immediate effect</w:t>
      </w:r>
      <w:r w:rsidR="0087153D" w:rsidRPr="0087153D">
        <w:rPr>
          <w:rFonts w:ascii="Arial" w:hAnsi="Arial" w:cs="Arial"/>
        </w:rPr>
        <w:t>, to ensure</w:t>
      </w:r>
      <w:r w:rsidR="0087153D" w:rsidRPr="0087153D">
        <w:rPr>
          <w:rFonts w:ascii="Arial" w:hAnsi="Arial" w:cs="Arial"/>
        </w:rPr>
        <w:t xml:space="preserve"> actions </w:t>
      </w:r>
      <w:r w:rsidR="0087153D" w:rsidRPr="0087153D">
        <w:rPr>
          <w:rFonts w:ascii="Arial" w:hAnsi="Arial" w:cs="Arial"/>
        </w:rPr>
        <w:t xml:space="preserve">identified as a checklist from the output of the summit </w:t>
      </w:r>
      <w:r w:rsidR="0087153D" w:rsidRPr="0087153D">
        <w:rPr>
          <w:rFonts w:ascii="Arial" w:hAnsi="Arial" w:cs="Arial"/>
        </w:rPr>
        <w:t>are incorporated into the day-to-day operation of the respective organisations across the Humber and North Yorkshire Integrated Care System.</w:t>
      </w:r>
      <w:r w:rsidR="0034001E" w:rsidRPr="0087153D">
        <w:rPr>
          <w:rFonts w:ascii="Arial" w:hAnsi="Arial" w:cs="Arial"/>
        </w:rPr>
        <w:t xml:space="preserve"> </w:t>
      </w:r>
      <w:r w:rsidR="004F26D0" w:rsidRPr="004F26D0">
        <w:rPr>
          <w:rFonts w:ascii="Arial" w:hAnsi="Arial" w:cs="Arial"/>
        </w:rPr>
        <w:t>Further work is being progressed by the HRD / DOF community to quantify even more difficult decisions that the system may need to make in the coming weeks.</w:t>
      </w:r>
    </w:p>
    <w:bookmarkEnd w:id="1"/>
    <w:p w14:paraId="5A2000C3" w14:textId="77777777" w:rsidR="00F947EE" w:rsidRPr="0087153D" w:rsidRDefault="00F947EE" w:rsidP="00D878E1">
      <w:pPr>
        <w:pStyle w:val="Default"/>
        <w:jc w:val="both"/>
        <w:rPr>
          <w:sz w:val="22"/>
          <w:szCs w:val="22"/>
        </w:rPr>
      </w:pPr>
    </w:p>
    <w:p w14:paraId="0D98841D" w14:textId="732F404E" w:rsidR="005F44C8" w:rsidRPr="0087153D" w:rsidRDefault="005F4FEC" w:rsidP="00D878E1">
      <w:pPr>
        <w:pStyle w:val="Default"/>
        <w:jc w:val="both"/>
        <w:rPr>
          <w:sz w:val="22"/>
          <w:szCs w:val="22"/>
        </w:rPr>
      </w:pPr>
      <w:r w:rsidRPr="0087153D">
        <w:rPr>
          <w:sz w:val="22"/>
          <w:szCs w:val="22"/>
        </w:rPr>
        <w:t xml:space="preserve">The </w:t>
      </w:r>
      <w:r w:rsidR="00164145" w:rsidRPr="0087153D">
        <w:rPr>
          <w:sz w:val="22"/>
          <w:szCs w:val="22"/>
        </w:rPr>
        <w:t>table below</w:t>
      </w:r>
      <w:r w:rsidRPr="0087153D">
        <w:rPr>
          <w:sz w:val="22"/>
          <w:szCs w:val="22"/>
        </w:rPr>
        <w:t xml:space="preserve"> describes the key financial indicators </w:t>
      </w:r>
      <w:r w:rsidR="001252C1" w:rsidRPr="0087153D">
        <w:rPr>
          <w:sz w:val="22"/>
          <w:szCs w:val="22"/>
        </w:rPr>
        <w:t xml:space="preserve">that have been reported </w:t>
      </w:r>
      <w:r w:rsidRPr="0087153D">
        <w:rPr>
          <w:sz w:val="22"/>
          <w:szCs w:val="22"/>
        </w:rPr>
        <w:t>across both the ICB and NHS providers</w:t>
      </w:r>
      <w:r w:rsidR="006A52A9" w:rsidRPr="0087153D">
        <w:rPr>
          <w:sz w:val="22"/>
          <w:szCs w:val="22"/>
        </w:rPr>
        <w:t xml:space="preserve"> as at the end of </w:t>
      </w:r>
      <w:r w:rsidR="0087153D" w:rsidRPr="0087153D">
        <w:rPr>
          <w:sz w:val="22"/>
          <w:szCs w:val="22"/>
        </w:rPr>
        <w:t>September</w:t>
      </w:r>
      <w:r w:rsidR="00344484" w:rsidRPr="0087153D">
        <w:rPr>
          <w:sz w:val="22"/>
          <w:szCs w:val="22"/>
        </w:rPr>
        <w:t xml:space="preserve"> 2024</w:t>
      </w:r>
      <w:r w:rsidR="006A52A9" w:rsidRPr="0087153D">
        <w:rPr>
          <w:sz w:val="22"/>
          <w:szCs w:val="22"/>
        </w:rPr>
        <w:t xml:space="preserve"> (</w:t>
      </w:r>
      <w:r w:rsidR="00FE3D46" w:rsidRPr="0087153D">
        <w:rPr>
          <w:sz w:val="22"/>
          <w:szCs w:val="22"/>
        </w:rPr>
        <w:t>M</w:t>
      </w:r>
      <w:r w:rsidR="006A52A9" w:rsidRPr="0087153D">
        <w:rPr>
          <w:sz w:val="22"/>
          <w:szCs w:val="22"/>
        </w:rPr>
        <w:t xml:space="preserve">onth </w:t>
      </w:r>
      <w:r w:rsidR="0087153D" w:rsidRPr="0087153D">
        <w:rPr>
          <w:sz w:val="22"/>
          <w:szCs w:val="22"/>
        </w:rPr>
        <w:t>6</w:t>
      </w:r>
      <w:r w:rsidR="006A52A9" w:rsidRPr="0087153D">
        <w:rPr>
          <w:sz w:val="22"/>
          <w:szCs w:val="22"/>
        </w:rPr>
        <w:t>)</w:t>
      </w:r>
      <w:r w:rsidR="00C93F1B" w:rsidRPr="0087153D">
        <w:rPr>
          <w:sz w:val="22"/>
          <w:szCs w:val="22"/>
        </w:rPr>
        <w:t>:</w:t>
      </w:r>
    </w:p>
    <w:p w14:paraId="4D91B116" w14:textId="77777777" w:rsidR="00154827" w:rsidRDefault="00154827" w:rsidP="00D878E1">
      <w:pPr>
        <w:pStyle w:val="Default"/>
        <w:jc w:val="both"/>
        <w:rPr>
          <w:sz w:val="22"/>
          <w:szCs w:val="22"/>
        </w:rPr>
      </w:pPr>
    </w:p>
    <w:p w14:paraId="5E6BFD89" w14:textId="070EB873" w:rsidR="001D012F" w:rsidRPr="00154827" w:rsidRDefault="001D012F" w:rsidP="00154827">
      <w:pPr>
        <w:pStyle w:val="Default"/>
        <w:jc w:val="both"/>
        <w:rPr>
          <w:sz w:val="22"/>
          <w:szCs w:val="22"/>
        </w:rPr>
      </w:pPr>
      <w:r w:rsidRPr="001D012F">
        <w:drawing>
          <wp:inline distT="0" distB="0" distL="0" distR="0" wp14:anchorId="46830F76" wp14:editId="59E2CA3C">
            <wp:extent cx="5925820" cy="4591050"/>
            <wp:effectExtent l="0" t="0" r="0" b="0"/>
            <wp:docPr id="1218081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C6A8" w14:textId="4A80C705" w:rsidR="00195986" w:rsidRPr="006A52A9" w:rsidRDefault="00195986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System Financial Commentary</w:t>
      </w:r>
    </w:p>
    <w:p w14:paraId="6D41CFC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38E86A7E" w14:textId="2A3E439A" w:rsidR="00E53C10" w:rsidRDefault="005F4FEC" w:rsidP="00A368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2A9">
        <w:rPr>
          <w:rFonts w:ascii="Arial" w:hAnsi="Arial" w:cs="Arial"/>
          <w:color w:val="000000" w:themeColor="text1"/>
          <w:sz w:val="24"/>
          <w:szCs w:val="24"/>
        </w:rPr>
        <w:t>This report presents the financial position, including NHS providers and the ICB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>, that is available</w:t>
      </w:r>
      <w:r w:rsidR="00CC7D83" w:rsidRPr="00CC7D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7D83" w:rsidRPr="006A52A9">
        <w:rPr>
          <w:rFonts w:ascii="Arial" w:hAnsi="Arial" w:cs="Arial"/>
          <w:color w:val="000000" w:themeColor="text1"/>
          <w:sz w:val="24"/>
          <w:szCs w:val="24"/>
        </w:rPr>
        <w:t>for the system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for the period ended </w:t>
      </w:r>
      <w:r w:rsidR="00D93651">
        <w:rPr>
          <w:rFonts w:ascii="Arial" w:hAnsi="Arial" w:cs="Arial"/>
          <w:color w:val="000000" w:themeColor="text1"/>
          <w:sz w:val="24"/>
          <w:szCs w:val="24"/>
        </w:rPr>
        <w:t>3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0 September</w:t>
      </w:r>
      <w:r w:rsidR="006E6DA7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8235412" w14:textId="77777777" w:rsidR="00D878E1" w:rsidRPr="00D878E1" w:rsidRDefault="00D878E1" w:rsidP="002606F9">
      <w:pPr>
        <w:pStyle w:val="NoSpacing"/>
      </w:pPr>
    </w:p>
    <w:p w14:paraId="12B5B938" w14:textId="41D2B049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Financial Position</w:t>
      </w:r>
    </w:p>
    <w:p w14:paraId="4AC1B1AB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429815A4" w14:textId="1F9E9755" w:rsidR="006A52A9" w:rsidRPr="006A52A9" w:rsidRDefault="005F4FEC" w:rsidP="00A368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70737039"/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65D31">
        <w:rPr>
          <w:rFonts w:ascii="Arial" w:hAnsi="Arial" w:cs="Arial"/>
          <w:color w:val="000000" w:themeColor="text1"/>
          <w:sz w:val="24"/>
          <w:szCs w:val="24"/>
        </w:rPr>
        <w:t>m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onth 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6</w:t>
      </w:r>
      <w:r w:rsidRPr="006A52A9">
        <w:rPr>
          <w:rFonts w:ascii="Arial" w:hAnsi="Arial" w:cs="Arial"/>
          <w:color w:val="000000" w:themeColor="text1"/>
          <w:sz w:val="24"/>
          <w:szCs w:val="24"/>
        </w:rPr>
        <w:t xml:space="preserve"> position for the system is 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>showing a variance of £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>1.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35</w:t>
      </w:r>
      <w:r w:rsidR="00E620E9">
        <w:rPr>
          <w:rFonts w:ascii="Arial" w:hAnsi="Arial" w:cs="Arial"/>
          <w:color w:val="000000" w:themeColor="text1"/>
          <w:sz w:val="24"/>
          <w:szCs w:val="24"/>
        </w:rPr>
        <w:t xml:space="preserve">m against 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C6262">
        <w:rPr>
          <w:rFonts w:ascii="Arial" w:hAnsi="Arial" w:cs="Arial"/>
          <w:color w:val="000000" w:themeColor="text1"/>
          <w:sz w:val="24"/>
          <w:szCs w:val="24"/>
        </w:rPr>
        <w:t>year-to-date</w:t>
      </w:r>
      <w:r w:rsidR="00CC7D83">
        <w:rPr>
          <w:rFonts w:ascii="Arial" w:hAnsi="Arial" w:cs="Arial"/>
          <w:color w:val="000000" w:themeColor="text1"/>
          <w:sz w:val="24"/>
          <w:szCs w:val="24"/>
        </w:rPr>
        <w:t xml:space="preserve"> plan</w:t>
      </w:r>
      <w:r w:rsidR="00062D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65BA">
        <w:rPr>
          <w:rFonts w:ascii="Arial" w:hAnsi="Arial" w:cs="Arial"/>
          <w:color w:val="000000" w:themeColor="text1"/>
          <w:sz w:val="24"/>
          <w:szCs w:val="24"/>
        </w:rPr>
        <w:t xml:space="preserve">deficit 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of £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18.5</w:t>
      </w:r>
      <w:r w:rsidR="00C44DE9">
        <w:rPr>
          <w:rFonts w:ascii="Arial" w:hAnsi="Arial" w:cs="Arial"/>
          <w:color w:val="000000" w:themeColor="text1"/>
          <w:sz w:val="24"/>
          <w:szCs w:val="24"/>
        </w:rPr>
        <w:t>m</w:t>
      </w:r>
      <w:r w:rsidR="00443FB6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3" w:name="_Hlk175750939"/>
      <w:r w:rsidR="00C44DE9">
        <w:rPr>
          <w:rFonts w:ascii="Arial" w:hAnsi="Arial" w:cs="Arial"/>
          <w:color w:val="000000" w:themeColor="text1"/>
          <w:sz w:val="24"/>
          <w:szCs w:val="24"/>
        </w:rPr>
        <w:t xml:space="preserve">This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overspend </w:t>
      </w:r>
      <w:bookmarkStart w:id="4" w:name="_Hlk178177136"/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relates 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mainly to slippage against efficiency plans to date.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2"/>
      <w:bookmarkEnd w:id="3"/>
      <w:bookmarkEnd w:id="4"/>
    </w:p>
    <w:p w14:paraId="3285C1DA" w14:textId="77777777" w:rsidR="00C93C52" w:rsidRDefault="00C93C52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_Hlk170737101"/>
    </w:p>
    <w:p w14:paraId="34CDFD64" w14:textId="4C9023E1" w:rsidR="003234D3" w:rsidRDefault="00A95446" w:rsidP="003234D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178177456"/>
      <w:r>
        <w:rPr>
          <w:rFonts w:ascii="Arial" w:hAnsi="Arial" w:cs="Arial"/>
          <w:color w:val="000000" w:themeColor="text1"/>
          <w:sz w:val="24"/>
          <w:szCs w:val="24"/>
        </w:rPr>
        <w:t>As t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>he majority of planned efficiencies/mitigating actions for the ICS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providers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are phased into the last quarter of 2024/25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month 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6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>plan and actual expenditure exceed</w:t>
      </w:r>
      <w:r w:rsidR="005305CC">
        <w:rPr>
          <w:rFonts w:ascii="Arial" w:hAnsi="Arial" w:cs="Arial"/>
          <w:color w:val="000000" w:themeColor="text1"/>
          <w:sz w:val="24"/>
          <w:szCs w:val="24"/>
        </w:rPr>
        <w:t>s</w:t>
      </w:r>
      <w:r w:rsidR="003234D3">
        <w:rPr>
          <w:rFonts w:ascii="Arial" w:hAnsi="Arial" w:cs="Arial"/>
          <w:color w:val="000000" w:themeColor="text1"/>
          <w:sz w:val="24"/>
          <w:szCs w:val="24"/>
        </w:rPr>
        <w:t xml:space="preserve"> the full year planned deficit</w:t>
      </w:r>
      <w:bookmarkEnd w:id="6"/>
      <w:r w:rsidR="005305C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F7BF1B7" w14:textId="77777777" w:rsidR="003234D3" w:rsidRDefault="003234D3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60FEBC" w14:textId="4DA070AF" w:rsidR="00C93C52" w:rsidRDefault="00A95446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system recognises that there needs to be a clear profile of financial improvement in place to deliver the 2024/25 plan. </w:t>
      </w:r>
      <w:r w:rsidR="001D012F">
        <w:rPr>
          <w:rFonts w:ascii="Arial" w:hAnsi="Arial" w:cs="Arial"/>
          <w:color w:val="000000" w:themeColor="text1"/>
          <w:sz w:val="24"/>
          <w:szCs w:val="24"/>
        </w:rPr>
        <w:t>W</w:t>
      </w:r>
      <w:r w:rsidR="00D112F7">
        <w:rPr>
          <w:rFonts w:ascii="Arial" w:hAnsi="Arial" w:cs="Arial"/>
          <w:color w:val="000000" w:themeColor="text1"/>
          <w:sz w:val="24"/>
          <w:szCs w:val="24"/>
        </w:rPr>
        <w:t xml:space="preserve">ork </w:t>
      </w:r>
      <w:r w:rsidR="00A44D45">
        <w:rPr>
          <w:rFonts w:ascii="Arial" w:hAnsi="Arial" w:cs="Arial"/>
          <w:color w:val="000000" w:themeColor="text1"/>
          <w:sz w:val="24"/>
          <w:szCs w:val="24"/>
        </w:rPr>
        <w:t>continues</w:t>
      </w:r>
      <w:r w:rsidR="00D112F7">
        <w:rPr>
          <w:rFonts w:ascii="Arial" w:hAnsi="Arial" w:cs="Arial"/>
          <w:color w:val="000000" w:themeColor="text1"/>
          <w:sz w:val="24"/>
          <w:szCs w:val="24"/>
        </w:rPr>
        <w:t xml:space="preserve"> to strengthen programme management arrangements, assure effectiveness of control </w:t>
      </w:r>
      <w:r>
        <w:rPr>
          <w:rFonts w:ascii="Arial" w:hAnsi="Arial" w:cs="Arial"/>
          <w:color w:val="000000" w:themeColor="text1"/>
          <w:sz w:val="24"/>
          <w:szCs w:val="24"/>
        </w:rPr>
        <w:t>processes, and</w:t>
      </w:r>
      <w:r w:rsidR="00D112F7">
        <w:rPr>
          <w:rFonts w:ascii="Arial" w:hAnsi="Arial" w:cs="Arial"/>
          <w:color w:val="000000" w:themeColor="text1"/>
          <w:sz w:val="24"/>
          <w:szCs w:val="24"/>
        </w:rPr>
        <w:t xml:space="preserve"> better align finance and workforce data </w:t>
      </w:r>
      <w:r>
        <w:rPr>
          <w:rFonts w:ascii="Arial" w:hAnsi="Arial" w:cs="Arial"/>
          <w:color w:val="000000" w:themeColor="text1"/>
          <w:sz w:val="24"/>
          <w:szCs w:val="24"/>
        </w:rPr>
        <w:t>to identify corrective action.</w:t>
      </w:r>
      <w:r w:rsidR="00702E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F91748" w14:textId="77777777" w:rsidR="005305CC" w:rsidRDefault="005305CC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0D6E01" w14:textId="1751DC64" w:rsidR="00702E69" w:rsidRDefault="001D012F" w:rsidP="00E53C1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012F">
        <w:rPr>
          <w:rFonts w:ascii="Arial" w:hAnsi="Arial" w:cs="Arial"/>
          <w:color w:val="000000" w:themeColor="text1"/>
          <w:sz w:val="24"/>
          <w:szCs w:val="24"/>
        </w:rPr>
        <w:t>The system has highlighted the risk to delivery of the overall financial position at circa £34m. The multi-disciplinary summit on 27 September 2024 identified potential opportunity for a material sum of circa £20m. All system partners have been asked, with immediate effect, to ensure actions identified as a checklist from the output of the summit are incorporated into the day-to-day operation of the respective organisations across the Humber and North Yorkshire Integrated Care System.</w:t>
      </w:r>
      <w:r w:rsidR="004F26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7" w:name="_Hlk181608762"/>
      <w:r w:rsidR="004F26D0" w:rsidRPr="004F26D0">
        <w:rPr>
          <w:rFonts w:ascii="Arial" w:hAnsi="Arial" w:cs="Arial"/>
          <w:color w:val="000000" w:themeColor="text1"/>
          <w:sz w:val="24"/>
          <w:szCs w:val="24"/>
        </w:rPr>
        <w:t>Further work is being progressed by the HRD / DOF community to quantify even more difficult decisions that the system may need to make in the coming weeks</w:t>
      </w:r>
      <w:r w:rsidR="004F26D0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7"/>
    </w:p>
    <w:bookmarkEnd w:id="5"/>
    <w:p w14:paraId="0E740B2A" w14:textId="77777777" w:rsidR="00CD5CAA" w:rsidRPr="00E53C10" w:rsidRDefault="00CD5CAA" w:rsidP="00E53C1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A3B9F1" w14:textId="0FC2BB08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System Efficiencies</w:t>
      </w:r>
    </w:p>
    <w:p w14:paraId="37A3BAB5" w14:textId="77777777" w:rsidR="00CC6262" w:rsidRDefault="00CC6262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67B7637" w14:textId="236E9F09" w:rsidR="00CD5CAA" w:rsidRDefault="008B39B8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bookmarkStart w:id="8" w:name="_Hlk173509799"/>
      <w:r>
        <w:rPr>
          <w:rFonts w:ascii="Arial" w:hAnsi="Arial" w:cs="Arial"/>
          <w:sz w:val="24"/>
          <w:szCs w:val="24"/>
        </w:rPr>
        <w:t xml:space="preserve">Delivering the system efficiency programme </w:t>
      </w:r>
      <w:r w:rsidR="004F26D0">
        <w:rPr>
          <w:rFonts w:ascii="Arial" w:hAnsi="Arial" w:cs="Arial"/>
          <w:sz w:val="24"/>
          <w:szCs w:val="24"/>
        </w:rPr>
        <w:t xml:space="preserve">remains </w:t>
      </w:r>
      <w:r>
        <w:rPr>
          <w:rFonts w:ascii="Arial" w:hAnsi="Arial" w:cs="Arial"/>
          <w:sz w:val="24"/>
          <w:szCs w:val="24"/>
        </w:rPr>
        <w:t xml:space="preserve">a key focus for 2024/25. </w:t>
      </w:r>
      <w:r w:rsidR="004F26D0">
        <w:rPr>
          <w:rFonts w:ascii="Arial" w:hAnsi="Arial" w:cs="Arial"/>
          <w:sz w:val="24"/>
          <w:szCs w:val="24"/>
        </w:rPr>
        <w:t>All organisations are reviewing the scope and delivery impact of the opportunities identified through the multi-disciplinary summit outputs</w:t>
      </w:r>
      <w:r>
        <w:rPr>
          <w:rFonts w:ascii="Arial" w:hAnsi="Arial" w:cs="Arial"/>
          <w:sz w:val="24"/>
          <w:szCs w:val="24"/>
        </w:rPr>
        <w:t xml:space="preserve">. The system </w:t>
      </w:r>
      <w:r w:rsidR="00C13246">
        <w:rPr>
          <w:rFonts w:ascii="Arial" w:hAnsi="Arial" w:cs="Arial"/>
          <w:sz w:val="24"/>
          <w:szCs w:val="24"/>
        </w:rPr>
        <w:t xml:space="preserve">continues </w:t>
      </w:r>
      <w:r>
        <w:rPr>
          <w:rFonts w:ascii="Arial" w:hAnsi="Arial" w:cs="Arial"/>
          <w:sz w:val="24"/>
          <w:szCs w:val="24"/>
        </w:rPr>
        <w:t xml:space="preserve">work to maximise on recurrent delivery schemes to support both the </w:t>
      </w:r>
      <w:r w:rsidR="00A44D45">
        <w:rPr>
          <w:rFonts w:ascii="Arial" w:hAnsi="Arial" w:cs="Arial"/>
          <w:sz w:val="24"/>
          <w:szCs w:val="24"/>
        </w:rPr>
        <w:t>in-year</w:t>
      </w:r>
      <w:r>
        <w:rPr>
          <w:rFonts w:ascii="Arial" w:hAnsi="Arial" w:cs="Arial"/>
          <w:sz w:val="24"/>
          <w:szCs w:val="24"/>
        </w:rPr>
        <w:t xml:space="preserve"> position and the recurrent underlying position of the ICS.</w:t>
      </w:r>
    </w:p>
    <w:p w14:paraId="0A94B142" w14:textId="77777777" w:rsidR="00981D97" w:rsidRPr="001A6697" w:rsidRDefault="00981D97" w:rsidP="001A6697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bookmarkEnd w:id="8"/>
    <w:p w14:paraId="7A6B8CF7" w14:textId="77777777" w:rsidR="00F47532" w:rsidRPr="006A52A9" w:rsidRDefault="00F47532" w:rsidP="001A6697">
      <w:pPr>
        <w:pStyle w:val="ListParagraph"/>
        <w:spacing w:after="0"/>
        <w:ind w:left="4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E82BAC" w14:textId="0A1E380D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System Capital</w:t>
      </w:r>
    </w:p>
    <w:p w14:paraId="57A2A66E" w14:textId="267CDF34" w:rsidR="00CD5CAA" w:rsidRDefault="00131A1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bookmarkStart w:id="9" w:name="_Hlk160447420"/>
      <w:r w:rsidRPr="00131A16">
        <w:rPr>
          <w:rFonts w:ascii="Arial" w:hAnsi="Arial" w:cs="Arial"/>
          <w:sz w:val="24"/>
          <w:szCs w:val="24"/>
        </w:rPr>
        <w:t xml:space="preserve">Capital Expenditure, including all funding streams and IFRS, is underspent </w:t>
      </w:r>
      <w:r w:rsidR="00E766FE">
        <w:rPr>
          <w:rFonts w:ascii="Arial" w:hAnsi="Arial" w:cs="Arial"/>
          <w:sz w:val="24"/>
          <w:szCs w:val="24"/>
        </w:rPr>
        <w:t>to date</w:t>
      </w:r>
      <w:r w:rsidRPr="00131A16">
        <w:rPr>
          <w:rFonts w:ascii="Arial" w:hAnsi="Arial" w:cs="Arial"/>
          <w:sz w:val="24"/>
          <w:szCs w:val="24"/>
        </w:rPr>
        <w:t xml:space="preserve"> at month </w:t>
      </w:r>
      <w:r w:rsidR="004F26D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mainly as a result of schemes starting later than planned</w:t>
      </w:r>
      <w:r w:rsidRPr="00131A16">
        <w:rPr>
          <w:rFonts w:ascii="Arial" w:hAnsi="Arial" w:cs="Arial"/>
          <w:sz w:val="24"/>
          <w:szCs w:val="24"/>
        </w:rPr>
        <w:t xml:space="preserve">. </w:t>
      </w:r>
      <w:bookmarkStart w:id="10" w:name="_Hlk175752721"/>
      <w:bookmarkEnd w:id="9"/>
      <w:r w:rsidR="00A44D45" w:rsidRPr="00A44D45">
        <w:rPr>
          <w:rFonts w:ascii="Arial" w:hAnsi="Arial" w:cs="Arial"/>
          <w:sz w:val="24"/>
          <w:szCs w:val="24"/>
        </w:rPr>
        <w:t xml:space="preserve">The forecast position for the ICS is that expenditure will align with plan following </w:t>
      </w:r>
      <w:r w:rsidR="00E766FE">
        <w:rPr>
          <w:rFonts w:ascii="Arial" w:hAnsi="Arial" w:cs="Arial"/>
          <w:sz w:val="24"/>
          <w:szCs w:val="24"/>
        </w:rPr>
        <w:t xml:space="preserve">confirmed </w:t>
      </w:r>
      <w:r w:rsidR="00A44D45" w:rsidRPr="00A44D45">
        <w:rPr>
          <w:rFonts w:ascii="Arial" w:hAnsi="Arial" w:cs="Arial"/>
          <w:sz w:val="24"/>
          <w:szCs w:val="24"/>
        </w:rPr>
        <w:t>adjustments for additional income to support provider specific schemes</w:t>
      </w:r>
      <w:r>
        <w:rPr>
          <w:rFonts w:ascii="Arial" w:hAnsi="Arial" w:cs="Arial"/>
          <w:sz w:val="24"/>
          <w:szCs w:val="24"/>
        </w:rPr>
        <w:t>.</w:t>
      </w:r>
      <w:bookmarkEnd w:id="10"/>
    </w:p>
    <w:p w14:paraId="1A1DE634" w14:textId="77777777" w:rsidR="00A95446" w:rsidRPr="00C91FDD" w:rsidRDefault="00A95446" w:rsidP="00C91FDD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58E1680" w14:textId="2B3C7FE0" w:rsidR="005F4FEC" w:rsidRPr="00323183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="005F4FEC" w:rsidRPr="00323183">
        <w:rPr>
          <w:rFonts w:ascii="Arial" w:hAnsi="Arial" w:cs="Arial"/>
          <w:b/>
          <w:bCs/>
          <w:sz w:val="24"/>
          <w:szCs w:val="24"/>
        </w:rPr>
        <w:t>ICB Establishment Costs</w:t>
      </w:r>
    </w:p>
    <w:p w14:paraId="4B0277BC" w14:textId="77777777" w:rsidR="006A52A9" w:rsidRPr="00323183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0F5FE25E" w14:textId="55689D09" w:rsidR="00CD5CAA" w:rsidRDefault="00710293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The ICB's establishment costs</w:t>
      </w:r>
      <w:r w:rsidR="00C91FDD">
        <w:rPr>
          <w:rFonts w:ascii="Arial" w:hAnsi="Arial" w:cs="Arial"/>
          <w:sz w:val="24"/>
          <w:szCs w:val="24"/>
        </w:rPr>
        <w:t xml:space="preserve"> plan</w:t>
      </w:r>
      <w:r w:rsidRPr="00710293">
        <w:rPr>
          <w:rFonts w:ascii="Arial" w:hAnsi="Arial" w:cs="Arial"/>
          <w:sz w:val="24"/>
          <w:szCs w:val="24"/>
        </w:rPr>
        <w:t xml:space="preserve"> budget include</w:t>
      </w:r>
      <w:r w:rsidR="00C91FDD">
        <w:rPr>
          <w:rFonts w:ascii="Arial" w:hAnsi="Arial" w:cs="Arial"/>
          <w:sz w:val="24"/>
          <w:szCs w:val="24"/>
        </w:rPr>
        <w:t>s</w:t>
      </w:r>
      <w:r w:rsidRPr="00710293">
        <w:rPr>
          <w:rFonts w:ascii="Arial" w:hAnsi="Arial" w:cs="Arial"/>
          <w:sz w:val="24"/>
          <w:szCs w:val="24"/>
        </w:rPr>
        <w:t xml:space="preserve"> a savings/efficiency target requirement of £</w:t>
      </w:r>
      <w:r w:rsidR="00C91FDD">
        <w:rPr>
          <w:rFonts w:ascii="Arial" w:hAnsi="Arial" w:cs="Arial"/>
          <w:sz w:val="24"/>
          <w:szCs w:val="24"/>
        </w:rPr>
        <w:t>4.8</w:t>
      </w:r>
      <w:r w:rsidRPr="00710293">
        <w:rPr>
          <w:rFonts w:ascii="Arial" w:hAnsi="Arial" w:cs="Arial"/>
          <w:sz w:val="24"/>
          <w:szCs w:val="24"/>
        </w:rPr>
        <w:t>m in 202</w:t>
      </w:r>
      <w:r w:rsidR="00C91FDD">
        <w:rPr>
          <w:rFonts w:ascii="Arial" w:hAnsi="Arial" w:cs="Arial"/>
          <w:sz w:val="24"/>
          <w:szCs w:val="24"/>
        </w:rPr>
        <w:t>4</w:t>
      </w:r>
      <w:r w:rsidRPr="00710293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>5</w:t>
      </w:r>
      <w:r w:rsidRPr="00710293">
        <w:rPr>
          <w:rFonts w:ascii="Arial" w:hAnsi="Arial" w:cs="Arial"/>
          <w:sz w:val="24"/>
          <w:szCs w:val="24"/>
        </w:rPr>
        <w:t xml:space="preserve"> to support the overall ICB financial position</w:t>
      </w:r>
      <w:r w:rsidR="00C91FDD">
        <w:rPr>
          <w:rFonts w:ascii="Arial" w:hAnsi="Arial" w:cs="Arial"/>
          <w:sz w:val="24"/>
          <w:szCs w:val="24"/>
        </w:rPr>
        <w:t xml:space="preserve"> and live within running costs allocation for 2024/25</w:t>
      </w:r>
      <w:r w:rsidRPr="00710293">
        <w:rPr>
          <w:rFonts w:ascii="Arial" w:hAnsi="Arial" w:cs="Arial"/>
          <w:sz w:val="24"/>
          <w:szCs w:val="24"/>
        </w:rPr>
        <w:t xml:space="preserve">. This </w:t>
      </w:r>
      <w:r w:rsidR="00C91FDD">
        <w:rPr>
          <w:rFonts w:ascii="Arial" w:hAnsi="Arial" w:cs="Arial"/>
          <w:sz w:val="24"/>
          <w:szCs w:val="24"/>
        </w:rPr>
        <w:t>i</w:t>
      </w:r>
      <w:r w:rsidRPr="00710293">
        <w:rPr>
          <w:rFonts w:ascii="Arial" w:hAnsi="Arial" w:cs="Arial"/>
          <w:sz w:val="24"/>
          <w:szCs w:val="24"/>
        </w:rPr>
        <w:t>s be</w:t>
      </w:r>
      <w:r w:rsidR="00C13246">
        <w:rPr>
          <w:rFonts w:ascii="Arial" w:hAnsi="Arial" w:cs="Arial"/>
          <w:sz w:val="24"/>
          <w:szCs w:val="24"/>
        </w:rPr>
        <w:t>ing</w:t>
      </w:r>
      <w:r w:rsidRPr="00710293">
        <w:rPr>
          <w:rFonts w:ascii="Arial" w:hAnsi="Arial" w:cs="Arial"/>
          <w:sz w:val="24"/>
          <w:szCs w:val="24"/>
        </w:rPr>
        <w:t xml:space="preserve"> delivered through vacancy control </w:t>
      </w:r>
      <w:r w:rsidR="00B51AB2">
        <w:rPr>
          <w:rFonts w:ascii="Arial" w:hAnsi="Arial" w:cs="Arial"/>
          <w:sz w:val="24"/>
          <w:szCs w:val="24"/>
        </w:rPr>
        <w:t>and management of non-pay costs</w:t>
      </w:r>
      <w:r w:rsidR="00C13246">
        <w:rPr>
          <w:rFonts w:ascii="Arial" w:hAnsi="Arial" w:cs="Arial"/>
          <w:sz w:val="24"/>
          <w:szCs w:val="24"/>
        </w:rPr>
        <w:t xml:space="preserve"> and forecast delivery is in line with plans</w:t>
      </w:r>
      <w:r w:rsidR="003234D3">
        <w:rPr>
          <w:rFonts w:ascii="Arial" w:hAnsi="Arial" w:cs="Arial"/>
          <w:sz w:val="24"/>
          <w:szCs w:val="24"/>
        </w:rPr>
        <w:t>.</w:t>
      </w:r>
    </w:p>
    <w:p w14:paraId="7E4A7ADF" w14:textId="77777777" w:rsidR="00981D97" w:rsidRPr="005F44C8" w:rsidRDefault="00981D97" w:rsidP="005F44C8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601C72EB" w14:textId="38B84C73" w:rsidR="005F4FEC" w:rsidRPr="006A52A9" w:rsidRDefault="00920048" w:rsidP="0012738D">
      <w:pPr>
        <w:pStyle w:val="ListParagraph"/>
        <w:numPr>
          <w:ilvl w:val="1"/>
          <w:numId w:val="1"/>
        </w:numPr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5F4FEC" w:rsidRPr="006A52A9">
        <w:rPr>
          <w:rFonts w:ascii="Arial" w:hAnsi="Arial" w:cs="Arial"/>
          <w:b/>
          <w:bCs/>
          <w:sz w:val="24"/>
          <w:szCs w:val="24"/>
        </w:rPr>
        <w:t>Mental Health Investment Standard</w:t>
      </w:r>
    </w:p>
    <w:p w14:paraId="1159B9DD" w14:textId="77777777" w:rsidR="006A52A9" w:rsidRPr="006A52A9" w:rsidRDefault="006A52A9" w:rsidP="006A52A9">
      <w:pPr>
        <w:pStyle w:val="ListParagraph"/>
        <w:spacing w:after="0"/>
        <w:ind w:left="432"/>
        <w:jc w:val="both"/>
        <w:rPr>
          <w:rFonts w:ascii="Arial" w:hAnsi="Arial" w:cs="Arial"/>
          <w:b/>
          <w:bCs/>
          <w:sz w:val="24"/>
          <w:szCs w:val="24"/>
        </w:rPr>
      </w:pPr>
    </w:p>
    <w:p w14:paraId="2A7FC464" w14:textId="495AA441" w:rsidR="00AF0902" w:rsidRDefault="005F4FEC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ICB</w:t>
      </w:r>
      <w:r w:rsidR="00C91FDD">
        <w:rPr>
          <w:rFonts w:ascii="Arial" w:hAnsi="Arial" w:cs="Arial"/>
          <w:sz w:val="24"/>
          <w:szCs w:val="24"/>
        </w:rPr>
        <w:t xml:space="preserve">s </w:t>
      </w:r>
      <w:r w:rsidRPr="006A52A9">
        <w:rPr>
          <w:rFonts w:ascii="Arial" w:hAnsi="Arial" w:cs="Arial"/>
          <w:sz w:val="24"/>
          <w:szCs w:val="24"/>
        </w:rPr>
        <w:t xml:space="preserve">MHIS target </w:t>
      </w:r>
      <w:r w:rsidR="00C91FDD">
        <w:rPr>
          <w:rFonts w:ascii="Arial" w:hAnsi="Arial" w:cs="Arial"/>
          <w:sz w:val="24"/>
          <w:szCs w:val="24"/>
        </w:rPr>
        <w:t>is</w:t>
      </w:r>
      <w:r w:rsidRPr="006A52A9">
        <w:rPr>
          <w:rFonts w:ascii="Arial" w:hAnsi="Arial" w:cs="Arial"/>
          <w:sz w:val="24"/>
          <w:szCs w:val="24"/>
        </w:rPr>
        <w:t xml:space="preserve"> </w:t>
      </w:r>
      <w:r w:rsidR="00C91FDD">
        <w:rPr>
          <w:rFonts w:ascii="Arial" w:hAnsi="Arial" w:cs="Arial"/>
          <w:sz w:val="24"/>
          <w:szCs w:val="24"/>
        </w:rPr>
        <w:t>4</w:t>
      </w:r>
      <w:r w:rsidR="00706999">
        <w:rPr>
          <w:rFonts w:ascii="Arial" w:hAnsi="Arial" w:cs="Arial"/>
          <w:sz w:val="24"/>
          <w:szCs w:val="24"/>
        </w:rPr>
        <w:t>.</w:t>
      </w:r>
      <w:r w:rsidR="00C91FDD">
        <w:rPr>
          <w:rFonts w:ascii="Arial" w:hAnsi="Arial" w:cs="Arial"/>
          <w:sz w:val="24"/>
          <w:szCs w:val="24"/>
        </w:rPr>
        <w:t>1</w:t>
      </w:r>
      <w:r w:rsidRPr="006A52A9">
        <w:rPr>
          <w:rFonts w:ascii="Arial" w:hAnsi="Arial" w:cs="Arial"/>
          <w:sz w:val="24"/>
          <w:szCs w:val="24"/>
        </w:rPr>
        <w:t>%</w:t>
      </w:r>
      <w:r w:rsidR="008A4EE0">
        <w:rPr>
          <w:rFonts w:ascii="Arial" w:hAnsi="Arial" w:cs="Arial"/>
          <w:sz w:val="24"/>
          <w:szCs w:val="24"/>
        </w:rPr>
        <w:t xml:space="preserve"> </w:t>
      </w:r>
      <w:r w:rsidR="005734B5">
        <w:rPr>
          <w:rFonts w:ascii="Arial" w:hAnsi="Arial" w:cs="Arial"/>
          <w:sz w:val="24"/>
          <w:szCs w:val="24"/>
        </w:rPr>
        <w:t>for 202</w:t>
      </w:r>
      <w:r w:rsidR="00C91FDD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C91FDD">
        <w:rPr>
          <w:rFonts w:ascii="Arial" w:hAnsi="Arial" w:cs="Arial"/>
          <w:sz w:val="24"/>
          <w:szCs w:val="24"/>
        </w:rPr>
        <w:t xml:space="preserve">5 </w:t>
      </w:r>
      <w:r w:rsidR="00B51AB2">
        <w:rPr>
          <w:rFonts w:ascii="Arial" w:hAnsi="Arial" w:cs="Arial"/>
          <w:sz w:val="24"/>
          <w:szCs w:val="24"/>
        </w:rPr>
        <w:t>that is consistent with</w:t>
      </w:r>
      <w:r w:rsidR="00C91FDD">
        <w:rPr>
          <w:rFonts w:ascii="Arial" w:hAnsi="Arial" w:cs="Arial"/>
          <w:sz w:val="24"/>
          <w:szCs w:val="24"/>
        </w:rPr>
        <w:t xml:space="preserve"> the ICB allocation growth % for 2024/25</w:t>
      </w:r>
      <w:r w:rsidRPr="006A52A9">
        <w:rPr>
          <w:rFonts w:ascii="Arial" w:hAnsi="Arial" w:cs="Arial"/>
          <w:sz w:val="24"/>
          <w:szCs w:val="24"/>
        </w:rPr>
        <w:t>.</w:t>
      </w:r>
    </w:p>
    <w:p w14:paraId="3A0046C8" w14:textId="77777777" w:rsidR="00627A5C" w:rsidRPr="008F56A7" w:rsidRDefault="00627A5C" w:rsidP="008F56A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7B72E2" w14:textId="388653D1" w:rsidR="008F597B" w:rsidRPr="006A52A9" w:rsidRDefault="00B779DC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ICB </w:t>
      </w:r>
      <w:r w:rsidR="008F597B" w:rsidRPr="006A52A9">
        <w:rPr>
          <w:rFonts w:ascii="Arial" w:hAnsi="Arial" w:cs="Arial"/>
          <w:b/>
          <w:bCs/>
          <w:sz w:val="24"/>
          <w:szCs w:val="24"/>
        </w:rPr>
        <w:t>Summary Income &amp; Expenditure</w:t>
      </w:r>
    </w:p>
    <w:p w14:paraId="6275D6C1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B1AFE14" w14:textId="77777777" w:rsidR="000A0A72" w:rsidRPr="006A52A9" w:rsidRDefault="000A0A72" w:rsidP="0012738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5EB66A7C" w14:textId="6F620929" w:rsidR="006A52A9" w:rsidRPr="004604F1" w:rsidRDefault="00EB5654" w:rsidP="004604F1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summary ICB position is at Table 2 and </w:t>
      </w:r>
      <w:r w:rsidR="003C7094">
        <w:rPr>
          <w:rFonts w:ascii="Arial" w:hAnsi="Arial" w:cs="Arial"/>
          <w:sz w:val="24"/>
          <w:szCs w:val="24"/>
        </w:rPr>
        <w:t xml:space="preserve">at Month </w:t>
      </w:r>
      <w:r w:rsidR="004F26D0">
        <w:rPr>
          <w:rFonts w:ascii="Arial" w:hAnsi="Arial" w:cs="Arial"/>
          <w:sz w:val="24"/>
          <w:szCs w:val="24"/>
        </w:rPr>
        <w:t>6</w:t>
      </w:r>
      <w:r w:rsidR="003C7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shows a</w:t>
      </w:r>
      <w:r w:rsidR="00E55CDB">
        <w:rPr>
          <w:rFonts w:ascii="Arial" w:hAnsi="Arial" w:cs="Arial"/>
          <w:sz w:val="24"/>
          <w:szCs w:val="24"/>
        </w:rPr>
        <w:t xml:space="preserve"> </w:t>
      </w:r>
      <w:r w:rsidR="00EE1E25">
        <w:rPr>
          <w:rFonts w:ascii="Arial" w:hAnsi="Arial" w:cs="Arial"/>
          <w:sz w:val="24"/>
          <w:szCs w:val="24"/>
        </w:rPr>
        <w:t xml:space="preserve">small </w:t>
      </w:r>
      <w:r w:rsidR="00C13246">
        <w:rPr>
          <w:rFonts w:ascii="Arial" w:hAnsi="Arial" w:cs="Arial"/>
          <w:sz w:val="24"/>
          <w:szCs w:val="24"/>
        </w:rPr>
        <w:t>ov</w:t>
      </w:r>
      <w:r w:rsidR="00EE1E25">
        <w:rPr>
          <w:rFonts w:ascii="Arial" w:hAnsi="Arial" w:cs="Arial"/>
          <w:sz w:val="24"/>
          <w:szCs w:val="24"/>
        </w:rPr>
        <w:t>erspend of £0.</w:t>
      </w:r>
      <w:r w:rsidR="00C2305A">
        <w:rPr>
          <w:rFonts w:ascii="Arial" w:hAnsi="Arial" w:cs="Arial"/>
          <w:sz w:val="24"/>
          <w:szCs w:val="24"/>
        </w:rPr>
        <w:t>0</w:t>
      </w:r>
      <w:r w:rsidR="004F26D0">
        <w:rPr>
          <w:rFonts w:ascii="Arial" w:hAnsi="Arial" w:cs="Arial"/>
          <w:sz w:val="24"/>
          <w:szCs w:val="24"/>
        </w:rPr>
        <w:t>6</w:t>
      </w:r>
      <w:r w:rsidR="00EE1E25">
        <w:rPr>
          <w:rFonts w:ascii="Arial" w:hAnsi="Arial" w:cs="Arial"/>
          <w:sz w:val="24"/>
          <w:szCs w:val="24"/>
        </w:rPr>
        <w:t>m</w:t>
      </w:r>
      <w:r w:rsidR="00C91FDD">
        <w:rPr>
          <w:rFonts w:ascii="Arial" w:hAnsi="Arial" w:cs="Arial"/>
          <w:sz w:val="24"/>
          <w:szCs w:val="24"/>
        </w:rPr>
        <w:t xml:space="preserve"> for the ICB</w:t>
      </w:r>
      <w:r w:rsidR="00C00B8B" w:rsidRPr="006A52A9">
        <w:rPr>
          <w:rFonts w:ascii="Arial" w:hAnsi="Arial" w:cs="Arial"/>
          <w:sz w:val="24"/>
          <w:szCs w:val="24"/>
        </w:rPr>
        <w:t>.</w:t>
      </w:r>
    </w:p>
    <w:p w14:paraId="25CCA899" w14:textId="77777777" w:rsidR="0064319B" w:rsidRDefault="0064319B" w:rsidP="00A368C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597503C" w14:textId="5E2313D9" w:rsidR="00EE1E25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main areas of variance to </w:t>
      </w:r>
      <w:r w:rsidR="00642E9A">
        <w:rPr>
          <w:rFonts w:ascii="Arial" w:hAnsi="Arial" w:cs="Arial"/>
          <w:sz w:val="24"/>
          <w:szCs w:val="24"/>
        </w:rPr>
        <w:t>year-to-date</w:t>
      </w:r>
      <w:r>
        <w:rPr>
          <w:rFonts w:ascii="Arial" w:hAnsi="Arial" w:cs="Arial"/>
          <w:sz w:val="24"/>
          <w:szCs w:val="24"/>
        </w:rPr>
        <w:t xml:space="preserve"> plans are in:</w:t>
      </w:r>
    </w:p>
    <w:p w14:paraId="473FF5D4" w14:textId="44BFDE52" w:rsidR="00B801B2" w:rsidRPr="00AD1168" w:rsidRDefault="00EE1E25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Continuing Healthcare – overspend of £</w:t>
      </w:r>
      <w:r w:rsidR="004F26D0">
        <w:rPr>
          <w:rFonts w:ascii="Arial" w:hAnsi="Arial" w:cs="Arial"/>
          <w:sz w:val="24"/>
          <w:szCs w:val="24"/>
        </w:rPr>
        <w:t>1</w:t>
      </w:r>
      <w:r w:rsidRPr="00AD1168">
        <w:rPr>
          <w:rFonts w:ascii="Arial" w:hAnsi="Arial" w:cs="Arial"/>
          <w:sz w:val="24"/>
          <w:szCs w:val="24"/>
        </w:rPr>
        <w:t>.</w:t>
      </w:r>
      <w:r w:rsidR="004F26D0">
        <w:rPr>
          <w:rFonts w:ascii="Arial" w:hAnsi="Arial" w:cs="Arial"/>
          <w:sz w:val="24"/>
          <w:szCs w:val="24"/>
        </w:rPr>
        <w:t>4</w:t>
      </w:r>
      <w:r w:rsidRPr="00AD1168">
        <w:rPr>
          <w:rFonts w:ascii="Arial" w:hAnsi="Arial" w:cs="Arial"/>
          <w:sz w:val="24"/>
          <w:szCs w:val="24"/>
        </w:rPr>
        <w:t>m mainly due to</w:t>
      </w:r>
      <w:r w:rsidR="00AD1168" w:rsidRPr="00AD1168">
        <w:rPr>
          <w:rFonts w:ascii="Arial" w:hAnsi="Arial" w:cs="Arial"/>
          <w:sz w:val="24"/>
          <w:szCs w:val="24"/>
        </w:rPr>
        <w:t xml:space="preserve"> increase in costs relating to</w:t>
      </w:r>
      <w:r w:rsidRPr="00AD1168">
        <w:rPr>
          <w:rFonts w:ascii="Arial" w:hAnsi="Arial" w:cs="Arial"/>
          <w:sz w:val="24"/>
          <w:szCs w:val="24"/>
        </w:rPr>
        <w:t xml:space="preserve"> high-cost packages of care.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</w:p>
    <w:p w14:paraId="05008495" w14:textId="0FC0D2D9" w:rsidR="00EE1E25" w:rsidRPr="00AD1168" w:rsidRDefault="00EE1E25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Mental Health Services – underspend of £</w:t>
      </w:r>
      <w:r w:rsidR="004F26D0">
        <w:rPr>
          <w:rFonts w:ascii="Arial" w:hAnsi="Arial" w:cs="Arial"/>
          <w:sz w:val="24"/>
          <w:szCs w:val="24"/>
        </w:rPr>
        <w:t>2</w:t>
      </w:r>
      <w:r w:rsidRPr="00AD1168">
        <w:rPr>
          <w:rFonts w:ascii="Arial" w:hAnsi="Arial" w:cs="Arial"/>
          <w:sz w:val="24"/>
          <w:szCs w:val="24"/>
        </w:rPr>
        <w:t>.</w:t>
      </w:r>
      <w:r w:rsidR="004F26D0">
        <w:rPr>
          <w:rFonts w:ascii="Arial" w:hAnsi="Arial" w:cs="Arial"/>
          <w:sz w:val="24"/>
          <w:szCs w:val="24"/>
        </w:rPr>
        <w:t>7</w:t>
      </w:r>
      <w:r w:rsidRPr="00AD1168">
        <w:rPr>
          <w:rFonts w:ascii="Arial" w:hAnsi="Arial" w:cs="Arial"/>
          <w:sz w:val="24"/>
          <w:szCs w:val="24"/>
        </w:rPr>
        <w:t>m mainly due</w:t>
      </w:r>
      <w:r w:rsidR="004F26D0">
        <w:rPr>
          <w:rFonts w:ascii="Arial" w:hAnsi="Arial" w:cs="Arial"/>
          <w:sz w:val="24"/>
          <w:szCs w:val="24"/>
        </w:rPr>
        <w:t xml:space="preserve"> to prior year benefits and some</w:t>
      </w:r>
      <w:r w:rsidRPr="00AD1168">
        <w:rPr>
          <w:rFonts w:ascii="Arial" w:hAnsi="Arial" w:cs="Arial"/>
          <w:sz w:val="24"/>
          <w:szCs w:val="24"/>
        </w:rPr>
        <w:t xml:space="preserve"> </w:t>
      </w:r>
      <w:r w:rsidR="00AD1168" w:rsidRPr="00AD1168">
        <w:rPr>
          <w:rFonts w:ascii="Arial" w:hAnsi="Arial" w:cs="Arial"/>
          <w:sz w:val="24"/>
          <w:szCs w:val="24"/>
        </w:rPr>
        <w:t>slippage on developments</w:t>
      </w:r>
      <w:r w:rsidRPr="00AD1168">
        <w:rPr>
          <w:rFonts w:ascii="Arial" w:hAnsi="Arial" w:cs="Arial"/>
          <w:sz w:val="24"/>
          <w:szCs w:val="24"/>
        </w:rPr>
        <w:t>.</w:t>
      </w:r>
      <w:r w:rsidR="00AD1168">
        <w:rPr>
          <w:rFonts w:ascii="Arial" w:hAnsi="Arial" w:cs="Arial"/>
          <w:sz w:val="24"/>
          <w:szCs w:val="24"/>
        </w:rPr>
        <w:t xml:space="preserve"> </w:t>
      </w:r>
    </w:p>
    <w:p w14:paraId="6666E241" w14:textId="2C707BB3" w:rsidR="00C207C7" w:rsidRDefault="00C2305A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D1168">
        <w:rPr>
          <w:rFonts w:ascii="Arial" w:hAnsi="Arial" w:cs="Arial"/>
          <w:sz w:val="24"/>
          <w:szCs w:val="24"/>
        </w:rPr>
        <w:t>Delegated p</w:t>
      </w:r>
      <w:r w:rsidR="00C207C7" w:rsidRPr="00AD1168">
        <w:rPr>
          <w:rFonts w:ascii="Arial" w:hAnsi="Arial" w:cs="Arial"/>
          <w:sz w:val="24"/>
          <w:szCs w:val="24"/>
        </w:rPr>
        <w:t xml:space="preserve">rimary </w:t>
      </w:r>
      <w:r w:rsidRPr="00AD1168">
        <w:rPr>
          <w:rFonts w:ascii="Arial" w:hAnsi="Arial" w:cs="Arial"/>
          <w:sz w:val="24"/>
          <w:szCs w:val="24"/>
        </w:rPr>
        <w:t xml:space="preserve">care </w:t>
      </w:r>
      <w:r w:rsidR="00C207C7" w:rsidRPr="00AD1168">
        <w:rPr>
          <w:rFonts w:ascii="Arial" w:hAnsi="Arial" w:cs="Arial"/>
          <w:sz w:val="24"/>
          <w:szCs w:val="24"/>
        </w:rPr>
        <w:t>services</w:t>
      </w:r>
      <w:r w:rsidR="0087197B" w:rsidRPr="00AD1168">
        <w:rPr>
          <w:rFonts w:ascii="Arial" w:hAnsi="Arial" w:cs="Arial"/>
          <w:sz w:val="24"/>
          <w:szCs w:val="24"/>
        </w:rPr>
        <w:t xml:space="preserve"> costs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>–</w:t>
      </w:r>
      <w:r w:rsidR="00AD1168" w:rsidRPr="00AD1168"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underspend of </w:t>
      </w:r>
      <w:r w:rsidR="00AD1168" w:rsidRPr="00AD1168">
        <w:rPr>
          <w:rFonts w:ascii="Arial" w:hAnsi="Arial" w:cs="Arial"/>
          <w:sz w:val="24"/>
          <w:szCs w:val="24"/>
        </w:rPr>
        <w:t>£1</w:t>
      </w:r>
      <w:r w:rsidR="004F26D0">
        <w:rPr>
          <w:rFonts w:ascii="Arial" w:hAnsi="Arial" w:cs="Arial"/>
          <w:sz w:val="24"/>
          <w:szCs w:val="24"/>
        </w:rPr>
        <w:t>.3</w:t>
      </w:r>
      <w:r w:rsidR="00AD1168" w:rsidRPr="00AD1168">
        <w:rPr>
          <w:rFonts w:ascii="Arial" w:hAnsi="Arial" w:cs="Arial"/>
          <w:sz w:val="24"/>
          <w:szCs w:val="24"/>
        </w:rPr>
        <w:t>m relating to rates rebates and prior year benefits</w:t>
      </w:r>
      <w:r w:rsidR="0087197B" w:rsidRPr="00AD1168">
        <w:rPr>
          <w:rFonts w:ascii="Arial" w:hAnsi="Arial" w:cs="Arial"/>
          <w:sz w:val="24"/>
          <w:szCs w:val="24"/>
        </w:rPr>
        <w:t>.</w:t>
      </w:r>
    </w:p>
    <w:p w14:paraId="6B4E8018" w14:textId="718212AB" w:rsidR="004F26D0" w:rsidRPr="00AD1168" w:rsidRDefault="004F26D0" w:rsidP="0012738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programme services </w:t>
      </w:r>
      <w:r w:rsidR="00EF204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F204D">
        <w:rPr>
          <w:rFonts w:ascii="Arial" w:hAnsi="Arial" w:cs="Arial"/>
          <w:sz w:val="24"/>
          <w:szCs w:val="24"/>
        </w:rPr>
        <w:t xml:space="preserve">overspend of </w:t>
      </w:r>
      <w:r>
        <w:rPr>
          <w:rFonts w:ascii="Arial" w:hAnsi="Arial" w:cs="Arial"/>
          <w:sz w:val="24"/>
          <w:szCs w:val="24"/>
        </w:rPr>
        <w:t>£4.6m</w:t>
      </w:r>
      <w:r w:rsidR="00EF204D">
        <w:rPr>
          <w:rFonts w:ascii="Arial" w:hAnsi="Arial" w:cs="Arial"/>
          <w:sz w:val="24"/>
          <w:szCs w:val="24"/>
        </w:rPr>
        <w:t xml:space="preserve"> relating to assumed income that have not yet been identified.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F2F76" w14:textId="77777777" w:rsidR="00C91FDD" w:rsidRDefault="00C91FDD" w:rsidP="00C91F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DBE6CC" w14:textId="7B70BC1C" w:rsidR="00C91FDD" w:rsidRDefault="00EE1E25" w:rsidP="00C91F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variances are based on information available to date and </w:t>
      </w:r>
      <w:r w:rsidR="00EF204D">
        <w:rPr>
          <w:rFonts w:ascii="Arial" w:hAnsi="Arial" w:cs="Arial"/>
          <w:sz w:val="24"/>
          <w:szCs w:val="24"/>
        </w:rPr>
        <w:t>are being</w:t>
      </w:r>
      <w:r>
        <w:rPr>
          <w:rFonts w:ascii="Arial" w:hAnsi="Arial" w:cs="Arial"/>
          <w:sz w:val="24"/>
          <w:szCs w:val="24"/>
        </w:rPr>
        <w:t xml:space="preserve"> review</w:t>
      </w:r>
      <w:r w:rsidR="00EF204D">
        <w:rPr>
          <w:rFonts w:ascii="Arial" w:hAnsi="Arial" w:cs="Arial"/>
          <w:sz w:val="24"/>
          <w:szCs w:val="24"/>
        </w:rPr>
        <w:t>ed. M</w:t>
      </w:r>
      <w:r w:rsidR="00EF204D" w:rsidRPr="00EF204D">
        <w:rPr>
          <w:rFonts w:ascii="Arial" w:hAnsi="Arial" w:cs="Arial"/>
          <w:sz w:val="24"/>
          <w:szCs w:val="24"/>
        </w:rPr>
        <w:t>itigating actions including non-recurrent measures are being explored.</w:t>
      </w:r>
    </w:p>
    <w:p w14:paraId="61C99782" w14:textId="77777777" w:rsidR="00EF204D" w:rsidRDefault="00EF204D" w:rsidP="00C91F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5CC537" w14:textId="099763B4" w:rsidR="0087197B" w:rsidRPr="004604F1" w:rsidRDefault="00EF204D" w:rsidP="00EF20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04D">
        <w:drawing>
          <wp:inline distT="0" distB="0" distL="0" distR="0" wp14:anchorId="6F9C4231" wp14:editId="6901EABE">
            <wp:extent cx="5964555" cy="2714625"/>
            <wp:effectExtent l="0" t="0" r="0" b="9525"/>
            <wp:docPr id="126717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A9EB" w14:textId="39FF791B" w:rsidR="000A0A72" w:rsidRPr="006A52A9" w:rsidRDefault="000A0A72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ICS</w:t>
      </w:r>
      <w:r w:rsidR="00BC7269" w:rsidRPr="006A52A9">
        <w:rPr>
          <w:rFonts w:ascii="Arial" w:hAnsi="Arial" w:cs="Arial"/>
          <w:b/>
          <w:bCs/>
          <w:sz w:val="24"/>
          <w:szCs w:val="24"/>
        </w:rPr>
        <w:t xml:space="preserve"> Provider Income &amp; Expenditure</w:t>
      </w:r>
    </w:p>
    <w:p w14:paraId="18D5E12B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9D50AAA" w14:textId="7400F37A" w:rsidR="00D4517D" w:rsidRPr="006A52A9" w:rsidRDefault="00D4517D" w:rsidP="00EE0556">
      <w:pPr>
        <w:jc w:val="both"/>
        <w:rPr>
          <w:rFonts w:ascii="Arial" w:hAnsi="Arial" w:cs="Arial"/>
          <w:sz w:val="24"/>
          <w:szCs w:val="24"/>
        </w:rPr>
      </w:pPr>
      <w:r w:rsidRPr="00664BE2">
        <w:rPr>
          <w:rFonts w:ascii="Arial" w:hAnsi="Arial" w:cs="Arial"/>
          <w:sz w:val="24"/>
          <w:szCs w:val="24"/>
        </w:rPr>
        <w:t xml:space="preserve">The Month </w:t>
      </w:r>
      <w:r w:rsidR="00E62EAD">
        <w:rPr>
          <w:rFonts w:ascii="Arial" w:hAnsi="Arial" w:cs="Arial"/>
          <w:sz w:val="24"/>
          <w:szCs w:val="24"/>
        </w:rPr>
        <w:t>6</w:t>
      </w:r>
      <w:r w:rsidRPr="00664BE2">
        <w:rPr>
          <w:rFonts w:ascii="Arial" w:hAnsi="Arial" w:cs="Arial"/>
          <w:sz w:val="24"/>
          <w:szCs w:val="24"/>
        </w:rPr>
        <w:t xml:space="preserve"> position for the ICS NHS Providers </w:t>
      </w:r>
      <w:r w:rsidR="00966AFE">
        <w:rPr>
          <w:rFonts w:ascii="Arial" w:hAnsi="Arial" w:cs="Arial"/>
          <w:sz w:val="24"/>
          <w:szCs w:val="24"/>
        </w:rPr>
        <w:t xml:space="preserve">(Table 3) </w:t>
      </w:r>
      <w:r w:rsidR="003D65BA">
        <w:rPr>
          <w:rFonts w:ascii="Arial" w:hAnsi="Arial" w:cs="Arial"/>
          <w:sz w:val="24"/>
          <w:szCs w:val="24"/>
        </w:rPr>
        <w:t xml:space="preserve">is </w:t>
      </w:r>
      <w:r w:rsidR="003D65BA" w:rsidRPr="003D65BA">
        <w:rPr>
          <w:rFonts w:ascii="Arial" w:hAnsi="Arial" w:cs="Arial"/>
          <w:sz w:val="24"/>
          <w:szCs w:val="24"/>
        </w:rPr>
        <w:t>a deficit of £</w:t>
      </w:r>
      <w:r w:rsidR="00E62EAD">
        <w:rPr>
          <w:rFonts w:ascii="Arial" w:hAnsi="Arial" w:cs="Arial"/>
          <w:sz w:val="24"/>
          <w:szCs w:val="24"/>
        </w:rPr>
        <w:t>19</w:t>
      </w:r>
      <w:r w:rsidR="003D65BA" w:rsidRPr="003D65BA">
        <w:rPr>
          <w:rFonts w:ascii="Arial" w:hAnsi="Arial" w:cs="Arial"/>
          <w:sz w:val="24"/>
          <w:szCs w:val="24"/>
        </w:rPr>
        <w:t>.</w:t>
      </w:r>
      <w:r w:rsidR="00E62EAD">
        <w:rPr>
          <w:rFonts w:ascii="Arial" w:hAnsi="Arial" w:cs="Arial"/>
          <w:sz w:val="24"/>
          <w:szCs w:val="24"/>
        </w:rPr>
        <w:t>9</w:t>
      </w:r>
      <w:r w:rsidR="003D65BA" w:rsidRPr="003D65BA">
        <w:rPr>
          <w:rFonts w:ascii="Arial" w:hAnsi="Arial" w:cs="Arial"/>
          <w:sz w:val="24"/>
          <w:szCs w:val="24"/>
        </w:rPr>
        <w:t>m against a year-to-date plan  deficit of £</w:t>
      </w:r>
      <w:r w:rsidR="00E62EAD">
        <w:rPr>
          <w:rFonts w:ascii="Arial" w:hAnsi="Arial" w:cs="Arial"/>
          <w:sz w:val="24"/>
          <w:szCs w:val="24"/>
        </w:rPr>
        <w:t>1</w:t>
      </w:r>
      <w:r w:rsidR="00C2305A">
        <w:rPr>
          <w:rFonts w:ascii="Arial" w:hAnsi="Arial" w:cs="Arial"/>
          <w:sz w:val="24"/>
          <w:szCs w:val="24"/>
        </w:rPr>
        <w:t>8.</w:t>
      </w:r>
      <w:r w:rsidR="00E62EAD">
        <w:rPr>
          <w:rFonts w:ascii="Arial" w:hAnsi="Arial" w:cs="Arial"/>
          <w:sz w:val="24"/>
          <w:szCs w:val="24"/>
        </w:rPr>
        <w:t>5</w:t>
      </w:r>
      <w:r w:rsidR="003D65BA" w:rsidRPr="003D65BA">
        <w:rPr>
          <w:rFonts w:ascii="Arial" w:hAnsi="Arial" w:cs="Arial"/>
          <w:sz w:val="24"/>
          <w:szCs w:val="24"/>
        </w:rPr>
        <w:t>m</w:t>
      </w:r>
      <w:r w:rsidR="00FA5386">
        <w:rPr>
          <w:rFonts w:ascii="Arial" w:hAnsi="Arial" w:cs="Arial"/>
          <w:sz w:val="24"/>
          <w:szCs w:val="24"/>
        </w:rPr>
        <w:t>.</w:t>
      </w:r>
      <w:r w:rsidR="003D65BA" w:rsidRPr="003D65BA">
        <w:rPr>
          <w:rFonts w:ascii="Arial" w:hAnsi="Arial" w:cs="Arial"/>
          <w:sz w:val="24"/>
          <w:szCs w:val="24"/>
        </w:rPr>
        <w:t xml:space="preserve"> This is an adverse variance to plan of £</w:t>
      </w:r>
      <w:r w:rsidR="00C2305A">
        <w:rPr>
          <w:rFonts w:ascii="Arial" w:hAnsi="Arial" w:cs="Arial"/>
          <w:sz w:val="24"/>
          <w:szCs w:val="24"/>
        </w:rPr>
        <w:t>1</w:t>
      </w:r>
      <w:r w:rsidR="003D65BA" w:rsidRPr="003D65BA">
        <w:rPr>
          <w:rFonts w:ascii="Arial" w:hAnsi="Arial" w:cs="Arial"/>
          <w:sz w:val="24"/>
          <w:szCs w:val="24"/>
        </w:rPr>
        <w:t>.</w:t>
      </w:r>
      <w:r w:rsidR="00E62EAD">
        <w:rPr>
          <w:rFonts w:ascii="Arial" w:hAnsi="Arial" w:cs="Arial"/>
          <w:sz w:val="24"/>
          <w:szCs w:val="24"/>
        </w:rPr>
        <w:t>4</w:t>
      </w:r>
      <w:r w:rsidR="003D65BA" w:rsidRPr="003D65BA">
        <w:rPr>
          <w:rFonts w:ascii="Arial" w:hAnsi="Arial" w:cs="Arial"/>
          <w:sz w:val="24"/>
          <w:szCs w:val="24"/>
        </w:rPr>
        <w:t xml:space="preserve">m at month </w:t>
      </w:r>
      <w:r w:rsidR="00E62EAD">
        <w:rPr>
          <w:rFonts w:ascii="Arial" w:hAnsi="Arial" w:cs="Arial"/>
          <w:sz w:val="24"/>
          <w:szCs w:val="24"/>
        </w:rPr>
        <w:t>6</w:t>
      </w:r>
      <w:r w:rsidR="00C2305A" w:rsidRPr="00C230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305A">
        <w:rPr>
          <w:rFonts w:ascii="Arial" w:hAnsi="Arial" w:cs="Arial"/>
          <w:color w:val="000000" w:themeColor="text1"/>
          <w:sz w:val="24"/>
          <w:szCs w:val="24"/>
        </w:rPr>
        <w:t xml:space="preserve">relates </w:t>
      </w:r>
      <w:r w:rsidR="00E62EAD">
        <w:rPr>
          <w:rFonts w:ascii="Arial" w:hAnsi="Arial" w:cs="Arial"/>
          <w:color w:val="000000" w:themeColor="text1"/>
          <w:sz w:val="24"/>
          <w:szCs w:val="24"/>
        </w:rPr>
        <w:t>mainly to year-to-date slippage against efficiency target at York &amp; Scarborough Teaching Hospitals</w:t>
      </w:r>
      <w:r w:rsidR="003D65BA">
        <w:rPr>
          <w:rFonts w:ascii="Arial" w:hAnsi="Arial" w:cs="Arial"/>
          <w:sz w:val="24"/>
          <w:szCs w:val="24"/>
        </w:rPr>
        <w:t>.</w:t>
      </w:r>
    </w:p>
    <w:p w14:paraId="6AEB8E0E" w14:textId="372C72D5" w:rsidR="002F79FD" w:rsidRPr="007C0690" w:rsidRDefault="00A95446" w:rsidP="003D65BA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month </w:t>
      </w:r>
      <w:r w:rsidR="00E62EAD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plan and actual expenditure exceeds the full year planned deficit as the majority of planned efficiencies/mitigating actions are phased into the last quarter of 2024/25. This position continues to raise significant concern and system</w:t>
      </w:r>
      <w:r>
        <w:rPr>
          <w:rFonts w:ascii="Arial" w:hAnsi="Arial" w:cs="Arial"/>
          <w:sz w:val="24"/>
          <w:szCs w:val="24"/>
        </w:rPr>
        <w:t xml:space="preserve"> work is ongoing to</w:t>
      </w:r>
      <w:r w:rsidR="0087197B">
        <w:rPr>
          <w:rFonts w:ascii="Arial" w:hAnsi="Arial" w:cs="Arial"/>
          <w:sz w:val="24"/>
          <w:szCs w:val="24"/>
        </w:rPr>
        <w:t xml:space="preserve"> refine and</w:t>
      </w:r>
      <w:r w:rsidR="00FA5386">
        <w:rPr>
          <w:rFonts w:ascii="Arial" w:hAnsi="Arial" w:cs="Arial"/>
          <w:sz w:val="24"/>
          <w:szCs w:val="24"/>
        </w:rPr>
        <w:t xml:space="preserve"> understand run rate and variances and to clarify the </w:t>
      </w:r>
      <w:r w:rsidR="0087197B">
        <w:rPr>
          <w:rFonts w:ascii="Arial" w:hAnsi="Arial" w:cs="Arial"/>
          <w:sz w:val="24"/>
          <w:szCs w:val="24"/>
        </w:rPr>
        <w:t xml:space="preserve">monthly </w:t>
      </w:r>
      <w:r w:rsidR="00FA5386">
        <w:rPr>
          <w:rFonts w:ascii="Arial" w:hAnsi="Arial" w:cs="Arial"/>
          <w:sz w:val="24"/>
          <w:szCs w:val="24"/>
        </w:rPr>
        <w:t>profile of financial improvement to deliver the financial plan for 2024/25</w:t>
      </w:r>
      <w:r w:rsidR="00E62EAD">
        <w:rPr>
          <w:rFonts w:ascii="Arial" w:hAnsi="Arial" w:cs="Arial"/>
          <w:sz w:val="24"/>
          <w:szCs w:val="24"/>
        </w:rPr>
        <w:t>, incorporating the multi-disciplinary summit outputs as appropriate</w:t>
      </w:r>
      <w:r w:rsidR="00FA5386">
        <w:rPr>
          <w:rFonts w:ascii="Arial" w:hAnsi="Arial" w:cs="Arial"/>
          <w:sz w:val="24"/>
          <w:szCs w:val="24"/>
        </w:rPr>
        <w:t>.</w:t>
      </w:r>
    </w:p>
    <w:p w14:paraId="3FF7C7B5" w14:textId="39066333" w:rsidR="0087197B" w:rsidRDefault="00E62EAD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2EAD">
        <w:drawing>
          <wp:inline distT="0" distB="0" distL="0" distR="0" wp14:anchorId="328F946A" wp14:editId="790397D7">
            <wp:extent cx="5971653" cy="5924550"/>
            <wp:effectExtent l="0" t="0" r="0" b="0"/>
            <wp:docPr id="12184067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38" cy="592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8F73" w14:textId="77777777" w:rsidR="00E62EAD" w:rsidRPr="002F79FD" w:rsidRDefault="00E62EAD" w:rsidP="002F79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8E6DD4" w14:textId="3C1EA933" w:rsidR="00296512" w:rsidRPr="006A52A9" w:rsidRDefault="00AC51F7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>System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 xml:space="preserve"> Efficiencies</w:t>
      </w:r>
    </w:p>
    <w:p w14:paraId="7F4DD0DB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F9AF63F" w14:textId="77777777" w:rsidR="00F16E3A" w:rsidRPr="006A52A9" w:rsidRDefault="00F16E3A" w:rsidP="0012738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A6B9926" w14:textId="5D1A6432" w:rsidR="00FC452E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386">
        <w:rPr>
          <w:rFonts w:ascii="Arial" w:hAnsi="Arial" w:cs="Arial"/>
          <w:sz w:val="24"/>
          <w:szCs w:val="24"/>
        </w:rPr>
        <w:t xml:space="preserve">At month </w:t>
      </w:r>
      <w:r w:rsidR="00E62EAD">
        <w:rPr>
          <w:rFonts w:ascii="Arial" w:hAnsi="Arial" w:cs="Arial"/>
          <w:sz w:val="24"/>
          <w:szCs w:val="24"/>
        </w:rPr>
        <w:t>6</w:t>
      </w:r>
      <w:r w:rsidRPr="00FA5386">
        <w:rPr>
          <w:rFonts w:ascii="Arial" w:hAnsi="Arial" w:cs="Arial"/>
          <w:sz w:val="24"/>
          <w:szCs w:val="24"/>
        </w:rPr>
        <w:t>, the system showed actual achievement of £</w:t>
      </w:r>
      <w:r w:rsidR="00797672">
        <w:rPr>
          <w:rFonts w:ascii="Arial" w:hAnsi="Arial" w:cs="Arial"/>
          <w:sz w:val="24"/>
          <w:szCs w:val="24"/>
        </w:rPr>
        <w:t>80</w:t>
      </w:r>
      <w:r w:rsidRPr="00FA5386">
        <w:rPr>
          <w:rFonts w:ascii="Arial" w:hAnsi="Arial" w:cs="Arial"/>
          <w:sz w:val="24"/>
          <w:szCs w:val="24"/>
        </w:rPr>
        <w:t>m against a target of £</w:t>
      </w:r>
      <w:r w:rsidR="00797672">
        <w:rPr>
          <w:rFonts w:ascii="Arial" w:hAnsi="Arial" w:cs="Arial"/>
          <w:sz w:val="24"/>
          <w:szCs w:val="24"/>
        </w:rPr>
        <w:t>84.2</w:t>
      </w:r>
      <w:r w:rsidRPr="00FA5386">
        <w:rPr>
          <w:rFonts w:ascii="Arial" w:hAnsi="Arial" w:cs="Arial"/>
          <w:sz w:val="24"/>
          <w:szCs w:val="24"/>
        </w:rPr>
        <w:t>m, a shortfall of £</w:t>
      </w:r>
      <w:r w:rsidR="00797672">
        <w:rPr>
          <w:rFonts w:ascii="Arial" w:hAnsi="Arial" w:cs="Arial"/>
          <w:sz w:val="24"/>
          <w:szCs w:val="24"/>
        </w:rPr>
        <w:t>4</w:t>
      </w:r>
      <w:r w:rsidRPr="00FA5386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m. This comprises of the providers delivering £</w:t>
      </w:r>
      <w:r w:rsidR="00797672">
        <w:rPr>
          <w:rFonts w:ascii="Arial" w:hAnsi="Arial" w:cs="Arial"/>
          <w:sz w:val="24"/>
          <w:szCs w:val="24"/>
        </w:rPr>
        <w:t>50</w:t>
      </w:r>
      <w:r w:rsidR="007E386F">
        <w:rPr>
          <w:rFonts w:ascii="Arial" w:hAnsi="Arial" w:cs="Arial"/>
          <w:sz w:val="24"/>
          <w:szCs w:val="24"/>
        </w:rPr>
        <w:t>.6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797672">
        <w:rPr>
          <w:rFonts w:ascii="Arial" w:hAnsi="Arial" w:cs="Arial"/>
          <w:sz w:val="24"/>
          <w:szCs w:val="24"/>
        </w:rPr>
        <w:t>52</w:t>
      </w:r>
      <w:r w:rsidRPr="00FA5386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>m plan (£</w:t>
      </w:r>
      <w:r w:rsidR="00797672">
        <w:rPr>
          <w:rFonts w:ascii="Arial" w:hAnsi="Arial" w:cs="Arial"/>
          <w:sz w:val="24"/>
          <w:szCs w:val="24"/>
        </w:rPr>
        <w:t>2.2</w:t>
      </w:r>
      <w:r w:rsidRPr="00FA5386">
        <w:rPr>
          <w:rFonts w:ascii="Arial" w:hAnsi="Arial" w:cs="Arial"/>
          <w:sz w:val="24"/>
          <w:szCs w:val="24"/>
        </w:rPr>
        <w:t>m adverse) and the ICB delivering £</w:t>
      </w:r>
      <w:r w:rsidR="007E386F">
        <w:rPr>
          <w:rFonts w:ascii="Arial" w:hAnsi="Arial" w:cs="Arial"/>
          <w:sz w:val="24"/>
          <w:szCs w:val="24"/>
        </w:rPr>
        <w:t>2</w:t>
      </w:r>
      <w:r w:rsidR="00797672">
        <w:rPr>
          <w:rFonts w:ascii="Arial" w:hAnsi="Arial" w:cs="Arial"/>
          <w:sz w:val="24"/>
          <w:szCs w:val="24"/>
        </w:rPr>
        <w:t>9</w:t>
      </w:r>
      <w:r w:rsidRPr="00FA5386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4</w:t>
      </w:r>
      <w:r w:rsidRPr="00FA5386">
        <w:rPr>
          <w:rFonts w:ascii="Arial" w:hAnsi="Arial" w:cs="Arial"/>
          <w:sz w:val="24"/>
          <w:szCs w:val="24"/>
        </w:rPr>
        <w:t>m against a £</w:t>
      </w:r>
      <w:r w:rsidR="00797672">
        <w:rPr>
          <w:rFonts w:ascii="Arial" w:hAnsi="Arial" w:cs="Arial"/>
          <w:sz w:val="24"/>
          <w:szCs w:val="24"/>
        </w:rPr>
        <w:t>31</w:t>
      </w:r>
      <w:r w:rsidR="0087197B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3</w:t>
      </w:r>
      <w:r w:rsidRPr="00FA5386">
        <w:rPr>
          <w:rFonts w:ascii="Arial" w:hAnsi="Arial" w:cs="Arial"/>
          <w:sz w:val="24"/>
          <w:szCs w:val="24"/>
        </w:rPr>
        <w:t>m plan (£</w:t>
      </w:r>
      <w:r w:rsidR="00797672">
        <w:rPr>
          <w:rFonts w:ascii="Arial" w:hAnsi="Arial" w:cs="Arial"/>
          <w:sz w:val="24"/>
          <w:szCs w:val="24"/>
        </w:rPr>
        <w:t>1</w:t>
      </w:r>
      <w:r w:rsidRPr="00FA5386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9</w:t>
      </w:r>
      <w:r w:rsidRPr="00FA5386">
        <w:rPr>
          <w:rFonts w:ascii="Arial" w:hAnsi="Arial" w:cs="Arial"/>
          <w:sz w:val="24"/>
          <w:szCs w:val="24"/>
        </w:rPr>
        <w:t>m adverse). The system forecast is to deliver £21</w:t>
      </w:r>
      <w:r w:rsidR="00797672">
        <w:rPr>
          <w:rFonts w:ascii="Arial" w:hAnsi="Arial" w:cs="Arial"/>
          <w:sz w:val="24"/>
          <w:szCs w:val="24"/>
        </w:rPr>
        <w:t>8</w:t>
      </w:r>
      <w:r w:rsidRPr="00FA5386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4</w:t>
      </w:r>
      <w:r w:rsidRPr="00FA5386">
        <w:rPr>
          <w:rFonts w:ascii="Arial" w:hAnsi="Arial" w:cs="Arial"/>
          <w:sz w:val="24"/>
          <w:szCs w:val="24"/>
        </w:rPr>
        <w:t>m, a shortfall of £</w:t>
      </w:r>
      <w:r w:rsidR="00DB014C">
        <w:rPr>
          <w:rFonts w:ascii="Arial" w:hAnsi="Arial" w:cs="Arial"/>
          <w:sz w:val="24"/>
          <w:szCs w:val="24"/>
        </w:rPr>
        <w:t>1</w:t>
      </w:r>
      <w:r w:rsidR="00797672">
        <w:rPr>
          <w:rFonts w:ascii="Arial" w:hAnsi="Arial" w:cs="Arial"/>
          <w:sz w:val="24"/>
          <w:szCs w:val="24"/>
        </w:rPr>
        <w:t>6.3</w:t>
      </w:r>
      <w:r w:rsidRPr="00FA5386">
        <w:rPr>
          <w:rFonts w:ascii="Arial" w:hAnsi="Arial" w:cs="Arial"/>
          <w:sz w:val="24"/>
          <w:szCs w:val="24"/>
        </w:rPr>
        <w:t>m against plan.</w:t>
      </w:r>
    </w:p>
    <w:p w14:paraId="7CAEB4E0" w14:textId="77777777" w:rsidR="00FA5386" w:rsidRDefault="00FA5386" w:rsidP="00664B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D4B097" w14:textId="348C7316" w:rsidR="0049288B" w:rsidRDefault="00FC452E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4 shows the position at </w:t>
      </w:r>
      <w:r w:rsidR="009131ED">
        <w:rPr>
          <w:rFonts w:ascii="Arial" w:hAnsi="Arial" w:cs="Arial"/>
          <w:sz w:val="24"/>
          <w:szCs w:val="24"/>
        </w:rPr>
        <w:t>ICB</w:t>
      </w:r>
      <w:r>
        <w:rPr>
          <w:rFonts w:ascii="Arial" w:hAnsi="Arial" w:cs="Arial"/>
          <w:sz w:val="24"/>
          <w:szCs w:val="24"/>
        </w:rPr>
        <w:t xml:space="preserve"> and provider level and highlights the recurrent and non-recurrent assessment of schemes.</w:t>
      </w:r>
      <w:r w:rsidR="006C3CA9">
        <w:rPr>
          <w:rFonts w:ascii="Arial" w:hAnsi="Arial" w:cs="Arial"/>
          <w:sz w:val="24"/>
          <w:szCs w:val="24"/>
        </w:rPr>
        <w:t xml:space="preserve"> </w:t>
      </w:r>
      <w:r w:rsidR="0049288B">
        <w:rPr>
          <w:rFonts w:ascii="Arial" w:hAnsi="Arial" w:cs="Arial"/>
          <w:sz w:val="24"/>
          <w:szCs w:val="24"/>
        </w:rPr>
        <w:t>For 202</w:t>
      </w:r>
      <w:r w:rsidR="000A4C8F">
        <w:rPr>
          <w:rFonts w:ascii="Arial" w:hAnsi="Arial" w:cs="Arial"/>
          <w:sz w:val="24"/>
          <w:szCs w:val="24"/>
        </w:rPr>
        <w:t>4</w:t>
      </w:r>
      <w:r w:rsidR="0049288B">
        <w:rPr>
          <w:rFonts w:ascii="Arial" w:hAnsi="Arial" w:cs="Arial"/>
          <w:sz w:val="24"/>
          <w:szCs w:val="24"/>
        </w:rPr>
        <w:t>/2</w:t>
      </w:r>
      <w:r w:rsidR="000A4C8F">
        <w:rPr>
          <w:rFonts w:ascii="Arial" w:hAnsi="Arial" w:cs="Arial"/>
          <w:sz w:val="24"/>
          <w:szCs w:val="24"/>
        </w:rPr>
        <w:t>5</w:t>
      </w:r>
      <w:r w:rsidR="008C79D4">
        <w:rPr>
          <w:rFonts w:ascii="Arial" w:hAnsi="Arial" w:cs="Arial"/>
          <w:sz w:val="24"/>
          <w:szCs w:val="24"/>
        </w:rPr>
        <w:t xml:space="preserve">, </w:t>
      </w:r>
      <w:r w:rsidR="00DB014C">
        <w:rPr>
          <w:rFonts w:ascii="Arial" w:hAnsi="Arial" w:cs="Arial"/>
          <w:sz w:val="24"/>
          <w:szCs w:val="24"/>
        </w:rPr>
        <w:t>5</w:t>
      </w:r>
      <w:r w:rsidR="00797672">
        <w:rPr>
          <w:rFonts w:ascii="Arial" w:hAnsi="Arial" w:cs="Arial"/>
          <w:sz w:val="24"/>
          <w:szCs w:val="24"/>
        </w:rPr>
        <w:t>3.7</w:t>
      </w:r>
      <w:r w:rsidR="008C79D4">
        <w:rPr>
          <w:rFonts w:ascii="Arial" w:hAnsi="Arial" w:cs="Arial"/>
          <w:sz w:val="24"/>
          <w:szCs w:val="24"/>
        </w:rPr>
        <w:t xml:space="preserve">% of the overall efficiency </w:t>
      </w:r>
      <w:r w:rsidR="000A4C8F">
        <w:rPr>
          <w:rFonts w:ascii="Arial" w:hAnsi="Arial" w:cs="Arial"/>
          <w:sz w:val="24"/>
          <w:szCs w:val="24"/>
        </w:rPr>
        <w:t xml:space="preserve">is </w:t>
      </w:r>
      <w:r w:rsidR="009F317B">
        <w:rPr>
          <w:rFonts w:ascii="Arial" w:hAnsi="Arial" w:cs="Arial"/>
          <w:sz w:val="24"/>
          <w:szCs w:val="24"/>
        </w:rPr>
        <w:t>forecast</w:t>
      </w:r>
      <w:r w:rsidR="000A4C8F">
        <w:rPr>
          <w:rFonts w:ascii="Arial" w:hAnsi="Arial" w:cs="Arial"/>
          <w:sz w:val="24"/>
          <w:szCs w:val="24"/>
        </w:rPr>
        <w:t xml:space="preserve"> to be </w:t>
      </w:r>
      <w:r w:rsidR="008C79D4">
        <w:rPr>
          <w:rFonts w:ascii="Arial" w:hAnsi="Arial" w:cs="Arial"/>
          <w:sz w:val="24"/>
          <w:szCs w:val="24"/>
        </w:rPr>
        <w:t xml:space="preserve">delivered </w:t>
      </w:r>
      <w:r w:rsidR="000A4C8F">
        <w:rPr>
          <w:rFonts w:ascii="Arial" w:hAnsi="Arial" w:cs="Arial"/>
          <w:sz w:val="24"/>
          <w:szCs w:val="24"/>
        </w:rPr>
        <w:t xml:space="preserve">on a </w:t>
      </w:r>
      <w:r w:rsidR="008C79D4">
        <w:rPr>
          <w:rFonts w:ascii="Arial" w:hAnsi="Arial" w:cs="Arial"/>
          <w:sz w:val="24"/>
          <w:szCs w:val="24"/>
        </w:rPr>
        <w:t>recurrent</w:t>
      </w:r>
      <w:r w:rsidR="000A4C8F">
        <w:rPr>
          <w:rFonts w:ascii="Arial" w:hAnsi="Arial" w:cs="Arial"/>
          <w:sz w:val="24"/>
          <w:szCs w:val="24"/>
        </w:rPr>
        <w:t xml:space="preserve"> basis</w:t>
      </w:r>
      <w:r w:rsidR="008C79D4">
        <w:rPr>
          <w:rFonts w:ascii="Arial" w:hAnsi="Arial" w:cs="Arial"/>
          <w:sz w:val="24"/>
          <w:szCs w:val="24"/>
        </w:rPr>
        <w:t>.</w:t>
      </w:r>
    </w:p>
    <w:p w14:paraId="0F03B552" w14:textId="77777777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487119" w14:textId="06FC1E8A" w:rsidR="00D82C8A" w:rsidRDefault="00D82C8A" w:rsidP="009F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detailed scheme information is available at Appendix 1.</w:t>
      </w:r>
    </w:p>
    <w:p w14:paraId="4BA5EFD9" w14:textId="77777777" w:rsidR="00797672" w:rsidRDefault="00797672" w:rsidP="009F6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18571B" w14:textId="3221D8F5" w:rsidR="00DB014C" w:rsidRDefault="00797672" w:rsidP="007976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672">
        <w:drawing>
          <wp:inline distT="0" distB="0" distL="0" distR="0" wp14:anchorId="19851D80" wp14:editId="5D6977B2">
            <wp:extent cx="5882640" cy="5838825"/>
            <wp:effectExtent l="0" t="0" r="3810" b="9525"/>
            <wp:docPr id="4978551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95" cy="584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BF4F" w14:textId="302A5BEA" w:rsidR="00DB014C" w:rsidRDefault="009F317B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Table 5 shows the status of scheme development for the ICB and across ICS providers. </w:t>
      </w:r>
    </w:p>
    <w:p w14:paraId="70D1316A" w14:textId="7B1B7798" w:rsidR="009F317B" w:rsidRDefault="00797672" w:rsidP="009F31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672">
        <w:drawing>
          <wp:inline distT="0" distB="0" distL="0" distR="0" wp14:anchorId="33D53CCA" wp14:editId="33AAD8DF">
            <wp:extent cx="5886450" cy="1807804"/>
            <wp:effectExtent l="0" t="0" r="0" b="2540"/>
            <wp:docPr id="17356218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92" cy="181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4962" w14:textId="77777777" w:rsidR="009F317B" w:rsidRDefault="009F317B" w:rsidP="009F31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4F4E7F" w14:textId="77777777" w:rsidR="002E3880" w:rsidRPr="006A52A9" w:rsidRDefault="002E3880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B769B6" w14:textId="2C267238" w:rsidR="006A52A9" w:rsidRDefault="00C00B8B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>S</w:t>
      </w:r>
      <w:r w:rsidR="00AC51F7" w:rsidRPr="006A52A9">
        <w:rPr>
          <w:rFonts w:ascii="Arial" w:hAnsi="Arial" w:cs="Arial"/>
          <w:b/>
          <w:bCs/>
          <w:sz w:val="24"/>
          <w:szCs w:val="24"/>
        </w:rPr>
        <w:t>ystem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 xml:space="preserve"> Capital </w:t>
      </w:r>
      <w:r w:rsidR="00296512" w:rsidRPr="006A52A9">
        <w:rPr>
          <w:rFonts w:ascii="Arial" w:hAnsi="Arial" w:cs="Arial"/>
          <w:b/>
          <w:bCs/>
          <w:sz w:val="24"/>
          <w:szCs w:val="24"/>
        </w:rPr>
        <w:t>Summary</w:t>
      </w:r>
    </w:p>
    <w:p w14:paraId="59F88B8F" w14:textId="77777777" w:rsidR="00A368CB" w:rsidRPr="00A368CB" w:rsidRDefault="00A368CB" w:rsidP="00A368CB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95E3299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3CB334D1" w14:textId="77777777" w:rsidR="000A0A72" w:rsidRPr="006A52A9" w:rsidRDefault="000A0A72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6EC24159" w14:textId="77777777" w:rsidR="0088695E" w:rsidRPr="0088695E" w:rsidRDefault="0088695E" w:rsidP="0088695E">
      <w:pPr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b/>
          <w:bCs/>
          <w:sz w:val="24"/>
          <w:szCs w:val="24"/>
        </w:rPr>
        <w:t>Our capital programme</w:t>
      </w:r>
      <w:r w:rsidRPr="0088695E">
        <w:rPr>
          <w:rFonts w:ascii="Arial" w:hAnsi="Arial" w:cs="Arial"/>
          <w:sz w:val="24"/>
          <w:szCs w:val="24"/>
        </w:rPr>
        <w:t xml:space="preserve"> comprises:-</w:t>
      </w:r>
    </w:p>
    <w:p w14:paraId="2D51F08A" w14:textId="636C906E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90</w:t>
      </w:r>
      <w:r w:rsidRPr="008869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>m ICS core capital, used mainly for replacement of existing assets based on depreciation</w:t>
      </w:r>
    </w:p>
    <w:p w14:paraId="3B85A5B1" w14:textId="77777777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£17.9m IFRS16, for the accounting of new or renegotiated leases</w:t>
      </w:r>
    </w:p>
    <w:p w14:paraId="11323CB0" w14:textId="27A51019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£6</w:t>
      </w:r>
      <w:r w:rsidR="00797672">
        <w:rPr>
          <w:rFonts w:ascii="Arial" w:hAnsi="Arial" w:cs="Arial"/>
          <w:sz w:val="24"/>
          <w:szCs w:val="24"/>
        </w:rPr>
        <w:t>3</w:t>
      </w:r>
      <w:r w:rsidRPr="0088695E">
        <w:rPr>
          <w:rFonts w:ascii="Arial" w:hAnsi="Arial" w:cs="Arial"/>
          <w:sz w:val="24"/>
          <w:szCs w:val="24"/>
        </w:rPr>
        <w:t>.</w:t>
      </w:r>
      <w:r w:rsidR="00797672">
        <w:rPr>
          <w:rFonts w:ascii="Arial" w:hAnsi="Arial" w:cs="Arial"/>
          <w:sz w:val="24"/>
          <w:szCs w:val="24"/>
        </w:rPr>
        <w:t>2</w:t>
      </w:r>
      <w:r w:rsidRPr="0088695E">
        <w:rPr>
          <w:rFonts w:ascii="Arial" w:hAnsi="Arial" w:cs="Arial"/>
          <w:sz w:val="24"/>
          <w:szCs w:val="24"/>
        </w:rPr>
        <w:t xml:space="preserve">m additional national capital for specific schemes, such as CDC, digital, Vascular Intervention Unit in York and elective recovery across all our acute providers. </w:t>
      </w:r>
    </w:p>
    <w:p w14:paraId="4F4EE70E" w14:textId="53F779FE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£3.</w:t>
      </w:r>
      <w:r w:rsidR="00797672">
        <w:rPr>
          <w:rFonts w:ascii="Arial" w:hAnsi="Arial" w:cs="Arial"/>
          <w:sz w:val="24"/>
          <w:szCs w:val="24"/>
        </w:rPr>
        <w:t>9</w:t>
      </w:r>
      <w:r w:rsidRPr="0088695E">
        <w:rPr>
          <w:rFonts w:ascii="Arial" w:hAnsi="Arial" w:cs="Arial"/>
          <w:sz w:val="24"/>
          <w:szCs w:val="24"/>
        </w:rPr>
        <w:t>m for primary care.</w:t>
      </w:r>
    </w:p>
    <w:p w14:paraId="2102E9FE" w14:textId="77777777" w:rsidR="0088695E" w:rsidRPr="0088695E" w:rsidRDefault="0088695E" w:rsidP="0088695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£7.5m for Catterick, £2.5m from our system capital and £5m from NHS England.</w:t>
      </w:r>
    </w:p>
    <w:p w14:paraId="7B0EE0D1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5C5B8EC4" w14:textId="66BC169D" w:rsidR="0088695E" w:rsidRDefault="00A164F0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</w:t>
      </w:r>
      <w:r w:rsidR="000D120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sets out the overall Capital summary for the system</w:t>
      </w:r>
      <w:bookmarkStart w:id="11" w:name="_Hlk157782065"/>
      <w:bookmarkStart w:id="12" w:name="_Hlk165307709"/>
      <w:r w:rsidR="009F317B">
        <w:rPr>
          <w:rFonts w:ascii="Arial" w:hAnsi="Arial" w:cs="Arial"/>
          <w:sz w:val="24"/>
          <w:szCs w:val="24"/>
        </w:rPr>
        <w:t>.</w:t>
      </w:r>
      <w:r w:rsidR="000D120D">
        <w:rPr>
          <w:rFonts w:ascii="Arial" w:hAnsi="Arial" w:cs="Arial"/>
          <w:sz w:val="24"/>
          <w:szCs w:val="24"/>
        </w:rPr>
        <w:t xml:space="preserve"> There is some year-to-date slippage</w:t>
      </w:r>
      <w:r w:rsidR="0088695E">
        <w:rPr>
          <w:rFonts w:ascii="Arial" w:hAnsi="Arial" w:cs="Arial"/>
          <w:sz w:val="24"/>
          <w:szCs w:val="24"/>
        </w:rPr>
        <w:t xml:space="preserve"> with schemes starting later than planned and slippage</w:t>
      </w:r>
      <w:r w:rsidR="0088695E" w:rsidRPr="0088695E">
        <w:t xml:space="preserve"> </w:t>
      </w:r>
      <w:r w:rsidR="0088695E" w:rsidRPr="0088695E">
        <w:rPr>
          <w:rFonts w:ascii="Arial" w:hAnsi="Arial" w:cs="Arial"/>
          <w:sz w:val="24"/>
          <w:szCs w:val="24"/>
        </w:rPr>
        <w:t xml:space="preserve">linked to </w:t>
      </w:r>
      <w:proofErr w:type="spellStart"/>
      <w:r w:rsidR="0088695E" w:rsidRPr="0088695E">
        <w:rPr>
          <w:rFonts w:ascii="Arial" w:hAnsi="Arial" w:cs="Arial"/>
          <w:sz w:val="24"/>
          <w:szCs w:val="24"/>
        </w:rPr>
        <w:t>NLaG</w:t>
      </w:r>
      <w:proofErr w:type="spellEnd"/>
      <w:r w:rsidR="0088695E" w:rsidRPr="0088695E">
        <w:rPr>
          <w:rFonts w:ascii="Arial" w:hAnsi="Arial" w:cs="Arial"/>
          <w:sz w:val="24"/>
          <w:szCs w:val="24"/>
        </w:rPr>
        <w:t xml:space="preserve"> community diagnostic centres and the Humber service reconfiguration.  The Trust is actively looking to managing this slippage across the wider Humber group.</w:t>
      </w:r>
      <w:r w:rsidR="000D120D">
        <w:rPr>
          <w:rFonts w:ascii="Arial" w:hAnsi="Arial" w:cs="Arial"/>
          <w:sz w:val="24"/>
          <w:szCs w:val="24"/>
        </w:rPr>
        <w:t xml:space="preserve"> </w:t>
      </w:r>
      <w:r w:rsidR="00C92707">
        <w:rPr>
          <w:rFonts w:ascii="Arial" w:hAnsi="Arial" w:cs="Arial"/>
          <w:sz w:val="24"/>
          <w:szCs w:val="24"/>
        </w:rPr>
        <w:t>The</w:t>
      </w:r>
      <w:r w:rsidR="0088695E" w:rsidRPr="0088695E">
        <w:rPr>
          <w:rFonts w:ascii="Arial" w:hAnsi="Arial" w:cs="Arial"/>
          <w:sz w:val="24"/>
          <w:szCs w:val="24"/>
        </w:rPr>
        <w:t xml:space="preserve"> system is </w:t>
      </w:r>
      <w:r w:rsidR="0088695E">
        <w:rPr>
          <w:rFonts w:ascii="Arial" w:hAnsi="Arial" w:cs="Arial"/>
          <w:sz w:val="24"/>
          <w:szCs w:val="24"/>
        </w:rPr>
        <w:t xml:space="preserve">currently </w:t>
      </w:r>
      <w:r w:rsidR="0088695E" w:rsidRPr="0088695E">
        <w:rPr>
          <w:rFonts w:ascii="Arial" w:hAnsi="Arial" w:cs="Arial"/>
          <w:sz w:val="24"/>
          <w:szCs w:val="24"/>
        </w:rPr>
        <w:t xml:space="preserve">projecting it will spend all the capital within this financial year. </w:t>
      </w:r>
    </w:p>
    <w:p w14:paraId="5036E0B8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4C22618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>A mid-year review has been undertaken with providers and this has identified a few risks which will need to be carefully managed through the remainder of the year. These include potential slippage on some of the diagnostic and elective capital, a requirement to reduce our lease accounting (IFRS16) impact down by £1m and delivery of our digital programme.</w:t>
      </w:r>
    </w:p>
    <w:p w14:paraId="31EF2CCC" w14:textId="77777777" w:rsidR="0088695E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2442F28" w14:textId="11B0A957" w:rsidR="00364B27" w:rsidRDefault="0088695E" w:rsidP="00A368C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88695E">
        <w:rPr>
          <w:rFonts w:ascii="Arial" w:hAnsi="Arial" w:cs="Arial"/>
          <w:sz w:val="24"/>
          <w:szCs w:val="24"/>
        </w:rPr>
        <w:t xml:space="preserve"> Further scheme level information is available at Appendix 2.</w:t>
      </w:r>
    </w:p>
    <w:bookmarkEnd w:id="11"/>
    <w:bookmarkEnd w:id="12"/>
    <w:p w14:paraId="0123EAE6" w14:textId="3C9A8020" w:rsidR="00521EEC" w:rsidRDefault="003C47E3" w:rsidP="008F597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C47E3">
        <w:lastRenderedPageBreak/>
        <w:drawing>
          <wp:inline distT="0" distB="0" distL="0" distR="0" wp14:anchorId="5CE1165B" wp14:editId="73FE871C">
            <wp:extent cx="6028055" cy="5067300"/>
            <wp:effectExtent l="0" t="0" r="0" b="0"/>
            <wp:docPr id="130919679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32" cy="507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A9CC8" w14:textId="77777777" w:rsidR="0070337A" w:rsidRDefault="0070337A" w:rsidP="00E963AE">
      <w:pPr>
        <w:spacing w:after="0"/>
        <w:rPr>
          <w:rFonts w:ascii="Arial" w:hAnsi="Arial" w:cs="Arial"/>
          <w:bCs/>
          <w:sz w:val="24"/>
          <w:szCs w:val="24"/>
        </w:rPr>
      </w:pPr>
    </w:p>
    <w:p w14:paraId="60CC408E" w14:textId="77777777" w:rsidR="0088695E" w:rsidRDefault="0088695E" w:rsidP="00E963AE">
      <w:pPr>
        <w:spacing w:after="0"/>
        <w:rPr>
          <w:rFonts w:ascii="Arial" w:hAnsi="Arial" w:cs="Arial"/>
          <w:bCs/>
          <w:sz w:val="24"/>
          <w:szCs w:val="24"/>
        </w:rPr>
      </w:pPr>
    </w:p>
    <w:p w14:paraId="179C2F82" w14:textId="77777777" w:rsidR="0088695E" w:rsidRDefault="0088695E" w:rsidP="00E963AE">
      <w:pPr>
        <w:spacing w:after="0"/>
        <w:rPr>
          <w:rFonts w:ascii="Arial" w:hAnsi="Arial" w:cs="Arial"/>
          <w:bCs/>
          <w:sz w:val="24"/>
          <w:szCs w:val="24"/>
        </w:rPr>
      </w:pPr>
    </w:p>
    <w:p w14:paraId="4633A0F4" w14:textId="364DF8BE" w:rsidR="00D1528C" w:rsidRPr="006A52A9" w:rsidRDefault="00522C04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</w:t>
      </w:r>
      <w:r w:rsidR="00CA310A"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A52A9">
        <w:rPr>
          <w:rFonts w:ascii="Arial" w:hAnsi="Arial" w:cs="Arial"/>
          <w:b/>
          <w:bCs/>
          <w:sz w:val="24"/>
          <w:szCs w:val="24"/>
        </w:rPr>
        <w:t>S</w:t>
      </w:r>
      <w:r w:rsidR="00DF3CB7" w:rsidRPr="006A52A9">
        <w:rPr>
          <w:rFonts w:ascii="Arial" w:hAnsi="Arial" w:cs="Arial"/>
          <w:b/>
          <w:bCs/>
          <w:sz w:val="24"/>
          <w:szCs w:val="24"/>
        </w:rPr>
        <w:t>ummary Provider Agency Expenditure</w:t>
      </w:r>
    </w:p>
    <w:p w14:paraId="684C6970" w14:textId="77777777" w:rsidR="006A52A9" w:rsidRPr="006A52A9" w:rsidRDefault="006A52A9" w:rsidP="006A52A9">
      <w:pPr>
        <w:pStyle w:val="ListParagraph"/>
        <w:spacing w:after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E132BE" w14:textId="77777777" w:rsidR="00BC7269" w:rsidRPr="006A52A9" w:rsidRDefault="00BC7269" w:rsidP="0012738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278F9D14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023E484C" w14:textId="77777777" w:rsidR="00BC7269" w:rsidRPr="006A52A9" w:rsidRDefault="00BC7269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19ACF7F1" w14:textId="318CA9CA" w:rsidR="0070337A" w:rsidRDefault="00056724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ICS </w:t>
      </w:r>
      <w:r w:rsidR="002121B1">
        <w:rPr>
          <w:rFonts w:ascii="Arial" w:hAnsi="Arial" w:cs="Arial"/>
          <w:sz w:val="24"/>
          <w:szCs w:val="24"/>
        </w:rPr>
        <w:t xml:space="preserve">providers </w:t>
      </w:r>
      <w:r>
        <w:rPr>
          <w:rFonts w:ascii="Arial" w:hAnsi="Arial" w:cs="Arial"/>
          <w:sz w:val="24"/>
          <w:szCs w:val="24"/>
        </w:rPr>
        <w:t>a</w:t>
      </w:r>
      <w:r w:rsidR="00522C04" w:rsidRPr="00A368CB">
        <w:rPr>
          <w:rFonts w:ascii="Arial" w:hAnsi="Arial" w:cs="Arial"/>
          <w:sz w:val="24"/>
          <w:szCs w:val="24"/>
        </w:rPr>
        <w:t xml:space="preserve">gency costs </w:t>
      </w:r>
      <w:r>
        <w:rPr>
          <w:rFonts w:ascii="Arial" w:hAnsi="Arial" w:cs="Arial"/>
          <w:sz w:val="24"/>
          <w:szCs w:val="24"/>
        </w:rPr>
        <w:t>target for 202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B26F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 £5</w:t>
      </w:r>
      <w:r w:rsidR="00B26F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E35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m</w:t>
      </w:r>
      <w:r w:rsidR="007033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</w:t>
      </w:r>
      <w:r w:rsidR="0070337A">
        <w:rPr>
          <w:rFonts w:ascii="Arial" w:hAnsi="Arial" w:cs="Arial"/>
          <w:sz w:val="24"/>
          <w:szCs w:val="24"/>
        </w:rPr>
        <w:t xml:space="preserve">£7.5m </w:t>
      </w:r>
      <w:r>
        <w:rPr>
          <w:rFonts w:ascii="Arial" w:hAnsi="Arial" w:cs="Arial"/>
          <w:sz w:val="24"/>
          <w:szCs w:val="24"/>
        </w:rPr>
        <w:t>reduction from the 202</w:t>
      </w:r>
      <w:r w:rsidR="00B26F6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target of £</w:t>
      </w:r>
      <w:r w:rsidR="00B26F61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</w:t>
      </w:r>
      <w:r w:rsidR="00231B28">
        <w:rPr>
          <w:rFonts w:ascii="Arial" w:hAnsi="Arial" w:cs="Arial"/>
          <w:sz w:val="24"/>
          <w:szCs w:val="24"/>
        </w:rPr>
        <w:t>.</w:t>
      </w:r>
      <w:r w:rsidR="00B26F61">
        <w:rPr>
          <w:rFonts w:ascii="Arial" w:hAnsi="Arial" w:cs="Arial"/>
          <w:sz w:val="24"/>
          <w:szCs w:val="24"/>
        </w:rPr>
        <w:t xml:space="preserve"> At month </w:t>
      </w:r>
      <w:r w:rsidR="00B77C84">
        <w:rPr>
          <w:rFonts w:ascii="Arial" w:hAnsi="Arial" w:cs="Arial"/>
          <w:sz w:val="24"/>
          <w:szCs w:val="24"/>
        </w:rPr>
        <w:t>6</w:t>
      </w:r>
      <w:r w:rsidR="00B26F61">
        <w:rPr>
          <w:rFonts w:ascii="Arial" w:hAnsi="Arial" w:cs="Arial"/>
          <w:sz w:val="24"/>
          <w:szCs w:val="24"/>
        </w:rPr>
        <w:t xml:space="preserve">, the agency costs </w:t>
      </w:r>
      <w:r w:rsidR="00D273A4">
        <w:rPr>
          <w:rFonts w:ascii="Arial" w:hAnsi="Arial" w:cs="Arial"/>
          <w:sz w:val="24"/>
          <w:szCs w:val="24"/>
        </w:rPr>
        <w:t xml:space="preserve">are forecast to </w:t>
      </w:r>
      <w:r w:rsidR="00B26F61">
        <w:rPr>
          <w:rFonts w:ascii="Arial" w:hAnsi="Arial" w:cs="Arial"/>
          <w:sz w:val="24"/>
          <w:szCs w:val="24"/>
        </w:rPr>
        <w:t>exceed target by £</w:t>
      </w:r>
      <w:r w:rsidR="00B77C84">
        <w:rPr>
          <w:rFonts w:ascii="Arial" w:hAnsi="Arial" w:cs="Arial"/>
          <w:sz w:val="24"/>
          <w:szCs w:val="24"/>
        </w:rPr>
        <w:t>2</w:t>
      </w:r>
      <w:r w:rsidR="00D273A4">
        <w:rPr>
          <w:rFonts w:ascii="Arial" w:hAnsi="Arial" w:cs="Arial"/>
          <w:sz w:val="24"/>
          <w:szCs w:val="24"/>
        </w:rPr>
        <w:t>.</w:t>
      </w:r>
      <w:r w:rsidR="00B77C84">
        <w:rPr>
          <w:rFonts w:ascii="Arial" w:hAnsi="Arial" w:cs="Arial"/>
          <w:sz w:val="24"/>
          <w:szCs w:val="24"/>
        </w:rPr>
        <w:t>8</w:t>
      </w:r>
      <w:r w:rsidR="00B26F61">
        <w:rPr>
          <w:rFonts w:ascii="Arial" w:hAnsi="Arial" w:cs="Arial"/>
          <w:sz w:val="24"/>
          <w:szCs w:val="24"/>
        </w:rPr>
        <w:t>m but are £</w:t>
      </w:r>
      <w:r w:rsidR="00B77C84">
        <w:rPr>
          <w:rFonts w:ascii="Arial" w:hAnsi="Arial" w:cs="Arial"/>
          <w:sz w:val="24"/>
          <w:szCs w:val="24"/>
        </w:rPr>
        <w:t>11</w:t>
      </w:r>
      <w:r w:rsidR="00B26F61">
        <w:rPr>
          <w:rFonts w:ascii="Arial" w:hAnsi="Arial" w:cs="Arial"/>
          <w:sz w:val="24"/>
          <w:szCs w:val="24"/>
        </w:rPr>
        <w:t>.</w:t>
      </w:r>
      <w:r w:rsidR="00B77C84">
        <w:rPr>
          <w:rFonts w:ascii="Arial" w:hAnsi="Arial" w:cs="Arial"/>
          <w:sz w:val="24"/>
          <w:szCs w:val="24"/>
        </w:rPr>
        <w:t>5</w:t>
      </w:r>
      <w:r w:rsidR="00B26F61">
        <w:rPr>
          <w:rFonts w:ascii="Arial" w:hAnsi="Arial" w:cs="Arial"/>
          <w:sz w:val="24"/>
          <w:szCs w:val="24"/>
        </w:rPr>
        <w:t xml:space="preserve">m lower than 2023/24 expenditure for the </w:t>
      </w:r>
      <w:r w:rsidR="0070337A">
        <w:rPr>
          <w:rFonts w:ascii="Arial" w:hAnsi="Arial" w:cs="Arial"/>
          <w:sz w:val="24"/>
          <w:szCs w:val="24"/>
        </w:rPr>
        <w:t>same period</w:t>
      </w:r>
      <w:r w:rsidR="00B26F61">
        <w:rPr>
          <w:rFonts w:ascii="Arial" w:hAnsi="Arial" w:cs="Arial"/>
          <w:sz w:val="24"/>
          <w:szCs w:val="24"/>
        </w:rPr>
        <w:t>.</w:t>
      </w:r>
      <w:r w:rsidR="00231B28">
        <w:rPr>
          <w:rFonts w:ascii="Arial" w:hAnsi="Arial" w:cs="Arial"/>
          <w:sz w:val="24"/>
          <w:szCs w:val="24"/>
        </w:rPr>
        <w:t xml:space="preserve"> </w:t>
      </w:r>
      <w:r w:rsidR="00642E9A">
        <w:rPr>
          <w:rFonts w:ascii="Arial" w:hAnsi="Arial" w:cs="Arial"/>
          <w:sz w:val="24"/>
          <w:szCs w:val="24"/>
        </w:rPr>
        <w:t>The current forecast for 2024/25 is £2</w:t>
      </w:r>
      <w:r w:rsidR="00B77C84">
        <w:rPr>
          <w:rFonts w:ascii="Arial" w:hAnsi="Arial" w:cs="Arial"/>
          <w:sz w:val="24"/>
          <w:szCs w:val="24"/>
        </w:rPr>
        <w:t>5</w:t>
      </w:r>
      <w:r w:rsidR="0070337A">
        <w:rPr>
          <w:rFonts w:ascii="Arial" w:hAnsi="Arial" w:cs="Arial"/>
          <w:sz w:val="24"/>
          <w:szCs w:val="24"/>
        </w:rPr>
        <w:t>.</w:t>
      </w:r>
      <w:r w:rsidR="00B77C84">
        <w:rPr>
          <w:rFonts w:ascii="Arial" w:hAnsi="Arial" w:cs="Arial"/>
          <w:sz w:val="24"/>
          <w:szCs w:val="24"/>
        </w:rPr>
        <w:t>3</w:t>
      </w:r>
      <w:r w:rsidR="00642E9A">
        <w:rPr>
          <w:rFonts w:ascii="Arial" w:hAnsi="Arial" w:cs="Arial"/>
          <w:sz w:val="24"/>
          <w:szCs w:val="24"/>
        </w:rPr>
        <w:t xml:space="preserve">m below 2023/24 </w:t>
      </w:r>
      <w:r w:rsidR="00D273A4">
        <w:rPr>
          <w:rFonts w:ascii="Arial" w:hAnsi="Arial" w:cs="Arial"/>
          <w:sz w:val="24"/>
          <w:szCs w:val="24"/>
        </w:rPr>
        <w:t xml:space="preserve">actual </w:t>
      </w:r>
      <w:r w:rsidR="00642E9A">
        <w:rPr>
          <w:rFonts w:ascii="Arial" w:hAnsi="Arial" w:cs="Arial"/>
          <w:sz w:val="24"/>
          <w:szCs w:val="24"/>
        </w:rPr>
        <w:t>expenditure level.</w:t>
      </w:r>
    </w:p>
    <w:p w14:paraId="7FE3D8B8" w14:textId="409DC317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Nursing agency costs have continued to reduce and is £</w:t>
      </w:r>
      <w:r w:rsidR="00B77C8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m below 2023/24 expenditure to date and forecast is £16.</w:t>
      </w:r>
      <w:r w:rsidR="00B77C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m below </w:t>
      </w:r>
      <w:bookmarkStart w:id="13" w:name="_Hlk178665013"/>
      <w:r>
        <w:rPr>
          <w:rFonts w:ascii="Arial" w:hAnsi="Arial" w:cs="Arial"/>
          <w:sz w:val="24"/>
          <w:szCs w:val="24"/>
        </w:rPr>
        <w:t>2023/24 full year actual expenditure</w:t>
      </w:r>
      <w:bookmarkEnd w:id="13"/>
      <w:r>
        <w:rPr>
          <w:rFonts w:ascii="Arial" w:hAnsi="Arial" w:cs="Arial"/>
          <w:sz w:val="24"/>
          <w:szCs w:val="24"/>
        </w:rPr>
        <w:t>.</w:t>
      </w:r>
    </w:p>
    <w:p w14:paraId="4FD51FF5" w14:textId="5C31E87C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Consultants' agency expenditure remains high</w:t>
      </w:r>
      <w:r w:rsidR="00B77C84">
        <w:rPr>
          <w:rFonts w:ascii="Arial" w:hAnsi="Arial" w:cs="Arial"/>
          <w:sz w:val="24"/>
          <w:szCs w:val="24"/>
        </w:rPr>
        <w:t>er than plans</w:t>
      </w:r>
      <w:r>
        <w:rPr>
          <w:rFonts w:ascii="Arial" w:hAnsi="Arial" w:cs="Arial"/>
          <w:sz w:val="24"/>
          <w:szCs w:val="24"/>
        </w:rPr>
        <w:t xml:space="preserve"> and is £</w:t>
      </w:r>
      <w:r w:rsidR="00B77C8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B77C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m higher than 2023/24 for the same period. The forecast, however, is £</w:t>
      </w:r>
      <w:r w:rsidR="00B77C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B77C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m below 2023/24 full year actual expenditure.</w:t>
      </w:r>
    </w:p>
    <w:p w14:paraId="1B7F5771" w14:textId="44583B88" w:rsidR="00454721" w:rsidRDefault="00454721" w:rsidP="00A368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level financial position is shown at Table 7.</w:t>
      </w:r>
    </w:p>
    <w:p w14:paraId="4606F955" w14:textId="388E01DB" w:rsidR="002121B1" w:rsidRDefault="00B77C84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77C84">
        <w:lastRenderedPageBreak/>
        <w:drawing>
          <wp:inline distT="0" distB="0" distL="0" distR="0" wp14:anchorId="2CDFA793" wp14:editId="37AF47B1">
            <wp:extent cx="6000750" cy="4170274"/>
            <wp:effectExtent l="0" t="0" r="0" b="1905"/>
            <wp:docPr id="8384503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78" cy="41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6B65D" w14:textId="77777777" w:rsidR="0070337A" w:rsidRDefault="0070337A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EC1D76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B389DBE" w14:textId="77777777" w:rsidR="0088695E" w:rsidRDefault="0088695E" w:rsidP="001037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264CC4" w14:textId="5675D46A" w:rsidR="005D5669" w:rsidRPr="006A52A9" w:rsidRDefault="00CA310A" w:rsidP="001273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D5669" w:rsidRPr="006A52A9">
        <w:rPr>
          <w:rFonts w:ascii="Arial" w:hAnsi="Arial" w:cs="Arial"/>
          <w:b/>
          <w:bCs/>
          <w:sz w:val="24"/>
          <w:szCs w:val="24"/>
        </w:rPr>
        <w:t>ICB Cash Position</w:t>
      </w:r>
    </w:p>
    <w:p w14:paraId="0162C17A" w14:textId="77777777" w:rsidR="006A52A9" w:rsidRPr="006A52A9" w:rsidRDefault="006A52A9" w:rsidP="006A52A9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4D40C5D1" w14:textId="77777777" w:rsidR="00CA310A" w:rsidRPr="006A52A9" w:rsidRDefault="00CA310A" w:rsidP="0012738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BC0E558" w14:textId="54444C26" w:rsidR="001404DA" w:rsidRDefault="00B77C84" w:rsidP="001404D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4" w:name="_Hlk117760879"/>
      <w:bookmarkStart w:id="15" w:name="_Hlk117864655"/>
      <w:r w:rsidRPr="00B77C84">
        <w:rPr>
          <w:rFonts w:ascii="Arial" w:hAnsi="Arial" w:cs="Arial"/>
          <w:sz w:val="24"/>
          <w:szCs w:val="24"/>
        </w:rPr>
        <w:t xml:space="preserve">The ICB currently has a cash resource allocation of £3,984.7m for the 12 months to 31st March 2025. For the 6 months to the end of September the ICB has used £2,025.7m (50.8%). Working on a </w:t>
      </w:r>
      <w:r w:rsidRPr="00B77C84">
        <w:rPr>
          <w:rFonts w:ascii="Arial" w:hAnsi="Arial" w:cs="Arial"/>
          <w:sz w:val="24"/>
          <w:szCs w:val="24"/>
        </w:rPr>
        <w:t>straight-line</w:t>
      </w:r>
      <w:r w:rsidRPr="00B77C84">
        <w:rPr>
          <w:rFonts w:ascii="Arial" w:hAnsi="Arial" w:cs="Arial"/>
          <w:sz w:val="24"/>
          <w:szCs w:val="24"/>
        </w:rPr>
        <w:t xml:space="preserve"> basis for cash use, the ICB would be expected to have used no more than £1,992.4m (50.0%), so usage is above this by £33.3m (or 0.8% of the full cash resource allocation).</w:t>
      </w:r>
    </w:p>
    <w:p w14:paraId="7D64BDE9" w14:textId="77777777" w:rsidR="00B77C84" w:rsidRDefault="00B77C84" w:rsidP="001404D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1BBA79" w14:textId="5039FE12" w:rsidR="000E2DA3" w:rsidRDefault="00B77C84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77C84">
        <w:drawing>
          <wp:inline distT="0" distB="0" distL="0" distR="0" wp14:anchorId="3BB4BC9E" wp14:editId="5F054AAA">
            <wp:extent cx="5905500" cy="2077982"/>
            <wp:effectExtent l="0" t="0" r="0" b="0"/>
            <wp:docPr id="19382552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858" cy="20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6E643" w14:textId="77777777" w:rsidR="0088695E" w:rsidRPr="001404DA" w:rsidRDefault="0088695E" w:rsidP="001404D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CD7C6A" w14:textId="77777777" w:rsidR="000E2DA3" w:rsidRPr="006A52A9" w:rsidRDefault="000E2DA3" w:rsidP="000E2DA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lastRenderedPageBreak/>
        <w:t xml:space="preserve">     System BPPC Performance</w:t>
      </w:r>
    </w:p>
    <w:p w14:paraId="6F2ABAC8" w14:textId="77777777" w:rsidR="000E2DA3" w:rsidRPr="006A52A9" w:rsidRDefault="000E2DA3" w:rsidP="000E2DA3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554C8769" w14:textId="77777777" w:rsidR="000E2DA3" w:rsidRPr="006A52A9" w:rsidRDefault="000E2DA3" w:rsidP="000E2DA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vanish/>
          <w:sz w:val="24"/>
          <w:szCs w:val="24"/>
        </w:rPr>
      </w:pPr>
    </w:p>
    <w:p w14:paraId="73F3B19D" w14:textId="26AB8B9C" w:rsidR="000E2DA3" w:rsidRPr="0089362F" w:rsidRDefault="000E2DA3" w:rsidP="000E2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9 shows the </w:t>
      </w:r>
      <w:r w:rsidRPr="00A368CB">
        <w:rPr>
          <w:rFonts w:ascii="Arial" w:hAnsi="Arial" w:cs="Arial"/>
          <w:sz w:val="24"/>
          <w:szCs w:val="24"/>
        </w:rPr>
        <w:t>Better Payment Practice Code (BPPC)</w:t>
      </w:r>
      <w:r>
        <w:rPr>
          <w:rFonts w:ascii="Arial" w:hAnsi="Arial" w:cs="Arial"/>
          <w:sz w:val="24"/>
          <w:szCs w:val="24"/>
        </w:rPr>
        <w:t xml:space="preserve"> performance at provider and ICB level at month </w:t>
      </w:r>
      <w:r w:rsidR="00B77C8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A368CB">
        <w:rPr>
          <w:rFonts w:ascii="Arial" w:hAnsi="Arial" w:cs="Arial"/>
          <w:sz w:val="24"/>
          <w:szCs w:val="24"/>
        </w:rPr>
        <w:t>Under the BPPC, NHS providers paid 9</w:t>
      </w:r>
      <w:r>
        <w:rPr>
          <w:rFonts w:ascii="Arial" w:hAnsi="Arial" w:cs="Arial"/>
          <w:sz w:val="24"/>
          <w:szCs w:val="24"/>
        </w:rPr>
        <w:t>1</w:t>
      </w:r>
      <w:r w:rsidRPr="00A368CB">
        <w:rPr>
          <w:rFonts w:ascii="Arial" w:hAnsi="Arial" w:cs="Arial"/>
          <w:sz w:val="24"/>
          <w:szCs w:val="24"/>
        </w:rPr>
        <w:t>% of total bills by value and</w:t>
      </w:r>
      <w:r>
        <w:rPr>
          <w:rFonts w:ascii="Arial" w:hAnsi="Arial" w:cs="Arial"/>
          <w:sz w:val="24"/>
          <w:szCs w:val="24"/>
        </w:rPr>
        <w:t xml:space="preserve"> </w:t>
      </w:r>
      <w:r w:rsidR="001404DA">
        <w:rPr>
          <w:rFonts w:ascii="Arial" w:hAnsi="Arial" w:cs="Arial"/>
          <w:sz w:val="24"/>
          <w:szCs w:val="24"/>
        </w:rPr>
        <w:t xml:space="preserve">92% by </w:t>
      </w:r>
      <w:r w:rsidRPr="00A368CB">
        <w:rPr>
          <w:rFonts w:ascii="Arial" w:hAnsi="Arial" w:cs="Arial"/>
          <w:sz w:val="24"/>
          <w:szCs w:val="24"/>
        </w:rPr>
        <w:t>volume against the target o</w:t>
      </w:r>
      <w:r w:rsidR="00B77C84">
        <w:rPr>
          <w:rFonts w:ascii="Arial" w:hAnsi="Arial" w:cs="Arial"/>
          <w:sz w:val="24"/>
          <w:szCs w:val="24"/>
        </w:rPr>
        <w:t>f</w:t>
      </w:r>
      <w:r w:rsidRPr="00A368CB">
        <w:rPr>
          <w:rFonts w:ascii="Arial" w:hAnsi="Arial" w:cs="Arial"/>
          <w:sz w:val="24"/>
          <w:szCs w:val="24"/>
        </w:rPr>
        <w:t xml:space="preserve"> 95%. The ICB achieved above the 95% NHSE national target across both metrics.</w:t>
      </w:r>
    </w:p>
    <w:p w14:paraId="20B50F55" w14:textId="71B54311" w:rsidR="001B4FDA" w:rsidRDefault="00B77C84" w:rsidP="00560411">
      <w:pPr>
        <w:spacing w:after="0"/>
        <w:rPr>
          <w:rFonts w:ascii="Arial" w:hAnsi="Arial" w:cs="Arial"/>
          <w:noProof/>
          <w:sz w:val="24"/>
          <w:szCs w:val="24"/>
        </w:rPr>
      </w:pPr>
      <w:r w:rsidRPr="00B77C84">
        <w:drawing>
          <wp:inline distT="0" distB="0" distL="0" distR="0" wp14:anchorId="75F2C972" wp14:editId="40DC09A7">
            <wp:extent cx="6012586" cy="1562100"/>
            <wp:effectExtent l="0" t="0" r="7620" b="0"/>
            <wp:docPr id="188412119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023" cy="156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E0F91" w14:textId="77777777" w:rsidR="000E2DA3" w:rsidRPr="006A52A9" w:rsidRDefault="000E2DA3" w:rsidP="00560411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28823BB5" w14:textId="54E3EA17" w:rsidR="00E963AE" w:rsidRPr="006A52A9" w:rsidRDefault="00E963AE" w:rsidP="0056041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906898" w14:textId="3CED008F" w:rsidR="0097600F" w:rsidRPr="006A52A9" w:rsidRDefault="00CA310A" w:rsidP="0012738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6A52A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7600F" w:rsidRPr="006A52A9">
        <w:rPr>
          <w:rFonts w:ascii="Arial" w:hAnsi="Arial" w:cs="Arial"/>
          <w:b/>
          <w:bCs/>
          <w:sz w:val="24"/>
          <w:szCs w:val="24"/>
        </w:rPr>
        <w:t>Recommendations</w:t>
      </w:r>
    </w:p>
    <w:p w14:paraId="6C2A4CD7" w14:textId="3B47DA15" w:rsidR="001B4FDA" w:rsidRPr="006A52A9" w:rsidRDefault="001B4FDA" w:rsidP="00794C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86336A" w14:textId="080A7DDB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>The Board is asked to:</w:t>
      </w:r>
    </w:p>
    <w:p w14:paraId="158AF0E2" w14:textId="36063B38" w:rsidR="0097600F" w:rsidRPr="006A52A9" w:rsidRDefault="0097600F" w:rsidP="00794C9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CA6923" w14:textId="2F98C63C" w:rsidR="00D96BA7" w:rsidRDefault="0097600F" w:rsidP="0012738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52A9">
        <w:rPr>
          <w:rFonts w:ascii="Arial" w:hAnsi="Arial" w:cs="Arial"/>
          <w:sz w:val="24"/>
          <w:szCs w:val="24"/>
        </w:rPr>
        <w:t xml:space="preserve">Note the </w:t>
      </w:r>
      <w:r w:rsidR="002121B1">
        <w:rPr>
          <w:rFonts w:ascii="Arial" w:hAnsi="Arial" w:cs="Arial"/>
          <w:sz w:val="24"/>
          <w:szCs w:val="24"/>
        </w:rPr>
        <w:t xml:space="preserve">month </w:t>
      </w:r>
      <w:r w:rsidR="00B77C84">
        <w:rPr>
          <w:rFonts w:ascii="Arial" w:hAnsi="Arial" w:cs="Arial"/>
          <w:sz w:val="24"/>
          <w:szCs w:val="24"/>
        </w:rPr>
        <w:t>6</w:t>
      </w:r>
      <w:r w:rsidR="002121B1">
        <w:rPr>
          <w:rFonts w:ascii="Arial" w:hAnsi="Arial" w:cs="Arial"/>
          <w:sz w:val="24"/>
          <w:szCs w:val="24"/>
        </w:rPr>
        <w:t xml:space="preserve"> </w:t>
      </w:r>
      <w:r w:rsidRPr="006A52A9">
        <w:rPr>
          <w:rFonts w:ascii="Arial" w:hAnsi="Arial" w:cs="Arial"/>
          <w:sz w:val="24"/>
          <w:szCs w:val="24"/>
        </w:rPr>
        <w:t xml:space="preserve">system financial position </w:t>
      </w:r>
      <w:r w:rsidR="005734B5">
        <w:rPr>
          <w:rFonts w:ascii="Arial" w:hAnsi="Arial" w:cs="Arial"/>
          <w:sz w:val="24"/>
          <w:szCs w:val="24"/>
        </w:rPr>
        <w:t>for 202</w:t>
      </w:r>
      <w:r w:rsidR="002121B1">
        <w:rPr>
          <w:rFonts w:ascii="Arial" w:hAnsi="Arial" w:cs="Arial"/>
          <w:sz w:val="24"/>
          <w:szCs w:val="24"/>
        </w:rPr>
        <w:t>4</w:t>
      </w:r>
      <w:r w:rsidR="005734B5">
        <w:rPr>
          <w:rFonts w:ascii="Arial" w:hAnsi="Arial" w:cs="Arial"/>
          <w:sz w:val="24"/>
          <w:szCs w:val="24"/>
        </w:rPr>
        <w:t>/2</w:t>
      </w:r>
      <w:r w:rsidR="002121B1">
        <w:rPr>
          <w:rFonts w:ascii="Arial" w:hAnsi="Arial" w:cs="Arial"/>
          <w:sz w:val="24"/>
          <w:szCs w:val="24"/>
        </w:rPr>
        <w:t>5</w:t>
      </w:r>
      <w:r w:rsidR="00EE24EA">
        <w:rPr>
          <w:rFonts w:ascii="Arial" w:hAnsi="Arial" w:cs="Arial"/>
          <w:sz w:val="24"/>
          <w:szCs w:val="24"/>
        </w:rPr>
        <w:t>.</w:t>
      </w:r>
    </w:p>
    <w:p w14:paraId="281A9D86" w14:textId="77E79C08" w:rsidR="0097600F" w:rsidRPr="006A52A9" w:rsidRDefault="00D96BA7" w:rsidP="0012738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the mitigating actions being pursued in year to deliver 2024/25 financial plan.</w:t>
      </w:r>
    </w:p>
    <w:p w14:paraId="476578E6" w14:textId="77777777" w:rsidR="0056543A" w:rsidRDefault="0056543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16" w:name="_Hlk149396528"/>
      <w:bookmarkEnd w:id="14"/>
      <w:bookmarkEnd w:id="15"/>
    </w:p>
    <w:p w14:paraId="4DA30BEA" w14:textId="77777777" w:rsidR="005734B5" w:rsidRDefault="005734B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1A4D94F" w14:textId="77777777" w:rsidR="005734B5" w:rsidRDefault="005734B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2C37A2D" w14:textId="77777777" w:rsidR="0056543A" w:rsidRDefault="0056543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2B02DF" w14:textId="77777777" w:rsidR="0056543A" w:rsidRDefault="0056543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A0DCAD9" w14:textId="77777777" w:rsidR="005B45A2" w:rsidRDefault="005B45A2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CE54A5" w14:textId="77777777" w:rsidR="002F79FD" w:rsidRDefault="002F79FD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14577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430D474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99488B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21221B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1C755A4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E6B8476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99C1C77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219E278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CEC9B06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56D25B6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0EFEF6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9DBC5D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F10B4C" w14:textId="77777777" w:rsidR="006E4BEE" w:rsidRDefault="006E4BE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64168F" w14:textId="77777777" w:rsidR="00FE78B6" w:rsidRDefault="00FE78B6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FE1AD0" w14:textId="31BC1450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1 - Efficiency</w:t>
      </w:r>
    </w:p>
    <w:p w14:paraId="7121A955" w14:textId="77777777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183DE92" w14:textId="4495A119" w:rsidR="00D82C8A" w:rsidRDefault="0038070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8070E">
        <w:drawing>
          <wp:inline distT="0" distB="0" distL="0" distR="0" wp14:anchorId="62E92364" wp14:editId="50F4ED4C">
            <wp:extent cx="6059061" cy="2971800"/>
            <wp:effectExtent l="0" t="0" r="0" b="0"/>
            <wp:docPr id="9773371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45" cy="29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E6BF" w14:textId="77777777" w:rsidR="00D82C8A" w:rsidRDefault="00D82C8A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D279DE" w14:textId="7E3340AC" w:rsidR="00D82C8A" w:rsidRDefault="0038070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8070E">
        <w:drawing>
          <wp:inline distT="0" distB="0" distL="0" distR="0" wp14:anchorId="030D85DA" wp14:editId="619994A5">
            <wp:extent cx="6044092" cy="4714875"/>
            <wp:effectExtent l="0" t="0" r="0" b="0"/>
            <wp:docPr id="4649691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54" cy="47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48A58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9246DA1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FED6F4" w14:textId="1C0BEE31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2 – Capital</w:t>
      </w:r>
    </w:p>
    <w:p w14:paraId="6B4D6B6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3AB0C8" w14:textId="6DAE6B64" w:rsidR="001F01A5" w:rsidRDefault="0038070E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8070E">
        <w:drawing>
          <wp:inline distT="0" distB="0" distL="0" distR="0" wp14:anchorId="701DB9AC" wp14:editId="644E914E">
            <wp:extent cx="5991225" cy="5752266"/>
            <wp:effectExtent l="0" t="0" r="0" b="1270"/>
            <wp:docPr id="63791484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59" cy="575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8FBD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3656C4" w14:textId="24D568D1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BF7BC6" w14:textId="3BCABD7A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F0BD6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B2497C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E20D65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85B04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8351E1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EA6D93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3E3B0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67B659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1CEF74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FF9DFB7" w14:textId="77777777" w:rsidR="001F01A5" w:rsidRDefault="001F01A5" w:rsidP="0025643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6"/>
    <w:sectPr w:rsidR="001F01A5" w:rsidSect="0049623C">
      <w:footerReference w:type="defaul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3D57" w14:textId="77777777" w:rsidR="0023139E" w:rsidRDefault="0023139E" w:rsidP="005D5669">
      <w:pPr>
        <w:spacing w:after="0" w:line="240" w:lineRule="auto"/>
      </w:pPr>
      <w:r>
        <w:separator/>
      </w:r>
    </w:p>
  </w:endnote>
  <w:endnote w:type="continuationSeparator" w:id="0">
    <w:p w14:paraId="0E3FE0C3" w14:textId="77777777" w:rsidR="0023139E" w:rsidRDefault="0023139E" w:rsidP="005D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75CD" w14:textId="077E53CC" w:rsidR="004C47E7" w:rsidRDefault="004C47E7">
    <w:pPr>
      <w:pStyle w:val="Footer"/>
      <w:jc w:val="right"/>
    </w:pPr>
  </w:p>
  <w:p w14:paraId="7A94BBF2" w14:textId="77777777" w:rsidR="004C47E7" w:rsidRDefault="004C4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640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47EC" w14:textId="77777777" w:rsidR="005D031D" w:rsidRDefault="005D03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D6DF0E" w14:textId="77777777" w:rsidR="005D031D" w:rsidRDefault="005D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FD69" w14:textId="77777777" w:rsidR="0023139E" w:rsidRDefault="0023139E" w:rsidP="005D5669">
      <w:pPr>
        <w:spacing w:after="0" w:line="240" w:lineRule="auto"/>
      </w:pPr>
      <w:r>
        <w:separator/>
      </w:r>
    </w:p>
  </w:footnote>
  <w:footnote w:type="continuationSeparator" w:id="0">
    <w:p w14:paraId="0884BFB1" w14:textId="77777777" w:rsidR="0023139E" w:rsidRDefault="0023139E" w:rsidP="005D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B12"/>
    <w:multiLevelType w:val="hybridMultilevel"/>
    <w:tmpl w:val="238E4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1859C2"/>
    <w:multiLevelType w:val="multilevel"/>
    <w:tmpl w:val="431AC2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063861"/>
    <w:multiLevelType w:val="multilevel"/>
    <w:tmpl w:val="2B1EA1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456385"/>
    <w:multiLevelType w:val="hybridMultilevel"/>
    <w:tmpl w:val="5E9A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2363"/>
    <w:multiLevelType w:val="hybridMultilevel"/>
    <w:tmpl w:val="B1AC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2E9"/>
    <w:multiLevelType w:val="multilevel"/>
    <w:tmpl w:val="41641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B3F7DD6"/>
    <w:multiLevelType w:val="hybridMultilevel"/>
    <w:tmpl w:val="ADAC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F0907"/>
    <w:multiLevelType w:val="multilevel"/>
    <w:tmpl w:val="01080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1C0384"/>
    <w:multiLevelType w:val="multilevel"/>
    <w:tmpl w:val="F556A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38350888">
    <w:abstractNumId w:val="5"/>
  </w:num>
  <w:num w:numId="2" w16cid:durableId="1741444488">
    <w:abstractNumId w:val="0"/>
  </w:num>
  <w:num w:numId="3" w16cid:durableId="277297917">
    <w:abstractNumId w:val="1"/>
  </w:num>
  <w:num w:numId="4" w16cid:durableId="1820266457">
    <w:abstractNumId w:val="7"/>
  </w:num>
  <w:num w:numId="5" w16cid:durableId="431513830">
    <w:abstractNumId w:val="2"/>
  </w:num>
  <w:num w:numId="6" w16cid:durableId="1043796815">
    <w:abstractNumId w:val="8"/>
  </w:num>
  <w:num w:numId="7" w16cid:durableId="1586300362">
    <w:abstractNumId w:val="6"/>
  </w:num>
  <w:num w:numId="8" w16cid:durableId="167335736">
    <w:abstractNumId w:val="3"/>
  </w:num>
  <w:num w:numId="9" w16cid:durableId="147694838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AD"/>
    <w:rsid w:val="0000666B"/>
    <w:rsid w:val="0001382F"/>
    <w:rsid w:val="0003162A"/>
    <w:rsid w:val="00033E52"/>
    <w:rsid w:val="00042FD4"/>
    <w:rsid w:val="00044631"/>
    <w:rsid w:val="000453FD"/>
    <w:rsid w:val="00053491"/>
    <w:rsid w:val="00053738"/>
    <w:rsid w:val="0005454A"/>
    <w:rsid w:val="00056367"/>
    <w:rsid w:val="00056724"/>
    <w:rsid w:val="000624E1"/>
    <w:rsid w:val="00062D4A"/>
    <w:rsid w:val="000644EB"/>
    <w:rsid w:val="00065E83"/>
    <w:rsid w:val="00066F32"/>
    <w:rsid w:val="00067C26"/>
    <w:rsid w:val="00071308"/>
    <w:rsid w:val="0007211B"/>
    <w:rsid w:val="000759D2"/>
    <w:rsid w:val="000766F8"/>
    <w:rsid w:val="00082847"/>
    <w:rsid w:val="00084CC5"/>
    <w:rsid w:val="000901DB"/>
    <w:rsid w:val="00092678"/>
    <w:rsid w:val="000A0A72"/>
    <w:rsid w:val="000A144C"/>
    <w:rsid w:val="000A3A8C"/>
    <w:rsid w:val="000A4C8F"/>
    <w:rsid w:val="000A53C9"/>
    <w:rsid w:val="000A6064"/>
    <w:rsid w:val="000A7772"/>
    <w:rsid w:val="000A7FAB"/>
    <w:rsid w:val="000B41C5"/>
    <w:rsid w:val="000B4660"/>
    <w:rsid w:val="000D120D"/>
    <w:rsid w:val="000D60A1"/>
    <w:rsid w:val="000E0FE1"/>
    <w:rsid w:val="000E1F97"/>
    <w:rsid w:val="000E2DA3"/>
    <w:rsid w:val="000E4E3E"/>
    <w:rsid w:val="000E5FD3"/>
    <w:rsid w:val="000F22B3"/>
    <w:rsid w:val="000F3B00"/>
    <w:rsid w:val="001037AB"/>
    <w:rsid w:val="00110149"/>
    <w:rsid w:val="00113EC6"/>
    <w:rsid w:val="00115B87"/>
    <w:rsid w:val="00120008"/>
    <w:rsid w:val="001209EC"/>
    <w:rsid w:val="001252C1"/>
    <w:rsid w:val="00125DFD"/>
    <w:rsid w:val="0012687E"/>
    <w:rsid w:val="0012738D"/>
    <w:rsid w:val="00131A16"/>
    <w:rsid w:val="0013292D"/>
    <w:rsid w:val="001404DA"/>
    <w:rsid w:val="001431A1"/>
    <w:rsid w:val="001479C7"/>
    <w:rsid w:val="00147DAF"/>
    <w:rsid w:val="00154827"/>
    <w:rsid w:val="001572F5"/>
    <w:rsid w:val="00161CB9"/>
    <w:rsid w:val="00164145"/>
    <w:rsid w:val="00164C6D"/>
    <w:rsid w:val="00166328"/>
    <w:rsid w:val="00166405"/>
    <w:rsid w:val="00167311"/>
    <w:rsid w:val="00170162"/>
    <w:rsid w:val="00171F32"/>
    <w:rsid w:val="0017277C"/>
    <w:rsid w:val="0017737E"/>
    <w:rsid w:val="001814A8"/>
    <w:rsid w:val="001872C9"/>
    <w:rsid w:val="00195986"/>
    <w:rsid w:val="001A4943"/>
    <w:rsid w:val="001A4982"/>
    <w:rsid w:val="001A6697"/>
    <w:rsid w:val="001B1A5B"/>
    <w:rsid w:val="001B2169"/>
    <w:rsid w:val="001B24E0"/>
    <w:rsid w:val="001B4F66"/>
    <w:rsid w:val="001B4FDA"/>
    <w:rsid w:val="001B537E"/>
    <w:rsid w:val="001C2645"/>
    <w:rsid w:val="001C4434"/>
    <w:rsid w:val="001D012F"/>
    <w:rsid w:val="001D1E7A"/>
    <w:rsid w:val="001D78BC"/>
    <w:rsid w:val="001D78E5"/>
    <w:rsid w:val="001E488B"/>
    <w:rsid w:val="001E77BB"/>
    <w:rsid w:val="001E7E42"/>
    <w:rsid w:val="001F01A5"/>
    <w:rsid w:val="001F6FD0"/>
    <w:rsid w:val="001F73D1"/>
    <w:rsid w:val="002009FB"/>
    <w:rsid w:val="00206A9E"/>
    <w:rsid w:val="0020735A"/>
    <w:rsid w:val="0021017F"/>
    <w:rsid w:val="002121B1"/>
    <w:rsid w:val="00213307"/>
    <w:rsid w:val="002147C1"/>
    <w:rsid w:val="00214FD6"/>
    <w:rsid w:val="00221268"/>
    <w:rsid w:val="0023139E"/>
    <w:rsid w:val="0023163C"/>
    <w:rsid w:val="00231682"/>
    <w:rsid w:val="00231B28"/>
    <w:rsid w:val="00231B65"/>
    <w:rsid w:val="00232D7B"/>
    <w:rsid w:val="002339AE"/>
    <w:rsid w:val="0023604C"/>
    <w:rsid w:val="002427B6"/>
    <w:rsid w:val="0024752E"/>
    <w:rsid w:val="00247A68"/>
    <w:rsid w:val="00250C7E"/>
    <w:rsid w:val="00250D03"/>
    <w:rsid w:val="00256431"/>
    <w:rsid w:val="00256AD8"/>
    <w:rsid w:val="002606F9"/>
    <w:rsid w:val="0026276A"/>
    <w:rsid w:val="0027520A"/>
    <w:rsid w:val="00276D11"/>
    <w:rsid w:val="00293259"/>
    <w:rsid w:val="00296512"/>
    <w:rsid w:val="002A1909"/>
    <w:rsid w:val="002A26A1"/>
    <w:rsid w:val="002B1519"/>
    <w:rsid w:val="002B37C4"/>
    <w:rsid w:val="002B4FFF"/>
    <w:rsid w:val="002B76A9"/>
    <w:rsid w:val="002C08D0"/>
    <w:rsid w:val="002C6DB9"/>
    <w:rsid w:val="002D0CFB"/>
    <w:rsid w:val="002D4F76"/>
    <w:rsid w:val="002D76F5"/>
    <w:rsid w:val="002E31BC"/>
    <w:rsid w:val="002E3880"/>
    <w:rsid w:val="002F1EF5"/>
    <w:rsid w:val="002F79FD"/>
    <w:rsid w:val="00306766"/>
    <w:rsid w:val="003070D8"/>
    <w:rsid w:val="00307BAB"/>
    <w:rsid w:val="003126D3"/>
    <w:rsid w:val="0031522E"/>
    <w:rsid w:val="0032042A"/>
    <w:rsid w:val="00323183"/>
    <w:rsid w:val="003234D3"/>
    <w:rsid w:val="003320F5"/>
    <w:rsid w:val="00335B6A"/>
    <w:rsid w:val="0034001E"/>
    <w:rsid w:val="00344484"/>
    <w:rsid w:val="0034464C"/>
    <w:rsid w:val="00350C4B"/>
    <w:rsid w:val="0035425A"/>
    <w:rsid w:val="003543DE"/>
    <w:rsid w:val="00356D52"/>
    <w:rsid w:val="003617C2"/>
    <w:rsid w:val="00364B27"/>
    <w:rsid w:val="00366ADA"/>
    <w:rsid w:val="0036779C"/>
    <w:rsid w:val="0037389A"/>
    <w:rsid w:val="003751E0"/>
    <w:rsid w:val="00375398"/>
    <w:rsid w:val="003773A6"/>
    <w:rsid w:val="0038070E"/>
    <w:rsid w:val="003823AD"/>
    <w:rsid w:val="00382DFA"/>
    <w:rsid w:val="003901A7"/>
    <w:rsid w:val="003906FE"/>
    <w:rsid w:val="003909C6"/>
    <w:rsid w:val="0039254C"/>
    <w:rsid w:val="003B192A"/>
    <w:rsid w:val="003B2F98"/>
    <w:rsid w:val="003B71E1"/>
    <w:rsid w:val="003C2E86"/>
    <w:rsid w:val="003C47E3"/>
    <w:rsid w:val="003C51B0"/>
    <w:rsid w:val="003C53F7"/>
    <w:rsid w:val="003C6885"/>
    <w:rsid w:val="003C7094"/>
    <w:rsid w:val="003D01F9"/>
    <w:rsid w:val="003D0CF5"/>
    <w:rsid w:val="003D2399"/>
    <w:rsid w:val="003D60AF"/>
    <w:rsid w:val="003D65BA"/>
    <w:rsid w:val="003E108D"/>
    <w:rsid w:val="003E3D81"/>
    <w:rsid w:val="003E4852"/>
    <w:rsid w:val="003E6713"/>
    <w:rsid w:val="003F0A24"/>
    <w:rsid w:val="003F138E"/>
    <w:rsid w:val="003F20C4"/>
    <w:rsid w:val="003F3E5E"/>
    <w:rsid w:val="00406182"/>
    <w:rsid w:val="00406CDB"/>
    <w:rsid w:val="004076A3"/>
    <w:rsid w:val="004216D1"/>
    <w:rsid w:val="004224F5"/>
    <w:rsid w:val="00434588"/>
    <w:rsid w:val="00443FB6"/>
    <w:rsid w:val="00446346"/>
    <w:rsid w:val="00454721"/>
    <w:rsid w:val="004604F1"/>
    <w:rsid w:val="00460A52"/>
    <w:rsid w:val="00461221"/>
    <w:rsid w:val="00472096"/>
    <w:rsid w:val="00474AD6"/>
    <w:rsid w:val="004915FE"/>
    <w:rsid w:val="0049288B"/>
    <w:rsid w:val="0049623C"/>
    <w:rsid w:val="004A2076"/>
    <w:rsid w:val="004A2229"/>
    <w:rsid w:val="004A4810"/>
    <w:rsid w:val="004A4D37"/>
    <w:rsid w:val="004B4AFA"/>
    <w:rsid w:val="004B611A"/>
    <w:rsid w:val="004C045E"/>
    <w:rsid w:val="004C3A2C"/>
    <w:rsid w:val="004C47E7"/>
    <w:rsid w:val="004D66F7"/>
    <w:rsid w:val="004E563E"/>
    <w:rsid w:val="004E76B5"/>
    <w:rsid w:val="004F0C64"/>
    <w:rsid w:val="004F26D0"/>
    <w:rsid w:val="004F368E"/>
    <w:rsid w:val="004F6E78"/>
    <w:rsid w:val="004F7300"/>
    <w:rsid w:val="005028F6"/>
    <w:rsid w:val="00504F9A"/>
    <w:rsid w:val="00510EAB"/>
    <w:rsid w:val="00521EEC"/>
    <w:rsid w:val="00522C04"/>
    <w:rsid w:val="005253C1"/>
    <w:rsid w:val="005305CC"/>
    <w:rsid w:val="00543AF3"/>
    <w:rsid w:val="005465DC"/>
    <w:rsid w:val="00556389"/>
    <w:rsid w:val="00560411"/>
    <w:rsid w:val="0056213D"/>
    <w:rsid w:val="005641EC"/>
    <w:rsid w:val="0056543A"/>
    <w:rsid w:val="00565D31"/>
    <w:rsid w:val="00565EE9"/>
    <w:rsid w:val="005734B5"/>
    <w:rsid w:val="00577094"/>
    <w:rsid w:val="00591A71"/>
    <w:rsid w:val="00592A8D"/>
    <w:rsid w:val="005A6976"/>
    <w:rsid w:val="005B32E0"/>
    <w:rsid w:val="005B45A2"/>
    <w:rsid w:val="005B4A5E"/>
    <w:rsid w:val="005B7E22"/>
    <w:rsid w:val="005C20D3"/>
    <w:rsid w:val="005C4326"/>
    <w:rsid w:val="005C4ACA"/>
    <w:rsid w:val="005D031D"/>
    <w:rsid w:val="005D1328"/>
    <w:rsid w:val="005D5669"/>
    <w:rsid w:val="005D602E"/>
    <w:rsid w:val="005E00FD"/>
    <w:rsid w:val="005E05C8"/>
    <w:rsid w:val="005F0DF9"/>
    <w:rsid w:val="005F2566"/>
    <w:rsid w:val="005F44C8"/>
    <w:rsid w:val="005F4FEC"/>
    <w:rsid w:val="005F5B9D"/>
    <w:rsid w:val="005F5D2A"/>
    <w:rsid w:val="006041F9"/>
    <w:rsid w:val="00606898"/>
    <w:rsid w:val="00610C8E"/>
    <w:rsid w:val="00613EA2"/>
    <w:rsid w:val="00627A5C"/>
    <w:rsid w:val="006335A2"/>
    <w:rsid w:val="00636D22"/>
    <w:rsid w:val="00642E9A"/>
    <w:rsid w:val="0064319B"/>
    <w:rsid w:val="00646D37"/>
    <w:rsid w:val="006509AA"/>
    <w:rsid w:val="006549B5"/>
    <w:rsid w:val="00654B59"/>
    <w:rsid w:val="00655F79"/>
    <w:rsid w:val="006560D3"/>
    <w:rsid w:val="00663E7A"/>
    <w:rsid w:val="00664BE2"/>
    <w:rsid w:val="006758E9"/>
    <w:rsid w:val="006763A2"/>
    <w:rsid w:val="0067698A"/>
    <w:rsid w:val="0067745D"/>
    <w:rsid w:val="00687547"/>
    <w:rsid w:val="006929C1"/>
    <w:rsid w:val="0069309B"/>
    <w:rsid w:val="006A08EF"/>
    <w:rsid w:val="006A2EBF"/>
    <w:rsid w:val="006A52A9"/>
    <w:rsid w:val="006B30FC"/>
    <w:rsid w:val="006B3C8C"/>
    <w:rsid w:val="006C01E5"/>
    <w:rsid w:val="006C1262"/>
    <w:rsid w:val="006C3741"/>
    <w:rsid w:val="006C3CA9"/>
    <w:rsid w:val="006C5603"/>
    <w:rsid w:val="006D1102"/>
    <w:rsid w:val="006D7D7E"/>
    <w:rsid w:val="006E4BEE"/>
    <w:rsid w:val="006E5A3F"/>
    <w:rsid w:val="006E6DA7"/>
    <w:rsid w:val="006F7FDC"/>
    <w:rsid w:val="0070159A"/>
    <w:rsid w:val="00702E69"/>
    <w:rsid w:val="0070337A"/>
    <w:rsid w:val="007033CB"/>
    <w:rsid w:val="00706999"/>
    <w:rsid w:val="00710293"/>
    <w:rsid w:val="0071066E"/>
    <w:rsid w:val="00712D1D"/>
    <w:rsid w:val="00715E49"/>
    <w:rsid w:val="00723B48"/>
    <w:rsid w:val="00724EDB"/>
    <w:rsid w:val="00735179"/>
    <w:rsid w:val="00750B22"/>
    <w:rsid w:val="007513DD"/>
    <w:rsid w:val="00753BF3"/>
    <w:rsid w:val="00755BA7"/>
    <w:rsid w:val="007576B8"/>
    <w:rsid w:val="0076288E"/>
    <w:rsid w:val="00762FBA"/>
    <w:rsid w:val="007645FB"/>
    <w:rsid w:val="00772CF9"/>
    <w:rsid w:val="00782CE1"/>
    <w:rsid w:val="00784419"/>
    <w:rsid w:val="00786304"/>
    <w:rsid w:val="007863D5"/>
    <w:rsid w:val="00794A00"/>
    <w:rsid w:val="00794C9A"/>
    <w:rsid w:val="00797672"/>
    <w:rsid w:val="007C0380"/>
    <w:rsid w:val="007C0690"/>
    <w:rsid w:val="007C0EF8"/>
    <w:rsid w:val="007C1381"/>
    <w:rsid w:val="007C1B6B"/>
    <w:rsid w:val="007C3F2C"/>
    <w:rsid w:val="007C7D28"/>
    <w:rsid w:val="007D1004"/>
    <w:rsid w:val="007D2C7F"/>
    <w:rsid w:val="007D2D8C"/>
    <w:rsid w:val="007E35C3"/>
    <w:rsid w:val="007E386F"/>
    <w:rsid w:val="007F3388"/>
    <w:rsid w:val="007F765E"/>
    <w:rsid w:val="00804E40"/>
    <w:rsid w:val="00815A93"/>
    <w:rsid w:val="0081607D"/>
    <w:rsid w:val="00820B30"/>
    <w:rsid w:val="00820EC7"/>
    <w:rsid w:val="008214BF"/>
    <w:rsid w:val="00822FF6"/>
    <w:rsid w:val="0084665A"/>
    <w:rsid w:val="008520E6"/>
    <w:rsid w:val="00853038"/>
    <w:rsid w:val="00853504"/>
    <w:rsid w:val="00853A0C"/>
    <w:rsid w:val="00861ECD"/>
    <w:rsid w:val="0087153D"/>
    <w:rsid w:val="0087197B"/>
    <w:rsid w:val="00873DA8"/>
    <w:rsid w:val="008846AD"/>
    <w:rsid w:val="0088695E"/>
    <w:rsid w:val="00887BC1"/>
    <w:rsid w:val="00890AC2"/>
    <w:rsid w:val="008915A1"/>
    <w:rsid w:val="0089362F"/>
    <w:rsid w:val="00896F28"/>
    <w:rsid w:val="008A4EE0"/>
    <w:rsid w:val="008A54B5"/>
    <w:rsid w:val="008A732B"/>
    <w:rsid w:val="008B39B8"/>
    <w:rsid w:val="008B4B3F"/>
    <w:rsid w:val="008B651E"/>
    <w:rsid w:val="008C0E1F"/>
    <w:rsid w:val="008C2AFD"/>
    <w:rsid w:val="008C4133"/>
    <w:rsid w:val="008C6878"/>
    <w:rsid w:val="008C79D4"/>
    <w:rsid w:val="008C7A56"/>
    <w:rsid w:val="008D00C5"/>
    <w:rsid w:val="008E1539"/>
    <w:rsid w:val="008F1619"/>
    <w:rsid w:val="008F56A7"/>
    <w:rsid w:val="008F597B"/>
    <w:rsid w:val="008F78BC"/>
    <w:rsid w:val="0090049F"/>
    <w:rsid w:val="009006F4"/>
    <w:rsid w:val="009052AE"/>
    <w:rsid w:val="009066F3"/>
    <w:rsid w:val="009072B0"/>
    <w:rsid w:val="00907A0F"/>
    <w:rsid w:val="00912A70"/>
    <w:rsid w:val="009131ED"/>
    <w:rsid w:val="00914AE8"/>
    <w:rsid w:val="00916968"/>
    <w:rsid w:val="00920048"/>
    <w:rsid w:val="009229BD"/>
    <w:rsid w:val="00925780"/>
    <w:rsid w:val="0092694D"/>
    <w:rsid w:val="009427ED"/>
    <w:rsid w:val="0094386C"/>
    <w:rsid w:val="0095200F"/>
    <w:rsid w:val="00954F3A"/>
    <w:rsid w:val="00963309"/>
    <w:rsid w:val="00966AFE"/>
    <w:rsid w:val="0097600F"/>
    <w:rsid w:val="00981D97"/>
    <w:rsid w:val="00986AF3"/>
    <w:rsid w:val="0099490B"/>
    <w:rsid w:val="00994CCF"/>
    <w:rsid w:val="009B4101"/>
    <w:rsid w:val="009B578D"/>
    <w:rsid w:val="009C15AF"/>
    <w:rsid w:val="009C4B67"/>
    <w:rsid w:val="009D3064"/>
    <w:rsid w:val="009D4FC4"/>
    <w:rsid w:val="009E7B1E"/>
    <w:rsid w:val="009E7DF1"/>
    <w:rsid w:val="009F317B"/>
    <w:rsid w:val="009F4B05"/>
    <w:rsid w:val="009F5A1E"/>
    <w:rsid w:val="009F638B"/>
    <w:rsid w:val="00A0034D"/>
    <w:rsid w:val="00A121FA"/>
    <w:rsid w:val="00A14110"/>
    <w:rsid w:val="00A14A27"/>
    <w:rsid w:val="00A164F0"/>
    <w:rsid w:val="00A16C11"/>
    <w:rsid w:val="00A170A1"/>
    <w:rsid w:val="00A17C05"/>
    <w:rsid w:val="00A213EC"/>
    <w:rsid w:val="00A27E1A"/>
    <w:rsid w:val="00A31998"/>
    <w:rsid w:val="00A31DD4"/>
    <w:rsid w:val="00A32E70"/>
    <w:rsid w:val="00A34007"/>
    <w:rsid w:val="00A368CB"/>
    <w:rsid w:val="00A36C60"/>
    <w:rsid w:val="00A37E4E"/>
    <w:rsid w:val="00A44D45"/>
    <w:rsid w:val="00A50985"/>
    <w:rsid w:val="00A53499"/>
    <w:rsid w:val="00A544EF"/>
    <w:rsid w:val="00A61563"/>
    <w:rsid w:val="00A6361E"/>
    <w:rsid w:val="00A66D8D"/>
    <w:rsid w:val="00A73BA1"/>
    <w:rsid w:val="00A75D80"/>
    <w:rsid w:val="00A769FE"/>
    <w:rsid w:val="00A8693F"/>
    <w:rsid w:val="00A8720F"/>
    <w:rsid w:val="00A9347F"/>
    <w:rsid w:val="00A95446"/>
    <w:rsid w:val="00A9550E"/>
    <w:rsid w:val="00AA0F1E"/>
    <w:rsid w:val="00AA1E22"/>
    <w:rsid w:val="00AA2D23"/>
    <w:rsid w:val="00AA64B5"/>
    <w:rsid w:val="00AA67C5"/>
    <w:rsid w:val="00AB0412"/>
    <w:rsid w:val="00AB04F4"/>
    <w:rsid w:val="00AC0E6A"/>
    <w:rsid w:val="00AC2580"/>
    <w:rsid w:val="00AC51F7"/>
    <w:rsid w:val="00AD1168"/>
    <w:rsid w:val="00AD1D8A"/>
    <w:rsid w:val="00AD2F3B"/>
    <w:rsid w:val="00AE1A6C"/>
    <w:rsid w:val="00AE2541"/>
    <w:rsid w:val="00AE5BFA"/>
    <w:rsid w:val="00AF0902"/>
    <w:rsid w:val="00AF48A1"/>
    <w:rsid w:val="00AF565A"/>
    <w:rsid w:val="00AF6C67"/>
    <w:rsid w:val="00B03A44"/>
    <w:rsid w:val="00B120BD"/>
    <w:rsid w:val="00B125B2"/>
    <w:rsid w:val="00B20852"/>
    <w:rsid w:val="00B21B0A"/>
    <w:rsid w:val="00B26F61"/>
    <w:rsid w:val="00B30419"/>
    <w:rsid w:val="00B3474F"/>
    <w:rsid w:val="00B34EEF"/>
    <w:rsid w:val="00B4751E"/>
    <w:rsid w:val="00B51AB2"/>
    <w:rsid w:val="00B540CF"/>
    <w:rsid w:val="00B5587C"/>
    <w:rsid w:val="00B55BCF"/>
    <w:rsid w:val="00B74099"/>
    <w:rsid w:val="00B7421E"/>
    <w:rsid w:val="00B75078"/>
    <w:rsid w:val="00B765B5"/>
    <w:rsid w:val="00B779DC"/>
    <w:rsid w:val="00B77C84"/>
    <w:rsid w:val="00B801B2"/>
    <w:rsid w:val="00B95D3A"/>
    <w:rsid w:val="00B96B4B"/>
    <w:rsid w:val="00BA00D8"/>
    <w:rsid w:val="00BA0985"/>
    <w:rsid w:val="00BA498B"/>
    <w:rsid w:val="00BA5A55"/>
    <w:rsid w:val="00BB261E"/>
    <w:rsid w:val="00BB2DA9"/>
    <w:rsid w:val="00BC2202"/>
    <w:rsid w:val="00BC5255"/>
    <w:rsid w:val="00BC63AC"/>
    <w:rsid w:val="00BC7269"/>
    <w:rsid w:val="00BD04C0"/>
    <w:rsid w:val="00BD5814"/>
    <w:rsid w:val="00BD7BF6"/>
    <w:rsid w:val="00BE0F0A"/>
    <w:rsid w:val="00BE3D4B"/>
    <w:rsid w:val="00BE4554"/>
    <w:rsid w:val="00BF79AC"/>
    <w:rsid w:val="00C00B8B"/>
    <w:rsid w:val="00C03E5D"/>
    <w:rsid w:val="00C10C7B"/>
    <w:rsid w:val="00C12548"/>
    <w:rsid w:val="00C129A7"/>
    <w:rsid w:val="00C13246"/>
    <w:rsid w:val="00C207C7"/>
    <w:rsid w:val="00C20F1C"/>
    <w:rsid w:val="00C21119"/>
    <w:rsid w:val="00C22963"/>
    <w:rsid w:val="00C2305A"/>
    <w:rsid w:val="00C258CF"/>
    <w:rsid w:val="00C3008A"/>
    <w:rsid w:val="00C329AA"/>
    <w:rsid w:val="00C32A68"/>
    <w:rsid w:val="00C34E21"/>
    <w:rsid w:val="00C35DF0"/>
    <w:rsid w:val="00C42AD1"/>
    <w:rsid w:val="00C44538"/>
    <w:rsid w:val="00C44DE9"/>
    <w:rsid w:val="00C4637F"/>
    <w:rsid w:val="00C5685D"/>
    <w:rsid w:val="00C60CF7"/>
    <w:rsid w:val="00C669F6"/>
    <w:rsid w:val="00C67978"/>
    <w:rsid w:val="00C70CB8"/>
    <w:rsid w:val="00C734BA"/>
    <w:rsid w:val="00C80835"/>
    <w:rsid w:val="00C810C4"/>
    <w:rsid w:val="00C87305"/>
    <w:rsid w:val="00C91FDD"/>
    <w:rsid w:val="00C92707"/>
    <w:rsid w:val="00C93C52"/>
    <w:rsid w:val="00C93F1B"/>
    <w:rsid w:val="00C95C60"/>
    <w:rsid w:val="00C96600"/>
    <w:rsid w:val="00C968D1"/>
    <w:rsid w:val="00CA0FCF"/>
    <w:rsid w:val="00CA310A"/>
    <w:rsid w:val="00CA52F6"/>
    <w:rsid w:val="00CA554F"/>
    <w:rsid w:val="00CB60DB"/>
    <w:rsid w:val="00CB7096"/>
    <w:rsid w:val="00CB7130"/>
    <w:rsid w:val="00CB71E1"/>
    <w:rsid w:val="00CB7C2F"/>
    <w:rsid w:val="00CC1A34"/>
    <w:rsid w:val="00CC6262"/>
    <w:rsid w:val="00CC6811"/>
    <w:rsid w:val="00CC721F"/>
    <w:rsid w:val="00CC7D83"/>
    <w:rsid w:val="00CD02DB"/>
    <w:rsid w:val="00CD1706"/>
    <w:rsid w:val="00CD54C5"/>
    <w:rsid w:val="00CD59C5"/>
    <w:rsid w:val="00CD5CAA"/>
    <w:rsid w:val="00CE550A"/>
    <w:rsid w:val="00CE6F3A"/>
    <w:rsid w:val="00D038AD"/>
    <w:rsid w:val="00D04E69"/>
    <w:rsid w:val="00D077EB"/>
    <w:rsid w:val="00D112F7"/>
    <w:rsid w:val="00D13C05"/>
    <w:rsid w:val="00D1528C"/>
    <w:rsid w:val="00D234E1"/>
    <w:rsid w:val="00D25FDA"/>
    <w:rsid w:val="00D273A4"/>
    <w:rsid w:val="00D300BD"/>
    <w:rsid w:val="00D4517D"/>
    <w:rsid w:val="00D45FF0"/>
    <w:rsid w:val="00D51DC7"/>
    <w:rsid w:val="00D617F8"/>
    <w:rsid w:val="00D63D01"/>
    <w:rsid w:val="00D75562"/>
    <w:rsid w:val="00D772C8"/>
    <w:rsid w:val="00D775AE"/>
    <w:rsid w:val="00D8064E"/>
    <w:rsid w:val="00D82C8A"/>
    <w:rsid w:val="00D878E1"/>
    <w:rsid w:val="00D93651"/>
    <w:rsid w:val="00D96BA7"/>
    <w:rsid w:val="00DA085B"/>
    <w:rsid w:val="00DA65AA"/>
    <w:rsid w:val="00DA73F5"/>
    <w:rsid w:val="00DA7B9B"/>
    <w:rsid w:val="00DB014C"/>
    <w:rsid w:val="00DB1C5A"/>
    <w:rsid w:val="00DB4169"/>
    <w:rsid w:val="00DD2848"/>
    <w:rsid w:val="00DD5473"/>
    <w:rsid w:val="00DD7693"/>
    <w:rsid w:val="00DE0242"/>
    <w:rsid w:val="00DE290B"/>
    <w:rsid w:val="00DF3CB7"/>
    <w:rsid w:val="00E00550"/>
    <w:rsid w:val="00E112B6"/>
    <w:rsid w:val="00E120EE"/>
    <w:rsid w:val="00E20401"/>
    <w:rsid w:val="00E27B06"/>
    <w:rsid w:val="00E30B62"/>
    <w:rsid w:val="00E35CDE"/>
    <w:rsid w:val="00E4385B"/>
    <w:rsid w:val="00E4505F"/>
    <w:rsid w:val="00E45650"/>
    <w:rsid w:val="00E47CA6"/>
    <w:rsid w:val="00E52635"/>
    <w:rsid w:val="00E53C10"/>
    <w:rsid w:val="00E55CDB"/>
    <w:rsid w:val="00E56373"/>
    <w:rsid w:val="00E601C7"/>
    <w:rsid w:val="00E6079D"/>
    <w:rsid w:val="00E620E9"/>
    <w:rsid w:val="00E62EAD"/>
    <w:rsid w:val="00E67677"/>
    <w:rsid w:val="00E67C3B"/>
    <w:rsid w:val="00E766FE"/>
    <w:rsid w:val="00E8086B"/>
    <w:rsid w:val="00E86FED"/>
    <w:rsid w:val="00E9098A"/>
    <w:rsid w:val="00E92820"/>
    <w:rsid w:val="00E963AE"/>
    <w:rsid w:val="00EA0680"/>
    <w:rsid w:val="00EA2E06"/>
    <w:rsid w:val="00EA5B62"/>
    <w:rsid w:val="00EA5D50"/>
    <w:rsid w:val="00EB117B"/>
    <w:rsid w:val="00EB3672"/>
    <w:rsid w:val="00EB48F9"/>
    <w:rsid w:val="00EB5654"/>
    <w:rsid w:val="00EC3362"/>
    <w:rsid w:val="00EC54C3"/>
    <w:rsid w:val="00EC5584"/>
    <w:rsid w:val="00EC6068"/>
    <w:rsid w:val="00EC6868"/>
    <w:rsid w:val="00ED47EF"/>
    <w:rsid w:val="00EE0556"/>
    <w:rsid w:val="00EE1E25"/>
    <w:rsid w:val="00EE24EA"/>
    <w:rsid w:val="00EE515B"/>
    <w:rsid w:val="00EE5479"/>
    <w:rsid w:val="00EF204D"/>
    <w:rsid w:val="00EF40F2"/>
    <w:rsid w:val="00F05110"/>
    <w:rsid w:val="00F066E5"/>
    <w:rsid w:val="00F07C93"/>
    <w:rsid w:val="00F07C9D"/>
    <w:rsid w:val="00F112C4"/>
    <w:rsid w:val="00F14637"/>
    <w:rsid w:val="00F16E3A"/>
    <w:rsid w:val="00F1700F"/>
    <w:rsid w:val="00F27776"/>
    <w:rsid w:val="00F32558"/>
    <w:rsid w:val="00F333BC"/>
    <w:rsid w:val="00F3357A"/>
    <w:rsid w:val="00F35540"/>
    <w:rsid w:val="00F3581D"/>
    <w:rsid w:val="00F36446"/>
    <w:rsid w:val="00F36883"/>
    <w:rsid w:val="00F4101C"/>
    <w:rsid w:val="00F446D9"/>
    <w:rsid w:val="00F450E1"/>
    <w:rsid w:val="00F47532"/>
    <w:rsid w:val="00F50E32"/>
    <w:rsid w:val="00F600FB"/>
    <w:rsid w:val="00F66244"/>
    <w:rsid w:val="00F67E22"/>
    <w:rsid w:val="00F7088D"/>
    <w:rsid w:val="00F70F99"/>
    <w:rsid w:val="00F7192E"/>
    <w:rsid w:val="00F76298"/>
    <w:rsid w:val="00F7670F"/>
    <w:rsid w:val="00F772AE"/>
    <w:rsid w:val="00F83649"/>
    <w:rsid w:val="00F8676C"/>
    <w:rsid w:val="00F9114A"/>
    <w:rsid w:val="00F947EE"/>
    <w:rsid w:val="00F969C0"/>
    <w:rsid w:val="00F97E8E"/>
    <w:rsid w:val="00FA0DA9"/>
    <w:rsid w:val="00FA5386"/>
    <w:rsid w:val="00FA5964"/>
    <w:rsid w:val="00FB0D14"/>
    <w:rsid w:val="00FB791F"/>
    <w:rsid w:val="00FC452E"/>
    <w:rsid w:val="00FD0821"/>
    <w:rsid w:val="00FD34D0"/>
    <w:rsid w:val="00FE17C8"/>
    <w:rsid w:val="00FE23FD"/>
    <w:rsid w:val="00FE3D46"/>
    <w:rsid w:val="00FE5EDF"/>
    <w:rsid w:val="00F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5FF5"/>
  <w15:docId w15:val="{09E76D82-BBBC-4133-A081-FEF12AC6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AB"/>
  </w:style>
  <w:style w:type="paragraph" w:styleId="Heading1">
    <w:name w:val="heading 1"/>
    <w:basedOn w:val="Normal"/>
    <w:next w:val="Normal"/>
    <w:link w:val="Heading1Char"/>
    <w:uiPriority w:val="9"/>
    <w:qFormat/>
    <w:rsid w:val="00AC2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AD"/>
    <w:pPr>
      <w:ind w:left="720"/>
      <w:contextualSpacing/>
    </w:pPr>
  </w:style>
  <w:style w:type="paragraph" w:styleId="NoSpacing">
    <w:name w:val="No Spacing"/>
    <w:uiPriority w:val="1"/>
    <w:qFormat/>
    <w:rsid w:val="00994C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69"/>
  </w:style>
  <w:style w:type="paragraph" w:styleId="Footer">
    <w:name w:val="footer"/>
    <w:basedOn w:val="Normal"/>
    <w:link w:val="FooterChar"/>
    <w:uiPriority w:val="99"/>
    <w:unhideWhenUsed/>
    <w:rsid w:val="005D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69"/>
  </w:style>
  <w:style w:type="character" w:customStyle="1" w:styleId="Heading1Char">
    <w:name w:val="Heading 1 Char"/>
    <w:basedOn w:val="DefaultParagraphFont"/>
    <w:link w:val="Heading1"/>
    <w:uiPriority w:val="9"/>
    <w:rsid w:val="00AC25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2580"/>
    <w:pPr>
      <w:spacing w:line="259" w:lineRule="auto"/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61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D031D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031D"/>
    <w:pPr>
      <w:spacing w:after="100" w:line="259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D031D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3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637F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3F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cid:image001.png@01D8CCFB.3471A3F0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1E72-F120-478C-A73E-E7C8760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13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Dilani (NHS HUMBER AND NORTH YORKSHIRE ICB - 42D)</dc:creator>
  <cp:keywords/>
  <dc:description/>
  <cp:lastModifiedBy>Dilani Gamble</cp:lastModifiedBy>
  <cp:revision>5</cp:revision>
  <cp:lastPrinted>2023-08-01T16:31:00Z</cp:lastPrinted>
  <dcterms:created xsi:type="dcterms:W3CDTF">2024-11-04T09:37:00Z</dcterms:created>
  <dcterms:modified xsi:type="dcterms:W3CDTF">2024-11-04T16:02:00Z</dcterms:modified>
</cp:coreProperties>
</file>