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2296"/>
        <w:tblW w:w="0" w:type="auto"/>
        <w:tblLook w:val="04A0" w:firstRow="1" w:lastRow="0" w:firstColumn="1" w:lastColumn="0" w:noHBand="0" w:noVBand="1"/>
      </w:tblPr>
      <w:tblGrid>
        <w:gridCol w:w="2092"/>
        <w:gridCol w:w="7516"/>
      </w:tblGrid>
      <w:tr w:rsidR="00B23603" w:rsidRPr="00566BDC" w14:paraId="2D8CF850" w14:textId="77777777" w:rsidTr="00662CBF">
        <w:tc>
          <w:tcPr>
            <w:tcW w:w="2092" w:type="dxa"/>
            <w:tcBorders>
              <w:top w:val="double" w:sz="4" w:space="0" w:color="auto"/>
              <w:left w:val="double" w:sz="4" w:space="0" w:color="auto"/>
            </w:tcBorders>
            <w:shd w:val="clear" w:color="auto" w:fill="D9D9D9" w:themeFill="background1" w:themeFillShade="D9"/>
          </w:tcPr>
          <w:p w14:paraId="47343F76" w14:textId="77777777" w:rsidR="00B23603" w:rsidRDefault="00B23603" w:rsidP="007B0DD7">
            <w:pPr>
              <w:spacing w:after="0" w:line="240" w:lineRule="auto"/>
              <w:rPr>
                <w:b/>
                <w:color w:val="auto"/>
              </w:rPr>
            </w:pPr>
            <w:bookmarkStart w:id="0" w:name="_Hlk106134195"/>
            <w:r>
              <w:rPr>
                <w:b/>
                <w:color w:val="auto"/>
              </w:rPr>
              <w:t xml:space="preserve">Report to: </w:t>
            </w:r>
          </w:p>
          <w:p w14:paraId="21887D2C" w14:textId="724AB738" w:rsidR="00B23603" w:rsidRPr="00524FEE" w:rsidRDefault="00B23603" w:rsidP="007B0DD7">
            <w:pPr>
              <w:spacing w:after="0" w:line="240" w:lineRule="auto"/>
              <w:rPr>
                <w:b/>
                <w:color w:val="auto"/>
              </w:rPr>
            </w:pPr>
          </w:p>
        </w:tc>
        <w:tc>
          <w:tcPr>
            <w:tcW w:w="7516" w:type="dxa"/>
            <w:tcBorders>
              <w:top w:val="double" w:sz="4" w:space="0" w:color="auto"/>
              <w:right w:val="double" w:sz="4" w:space="0" w:color="auto"/>
            </w:tcBorders>
          </w:tcPr>
          <w:p w14:paraId="0C36CE17" w14:textId="7DF9C8C7" w:rsidR="00B23603" w:rsidRPr="00F31E0E" w:rsidRDefault="00955C5A" w:rsidP="007B0DD7">
            <w:pPr>
              <w:spacing w:after="0" w:line="240" w:lineRule="auto"/>
              <w:rPr>
                <w:color w:val="auto"/>
                <w:sz w:val="24"/>
                <w:szCs w:val="24"/>
              </w:rPr>
            </w:pPr>
            <w:r>
              <w:rPr>
                <w:color w:val="auto"/>
                <w:sz w:val="24"/>
                <w:szCs w:val="24"/>
              </w:rPr>
              <w:t>H</w:t>
            </w:r>
            <w:r w:rsidR="00F45560">
              <w:rPr>
                <w:color w:val="auto"/>
                <w:sz w:val="24"/>
                <w:szCs w:val="24"/>
              </w:rPr>
              <w:t>umber and North Yorkshire Integrated Care Board</w:t>
            </w:r>
          </w:p>
        </w:tc>
      </w:tr>
      <w:tr w:rsidR="00373698" w:rsidRPr="00040A54" w14:paraId="686A02B3" w14:textId="77777777" w:rsidTr="00EF3216">
        <w:tc>
          <w:tcPr>
            <w:tcW w:w="2092" w:type="dxa"/>
            <w:tcBorders>
              <w:left w:val="double" w:sz="4" w:space="0" w:color="auto"/>
            </w:tcBorders>
            <w:shd w:val="clear" w:color="auto" w:fill="D9D9D9" w:themeFill="background1" w:themeFillShade="D9"/>
          </w:tcPr>
          <w:p w14:paraId="3E0203E6" w14:textId="77777777" w:rsidR="00373698" w:rsidRPr="00040A54" w:rsidRDefault="00373698" w:rsidP="007B0DD7">
            <w:pPr>
              <w:spacing w:after="0" w:line="240" w:lineRule="auto"/>
              <w:rPr>
                <w:b/>
                <w:color w:val="auto"/>
              </w:rPr>
            </w:pPr>
            <w:r w:rsidRPr="00040A54">
              <w:rPr>
                <w:b/>
                <w:color w:val="auto"/>
              </w:rPr>
              <w:t>Date of Meeting:</w:t>
            </w:r>
          </w:p>
          <w:p w14:paraId="6E5C6A31" w14:textId="77777777" w:rsidR="00373698" w:rsidRPr="00040A54" w:rsidRDefault="00373698" w:rsidP="007B0DD7">
            <w:pPr>
              <w:spacing w:after="0" w:line="240" w:lineRule="auto"/>
              <w:rPr>
                <w:b/>
                <w:color w:val="auto"/>
              </w:rPr>
            </w:pPr>
          </w:p>
        </w:tc>
        <w:tc>
          <w:tcPr>
            <w:tcW w:w="7516" w:type="dxa"/>
            <w:tcBorders>
              <w:right w:val="double" w:sz="4" w:space="0" w:color="auto"/>
            </w:tcBorders>
          </w:tcPr>
          <w:p w14:paraId="6A62B942" w14:textId="15B56164" w:rsidR="00373698" w:rsidRPr="00040A54" w:rsidRDefault="00C43E82" w:rsidP="007B0DD7">
            <w:pPr>
              <w:spacing w:after="0" w:line="240" w:lineRule="auto"/>
              <w:rPr>
                <w:color w:val="auto"/>
                <w:sz w:val="24"/>
                <w:szCs w:val="24"/>
              </w:rPr>
            </w:pPr>
            <w:r>
              <w:rPr>
                <w:color w:val="auto"/>
                <w:sz w:val="24"/>
                <w:szCs w:val="24"/>
              </w:rPr>
              <w:t>1</w:t>
            </w:r>
            <w:r w:rsidR="00F45560">
              <w:rPr>
                <w:color w:val="auto"/>
                <w:sz w:val="24"/>
                <w:szCs w:val="24"/>
              </w:rPr>
              <w:t>3 November 2024</w:t>
            </w:r>
          </w:p>
        </w:tc>
      </w:tr>
      <w:tr w:rsidR="00373698" w:rsidRPr="00040A54" w14:paraId="5757FC8D" w14:textId="77777777" w:rsidTr="00EF3216">
        <w:tc>
          <w:tcPr>
            <w:tcW w:w="2092" w:type="dxa"/>
            <w:tcBorders>
              <w:left w:val="double" w:sz="4" w:space="0" w:color="auto"/>
            </w:tcBorders>
            <w:shd w:val="clear" w:color="auto" w:fill="D9D9D9" w:themeFill="background1" w:themeFillShade="D9"/>
          </w:tcPr>
          <w:p w14:paraId="45F6722E" w14:textId="77777777" w:rsidR="00373698" w:rsidRPr="00040A54" w:rsidRDefault="00373698" w:rsidP="007B0DD7">
            <w:pPr>
              <w:spacing w:after="0" w:line="240" w:lineRule="auto"/>
              <w:rPr>
                <w:b/>
                <w:color w:val="auto"/>
              </w:rPr>
            </w:pPr>
            <w:r w:rsidRPr="00040A54">
              <w:rPr>
                <w:b/>
                <w:color w:val="auto"/>
              </w:rPr>
              <w:t>Subject:</w:t>
            </w:r>
          </w:p>
          <w:p w14:paraId="1A8730CB" w14:textId="77777777" w:rsidR="00373698" w:rsidRPr="00040A54" w:rsidRDefault="00373698" w:rsidP="007B0DD7">
            <w:pPr>
              <w:spacing w:after="0" w:line="240" w:lineRule="auto"/>
              <w:rPr>
                <w:b/>
                <w:color w:val="auto"/>
              </w:rPr>
            </w:pPr>
          </w:p>
        </w:tc>
        <w:tc>
          <w:tcPr>
            <w:tcW w:w="7516" w:type="dxa"/>
            <w:tcBorders>
              <w:right w:val="double" w:sz="4" w:space="0" w:color="auto"/>
            </w:tcBorders>
          </w:tcPr>
          <w:p w14:paraId="4F67ACAB" w14:textId="79012C95" w:rsidR="00373698" w:rsidRPr="00040A54" w:rsidRDefault="00903680" w:rsidP="007B0DD7">
            <w:pPr>
              <w:spacing w:after="0" w:line="240" w:lineRule="auto"/>
              <w:rPr>
                <w:b/>
                <w:bCs/>
                <w:color w:val="auto"/>
                <w:sz w:val="32"/>
                <w:szCs w:val="32"/>
              </w:rPr>
            </w:pPr>
            <w:r w:rsidRPr="00040A54">
              <w:rPr>
                <w:b/>
                <w:bCs/>
                <w:color w:val="auto"/>
                <w:sz w:val="32"/>
                <w:szCs w:val="32"/>
              </w:rPr>
              <w:t>ICB Performance Report</w:t>
            </w:r>
          </w:p>
        </w:tc>
      </w:tr>
      <w:tr w:rsidR="00373698" w:rsidRPr="00040A54" w14:paraId="64241F01" w14:textId="77777777" w:rsidTr="00EF3216">
        <w:tc>
          <w:tcPr>
            <w:tcW w:w="2092" w:type="dxa"/>
            <w:tcBorders>
              <w:left w:val="double" w:sz="4" w:space="0" w:color="auto"/>
            </w:tcBorders>
            <w:shd w:val="clear" w:color="auto" w:fill="D9D9D9" w:themeFill="background1" w:themeFillShade="D9"/>
          </w:tcPr>
          <w:p w14:paraId="6580A4A8" w14:textId="5CA5F125" w:rsidR="00373698" w:rsidRPr="00040A54" w:rsidRDefault="005A3F90" w:rsidP="007B0DD7">
            <w:pPr>
              <w:spacing w:after="0" w:line="240" w:lineRule="auto"/>
              <w:rPr>
                <w:b/>
                <w:color w:val="auto"/>
              </w:rPr>
            </w:pPr>
            <w:r w:rsidRPr="00040A54">
              <w:rPr>
                <w:b/>
                <w:color w:val="auto"/>
              </w:rPr>
              <w:t>Director</w:t>
            </w:r>
            <w:r w:rsidR="00EF4BA3" w:rsidRPr="00040A54">
              <w:rPr>
                <w:b/>
                <w:color w:val="auto"/>
              </w:rPr>
              <w:t xml:space="preserve"> </w:t>
            </w:r>
            <w:r w:rsidRPr="00040A54">
              <w:rPr>
                <w:b/>
                <w:color w:val="auto"/>
              </w:rPr>
              <w:t>Sponsor</w:t>
            </w:r>
            <w:r w:rsidR="00373698" w:rsidRPr="00040A54">
              <w:rPr>
                <w:b/>
                <w:color w:val="auto"/>
              </w:rPr>
              <w:t>:</w:t>
            </w:r>
          </w:p>
          <w:p w14:paraId="1339AF67" w14:textId="77777777" w:rsidR="00373698" w:rsidRPr="00040A54" w:rsidRDefault="00373698" w:rsidP="007B0DD7">
            <w:pPr>
              <w:spacing w:after="0" w:line="240" w:lineRule="auto"/>
              <w:rPr>
                <w:b/>
                <w:color w:val="auto"/>
              </w:rPr>
            </w:pPr>
          </w:p>
        </w:tc>
        <w:tc>
          <w:tcPr>
            <w:tcW w:w="7516" w:type="dxa"/>
            <w:tcBorders>
              <w:right w:val="double" w:sz="4" w:space="0" w:color="auto"/>
            </w:tcBorders>
          </w:tcPr>
          <w:p w14:paraId="270ACB40" w14:textId="22185E8B" w:rsidR="00373698" w:rsidRPr="00040A54" w:rsidRDefault="00F50C99" w:rsidP="007B0DD7">
            <w:pPr>
              <w:spacing w:after="0" w:line="240" w:lineRule="auto"/>
              <w:rPr>
                <w:color w:val="auto"/>
                <w:sz w:val="24"/>
                <w:szCs w:val="24"/>
              </w:rPr>
            </w:pPr>
            <w:r w:rsidRPr="00040A54">
              <w:rPr>
                <w:color w:val="auto"/>
                <w:sz w:val="24"/>
                <w:szCs w:val="24"/>
              </w:rPr>
              <w:t>Jane Hazelgrave</w:t>
            </w:r>
            <w:r w:rsidR="00E83BDF">
              <w:rPr>
                <w:color w:val="auto"/>
                <w:sz w:val="24"/>
                <w:szCs w:val="24"/>
              </w:rPr>
              <w:t>, Acting</w:t>
            </w:r>
            <w:r w:rsidRPr="00040A54">
              <w:rPr>
                <w:color w:val="auto"/>
                <w:sz w:val="24"/>
                <w:szCs w:val="24"/>
              </w:rPr>
              <w:t xml:space="preserve"> Deputy Chief Executive and Chief Operating Officer and Karina Ellis, Executive Director of Corporate Affairs</w:t>
            </w:r>
          </w:p>
        </w:tc>
      </w:tr>
      <w:tr w:rsidR="008142EE" w:rsidRPr="00040A54" w14:paraId="40590258" w14:textId="77777777" w:rsidTr="00EF3216">
        <w:tc>
          <w:tcPr>
            <w:tcW w:w="2092" w:type="dxa"/>
            <w:tcBorders>
              <w:left w:val="double" w:sz="4" w:space="0" w:color="auto"/>
            </w:tcBorders>
            <w:shd w:val="clear" w:color="auto" w:fill="D9D9D9" w:themeFill="background1" w:themeFillShade="D9"/>
          </w:tcPr>
          <w:p w14:paraId="58C65183" w14:textId="77777777" w:rsidR="008142EE" w:rsidRPr="00040A54" w:rsidRDefault="008142EE" w:rsidP="007B0DD7">
            <w:pPr>
              <w:spacing w:after="0" w:line="240" w:lineRule="auto"/>
              <w:rPr>
                <w:b/>
                <w:color w:val="auto"/>
              </w:rPr>
            </w:pPr>
            <w:r w:rsidRPr="00040A54">
              <w:rPr>
                <w:b/>
                <w:color w:val="auto"/>
              </w:rPr>
              <w:t>Author:</w:t>
            </w:r>
          </w:p>
          <w:p w14:paraId="4B31FADC" w14:textId="77777777" w:rsidR="008142EE" w:rsidRPr="00040A54" w:rsidRDefault="008142EE" w:rsidP="007B0DD7">
            <w:pPr>
              <w:spacing w:after="0" w:line="240" w:lineRule="auto"/>
              <w:rPr>
                <w:b/>
                <w:color w:val="auto"/>
              </w:rPr>
            </w:pPr>
          </w:p>
        </w:tc>
        <w:tc>
          <w:tcPr>
            <w:tcW w:w="7516" w:type="dxa"/>
            <w:tcBorders>
              <w:right w:val="double" w:sz="4" w:space="0" w:color="auto"/>
            </w:tcBorders>
          </w:tcPr>
          <w:p w14:paraId="713262AE" w14:textId="77777777" w:rsidR="00562B9D" w:rsidRPr="00040A54" w:rsidRDefault="00562B9D" w:rsidP="00562B9D">
            <w:pPr>
              <w:spacing w:after="0" w:line="240" w:lineRule="auto"/>
              <w:rPr>
                <w:color w:val="000000" w:themeColor="text1"/>
                <w:sz w:val="24"/>
                <w:szCs w:val="24"/>
              </w:rPr>
            </w:pPr>
            <w:r w:rsidRPr="00040A54">
              <w:rPr>
                <w:color w:val="000000" w:themeColor="text1"/>
                <w:sz w:val="24"/>
                <w:szCs w:val="24"/>
              </w:rPr>
              <w:t>Shaun Jones, Director of Planning and Performance</w:t>
            </w:r>
          </w:p>
          <w:p w14:paraId="3500ACF7" w14:textId="77777777" w:rsidR="00562B9D" w:rsidRPr="00040A54" w:rsidRDefault="00562B9D" w:rsidP="00562B9D">
            <w:pPr>
              <w:spacing w:after="0" w:line="240" w:lineRule="auto"/>
              <w:rPr>
                <w:color w:val="auto"/>
                <w:sz w:val="24"/>
                <w:szCs w:val="24"/>
              </w:rPr>
            </w:pPr>
            <w:r w:rsidRPr="00040A54">
              <w:rPr>
                <w:color w:val="auto"/>
                <w:sz w:val="24"/>
                <w:szCs w:val="24"/>
              </w:rPr>
              <w:t>Alex Bell, Deputy Director Business Intelligence</w:t>
            </w:r>
          </w:p>
          <w:p w14:paraId="5771B5D1" w14:textId="75F84E07" w:rsidR="008142EE" w:rsidRPr="00040A54" w:rsidRDefault="00562B9D" w:rsidP="00562B9D">
            <w:pPr>
              <w:spacing w:after="0" w:line="240" w:lineRule="auto"/>
              <w:rPr>
                <w:color w:val="auto"/>
                <w:sz w:val="24"/>
                <w:szCs w:val="24"/>
              </w:rPr>
            </w:pPr>
            <w:r w:rsidRPr="00040A54">
              <w:rPr>
                <w:color w:val="auto"/>
                <w:sz w:val="24"/>
                <w:szCs w:val="24"/>
              </w:rPr>
              <w:t>Shaun Boffey, Assistant Director of Planning and Performance</w:t>
            </w:r>
          </w:p>
        </w:tc>
      </w:tr>
    </w:tbl>
    <w:tbl>
      <w:tblPr>
        <w:tblStyle w:val="TableGrid"/>
        <w:tblpPr w:leftFromText="180" w:rightFromText="180" w:vertAnchor="text" w:horzAnchor="margin" w:tblpXSpec="right" w:tblpY="368"/>
        <w:tblW w:w="0" w:type="auto"/>
        <w:tblLook w:val="04A0" w:firstRow="1" w:lastRow="0" w:firstColumn="1" w:lastColumn="0" w:noHBand="0" w:noVBand="1"/>
      </w:tblPr>
      <w:tblGrid>
        <w:gridCol w:w="2273"/>
        <w:gridCol w:w="821"/>
      </w:tblGrid>
      <w:tr w:rsidR="00BB5B75" w:rsidRPr="00040A54" w14:paraId="31E3ECFC" w14:textId="77777777" w:rsidTr="00711DBE">
        <w:tc>
          <w:tcPr>
            <w:tcW w:w="2273" w:type="dxa"/>
            <w:tcBorders>
              <w:top w:val="double" w:sz="4" w:space="0" w:color="auto"/>
              <w:left w:val="double" w:sz="4" w:space="0" w:color="auto"/>
              <w:bottom w:val="single" w:sz="4" w:space="0" w:color="auto"/>
            </w:tcBorders>
            <w:shd w:val="clear" w:color="auto" w:fill="D9D9D9" w:themeFill="background1" w:themeFillShade="D9"/>
          </w:tcPr>
          <w:p w14:paraId="306A8370" w14:textId="77777777" w:rsidR="00BB5B75" w:rsidRPr="00040A54" w:rsidRDefault="00BB5B75" w:rsidP="007C7835">
            <w:pPr>
              <w:rPr>
                <w:b/>
                <w:bCs/>
                <w:color w:val="auto"/>
              </w:rPr>
            </w:pPr>
            <w:bookmarkStart w:id="1" w:name="_Hlk138951700"/>
            <w:bookmarkEnd w:id="0"/>
            <w:r w:rsidRPr="00040A54">
              <w:rPr>
                <w:b/>
                <w:bCs/>
                <w:color w:val="auto"/>
              </w:rPr>
              <w:t xml:space="preserve">Agenda Item No: </w:t>
            </w:r>
          </w:p>
          <w:p w14:paraId="5D88B756" w14:textId="77777777" w:rsidR="00BB5B75" w:rsidRPr="00040A54" w:rsidRDefault="00BB5B75" w:rsidP="007C7835">
            <w:pPr>
              <w:spacing w:line="240" w:lineRule="auto"/>
              <w:contextualSpacing/>
              <w:rPr>
                <w:b/>
                <w:bCs/>
              </w:rPr>
            </w:pPr>
          </w:p>
        </w:tc>
        <w:tc>
          <w:tcPr>
            <w:tcW w:w="821" w:type="dxa"/>
            <w:tcBorders>
              <w:top w:val="double" w:sz="4" w:space="0" w:color="auto"/>
              <w:bottom w:val="single" w:sz="4" w:space="0" w:color="auto"/>
              <w:right w:val="double" w:sz="4" w:space="0" w:color="auto"/>
            </w:tcBorders>
          </w:tcPr>
          <w:p w14:paraId="60EE529B" w14:textId="14BBC5DB" w:rsidR="00BB5B75" w:rsidRPr="00040A54" w:rsidRDefault="00F45560" w:rsidP="007C7835">
            <w:pPr>
              <w:jc w:val="center"/>
              <w:rPr>
                <w:b/>
                <w:bCs/>
                <w:sz w:val="32"/>
                <w:szCs w:val="32"/>
              </w:rPr>
            </w:pPr>
            <w:r w:rsidRPr="00F45560">
              <w:rPr>
                <w:b/>
                <w:bCs/>
                <w:color w:val="auto"/>
                <w:sz w:val="32"/>
                <w:szCs w:val="32"/>
              </w:rPr>
              <w:t>1</w:t>
            </w:r>
            <w:r w:rsidR="00123D69">
              <w:rPr>
                <w:b/>
                <w:bCs/>
                <w:color w:val="auto"/>
                <w:sz w:val="32"/>
                <w:szCs w:val="32"/>
              </w:rPr>
              <w:t>1</w:t>
            </w:r>
          </w:p>
        </w:tc>
      </w:tr>
    </w:tbl>
    <w:bookmarkEnd w:id="1"/>
    <w:p w14:paraId="31BBC7A1" w14:textId="0B10B29D" w:rsidR="00880E9F" w:rsidRPr="00040A54" w:rsidRDefault="003E5B87" w:rsidP="00D05ADC">
      <w:pPr>
        <w:spacing w:after="0" w:line="120" w:lineRule="auto"/>
      </w:pPr>
      <w:r w:rsidRPr="00040A54">
        <w:rPr>
          <w:noProof/>
        </w:rPr>
        <w:drawing>
          <wp:anchor distT="0" distB="0" distL="114300" distR="114300" simplePos="0" relativeHeight="251679744" behindDoc="0" locked="0" layoutInCell="1" allowOverlap="1" wp14:anchorId="35A678BF" wp14:editId="25121C4E">
            <wp:simplePos x="0" y="0"/>
            <wp:positionH relativeFrom="margin">
              <wp:posOffset>4747860</wp:posOffset>
            </wp:positionH>
            <wp:positionV relativeFrom="paragraph">
              <wp:posOffset>-548005</wp:posOffset>
            </wp:positionV>
            <wp:extent cx="1323700" cy="706632"/>
            <wp:effectExtent l="0" t="0" r="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700" cy="7066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0A54">
        <w:rPr>
          <w:noProof/>
        </w:rPr>
        <w:drawing>
          <wp:anchor distT="0" distB="0" distL="114300" distR="114300" simplePos="0" relativeHeight="251678720" behindDoc="0" locked="0" layoutInCell="1" allowOverlap="1" wp14:anchorId="340992E0" wp14:editId="00CAB76D">
            <wp:simplePos x="0" y="0"/>
            <wp:positionH relativeFrom="margin">
              <wp:posOffset>5833</wp:posOffset>
            </wp:positionH>
            <wp:positionV relativeFrom="paragraph">
              <wp:posOffset>-501015</wp:posOffset>
            </wp:positionV>
            <wp:extent cx="2543175" cy="483620"/>
            <wp:effectExtent l="0" t="0" r="0" b="0"/>
            <wp:wrapNone/>
            <wp:docPr id="28"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3175" cy="483620"/>
                    </a:xfrm>
                    <a:prstGeom prst="rect">
                      <a:avLst/>
                    </a:prstGeom>
                    <a:noFill/>
                  </pic:spPr>
                </pic:pic>
              </a:graphicData>
            </a:graphic>
            <wp14:sizeRelH relativeFrom="page">
              <wp14:pctWidth>0</wp14:pctWidth>
            </wp14:sizeRelH>
            <wp14:sizeRelV relativeFrom="page">
              <wp14:pctHeight>0</wp14:pctHeight>
            </wp14:sizeRelV>
          </wp:anchor>
        </w:drawing>
      </w:r>
    </w:p>
    <w:p w14:paraId="69FFDEAD" w14:textId="65E6BE79" w:rsidR="007B0DD7" w:rsidRPr="00040A54" w:rsidRDefault="007B0DD7" w:rsidP="007B0DD7"/>
    <w:p w14:paraId="176AC93B" w14:textId="394E2501" w:rsidR="007B0DD7" w:rsidRPr="00040A54" w:rsidRDefault="007B0DD7" w:rsidP="007B0DD7"/>
    <w:tbl>
      <w:tblPr>
        <w:tblStyle w:val="TableGrid"/>
        <w:tblW w:w="0" w:type="auto"/>
        <w:tblBorders>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08"/>
      </w:tblGrid>
      <w:tr w:rsidR="00D72609" w:rsidRPr="00040A54" w14:paraId="5E0D93DE" w14:textId="77777777" w:rsidTr="00C96C54">
        <w:trPr>
          <w:trHeight w:val="1274"/>
        </w:trPr>
        <w:tc>
          <w:tcPr>
            <w:tcW w:w="9608" w:type="dxa"/>
          </w:tcPr>
          <w:p w14:paraId="104A39C1" w14:textId="77777777" w:rsidR="00D72609" w:rsidRPr="00040A54" w:rsidRDefault="00D72609" w:rsidP="004A6F2B">
            <w:pPr>
              <w:spacing w:after="0" w:line="240" w:lineRule="auto"/>
              <w:rPr>
                <w:b/>
                <w:color w:val="auto"/>
              </w:rPr>
            </w:pPr>
          </w:p>
          <w:p w14:paraId="0A9659D6" w14:textId="461D7D71" w:rsidR="00D72609" w:rsidRPr="00040A54" w:rsidRDefault="00D72609" w:rsidP="004A6F2B">
            <w:pPr>
              <w:spacing w:after="0" w:line="240" w:lineRule="auto"/>
              <w:rPr>
                <w:bCs/>
                <w:i/>
                <w:iCs/>
                <w:color w:val="auto"/>
                <w:sz w:val="20"/>
                <w:szCs w:val="20"/>
              </w:rPr>
            </w:pPr>
            <w:r w:rsidRPr="00040A54">
              <w:rPr>
                <w:b/>
                <w:color w:val="auto"/>
              </w:rPr>
              <w:t>STATUS OF THE REPORT:</w:t>
            </w:r>
            <w:r w:rsidR="003A1818" w:rsidRPr="00040A54">
              <w:rPr>
                <w:b/>
                <w:color w:val="auto"/>
              </w:rPr>
              <w:t xml:space="preserve"> </w:t>
            </w:r>
          </w:p>
          <w:p w14:paraId="5C08B26E" w14:textId="3D3493AD" w:rsidR="00C96C54" w:rsidRPr="00040A54" w:rsidRDefault="00E42977" w:rsidP="00E42977">
            <w:pPr>
              <w:spacing w:after="0" w:line="240" w:lineRule="auto"/>
              <w:rPr>
                <w:color w:val="auto"/>
                <w:sz w:val="40"/>
                <w:szCs w:val="44"/>
              </w:rPr>
            </w:pPr>
            <w:r w:rsidRPr="00040A54">
              <w:rPr>
                <w:color w:val="auto"/>
                <w:szCs w:val="24"/>
              </w:rPr>
              <w:t>A</w:t>
            </w:r>
            <w:r w:rsidR="00D72609" w:rsidRPr="00040A54">
              <w:rPr>
                <w:color w:val="auto"/>
                <w:szCs w:val="24"/>
              </w:rPr>
              <w:t xml:space="preserve">pprove </w:t>
            </w:r>
            <w:sdt>
              <w:sdtPr>
                <w:rPr>
                  <w:color w:val="auto"/>
                  <w:sz w:val="40"/>
                  <w:szCs w:val="44"/>
                </w:rPr>
                <w:id w:val="-1610433266"/>
                <w14:checkbox>
                  <w14:checked w14:val="0"/>
                  <w14:checkedState w14:val="2612" w14:font="MS Gothic"/>
                  <w14:uncheckedState w14:val="2610" w14:font="MS Gothic"/>
                </w14:checkbox>
              </w:sdtPr>
              <w:sdtEndPr/>
              <w:sdtContent>
                <w:r w:rsidR="003A1818" w:rsidRPr="00040A54">
                  <w:rPr>
                    <w:rFonts w:ascii="MS Gothic" w:eastAsia="MS Gothic" w:hAnsi="MS Gothic" w:hint="eastAsia"/>
                    <w:color w:val="auto"/>
                    <w:sz w:val="40"/>
                    <w:szCs w:val="44"/>
                  </w:rPr>
                  <w:t>☐</w:t>
                </w:r>
              </w:sdtContent>
            </w:sdt>
            <w:r w:rsidR="00D72609" w:rsidRPr="00040A54">
              <w:rPr>
                <w:color w:val="auto"/>
                <w:szCs w:val="24"/>
              </w:rPr>
              <w:t xml:space="preserve"> </w:t>
            </w:r>
            <w:r w:rsidRPr="00040A54">
              <w:rPr>
                <w:color w:val="auto"/>
                <w:szCs w:val="24"/>
              </w:rPr>
              <w:t>D</w:t>
            </w:r>
            <w:r w:rsidR="00D72609" w:rsidRPr="00040A54">
              <w:rPr>
                <w:color w:val="auto"/>
                <w:szCs w:val="24"/>
              </w:rPr>
              <w:t xml:space="preserve">iscuss </w:t>
            </w:r>
            <w:sdt>
              <w:sdtPr>
                <w:rPr>
                  <w:color w:val="auto"/>
                  <w:sz w:val="40"/>
                  <w:szCs w:val="44"/>
                </w:rPr>
                <w:id w:val="-1579591642"/>
                <w14:checkbox>
                  <w14:checked w14:val="1"/>
                  <w14:checkedState w14:val="2612" w14:font="MS Gothic"/>
                  <w14:uncheckedState w14:val="2610" w14:font="MS Gothic"/>
                </w14:checkbox>
              </w:sdtPr>
              <w:sdtEndPr/>
              <w:sdtContent>
                <w:r w:rsidR="00E83BDF">
                  <w:rPr>
                    <w:rFonts w:ascii="MS Gothic" w:eastAsia="MS Gothic" w:hAnsi="MS Gothic" w:hint="eastAsia"/>
                    <w:color w:val="auto"/>
                    <w:sz w:val="40"/>
                    <w:szCs w:val="44"/>
                  </w:rPr>
                  <w:t>☒</w:t>
                </w:r>
              </w:sdtContent>
            </w:sdt>
            <w:r w:rsidR="00D72609" w:rsidRPr="00040A54">
              <w:rPr>
                <w:color w:val="auto"/>
                <w:szCs w:val="44"/>
              </w:rPr>
              <w:t xml:space="preserve">  </w:t>
            </w:r>
            <w:r w:rsidRPr="00040A54">
              <w:rPr>
                <w:color w:val="auto"/>
                <w:szCs w:val="24"/>
              </w:rPr>
              <w:t xml:space="preserve">Assurance </w:t>
            </w:r>
            <w:sdt>
              <w:sdtPr>
                <w:rPr>
                  <w:color w:val="auto"/>
                  <w:sz w:val="40"/>
                  <w:szCs w:val="44"/>
                </w:rPr>
                <w:id w:val="-148137599"/>
                <w14:checkbox>
                  <w14:checked w14:val="1"/>
                  <w14:checkedState w14:val="2612" w14:font="MS Gothic"/>
                  <w14:uncheckedState w14:val="2610" w14:font="MS Gothic"/>
                </w14:checkbox>
              </w:sdtPr>
              <w:sdtEndPr/>
              <w:sdtContent>
                <w:r w:rsidR="00B10B87">
                  <w:rPr>
                    <w:rFonts w:ascii="MS Gothic" w:eastAsia="MS Gothic" w:hAnsi="MS Gothic" w:hint="eastAsia"/>
                    <w:color w:val="auto"/>
                    <w:sz w:val="40"/>
                    <w:szCs w:val="44"/>
                  </w:rPr>
                  <w:t>☒</w:t>
                </w:r>
              </w:sdtContent>
            </w:sdt>
            <w:r w:rsidRPr="00040A54">
              <w:rPr>
                <w:color w:val="auto"/>
                <w:sz w:val="40"/>
                <w:szCs w:val="44"/>
              </w:rPr>
              <w:t xml:space="preserve"> </w:t>
            </w:r>
            <w:r w:rsidR="003A1818" w:rsidRPr="00040A54">
              <w:rPr>
                <w:color w:val="auto"/>
                <w:szCs w:val="24"/>
              </w:rPr>
              <w:t>I</w:t>
            </w:r>
            <w:r w:rsidR="00D72609" w:rsidRPr="00040A54">
              <w:rPr>
                <w:color w:val="auto"/>
                <w:szCs w:val="24"/>
              </w:rPr>
              <w:t xml:space="preserve">nformation  </w:t>
            </w:r>
            <w:sdt>
              <w:sdtPr>
                <w:rPr>
                  <w:color w:val="auto"/>
                  <w:sz w:val="40"/>
                  <w:szCs w:val="44"/>
                </w:rPr>
                <w:id w:val="-360048554"/>
                <w14:checkbox>
                  <w14:checked w14:val="1"/>
                  <w14:checkedState w14:val="2612" w14:font="MS Gothic"/>
                  <w14:uncheckedState w14:val="2610" w14:font="MS Gothic"/>
                </w14:checkbox>
              </w:sdtPr>
              <w:sdtEndPr/>
              <w:sdtContent>
                <w:r w:rsidR="00C96C54" w:rsidRPr="00040A54">
                  <w:rPr>
                    <w:rFonts w:ascii="MS Gothic" w:eastAsia="MS Gothic" w:hAnsi="MS Gothic" w:hint="eastAsia"/>
                    <w:color w:val="auto"/>
                    <w:sz w:val="40"/>
                    <w:szCs w:val="44"/>
                  </w:rPr>
                  <w:t>☒</w:t>
                </w:r>
              </w:sdtContent>
            </w:sdt>
            <w:r w:rsidRPr="00040A54">
              <w:rPr>
                <w:color w:val="auto"/>
                <w:szCs w:val="44"/>
              </w:rPr>
              <w:t xml:space="preserve">  </w:t>
            </w:r>
            <w:r w:rsidR="00D72609" w:rsidRPr="00040A54">
              <w:rPr>
                <w:color w:val="auto"/>
                <w:szCs w:val="24"/>
              </w:rPr>
              <w:t xml:space="preserve">A Regulatory Requirement </w:t>
            </w:r>
            <w:sdt>
              <w:sdtPr>
                <w:rPr>
                  <w:color w:val="auto"/>
                  <w:sz w:val="40"/>
                  <w:szCs w:val="44"/>
                </w:rPr>
                <w:id w:val="999157182"/>
                <w14:checkbox>
                  <w14:checked w14:val="0"/>
                  <w14:checkedState w14:val="2612" w14:font="MS Gothic"/>
                  <w14:uncheckedState w14:val="2610" w14:font="MS Gothic"/>
                </w14:checkbox>
              </w:sdtPr>
              <w:sdtEndPr/>
              <w:sdtContent>
                <w:r w:rsidRPr="00040A54">
                  <w:rPr>
                    <w:rFonts w:ascii="MS Gothic" w:eastAsia="MS Gothic" w:hAnsi="MS Gothic" w:hint="eastAsia"/>
                    <w:color w:val="auto"/>
                    <w:sz w:val="40"/>
                    <w:szCs w:val="44"/>
                  </w:rPr>
                  <w:t>☐</w:t>
                </w:r>
              </w:sdtContent>
            </w:sdt>
          </w:p>
          <w:p w14:paraId="61D25B83" w14:textId="3D683030" w:rsidR="00C96C54" w:rsidRPr="00040A54" w:rsidRDefault="00C96C54" w:rsidP="00E42977">
            <w:pPr>
              <w:spacing w:after="0" w:line="240" w:lineRule="auto"/>
              <w:rPr>
                <w:color w:val="auto"/>
                <w:sz w:val="16"/>
                <w:szCs w:val="16"/>
              </w:rPr>
            </w:pPr>
          </w:p>
        </w:tc>
      </w:tr>
    </w:tbl>
    <w:p w14:paraId="347C550D" w14:textId="77777777" w:rsidR="002D2FBC" w:rsidRPr="00AA7A95" w:rsidRDefault="002D2FBC" w:rsidP="00D05ADC">
      <w:pPr>
        <w:spacing w:after="0" w:line="120" w:lineRule="auto"/>
        <w:rPr>
          <w:highlight w:val="yellow"/>
        </w:rPr>
      </w:pPr>
    </w:p>
    <w:tbl>
      <w:tblPr>
        <w:tblStyle w:val="TableGrid"/>
        <w:tblW w:w="9624" w:type="dxa"/>
        <w:tblLayout w:type="fixed"/>
        <w:tblLook w:val="04A0" w:firstRow="1" w:lastRow="0" w:firstColumn="1" w:lastColumn="0" w:noHBand="0" w:noVBand="1"/>
      </w:tblPr>
      <w:tblGrid>
        <w:gridCol w:w="9624"/>
      </w:tblGrid>
      <w:tr w:rsidR="00880E9F" w:rsidRPr="00566BDC" w14:paraId="1CA5B16E" w14:textId="77777777" w:rsidTr="006C1E7A">
        <w:trPr>
          <w:trHeight w:val="1824"/>
        </w:trPr>
        <w:tc>
          <w:tcPr>
            <w:tcW w:w="9624" w:type="dxa"/>
            <w:tcBorders>
              <w:top w:val="double" w:sz="4" w:space="0" w:color="auto"/>
              <w:left w:val="double" w:sz="4" w:space="0" w:color="auto"/>
              <w:bottom w:val="double" w:sz="4" w:space="0" w:color="auto"/>
              <w:right w:val="double" w:sz="4" w:space="0" w:color="auto"/>
            </w:tcBorders>
          </w:tcPr>
          <w:p w14:paraId="5B6E1D45" w14:textId="08E6F6EA" w:rsidR="00524FEE" w:rsidRPr="00AA7A95" w:rsidRDefault="00524FEE" w:rsidP="00F45560">
            <w:pPr>
              <w:spacing w:after="0" w:line="240" w:lineRule="auto"/>
              <w:rPr>
                <w:b/>
                <w:color w:val="auto"/>
                <w:highlight w:val="yellow"/>
              </w:rPr>
            </w:pPr>
          </w:p>
          <w:p w14:paraId="243C294A" w14:textId="23608F2A" w:rsidR="003B0CD1" w:rsidRPr="00997FB9" w:rsidRDefault="007650BC" w:rsidP="00F45560">
            <w:pPr>
              <w:spacing w:after="0" w:line="240" w:lineRule="auto"/>
              <w:rPr>
                <w:b/>
                <w:color w:val="auto"/>
              </w:rPr>
            </w:pPr>
            <w:r w:rsidRPr="00997FB9">
              <w:rPr>
                <w:b/>
                <w:color w:val="auto"/>
              </w:rPr>
              <w:t xml:space="preserve">SUMMARY </w:t>
            </w:r>
            <w:r w:rsidR="00F02345" w:rsidRPr="00997FB9">
              <w:rPr>
                <w:b/>
                <w:color w:val="auto"/>
              </w:rPr>
              <w:t>OF REPORT</w:t>
            </w:r>
            <w:r w:rsidR="002B7229" w:rsidRPr="00997FB9">
              <w:rPr>
                <w:b/>
                <w:color w:val="auto"/>
              </w:rPr>
              <w:t>:</w:t>
            </w:r>
            <w:r w:rsidR="00B17BE3" w:rsidRPr="00997FB9">
              <w:rPr>
                <w:b/>
                <w:color w:val="auto"/>
              </w:rPr>
              <w:t xml:space="preserve"> </w:t>
            </w:r>
          </w:p>
          <w:p w14:paraId="05B618FF" w14:textId="77777777" w:rsidR="00E763C6" w:rsidRPr="00997FB9" w:rsidRDefault="00E763C6" w:rsidP="00F45560">
            <w:pPr>
              <w:spacing w:after="0" w:line="240" w:lineRule="auto"/>
              <w:rPr>
                <w:bCs/>
                <w:color w:val="auto"/>
              </w:rPr>
            </w:pPr>
          </w:p>
          <w:p w14:paraId="0CD71157" w14:textId="7E501165" w:rsidR="003B0CD1" w:rsidRPr="00997FB9" w:rsidRDefault="003B0CD1" w:rsidP="00F45560">
            <w:pPr>
              <w:spacing w:after="0" w:line="240" w:lineRule="auto"/>
              <w:jc w:val="both"/>
              <w:rPr>
                <w:bCs/>
                <w:color w:val="000000" w:themeColor="text1"/>
              </w:rPr>
            </w:pPr>
            <w:r w:rsidRPr="00997FB9">
              <w:rPr>
                <w:bCs/>
                <w:color w:val="auto"/>
              </w:rPr>
              <w:t xml:space="preserve">The </w:t>
            </w:r>
            <w:r w:rsidRPr="00997FB9">
              <w:rPr>
                <w:bCs/>
                <w:color w:val="000000" w:themeColor="text1"/>
              </w:rPr>
              <w:t>purpose of this paper is to provide the Board with the latest published performance position against the priority objectives in the 2024/25 HNY ICB Operational plan</w:t>
            </w:r>
            <w:r w:rsidRPr="00997FB9">
              <w:rPr>
                <w:color w:val="000000" w:themeColor="text1"/>
              </w:rPr>
              <w:t xml:space="preserve">.  </w:t>
            </w:r>
            <w:r w:rsidRPr="00997FB9">
              <w:rPr>
                <w:bCs/>
                <w:color w:val="000000" w:themeColor="text1"/>
              </w:rPr>
              <w:t xml:space="preserve">This month's report continues the new format that was initiated </w:t>
            </w:r>
            <w:r w:rsidR="00997FB9" w:rsidRPr="00997FB9">
              <w:rPr>
                <w:bCs/>
                <w:color w:val="000000" w:themeColor="text1"/>
              </w:rPr>
              <w:t>for 2024/25</w:t>
            </w:r>
            <w:r w:rsidRPr="00997FB9">
              <w:rPr>
                <w:bCs/>
                <w:color w:val="000000" w:themeColor="text1"/>
              </w:rPr>
              <w:t>.  The report highlights how short term annual targets relate to longer term aims and objectives of the ICB, and the performance delivery against annual planning targets.  The report use</w:t>
            </w:r>
            <w:r w:rsidR="00331868">
              <w:rPr>
                <w:bCs/>
                <w:color w:val="000000" w:themeColor="text1"/>
              </w:rPr>
              <w:t>s</w:t>
            </w:r>
            <w:r w:rsidRPr="00997FB9">
              <w:rPr>
                <w:bCs/>
                <w:color w:val="000000" w:themeColor="text1"/>
              </w:rPr>
              <w:t xml:space="preserve"> the latest published data available</w:t>
            </w:r>
            <w:r w:rsidR="001579C0" w:rsidRPr="00997FB9">
              <w:rPr>
                <w:bCs/>
                <w:color w:val="000000" w:themeColor="text1"/>
              </w:rPr>
              <w:t>.</w:t>
            </w:r>
          </w:p>
          <w:p w14:paraId="57EC90AE" w14:textId="77777777" w:rsidR="00890AAB" w:rsidRPr="00AA7A95" w:rsidRDefault="00890AAB" w:rsidP="00F45560">
            <w:pPr>
              <w:spacing w:after="0" w:line="240" w:lineRule="auto"/>
              <w:jc w:val="both"/>
              <w:rPr>
                <w:bCs/>
                <w:color w:val="000000" w:themeColor="text1"/>
                <w:highlight w:val="yellow"/>
              </w:rPr>
            </w:pPr>
          </w:p>
          <w:p w14:paraId="31C0F745" w14:textId="28BC26AA" w:rsidR="003B0CD1" w:rsidRPr="008C4B93" w:rsidRDefault="003B0CD1" w:rsidP="00F45560">
            <w:pPr>
              <w:spacing w:after="0" w:line="240" w:lineRule="auto"/>
              <w:jc w:val="both"/>
              <w:rPr>
                <w:bCs/>
                <w:color w:val="000000" w:themeColor="text1"/>
              </w:rPr>
            </w:pPr>
            <w:r w:rsidRPr="008C4B93">
              <w:rPr>
                <w:bCs/>
                <w:color w:val="000000" w:themeColor="text1"/>
              </w:rPr>
              <w:t>For the priority indicators, the report includes a summary overview of performance for the latest reported month, as well as a</w:t>
            </w:r>
            <w:r w:rsidR="00B10B87">
              <w:rPr>
                <w:bCs/>
                <w:color w:val="000000" w:themeColor="text1"/>
              </w:rPr>
              <w:t xml:space="preserve"> </w:t>
            </w:r>
            <w:r w:rsidR="00B10B87" w:rsidRPr="00550283">
              <w:rPr>
                <w:bCs/>
                <w:color w:val="000000" w:themeColor="text1"/>
              </w:rPr>
              <w:t xml:space="preserve">month by month </w:t>
            </w:r>
            <w:r w:rsidRPr="008C4B93">
              <w:rPr>
                <w:bCs/>
                <w:color w:val="000000" w:themeColor="text1"/>
              </w:rPr>
              <w:t xml:space="preserve">view to allow the board to see performance over time.  There is also a one page summary of performance for each of the priorities </w:t>
            </w:r>
            <w:r w:rsidR="00890AAB" w:rsidRPr="008C4B93">
              <w:rPr>
                <w:bCs/>
                <w:color w:val="000000" w:themeColor="text1"/>
              </w:rPr>
              <w:t xml:space="preserve">with </w:t>
            </w:r>
            <w:r w:rsidR="00E439C6" w:rsidRPr="008C4B93">
              <w:rPr>
                <w:bCs/>
                <w:color w:val="000000" w:themeColor="text1"/>
              </w:rPr>
              <w:t xml:space="preserve">a </w:t>
            </w:r>
            <w:r w:rsidRPr="008C4B93">
              <w:rPr>
                <w:bCs/>
                <w:color w:val="000000" w:themeColor="text1"/>
              </w:rPr>
              <w:t>time series chart where available, objective text regarding the performance delivery, and key actions that are being taken.  There are also extra charts giving the latest performance for the indicators not prioritised in the report</w:t>
            </w:r>
            <w:r w:rsidR="00B313BF" w:rsidRPr="008C4B93">
              <w:rPr>
                <w:bCs/>
                <w:color w:val="000000" w:themeColor="text1"/>
              </w:rPr>
              <w:t xml:space="preserve">, and further text and charts related to performance </w:t>
            </w:r>
            <w:r w:rsidR="00E0647A" w:rsidRPr="008C4B93">
              <w:rPr>
                <w:bCs/>
                <w:color w:val="000000" w:themeColor="text1"/>
              </w:rPr>
              <w:t>aspects of the operational plan that relate to Quality, Finance and Workforce.</w:t>
            </w:r>
          </w:p>
          <w:p w14:paraId="359859B3" w14:textId="77777777" w:rsidR="003B0CD1" w:rsidRPr="008C4B93" w:rsidRDefault="003B0CD1" w:rsidP="00F45560">
            <w:pPr>
              <w:spacing w:after="0" w:line="240" w:lineRule="auto"/>
              <w:jc w:val="both"/>
              <w:rPr>
                <w:bCs/>
                <w:color w:val="000000" w:themeColor="text1"/>
              </w:rPr>
            </w:pPr>
          </w:p>
          <w:p w14:paraId="30B5EDC9" w14:textId="77AAD1A1" w:rsidR="003B0CD1" w:rsidRPr="008C4B93" w:rsidRDefault="003B0CD1" w:rsidP="00F45560">
            <w:pPr>
              <w:spacing w:after="0" w:line="240" w:lineRule="auto"/>
              <w:jc w:val="both"/>
              <w:rPr>
                <w:bCs/>
                <w:color w:val="auto"/>
              </w:rPr>
            </w:pPr>
            <w:r w:rsidRPr="008C4B93">
              <w:rPr>
                <w:bCs/>
                <w:color w:val="000000" w:themeColor="text1"/>
              </w:rPr>
              <w:t xml:space="preserve">The Planning and Performance and Business Intelligence Teams are keen to work with the Board regarding the new format and in particular make sure that the priority indicators identified reflect the priorities of the Board.  </w:t>
            </w:r>
            <w:r w:rsidRPr="008C4B93">
              <w:rPr>
                <w:bCs/>
                <w:color w:val="auto"/>
              </w:rPr>
              <w:t>This cover sheet describes an executive summary of the report and areas the Board may wish to review in more detail in the full report</w:t>
            </w:r>
            <w:r w:rsidR="006B503B">
              <w:rPr>
                <w:bCs/>
                <w:color w:val="auto"/>
              </w:rPr>
              <w:t>.  The report is largely concerned with M5</w:t>
            </w:r>
            <w:r w:rsidR="00AC23A5">
              <w:rPr>
                <w:bCs/>
                <w:color w:val="auto"/>
              </w:rPr>
              <w:t xml:space="preserve"> (M6 for UEC) and we are therefore reaching a midpoint in the year</w:t>
            </w:r>
            <w:r w:rsidRPr="008C4B93">
              <w:rPr>
                <w:bCs/>
                <w:color w:val="auto"/>
              </w:rPr>
              <w:t>:</w:t>
            </w:r>
          </w:p>
          <w:p w14:paraId="4E7015FB" w14:textId="77777777" w:rsidR="003B0CD1" w:rsidRPr="006E3A9D" w:rsidRDefault="003B0CD1" w:rsidP="00F45560">
            <w:pPr>
              <w:spacing w:after="0" w:line="240" w:lineRule="auto"/>
              <w:jc w:val="both"/>
              <w:rPr>
                <w:bCs/>
                <w:color w:val="auto"/>
              </w:rPr>
            </w:pPr>
          </w:p>
          <w:p w14:paraId="3D080F7B" w14:textId="77777777" w:rsidR="003B0CD1" w:rsidRPr="006E3A9D" w:rsidRDefault="003B0CD1" w:rsidP="00F45560">
            <w:pPr>
              <w:spacing w:after="0" w:line="240" w:lineRule="auto"/>
              <w:jc w:val="both"/>
              <w:rPr>
                <w:b/>
                <w:color w:val="auto"/>
              </w:rPr>
            </w:pPr>
            <w:r w:rsidRPr="006E3A9D">
              <w:rPr>
                <w:b/>
                <w:color w:val="auto"/>
              </w:rPr>
              <w:t>Urgent and Emergency Care</w:t>
            </w:r>
          </w:p>
          <w:p w14:paraId="7710ACAD" w14:textId="2B207932" w:rsidR="003B0CD1" w:rsidRDefault="003B0CD1" w:rsidP="00F45560">
            <w:pPr>
              <w:spacing w:after="0" w:line="240" w:lineRule="auto"/>
              <w:jc w:val="both"/>
              <w:rPr>
                <w:bCs/>
                <w:color w:val="auto"/>
              </w:rPr>
            </w:pPr>
            <w:r w:rsidRPr="006E3A9D">
              <w:rPr>
                <w:bCs/>
                <w:color w:val="auto"/>
                <w:lang w:val="en-US"/>
              </w:rPr>
              <w:t xml:space="preserve">UEC 4-hour performance in </w:t>
            </w:r>
            <w:r w:rsidR="00345092">
              <w:rPr>
                <w:bCs/>
                <w:color w:val="auto"/>
                <w:lang w:val="en-US"/>
              </w:rPr>
              <w:t>September</w:t>
            </w:r>
            <w:r w:rsidRPr="006E3A9D">
              <w:rPr>
                <w:bCs/>
                <w:color w:val="auto"/>
                <w:lang w:val="en-US"/>
              </w:rPr>
              <w:t xml:space="preserve"> for the overall ICB system was 7</w:t>
            </w:r>
            <w:r w:rsidR="00DE6766">
              <w:rPr>
                <w:bCs/>
                <w:color w:val="auto"/>
                <w:lang w:val="en-US"/>
              </w:rPr>
              <w:t>1.8</w:t>
            </w:r>
            <w:r w:rsidRPr="006E3A9D">
              <w:rPr>
                <w:bCs/>
                <w:color w:val="auto"/>
                <w:lang w:val="en-US"/>
              </w:rPr>
              <w:t>%</w:t>
            </w:r>
            <w:r w:rsidR="00022EC8" w:rsidRPr="006E3A9D">
              <w:rPr>
                <w:bCs/>
                <w:color w:val="auto"/>
                <w:lang w:val="en-US"/>
              </w:rPr>
              <w:t xml:space="preserve"> (end of year target 78%)</w:t>
            </w:r>
            <w:r w:rsidRPr="006E3A9D">
              <w:rPr>
                <w:bCs/>
                <w:color w:val="auto"/>
                <w:lang w:val="en-US"/>
              </w:rPr>
              <w:t xml:space="preserve">.  The UEC plan being monitored by NHSE is for the acute providers </w:t>
            </w:r>
            <w:r w:rsidR="0057096E" w:rsidRPr="006E3A9D">
              <w:rPr>
                <w:bCs/>
                <w:color w:val="auto"/>
                <w:lang w:val="en-US"/>
              </w:rPr>
              <w:t>only</w:t>
            </w:r>
            <w:r w:rsidR="00B10B87">
              <w:rPr>
                <w:bCs/>
                <w:color w:val="auto"/>
                <w:lang w:val="en-US"/>
              </w:rPr>
              <w:t>,</w:t>
            </w:r>
            <w:r w:rsidR="0057096E" w:rsidRPr="006E3A9D">
              <w:rPr>
                <w:bCs/>
                <w:color w:val="auto"/>
                <w:lang w:val="en-US"/>
              </w:rPr>
              <w:t xml:space="preserve"> and</w:t>
            </w:r>
            <w:r w:rsidRPr="006E3A9D">
              <w:rPr>
                <w:bCs/>
                <w:color w:val="auto"/>
                <w:lang w:val="en-US"/>
              </w:rPr>
              <w:t xml:space="preserve"> was set at 6</w:t>
            </w:r>
            <w:r w:rsidR="00DF0F5C" w:rsidRPr="006E3A9D">
              <w:rPr>
                <w:bCs/>
                <w:color w:val="auto"/>
                <w:lang w:val="en-US"/>
              </w:rPr>
              <w:t>8.</w:t>
            </w:r>
            <w:r w:rsidR="00DE6766">
              <w:rPr>
                <w:bCs/>
                <w:color w:val="auto"/>
                <w:lang w:val="en-US"/>
              </w:rPr>
              <w:t>3</w:t>
            </w:r>
            <w:r w:rsidRPr="006E3A9D">
              <w:rPr>
                <w:bCs/>
                <w:color w:val="auto"/>
                <w:lang w:val="en-US"/>
              </w:rPr>
              <w:t>%</w:t>
            </w:r>
            <w:r w:rsidR="00DF0F5C" w:rsidRPr="006E3A9D">
              <w:rPr>
                <w:bCs/>
                <w:color w:val="auto"/>
                <w:lang w:val="en-US"/>
              </w:rPr>
              <w:t xml:space="preserve"> for </w:t>
            </w:r>
            <w:r w:rsidR="00DE6766">
              <w:rPr>
                <w:bCs/>
                <w:color w:val="auto"/>
                <w:lang w:val="en-US"/>
              </w:rPr>
              <w:t>September</w:t>
            </w:r>
            <w:r w:rsidR="00DF0F5C" w:rsidRPr="006E3A9D">
              <w:rPr>
                <w:bCs/>
                <w:color w:val="auto"/>
                <w:lang w:val="en-US"/>
              </w:rPr>
              <w:t xml:space="preserve"> with actual performance of </w:t>
            </w:r>
            <w:r w:rsidR="00437149" w:rsidRPr="006E3A9D">
              <w:rPr>
                <w:bCs/>
                <w:color w:val="auto"/>
                <w:lang w:val="en-US"/>
              </w:rPr>
              <w:t>6</w:t>
            </w:r>
            <w:r w:rsidR="00D12F29">
              <w:rPr>
                <w:bCs/>
                <w:color w:val="auto"/>
                <w:lang w:val="en-US"/>
              </w:rPr>
              <w:t>7</w:t>
            </w:r>
            <w:r w:rsidR="00437149" w:rsidRPr="006E3A9D">
              <w:rPr>
                <w:bCs/>
                <w:color w:val="auto"/>
                <w:lang w:val="en-US"/>
              </w:rPr>
              <w:t xml:space="preserve">%. </w:t>
            </w:r>
            <w:r w:rsidR="00777C6F" w:rsidRPr="006E3A9D">
              <w:rPr>
                <w:bCs/>
                <w:color w:val="auto"/>
                <w:lang w:val="en-US"/>
              </w:rPr>
              <w:t>HUTH (6</w:t>
            </w:r>
            <w:r w:rsidR="00D12F29">
              <w:rPr>
                <w:bCs/>
                <w:color w:val="auto"/>
                <w:lang w:val="en-US"/>
              </w:rPr>
              <w:t>1.7</w:t>
            </w:r>
            <w:r w:rsidR="00777C6F" w:rsidRPr="006E3A9D">
              <w:rPr>
                <w:bCs/>
                <w:color w:val="auto"/>
                <w:lang w:val="en-US"/>
              </w:rPr>
              <w:t>%) and Y&amp;SFT (6</w:t>
            </w:r>
            <w:r w:rsidR="00D12F29">
              <w:rPr>
                <w:bCs/>
                <w:color w:val="auto"/>
                <w:lang w:val="en-US"/>
              </w:rPr>
              <w:t>4</w:t>
            </w:r>
            <w:r w:rsidR="00777C6F" w:rsidRPr="006E3A9D">
              <w:rPr>
                <w:bCs/>
                <w:color w:val="auto"/>
                <w:lang w:val="en-US"/>
              </w:rPr>
              <w:t>.</w:t>
            </w:r>
            <w:r w:rsidR="00D12F29">
              <w:rPr>
                <w:bCs/>
                <w:color w:val="auto"/>
                <w:lang w:val="en-US"/>
              </w:rPr>
              <w:t>4</w:t>
            </w:r>
            <w:r w:rsidR="00777C6F" w:rsidRPr="006E3A9D">
              <w:rPr>
                <w:bCs/>
                <w:color w:val="auto"/>
                <w:lang w:val="en-US"/>
              </w:rPr>
              <w:t xml:space="preserve">%) were lowest performing Trusts. UEC performance at HNY has been challenged by NHSE and the ICB is in national UEC Tier 2. The </w:t>
            </w:r>
            <w:r w:rsidR="0057096E" w:rsidRPr="006E3A9D">
              <w:rPr>
                <w:bCs/>
                <w:color w:val="auto"/>
                <w:lang w:val="en-US"/>
              </w:rPr>
              <w:t>year-end</w:t>
            </w:r>
            <w:r w:rsidR="00777C6F" w:rsidRPr="006E3A9D">
              <w:rPr>
                <w:bCs/>
                <w:color w:val="auto"/>
                <w:lang w:val="en-US"/>
              </w:rPr>
              <w:t xml:space="preserve"> target for the acute providers is 73.2%. </w:t>
            </w:r>
            <w:r w:rsidRPr="006E3A9D">
              <w:rPr>
                <w:bCs/>
                <w:color w:val="auto"/>
              </w:rPr>
              <w:t>Urgent and Emergency Care is an area of particular focus</w:t>
            </w:r>
            <w:r w:rsidR="00777C6F" w:rsidRPr="006E3A9D">
              <w:rPr>
                <w:bCs/>
                <w:color w:val="auto"/>
              </w:rPr>
              <w:t xml:space="preserve"> by operational and quality leads</w:t>
            </w:r>
            <w:r w:rsidRPr="006E3A9D">
              <w:rPr>
                <w:bCs/>
                <w:color w:val="auto"/>
              </w:rPr>
              <w:t>, and the subject of much attention and short term Recovery Plans across the ICB footprint.</w:t>
            </w:r>
          </w:p>
          <w:p w14:paraId="14BAED9E" w14:textId="77777777" w:rsidR="00F45560" w:rsidRDefault="00F45560" w:rsidP="00F45560">
            <w:pPr>
              <w:spacing w:after="0" w:line="240" w:lineRule="auto"/>
              <w:jc w:val="both"/>
              <w:rPr>
                <w:bCs/>
                <w:color w:val="auto"/>
              </w:rPr>
            </w:pPr>
          </w:p>
          <w:p w14:paraId="5A167FE5" w14:textId="77777777" w:rsidR="00E83BDF" w:rsidRDefault="00E83BDF" w:rsidP="00F45560">
            <w:pPr>
              <w:spacing w:after="0" w:line="240" w:lineRule="auto"/>
              <w:jc w:val="both"/>
              <w:rPr>
                <w:bCs/>
                <w:color w:val="auto"/>
              </w:rPr>
            </w:pPr>
          </w:p>
          <w:p w14:paraId="1888A655" w14:textId="77777777" w:rsidR="00E83BDF" w:rsidRPr="006E3A9D" w:rsidRDefault="00E83BDF" w:rsidP="00F45560">
            <w:pPr>
              <w:spacing w:after="0" w:line="240" w:lineRule="auto"/>
              <w:jc w:val="both"/>
              <w:rPr>
                <w:bCs/>
                <w:color w:val="auto"/>
              </w:rPr>
            </w:pPr>
          </w:p>
          <w:p w14:paraId="55BD4D67" w14:textId="77777777" w:rsidR="003B0CD1" w:rsidRPr="006E3A9D" w:rsidRDefault="003B0CD1" w:rsidP="00F45560">
            <w:pPr>
              <w:spacing w:after="0" w:line="240" w:lineRule="auto"/>
              <w:jc w:val="both"/>
              <w:rPr>
                <w:b/>
                <w:color w:val="000000" w:themeColor="text1"/>
                <w:lang w:val="en-US"/>
              </w:rPr>
            </w:pPr>
            <w:r w:rsidRPr="006E3A9D">
              <w:rPr>
                <w:b/>
                <w:color w:val="000000" w:themeColor="text1"/>
                <w:lang w:val="en-US"/>
              </w:rPr>
              <w:lastRenderedPageBreak/>
              <w:t>Planned Care</w:t>
            </w:r>
          </w:p>
          <w:p w14:paraId="5A4F3944" w14:textId="65320795" w:rsidR="003B0CD1" w:rsidRDefault="003B0CD1" w:rsidP="00F45560">
            <w:pPr>
              <w:spacing w:after="0" w:line="240" w:lineRule="auto"/>
              <w:jc w:val="both"/>
              <w:rPr>
                <w:bCs/>
                <w:color w:val="000000" w:themeColor="text1"/>
                <w:lang w:val="en-US"/>
              </w:rPr>
            </w:pPr>
            <w:r w:rsidRPr="006E3A9D">
              <w:rPr>
                <w:bCs/>
                <w:color w:val="000000" w:themeColor="text1"/>
                <w:lang w:val="en-US"/>
              </w:rPr>
              <w:t>The priority indicator for planned care is the 65</w:t>
            </w:r>
            <w:r w:rsidR="000C325B" w:rsidRPr="006E3A9D">
              <w:rPr>
                <w:bCs/>
                <w:color w:val="000000" w:themeColor="text1"/>
                <w:lang w:val="en-US"/>
              </w:rPr>
              <w:t>-</w:t>
            </w:r>
            <w:r w:rsidRPr="006E3A9D">
              <w:rPr>
                <w:bCs/>
                <w:color w:val="000000" w:themeColor="text1"/>
                <w:lang w:val="en-US"/>
              </w:rPr>
              <w:t xml:space="preserve">week breach number (patients waiting over 65 weeks for planned care), with the target being 0 patients by September 2024.  The other key indicators in planned care are the Total Waiting List size and a new indicator related to the proportion of total outpatients that are first appointments.  </w:t>
            </w:r>
            <w:r w:rsidR="00D12F29">
              <w:rPr>
                <w:bCs/>
                <w:color w:val="000000" w:themeColor="text1"/>
                <w:lang w:val="en-US"/>
              </w:rPr>
              <w:t>August</w:t>
            </w:r>
            <w:r w:rsidR="00777C6F" w:rsidRPr="006E3A9D">
              <w:rPr>
                <w:bCs/>
                <w:color w:val="000000" w:themeColor="text1"/>
                <w:lang w:val="en-US"/>
              </w:rPr>
              <w:t xml:space="preserve"> </w:t>
            </w:r>
            <w:r w:rsidR="000D3D48" w:rsidRPr="006E3A9D">
              <w:rPr>
                <w:bCs/>
                <w:color w:val="000000" w:themeColor="text1"/>
                <w:lang w:val="en-US"/>
              </w:rPr>
              <w:t xml:space="preserve">performance improved from </w:t>
            </w:r>
            <w:r w:rsidR="006B448B" w:rsidRPr="006E3A9D">
              <w:rPr>
                <w:bCs/>
                <w:color w:val="000000" w:themeColor="text1"/>
                <w:lang w:val="en-US"/>
              </w:rPr>
              <w:t>Ju</w:t>
            </w:r>
            <w:r w:rsidR="00D12F29">
              <w:rPr>
                <w:bCs/>
                <w:color w:val="000000" w:themeColor="text1"/>
                <w:lang w:val="en-US"/>
              </w:rPr>
              <w:t>ly</w:t>
            </w:r>
            <w:r w:rsidR="000C325B" w:rsidRPr="006E3A9D">
              <w:rPr>
                <w:bCs/>
                <w:color w:val="000000" w:themeColor="text1"/>
                <w:lang w:val="en-US"/>
              </w:rPr>
              <w:t xml:space="preserve"> </w:t>
            </w:r>
            <w:r w:rsidR="000D3D48" w:rsidRPr="006E3A9D">
              <w:rPr>
                <w:bCs/>
                <w:color w:val="000000" w:themeColor="text1"/>
                <w:lang w:val="en-US"/>
              </w:rPr>
              <w:t xml:space="preserve">but </w:t>
            </w:r>
            <w:r w:rsidR="006B448B" w:rsidRPr="006E3A9D">
              <w:rPr>
                <w:bCs/>
                <w:color w:val="000000" w:themeColor="text1"/>
                <w:lang w:val="en-US"/>
              </w:rPr>
              <w:t>remained</w:t>
            </w:r>
            <w:r w:rsidR="000D3D48" w:rsidRPr="006E3A9D">
              <w:rPr>
                <w:bCs/>
                <w:color w:val="000000" w:themeColor="text1"/>
                <w:lang w:val="en-US"/>
              </w:rPr>
              <w:t xml:space="preserve"> behind plan</w:t>
            </w:r>
            <w:r w:rsidR="00E57E85" w:rsidRPr="006E3A9D">
              <w:rPr>
                <w:bCs/>
                <w:color w:val="000000" w:themeColor="text1"/>
                <w:lang w:val="en-US"/>
              </w:rPr>
              <w:t xml:space="preserve">; actuals were </w:t>
            </w:r>
            <w:r w:rsidR="00247D8B" w:rsidRPr="006E3A9D">
              <w:rPr>
                <w:bCs/>
                <w:color w:val="000000" w:themeColor="text1"/>
                <w:lang w:val="en-US"/>
              </w:rPr>
              <w:t>1</w:t>
            </w:r>
            <w:r w:rsidR="00CB7B42">
              <w:rPr>
                <w:bCs/>
                <w:color w:val="000000" w:themeColor="text1"/>
                <w:lang w:val="en-US"/>
              </w:rPr>
              <w:t>19</w:t>
            </w:r>
            <w:r w:rsidR="00E57E85" w:rsidRPr="006E3A9D">
              <w:rPr>
                <w:bCs/>
                <w:color w:val="000000" w:themeColor="text1"/>
                <w:lang w:val="en-US"/>
              </w:rPr>
              <w:t xml:space="preserve"> against a plan of </w:t>
            </w:r>
            <w:r w:rsidR="00CB7B42">
              <w:rPr>
                <w:bCs/>
                <w:color w:val="000000" w:themeColor="text1"/>
                <w:lang w:val="en-US"/>
              </w:rPr>
              <w:t>33</w:t>
            </w:r>
            <w:r w:rsidR="00043E38">
              <w:rPr>
                <w:bCs/>
                <w:color w:val="000000" w:themeColor="text1"/>
                <w:lang w:val="en-US"/>
              </w:rPr>
              <w:t xml:space="preserve"> and are showing common cause variation of an improving nature</w:t>
            </w:r>
            <w:r w:rsidR="00E57E85" w:rsidRPr="006E3A9D">
              <w:rPr>
                <w:bCs/>
                <w:color w:val="000000" w:themeColor="text1"/>
                <w:lang w:val="en-US"/>
              </w:rPr>
              <w:t xml:space="preserve">.  Performance is being managed at </w:t>
            </w:r>
            <w:r w:rsidR="00791F0D" w:rsidRPr="006E3A9D">
              <w:rPr>
                <w:bCs/>
                <w:color w:val="000000" w:themeColor="text1"/>
                <w:lang w:val="en-US"/>
              </w:rPr>
              <w:t>individual provider and specialty line level</w:t>
            </w:r>
            <w:r w:rsidR="00B83395" w:rsidRPr="006E3A9D">
              <w:rPr>
                <w:bCs/>
                <w:color w:val="000000" w:themeColor="text1"/>
                <w:lang w:val="en-US"/>
              </w:rPr>
              <w:t xml:space="preserve">.  </w:t>
            </w:r>
            <w:r w:rsidRPr="006E3A9D">
              <w:rPr>
                <w:bCs/>
                <w:color w:val="000000" w:themeColor="text1"/>
                <w:lang w:val="en-US"/>
              </w:rPr>
              <w:t xml:space="preserve">The report gives further detail on which providers and specialties are driving this position. </w:t>
            </w:r>
            <w:r w:rsidR="00CB7B42">
              <w:rPr>
                <w:bCs/>
                <w:color w:val="000000" w:themeColor="text1"/>
                <w:lang w:val="en-US"/>
              </w:rPr>
              <w:t>Unvali</w:t>
            </w:r>
            <w:r w:rsidR="00EE536B">
              <w:rPr>
                <w:bCs/>
                <w:color w:val="000000" w:themeColor="text1"/>
                <w:lang w:val="en-US"/>
              </w:rPr>
              <w:t xml:space="preserve">dated data suggests the September </w:t>
            </w:r>
            <w:r w:rsidR="004E7484">
              <w:rPr>
                <w:bCs/>
                <w:color w:val="000000" w:themeColor="text1"/>
                <w:lang w:val="en-US"/>
              </w:rPr>
              <w:t xml:space="preserve">target of 0 </w:t>
            </w:r>
            <w:r w:rsidR="00FC620F">
              <w:rPr>
                <w:bCs/>
                <w:color w:val="000000" w:themeColor="text1"/>
                <w:lang w:val="en-US"/>
              </w:rPr>
              <w:t xml:space="preserve">will not be delivered and there will be </w:t>
            </w:r>
            <w:r w:rsidR="00EE536B">
              <w:rPr>
                <w:bCs/>
                <w:color w:val="000000" w:themeColor="text1"/>
                <w:lang w:val="en-US"/>
              </w:rPr>
              <w:t xml:space="preserve">45 </w:t>
            </w:r>
            <w:r w:rsidR="00FC620F">
              <w:rPr>
                <w:bCs/>
                <w:color w:val="000000" w:themeColor="text1"/>
                <w:lang w:val="en-US"/>
              </w:rPr>
              <w:t xml:space="preserve">patients waiting </w:t>
            </w:r>
            <w:r w:rsidR="00B04A46">
              <w:rPr>
                <w:bCs/>
                <w:color w:val="000000" w:themeColor="text1"/>
                <w:lang w:val="en-US"/>
              </w:rPr>
              <w:t>over 65 week.  A</w:t>
            </w:r>
            <w:r w:rsidR="00EE536B">
              <w:rPr>
                <w:bCs/>
                <w:color w:val="000000" w:themeColor="text1"/>
                <w:lang w:val="en-US"/>
              </w:rPr>
              <w:t xml:space="preserve">lthough </w:t>
            </w:r>
            <w:r w:rsidR="00B04A46">
              <w:rPr>
                <w:bCs/>
                <w:color w:val="000000" w:themeColor="text1"/>
                <w:lang w:val="en-US"/>
              </w:rPr>
              <w:t xml:space="preserve">this is </w:t>
            </w:r>
            <w:r w:rsidR="00EE536B">
              <w:rPr>
                <w:bCs/>
                <w:color w:val="000000" w:themeColor="text1"/>
                <w:lang w:val="en-US"/>
              </w:rPr>
              <w:t xml:space="preserve">above the 0 target, </w:t>
            </w:r>
            <w:r w:rsidR="00B04A46">
              <w:rPr>
                <w:bCs/>
                <w:color w:val="000000" w:themeColor="text1"/>
                <w:lang w:val="en-US"/>
              </w:rPr>
              <w:t xml:space="preserve">it </w:t>
            </w:r>
            <w:r w:rsidR="00EE536B">
              <w:rPr>
                <w:bCs/>
                <w:color w:val="000000" w:themeColor="text1"/>
                <w:lang w:val="en-US"/>
              </w:rPr>
              <w:t xml:space="preserve">puts HNY as the best performing ICB in </w:t>
            </w:r>
            <w:r w:rsidR="00903BE7">
              <w:rPr>
                <w:bCs/>
                <w:color w:val="000000" w:themeColor="text1"/>
                <w:lang w:val="en-US"/>
              </w:rPr>
              <w:t>the region</w:t>
            </w:r>
            <w:r w:rsidR="00EE536B">
              <w:rPr>
                <w:bCs/>
                <w:color w:val="000000" w:themeColor="text1"/>
                <w:lang w:val="en-US"/>
              </w:rPr>
              <w:t xml:space="preserve">.  </w:t>
            </w:r>
            <w:r w:rsidRPr="006E3A9D">
              <w:rPr>
                <w:bCs/>
                <w:color w:val="000000" w:themeColor="text1"/>
                <w:lang w:val="en-US"/>
              </w:rPr>
              <w:t xml:space="preserve">The secondary target related to Total Waiting List size </w:t>
            </w:r>
            <w:r w:rsidR="00E648FA" w:rsidRPr="006E3A9D">
              <w:rPr>
                <w:bCs/>
                <w:color w:val="000000" w:themeColor="text1"/>
                <w:lang w:val="en-US"/>
              </w:rPr>
              <w:t xml:space="preserve">saw a </w:t>
            </w:r>
            <w:r w:rsidR="00903BE7">
              <w:rPr>
                <w:bCs/>
                <w:color w:val="000000" w:themeColor="text1"/>
                <w:lang w:val="en-US"/>
              </w:rPr>
              <w:t xml:space="preserve">further </w:t>
            </w:r>
            <w:r w:rsidR="00E648FA" w:rsidRPr="006E3A9D">
              <w:rPr>
                <w:bCs/>
                <w:color w:val="000000" w:themeColor="text1"/>
                <w:lang w:val="en-US"/>
              </w:rPr>
              <w:t xml:space="preserve">slight reduction overall </w:t>
            </w:r>
            <w:r w:rsidR="00903BE7">
              <w:rPr>
                <w:bCs/>
                <w:color w:val="000000" w:themeColor="text1"/>
                <w:lang w:val="en-US"/>
              </w:rPr>
              <w:t>for the second mont</w:t>
            </w:r>
            <w:r w:rsidR="00E17DCB">
              <w:rPr>
                <w:bCs/>
                <w:color w:val="000000" w:themeColor="text1"/>
                <w:lang w:val="en-US"/>
              </w:rPr>
              <w:t xml:space="preserve">h running. </w:t>
            </w:r>
            <w:r w:rsidRPr="006E3A9D">
              <w:rPr>
                <w:bCs/>
                <w:color w:val="000000" w:themeColor="text1"/>
                <w:lang w:val="en-US"/>
              </w:rPr>
              <w:t xml:space="preserve">Information suggests </w:t>
            </w:r>
            <w:r w:rsidR="0014697A" w:rsidRPr="006E3A9D">
              <w:rPr>
                <w:bCs/>
                <w:color w:val="000000" w:themeColor="text1"/>
                <w:lang w:val="en-US"/>
              </w:rPr>
              <w:t xml:space="preserve">the pressures to delivery in this target are </w:t>
            </w:r>
            <w:r w:rsidRPr="006E3A9D">
              <w:rPr>
                <w:bCs/>
                <w:color w:val="000000" w:themeColor="text1"/>
                <w:lang w:val="en-US"/>
              </w:rPr>
              <w:t>largely at HUTH and NLAG and relate to the non</w:t>
            </w:r>
            <w:r w:rsidR="000C325B" w:rsidRPr="006E3A9D">
              <w:rPr>
                <w:bCs/>
                <w:color w:val="000000" w:themeColor="text1"/>
                <w:lang w:val="en-US"/>
              </w:rPr>
              <w:t>-</w:t>
            </w:r>
            <w:r w:rsidRPr="006E3A9D">
              <w:rPr>
                <w:bCs/>
                <w:color w:val="000000" w:themeColor="text1"/>
                <w:lang w:val="en-US"/>
              </w:rPr>
              <w:t>admitted (Outpatient) part of the waiting list</w:t>
            </w:r>
            <w:r w:rsidR="000C325B" w:rsidRPr="006E3A9D">
              <w:rPr>
                <w:bCs/>
                <w:color w:val="000000" w:themeColor="text1"/>
                <w:lang w:val="en-US"/>
              </w:rPr>
              <w:t xml:space="preserve">.  </w:t>
            </w:r>
            <w:r w:rsidRPr="006E3A9D">
              <w:rPr>
                <w:bCs/>
                <w:color w:val="000000" w:themeColor="text1"/>
                <w:lang w:val="en-US"/>
              </w:rPr>
              <w:t>The report describes key actions that are being taken by the Elective Care Programme Board that will support both indicators.</w:t>
            </w:r>
            <w:r w:rsidR="0014697A" w:rsidRPr="006E3A9D">
              <w:rPr>
                <w:bCs/>
                <w:color w:val="000000" w:themeColor="text1"/>
                <w:lang w:val="en-US"/>
              </w:rPr>
              <w:t xml:space="preserve">  </w:t>
            </w:r>
            <w:r w:rsidR="00ED74B2" w:rsidRPr="006E3A9D">
              <w:rPr>
                <w:bCs/>
                <w:color w:val="000000" w:themeColor="text1"/>
                <w:lang w:val="en-US"/>
              </w:rPr>
              <w:t xml:space="preserve">Information was discussed at </w:t>
            </w:r>
            <w:r w:rsidR="0071484F">
              <w:rPr>
                <w:bCs/>
                <w:color w:val="000000" w:themeColor="text1"/>
                <w:lang w:val="en-US"/>
              </w:rPr>
              <w:t>System Oversight and Assurance Group (</w:t>
            </w:r>
            <w:r w:rsidR="00ED74B2" w:rsidRPr="006E3A9D">
              <w:rPr>
                <w:bCs/>
                <w:color w:val="000000" w:themeColor="text1"/>
                <w:lang w:val="en-US"/>
              </w:rPr>
              <w:t>SOAG</w:t>
            </w:r>
            <w:r w:rsidR="0071484F">
              <w:rPr>
                <w:bCs/>
                <w:color w:val="000000" w:themeColor="text1"/>
                <w:lang w:val="en-US"/>
              </w:rPr>
              <w:t>)</w:t>
            </w:r>
            <w:r w:rsidR="00ED74B2" w:rsidRPr="006E3A9D">
              <w:rPr>
                <w:bCs/>
                <w:color w:val="000000" w:themeColor="text1"/>
                <w:lang w:val="en-US"/>
              </w:rPr>
              <w:t xml:space="preserve"> that </w:t>
            </w:r>
            <w:r w:rsidR="00127AE3" w:rsidRPr="006E3A9D">
              <w:rPr>
                <w:bCs/>
                <w:color w:val="000000" w:themeColor="text1"/>
                <w:lang w:val="en-US"/>
              </w:rPr>
              <w:t>considered</w:t>
            </w:r>
            <w:r w:rsidR="00ED74B2" w:rsidRPr="006E3A9D">
              <w:rPr>
                <w:bCs/>
                <w:color w:val="000000" w:themeColor="text1"/>
                <w:lang w:val="en-US"/>
              </w:rPr>
              <w:t xml:space="preserve"> the </w:t>
            </w:r>
            <w:r w:rsidR="00E17DCB">
              <w:rPr>
                <w:bCs/>
                <w:color w:val="000000" w:themeColor="text1"/>
                <w:lang w:val="en-US"/>
              </w:rPr>
              <w:t>activity overtrade in follow ups, and whether th</w:t>
            </w:r>
            <w:r w:rsidR="00A27F44">
              <w:rPr>
                <w:bCs/>
                <w:color w:val="000000" w:themeColor="text1"/>
                <w:lang w:val="en-US"/>
              </w:rPr>
              <w:t>e patients being booked in to this activity could be considered differently in Q4 to generate increased complet</w:t>
            </w:r>
            <w:r w:rsidR="00CE3FA8">
              <w:rPr>
                <w:bCs/>
                <w:color w:val="000000" w:themeColor="text1"/>
                <w:lang w:val="en-US"/>
              </w:rPr>
              <w:t xml:space="preserve">ed pathways and increased income from the Elective Recovery Fund. </w:t>
            </w:r>
            <w:r w:rsidR="00AC6B62" w:rsidRPr="006E3A9D">
              <w:rPr>
                <w:bCs/>
                <w:color w:val="000000" w:themeColor="text1"/>
                <w:lang w:val="en-US"/>
              </w:rPr>
              <w:t xml:space="preserve">The </w:t>
            </w:r>
            <w:r w:rsidR="0071484F">
              <w:rPr>
                <w:bCs/>
                <w:color w:val="000000" w:themeColor="text1"/>
                <w:lang w:val="en-US"/>
              </w:rPr>
              <w:t>E</w:t>
            </w:r>
            <w:r w:rsidR="00AC6B62" w:rsidRPr="006E3A9D">
              <w:rPr>
                <w:bCs/>
                <w:color w:val="000000" w:themeColor="text1"/>
                <w:lang w:val="en-US"/>
              </w:rPr>
              <w:t xml:space="preserve">lective </w:t>
            </w:r>
            <w:r w:rsidR="0071484F">
              <w:rPr>
                <w:bCs/>
                <w:color w:val="000000" w:themeColor="text1"/>
                <w:lang w:val="en-US"/>
              </w:rPr>
              <w:t>C</w:t>
            </w:r>
            <w:r w:rsidR="00AC6B62" w:rsidRPr="006E3A9D">
              <w:rPr>
                <w:bCs/>
                <w:color w:val="000000" w:themeColor="text1"/>
                <w:lang w:val="en-US"/>
              </w:rPr>
              <w:t xml:space="preserve">are </w:t>
            </w:r>
            <w:r w:rsidR="0071484F">
              <w:rPr>
                <w:bCs/>
                <w:color w:val="000000" w:themeColor="text1"/>
                <w:lang w:val="en-US"/>
              </w:rPr>
              <w:t>b</w:t>
            </w:r>
            <w:r w:rsidR="00AC6B62" w:rsidRPr="006E3A9D">
              <w:rPr>
                <w:bCs/>
                <w:color w:val="000000" w:themeColor="text1"/>
                <w:lang w:val="en-US"/>
              </w:rPr>
              <w:t xml:space="preserve">oard </w:t>
            </w:r>
            <w:r w:rsidR="00CE3FA8">
              <w:rPr>
                <w:bCs/>
                <w:color w:val="000000" w:themeColor="text1"/>
                <w:lang w:val="en-US"/>
              </w:rPr>
              <w:t xml:space="preserve">have </w:t>
            </w:r>
            <w:r w:rsidR="00B10B87" w:rsidRPr="00AD0924">
              <w:rPr>
                <w:bCs/>
                <w:color w:val="000000" w:themeColor="text1"/>
                <w:lang w:val="en-US"/>
              </w:rPr>
              <w:t xml:space="preserve">been </w:t>
            </w:r>
            <w:r w:rsidR="00AC6B62" w:rsidRPr="00AD0924">
              <w:rPr>
                <w:bCs/>
                <w:color w:val="000000" w:themeColor="text1"/>
                <w:lang w:val="en-US"/>
              </w:rPr>
              <w:t>l</w:t>
            </w:r>
            <w:r w:rsidR="00AC6B62" w:rsidRPr="006E3A9D">
              <w:rPr>
                <w:bCs/>
                <w:color w:val="000000" w:themeColor="text1"/>
                <w:lang w:val="en-US"/>
              </w:rPr>
              <w:t>ooking at the causes of waiting list growth in more detail</w:t>
            </w:r>
            <w:r w:rsidR="00512C83" w:rsidRPr="006E3A9D">
              <w:rPr>
                <w:bCs/>
                <w:color w:val="000000" w:themeColor="text1"/>
                <w:lang w:val="en-US"/>
              </w:rPr>
              <w:t>, to determine the necessary action</w:t>
            </w:r>
            <w:r w:rsidR="002B096B">
              <w:rPr>
                <w:bCs/>
                <w:color w:val="000000" w:themeColor="text1"/>
                <w:lang w:val="en-US"/>
              </w:rPr>
              <w:t>s</w:t>
            </w:r>
            <w:r w:rsidR="00AC6B62" w:rsidRPr="006E3A9D">
              <w:rPr>
                <w:bCs/>
                <w:color w:val="000000" w:themeColor="text1"/>
                <w:lang w:val="en-US"/>
              </w:rPr>
              <w:t>.</w:t>
            </w:r>
            <w:r w:rsidR="00ED74B2" w:rsidRPr="006E3A9D">
              <w:rPr>
                <w:bCs/>
                <w:color w:val="000000" w:themeColor="text1"/>
                <w:lang w:val="en-US"/>
              </w:rPr>
              <w:t xml:space="preserve"> </w:t>
            </w:r>
          </w:p>
          <w:p w14:paraId="79F7A5CF" w14:textId="77777777" w:rsidR="00F45560" w:rsidRPr="006E3A9D" w:rsidRDefault="00F45560" w:rsidP="00F45560">
            <w:pPr>
              <w:spacing w:after="0" w:line="240" w:lineRule="auto"/>
              <w:jc w:val="both"/>
              <w:rPr>
                <w:bCs/>
                <w:color w:val="000000" w:themeColor="text1"/>
                <w:lang w:val="en-US"/>
              </w:rPr>
            </w:pPr>
          </w:p>
          <w:p w14:paraId="2C54BF2B" w14:textId="77777777" w:rsidR="003B0CD1" w:rsidRPr="006E3A9D" w:rsidRDefault="003B0CD1" w:rsidP="00F45560">
            <w:pPr>
              <w:spacing w:after="0" w:line="240" w:lineRule="auto"/>
              <w:jc w:val="both"/>
              <w:rPr>
                <w:b/>
                <w:color w:val="000000" w:themeColor="text1"/>
                <w:lang w:val="en-US"/>
              </w:rPr>
            </w:pPr>
            <w:r w:rsidRPr="006E3A9D">
              <w:rPr>
                <w:b/>
                <w:color w:val="000000" w:themeColor="text1"/>
                <w:lang w:val="en-US"/>
              </w:rPr>
              <w:t>Diagnostic services</w:t>
            </w:r>
          </w:p>
          <w:p w14:paraId="4A36A9D0" w14:textId="49E09D84" w:rsidR="003B0CD1" w:rsidRDefault="003B0CD1" w:rsidP="00F45560">
            <w:pPr>
              <w:spacing w:after="0" w:line="240" w:lineRule="auto"/>
              <w:jc w:val="both"/>
              <w:rPr>
                <w:bCs/>
                <w:color w:val="000000" w:themeColor="text1"/>
                <w:lang w:val="en-US"/>
              </w:rPr>
            </w:pPr>
            <w:r w:rsidRPr="006E3A9D">
              <w:rPr>
                <w:bCs/>
                <w:color w:val="000000" w:themeColor="text1"/>
                <w:lang w:val="en-US"/>
              </w:rPr>
              <w:t xml:space="preserve">The priority indicator related to Diagnostic services is the percentage of patients waiting over 6 weeks for a diagnostic test (related to 9 key tests identified in the operating plan).  Performance in </w:t>
            </w:r>
            <w:r w:rsidR="002B096B">
              <w:rPr>
                <w:bCs/>
                <w:color w:val="000000" w:themeColor="text1"/>
                <w:lang w:val="en-US"/>
              </w:rPr>
              <w:t xml:space="preserve">August </w:t>
            </w:r>
            <w:r w:rsidRPr="006E3A9D">
              <w:rPr>
                <w:bCs/>
                <w:color w:val="000000" w:themeColor="text1"/>
                <w:lang w:val="en-US"/>
              </w:rPr>
              <w:t>was 2</w:t>
            </w:r>
            <w:r w:rsidR="00DB6201" w:rsidRPr="006E3A9D">
              <w:rPr>
                <w:bCs/>
                <w:color w:val="000000" w:themeColor="text1"/>
                <w:lang w:val="en-US"/>
              </w:rPr>
              <w:t>4</w:t>
            </w:r>
            <w:r w:rsidR="002B096B">
              <w:rPr>
                <w:bCs/>
                <w:color w:val="000000" w:themeColor="text1"/>
                <w:lang w:val="en-US"/>
              </w:rPr>
              <w:t>.3</w:t>
            </w:r>
            <w:r w:rsidRPr="006E3A9D">
              <w:rPr>
                <w:bCs/>
                <w:color w:val="000000" w:themeColor="text1"/>
                <w:lang w:val="en-US"/>
              </w:rPr>
              <w:t>% of patients waiting over 6 weeks, against a target of 2</w:t>
            </w:r>
            <w:r w:rsidR="00417A64" w:rsidRPr="006E3A9D">
              <w:rPr>
                <w:bCs/>
                <w:color w:val="000000" w:themeColor="text1"/>
                <w:lang w:val="en-US"/>
              </w:rPr>
              <w:t>3</w:t>
            </w:r>
            <w:r w:rsidRPr="006E3A9D">
              <w:rPr>
                <w:bCs/>
                <w:color w:val="000000" w:themeColor="text1"/>
                <w:lang w:val="en-US"/>
              </w:rPr>
              <w:t xml:space="preserve">%, and so </w:t>
            </w:r>
            <w:r w:rsidR="00DB6201" w:rsidRPr="006E3A9D">
              <w:rPr>
                <w:bCs/>
                <w:color w:val="000000" w:themeColor="text1"/>
                <w:lang w:val="en-US"/>
              </w:rPr>
              <w:t xml:space="preserve">were </w:t>
            </w:r>
            <w:r w:rsidR="00BE466F">
              <w:rPr>
                <w:bCs/>
                <w:color w:val="000000" w:themeColor="text1"/>
                <w:lang w:val="en-US"/>
              </w:rPr>
              <w:t xml:space="preserve">worse than </w:t>
            </w:r>
            <w:r w:rsidR="00B51E1D" w:rsidRPr="006E3A9D">
              <w:rPr>
                <w:bCs/>
                <w:color w:val="000000" w:themeColor="text1"/>
                <w:lang w:val="en-US"/>
              </w:rPr>
              <w:t>p</w:t>
            </w:r>
            <w:r w:rsidRPr="006E3A9D">
              <w:rPr>
                <w:bCs/>
                <w:color w:val="000000" w:themeColor="text1"/>
                <w:lang w:val="en-US"/>
              </w:rPr>
              <w:t>lan trajectory.  Performance is demonstrating special cause variation of an improving nature</w:t>
            </w:r>
            <w:r w:rsidR="00BE466F">
              <w:rPr>
                <w:bCs/>
                <w:color w:val="000000" w:themeColor="text1"/>
                <w:lang w:val="en-US"/>
              </w:rPr>
              <w:t xml:space="preserve"> overall</w:t>
            </w:r>
            <w:r w:rsidR="00B10B87">
              <w:rPr>
                <w:bCs/>
                <w:color w:val="000000" w:themeColor="text1"/>
                <w:lang w:val="en-US"/>
              </w:rPr>
              <w:t>,</w:t>
            </w:r>
            <w:r w:rsidR="00BE466F">
              <w:rPr>
                <w:bCs/>
                <w:color w:val="000000" w:themeColor="text1"/>
                <w:lang w:val="en-US"/>
              </w:rPr>
              <w:t xml:space="preserve"> even with the </w:t>
            </w:r>
            <w:r w:rsidR="0016182F">
              <w:rPr>
                <w:bCs/>
                <w:color w:val="000000" w:themeColor="text1"/>
                <w:lang w:val="en-US"/>
              </w:rPr>
              <w:t>August performance being worse than July</w:t>
            </w:r>
            <w:r w:rsidRPr="006E3A9D">
              <w:rPr>
                <w:bCs/>
                <w:color w:val="000000" w:themeColor="text1"/>
                <w:lang w:val="en-US"/>
              </w:rPr>
              <w:t>.  Within the report there is further detail of variation by test type and by provider; Audiology, DEXA and Echo are singled out of the nine key tests for particular focus, along with some key actions being undertaken by the</w:t>
            </w:r>
            <w:r w:rsidR="00B10B87">
              <w:rPr>
                <w:bCs/>
                <w:lang w:val="en-US"/>
              </w:rPr>
              <w:t xml:space="preserve"> </w:t>
            </w:r>
            <w:r w:rsidR="00B10B87" w:rsidRPr="007E0385">
              <w:rPr>
                <w:bCs/>
                <w:color w:val="000000" w:themeColor="text1"/>
                <w:lang w:val="en-US"/>
              </w:rPr>
              <w:t>Diagnostics</w:t>
            </w:r>
            <w:r w:rsidRPr="007E0385">
              <w:rPr>
                <w:bCs/>
                <w:color w:val="000000" w:themeColor="text1"/>
                <w:lang w:val="en-US"/>
              </w:rPr>
              <w:t xml:space="preserve"> </w:t>
            </w:r>
            <w:r w:rsidR="00B10B87" w:rsidRPr="007E0385">
              <w:rPr>
                <w:bCs/>
                <w:color w:val="000000" w:themeColor="text1"/>
                <w:lang w:val="en-US"/>
              </w:rPr>
              <w:t>P</w:t>
            </w:r>
            <w:r w:rsidRPr="007E0385">
              <w:rPr>
                <w:bCs/>
                <w:color w:val="000000" w:themeColor="text1"/>
                <w:lang w:val="en-US"/>
              </w:rPr>
              <w:t>rogramme</w:t>
            </w:r>
            <w:r w:rsidRPr="006E3A9D">
              <w:rPr>
                <w:bCs/>
                <w:color w:val="000000" w:themeColor="text1"/>
                <w:lang w:val="en-US"/>
              </w:rPr>
              <w:t xml:space="preserve"> </w:t>
            </w:r>
            <w:r w:rsidR="00B10B87">
              <w:rPr>
                <w:bCs/>
                <w:color w:val="000000" w:themeColor="text1"/>
                <w:lang w:val="en-US"/>
              </w:rPr>
              <w:t>B</w:t>
            </w:r>
            <w:r w:rsidRPr="006E3A9D">
              <w:rPr>
                <w:bCs/>
                <w:color w:val="000000" w:themeColor="text1"/>
                <w:lang w:val="en-US"/>
              </w:rPr>
              <w:t xml:space="preserve">oard. </w:t>
            </w:r>
          </w:p>
          <w:p w14:paraId="3530C9B7" w14:textId="77777777" w:rsidR="00F45560" w:rsidRPr="007A615E" w:rsidRDefault="00F45560" w:rsidP="00F45560">
            <w:pPr>
              <w:spacing w:after="0" w:line="240" w:lineRule="auto"/>
              <w:jc w:val="both"/>
              <w:rPr>
                <w:bCs/>
                <w:color w:val="000000" w:themeColor="text1"/>
                <w:lang w:val="en-US"/>
              </w:rPr>
            </w:pPr>
          </w:p>
          <w:p w14:paraId="2E1D7E8F" w14:textId="77777777" w:rsidR="003B0CD1" w:rsidRPr="007A615E" w:rsidRDefault="003B0CD1" w:rsidP="00F45560">
            <w:pPr>
              <w:spacing w:after="0" w:line="240" w:lineRule="auto"/>
              <w:jc w:val="both"/>
              <w:rPr>
                <w:b/>
                <w:color w:val="000000" w:themeColor="text1"/>
                <w:lang w:val="en-US"/>
              </w:rPr>
            </w:pPr>
            <w:r w:rsidRPr="007A615E">
              <w:rPr>
                <w:b/>
                <w:color w:val="000000" w:themeColor="text1"/>
                <w:lang w:val="en-US"/>
              </w:rPr>
              <w:t>Cancer Services</w:t>
            </w:r>
          </w:p>
          <w:p w14:paraId="3C8D004D" w14:textId="6BE49C91" w:rsidR="003B0CD1" w:rsidRDefault="003B0CD1" w:rsidP="00F45560">
            <w:pPr>
              <w:spacing w:after="0" w:line="240" w:lineRule="auto"/>
              <w:jc w:val="both"/>
              <w:rPr>
                <w:bCs/>
                <w:color w:val="000000" w:themeColor="text1"/>
                <w:lang w:val="en-US"/>
              </w:rPr>
            </w:pPr>
            <w:r w:rsidRPr="007A615E">
              <w:rPr>
                <w:bCs/>
                <w:color w:val="000000" w:themeColor="text1"/>
                <w:lang w:val="en-US"/>
              </w:rPr>
              <w:t xml:space="preserve">The priority indicator related to Cancer services is 62 days from referral to treatment, with a target of 70% by March 2025.  </w:t>
            </w:r>
            <w:r w:rsidR="00D90E4F">
              <w:rPr>
                <w:bCs/>
                <w:color w:val="000000" w:themeColor="text1"/>
                <w:lang w:val="en-US"/>
              </w:rPr>
              <w:t>August</w:t>
            </w:r>
            <w:r w:rsidRPr="007A615E">
              <w:rPr>
                <w:bCs/>
                <w:color w:val="000000" w:themeColor="text1"/>
                <w:lang w:val="en-US"/>
              </w:rPr>
              <w:t xml:space="preserve"> performance was 6</w:t>
            </w:r>
            <w:r w:rsidR="00D90E4F">
              <w:rPr>
                <w:bCs/>
                <w:color w:val="000000" w:themeColor="text1"/>
                <w:lang w:val="en-US"/>
              </w:rPr>
              <w:t>8.9</w:t>
            </w:r>
            <w:r w:rsidRPr="007A615E">
              <w:rPr>
                <w:bCs/>
                <w:color w:val="000000" w:themeColor="text1"/>
                <w:lang w:val="en-US"/>
              </w:rPr>
              <w:t>% against a target of 6</w:t>
            </w:r>
            <w:r w:rsidR="00694BEE" w:rsidRPr="007A615E">
              <w:rPr>
                <w:bCs/>
                <w:color w:val="000000" w:themeColor="text1"/>
                <w:lang w:val="en-US"/>
              </w:rPr>
              <w:t>3</w:t>
            </w:r>
            <w:r w:rsidR="005D5E61">
              <w:rPr>
                <w:bCs/>
                <w:color w:val="000000" w:themeColor="text1"/>
                <w:lang w:val="en-US"/>
              </w:rPr>
              <w:t>.7</w:t>
            </w:r>
            <w:r w:rsidRPr="007A615E">
              <w:rPr>
                <w:bCs/>
                <w:color w:val="000000" w:themeColor="text1"/>
                <w:lang w:val="en-US"/>
              </w:rPr>
              <w:t xml:space="preserve">%.  This is </w:t>
            </w:r>
            <w:r w:rsidR="005D5E61">
              <w:rPr>
                <w:bCs/>
                <w:color w:val="000000" w:themeColor="text1"/>
                <w:lang w:val="en-US"/>
              </w:rPr>
              <w:t xml:space="preserve">ahead of </w:t>
            </w:r>
            <w:r w:rsidRPr="007A615E">
              <w:rPr>
                <w:bCs/>
                <w:color w:val="000000" w:themeColor="text1"/>
                <w:lang w:val="en-US"/>
              </w:rPr>
              <w:t xml:space="preserve">plan, </w:t>
            </w:r>
            <w:r w:rsidR="00F20663" w:rsidRPr="007A615E">
              <w:rPr>
                <w:bCs/>
                <w:color w:val="000000" w:themeColor="text1"/>
                <w:lang w:val="en-US"/>
              </w:rPr>
              <w:t xml:space="preserve">with a </w:t>
            </w:r>
            <w:r w:rsidRPr="007A615E">
              <w:rPr>
                <w:bCs/>
                <w:color w:val="000000" w:themeColor="text1"/>
                <w:lang w:val="en-US"/>
              </w:rPr>
              <w:t xml:space="preserve">performance trend over time </w:t>
            </w:r>
            <w:r w:rsidRPr="007A615E">
              <w:rPr>
                <w:bCs/>
                <w:color w:val="000000" w:themeColor="text1"/>
              </w:rPr>
              <w:t xml:space="preserve">showing common cause variation </w:t>
            </w:r>
            <w:r w:rsidR="005D5E61">
              <w:rPr>
                <w:bCs/>
                <w:color w:val="000000" w:themeColor="text1"/>
              </w:rPr>
              <w:t>of an improving nature.</w:t>
            </w:r>
            <w:r w:rsidR="007E5E8E" w:rsidRPr="007A615E">
              <w:rPr>
                <w:bCs/>
                <w:color w:val="000000" w:themeColor="text1"/>
              </w:rPr>
              <w:t xml:space="preserve"> </w:t>
            </w:r>
            <w:r w:rsidRPr="007A615E">
              <w:rPr>
                <w:bCs/>
                <w:color w:val="000000" w:themeColor="text1"/>
                <w:lang w:val="en-US"/>
              </w:rPr>
              <w:t xml:space="preserve">The report describes variation by provider with a range in delivery between </w:t>
            </w:r>
            <w:r w:rsidR="002A2FD1">
              <w:rPr>
                <w:bCs/>
                <w:color w:val="000000" w:themeColor="text1"/>
                <w:lang w:val="en-US"/>
              </w:rPr>
              <w:t>53.3</w:t>
            </w:r>
            <w:r w:rsidR="00CC6B18" w:rsidRPr="007A615E">
              <w:rPr>
                <w:bCs/>
                <w:color w:val="000000" w:themeColor="text1"/>
                <w:lang w:val="en-US"/>
              </w:rPr>
              <w:t>%</w:t>
            </w:r>
            <w:r w:rsidR="00F76F70" w:rsidRPr="007A615E">
              <w:rPr>
                <w:bCs/>
                <w:color w:val="000000" w:themeColor="text1"/>
                <w:lang w:val="en-US"/>
              </w:rPr>
              <w:t xml:space="preserve"> and 80</w:t>
            </w:r>
            <w:r w:rsidRPr="007A615E">
              <w:rPr>
                <w:bCs/>
                <w:color w:val="000000" w:themeColor="text1"/>
                <w:lang w:val="en-US"/>
              </w:rPr>
              <w:t>%</w:t>
            </w:r>
            <w:r w:rsidR="00B022D8" w:rsidRPr="007A615E">
              <w:rPr>
                <w:bCs/>
                <w:color w:val="000000" w:themeColor="text1"/>
                <w:lang w:val="en-US"/>
              </w:rPr>
              <w:t xml:space="preserve"> </w:t>
            </w:r>
            <w:r w:rsidRPr="007A615E">
              <w:rPr>
                <w:bCs/>
                <w:color w:val="000000" w:themeColor="text1"/>
                <w:lang w:val="en-US"/>
              </w:rPr>
              <w:t xml:space="preserve">and gives a summary of key actions that are planned.  </w:t>
            </w:r>
            <w:r w:rsidR="00290E33" w:rsidRPr="00290E33">
              <w:rPr>
                <w:bCs/>
                <w:color w:val="000000" w:themeColor="text1"/>
                <w:lang w:val="en-US"/>
              </w:rPr>
              <w:t>The ICB as a whole, and HUTH</w:t>
            </w:r>
            <w:r w:rsidR="00B10B87">
              <w:rPr>
                <w:bCs/>
                <w:color w:val="000000" w:themeColor="text1"/>
                <w:lang w:val="en-US"/>
              </w:rPr>
              <w:t xml:space="preserve"> </w:t>
            </w:r>
            <w:r w:rsidR="00290E33" w:rsidRPr="00290E33">
              <w:rPr>
                <w:bCs/>
                <w:color w:val="000000" w:themeColor="text1"/>
                <w:lang w:val="en-US"/>
              </w:rPr>
              <w:t>and NLAG as individual providers, are in NHSE Tier 1 category for Cancer.</w:t>
            </w:r>
            <w:r w:rsidR="00290E33">
              <w:rPr>
                <w:bCs/>
                <w:color w:val="000000" w:themeColor="text1"/>
                <w:lang w:val="en-US"/>
              </w:rPr>
              <w:t xml:space="preserve"> </w:t>
            </w:r>
            <w:r w:rsidRPr="007A615E">
              <w:rPr>
                <w:bCs/>
                <w:color w:val="000000" w:themeColor="text1"/>
                <w:lang w:val="en-US"/>
              </w:rPr>
              <w:t>Please note there is a more comprehensive annual cancer improvement plan that has been written by the Cancer Alliance and is available for the Board if required.</w:t>
            </w:r>
          </w:p>
          <w:p w14:paraId="321EF6F8" w14:textId="77777777" w:rsidR="00F45560" w:rsidRPr="007A615E" w:rsidRDefault="00F45560" w:rsidP="00F45560">
            <w:pPr>
              <w:spacing w:after="0" w:line="240" w:lineRule="auto"/>
              <w:jc w:val="both"/>
              <w:rPr>
                <w:bCs/>
                <w:color w:val="000000" w:themeColor="text1"/>
                <w:lang w:val="en-US"/>
              </w:rPr>
            </w:pPr>
          </w:p>
          <w:p w14:paraId="35F60E28" w14:textId="56F123F4" w:rsidR="003B0CD1" w:rsidRPr="006320A1" w:rsidRDefault="003B0CD1" w:rsidP="00F45560">
            <w:pPr>
              <w:spacing w:after="0" w:line="240" w:lineRule="auto"/>
              <w:jc w:val="both"/>
              <w:rPr>
                <w:b/>
                <w:color w:val="auto"/>
              </w:rPr>
            </w:pPr>
            <w:r w:rsidRPr="006320A1">
              <w:rPr>
                <w:b/>
                <w:color w:val="auto"/>
              </w:rPr>
              <w:t>Primary Care</w:t>
            </w:r>
          </w:p>
          <w:p w14:paraId="3B89EC0C" w14:textId="2F5B0C65" w:rsidR="003B0CD1" w:rsidRDefault="003B0CD1" w:rsidP="00F45560">
            <w:pPr>
              <w:spacing w:after="0" w:line="240" w:lineRule="auto"/>
              <w:jc w:val="both"/>
              <w:rPr>
                <w:rFonts w:eastAsia="Times New Roman"/>
                <w:bCs/>
                <w:color w:val="auto"/>
                <w:lang w:val="en-US"/>
              </w:rPr>
            </w:pPr>
            <w:r w:rsidRPr="006320A1">
              <w:rPr>
                <w:rFonts w:eastAsia="Times New Roman"/>
                <w:bCs/>
                <w:color w:val="auto"/>
                <w:lang w:val="en-US"/>
              </w:rPr>
              <w:t>The priority indicator for primary care is the percentage of patients booked within 14 days of requiring an appointment (target of 85%).  The other metrics in the annual operating plan for primary care are an increase in the delivery of primary care appointments and recovery of the provision of dental care appointments to pre</w:t>
            </w:r>
            <w:r w:rsidR="0071658C" w:rsidRPr="006320A1">
              <w:rPr>
                <w:rFonts w:eastAsia="Times New Roman"/>
                <w:bCs/>
                <w:color w:val="auto"/>
                <w:lang w:val="en-US"/>
              </w:rPr>
              <w:t>-</w:t>
            </w:r>
            <w:r w:rsidRPr="006320A1">
              <w:rPr>
                <w:rFonts w:eastAsia="Times New Roman"/>
                <w:bCs/>
                <w:color w:val="auto"/>
                <w:lang w:val="en-US"/>
              </w:rPr>
              <w:t>covid levels.  Performance against the priority indicator (</w:t>
            </w:r>
            <w:r w:rsidR="0057096E" w:rsidRPr="006320A1">
              <w:rPr>
                <w:rFonts w:eastAsia="Times New Roman"/>
                <w:bCs/>
                <w:color w:val="auto"/>
                <w:lang w:val="en-US"/>
              </w:rPr>
              <w:t>14-day</w:t>
            </w:r>
            <w:r w:rsidRPr="006320A1">
              <w:rPr>
                <w:rFonts w:eastAsia="Times New Roman"/>
                <w:bCs/>
                <w:color w:val="auto"/>
                <w:lang w:val="en-US"/>
              </w:rPr>
              <w:t xml:space="preserve"> booking) was 8</w:t>
            </w:r>
            <w:r w:rsidR="00EF2850" w:rsidRPr="006320A1">
              <w:rPr>
                <w:rFonts w:eastAsia="Times New Roman"/>
                <w:bCs/>
                <w:color w:val="auto"/>
                <w:lang w:val="en-US"/>
              </w:rPr>
              <w:t>8.1</w:t>
            </w:r>
            <w:r w:rsidRPr="006320A1">
              <w:rPr>
                <w:rFonts w:eastAsia="Times New Roman"/>
                <w:bCs/>
                <w:color w:val="auto"/>
                <w:lang w:val="en-US"/>
              </w:rPr>
              <w:t>% against the 85% target</w:t>
            </w:r>
            <w:r w:rsidR="00384E5B" w:rsidRPr="006320A1">
              <w:rPr>
                <w:rFonts w:eastAsia="Times New Roman"/>
                <w:bCs/>
                <w:color w:val="auto"/>
                <w:lang w:val="en-US"/>
              </w:rPr>
              <w:t xml:space="preserve"> in </w:t>
            </w:r>
            <w:r w:rsidR="00DA4D1E">
              <w:rPr>
                <w:rFonts w:eastAsia="Times New Roman"/>
                <w:bCs/>
                <w:color w:val="auto"/>
                <w:lang w:val="en-US"/>
              </w:rPr>
              <w:t>August</w:t>
            </w:r>
            <w:r w:rsidRPr="006320A1">
              <w:rPr>
                <w:rFonts w:eastAsia="Times New Roman"/>
                <w:bCs/>
                <w:color w:val="auto"/>
                <w:lang w:val="en-US"/>
              </w:rPr>
              <w:t>.  The report describes variance in delivery across the system (8</w:t>
            </w:r>
            <w:r w:rsidR="003C786E" w:rsidRPr="006320A1">
              <w:rPr>
                <w:rFonts w:eastAsia="Times New Roman"/>
                <w:bCs/>
                <w:color w:val="auto"/>
                <w:lang w:val="en-US"/>
              </w:rPr>
              <w:t>4</w:t>
            </w:r>
            <w:r w:rsidR="00DE2A62" w:rsidRPr="006320A1">
              <w:rPr>
                <w:rFonts w:eastAsia="Times New Roman"/>
                <w:bCs/>
                <w:color w:val="auto"/>
                <w:lang w:val="en-US"/>
              </w:rPr>
              <w:t>.</w:t>
            </w:r>
            <w:r w:rsidR="00FB36CC">
              <w:rPr>
                <w:rFonts w:eastAsia="Times New Roman"/>
                <w:bCs/>
                <w:color w:val="auto"/>
                <w:lang w:val="en-US"/>
              </w:rPr>
              <w:t>5</w:t>
            </w:r>
            <w:r w:rsidRPr="006320A1">
              <w:rPr>
                <w:rFonts w:eastAsia="Times New Roman"/>
                <w:bCs/>
                <w:color w:val="auto"/>
                <w:lang w:val="en-US"/>
              </w:rPr>
              <w:t>%-9</w:t>
            </w:r>
            <w:r w:rsidR="00FB36CC">
              <w:rPr>
                <w:rFonts w:eastAsia="Times New Roman"/>
                <w:bCs/>
                <w:color w:val="auto"/>
                <w:lang w:val="en-US"/>
              </w:rPr>
              <w:t>4</w:t>
            </w:r>
            <w:r w:rsidR="00431EAF" w:rsidRPr="006320A1">
              <w:rPr>
                <w:rFonts w:eastAsia="Times New Roman"/>
                <w:bCs/>
                <w:color w:val="auto"/>
                <w:lang w:val="en-US"/>
              </w:rPr>
              <w:t>.</w:t>
            </w:r>
            <w:r w:rsidR="00F7529C" w:rsidRPr="006320A1">
              <w:rPr>
                <w:rFonts w:eastAsia="Times New Roman"/>
                <w:bCs/>
                <w:color w:val="auto"/>
                <w:lang w:val="en-US"/>
              </w:rPr>
              <w:t>2</w:t>
            </w:r>
            <w:r w:rsidRPr="006320A1">
              <w:rPr>
                <w:rFonts w:eastAsia="Times New Roman"/>
                <w:bCs/>
                <w:color w:val="auto"/>
                <w:lang w:val="en-US"/>
              </w:rPr>
              <w:t>%) and the performance trend is demonstrating special cause variation of an improving nature. This is also the case for delivery of increased primary care appointments; although increase in dental provision is showing no significant change.</w:t>
            </w:r>
            <w:r w:rsidR="00431EAF" w:rsidRPr="006320A1">
              <w:rPr>
                <w:rFonts w:eastAsia="Times New Roman"/>
                <w:bCs/>
                <w:color w:val="auto"/>
                <w:lang w:val="en-US"/>
              </w:rPr>
              <w:t xml:space="preserve">  </w:t>
            </w:r>
            <w:r w:rsidR="003F1348" w:rsidRPr="009A533E">
              <w:rPr>
                <w:rFonts w:eastAsia="Times New Roman"/>
                <w:bCs/>
                <w:color w:val="auto"/>
                <w:lang w:val="en-US"/>
              </w:rPr>
              <w:t>Thes</w:t>
            </w:r>
            <w:r w:rsidR="00CA171C" w:rsidRPr="009A533E">
              <w:rPr>
                <w:rFonts w:eastAsia="Times New Roman"/>
                <w:bCs/>
                <w:color w:val="auto"/>
                <w:lang w:val="en-US"/>
              </w:rPr>
              <w:t>e indicators will be monitored for</w:t>
            </w:r>
            <w:r w:rsidR="00431EAF" w:rsidRPr="009A533E">
              <w:rPr>
                <w:rFonts w:eastAsia="Times New Roman"/>
                <w:bCs/>
                <w:color w:val="auto"/>
                <w:lang w:val="en-US"/>
              </w:rPr>
              <w:t xml:space="preserve"> the </w:t>
            </w:r>
            <w:r w:rsidR="009D0186" w:rsidRPr="009A533E">
              <w:rPr>
                <w:rFonts w:eastAsia="Times New Roman"/>
                <w:bCs/>
                <w:color w:val="auto"/>
                <w:lang w:val="en-US"/>
              </w:rPr>
              <w:t xml:space="preserve">potential </w:t>
            </w:r>
            <w:r w:rsidR="00431EAF" w:rsidRPr="009A533E">
              <w:rPr>
                <w:rFonts w:eastAsia="Times New Roman"/>
                <w:bCs/>
                <w:color w:val="auto"/>
                <w:lang w:val="en-US"/>
              </w:rPr>
              <w:t xml:space="preserve">impact </w:t>
            </w:r>
            <w:r w:rsidR="009D0186" w:rsidRPr="009A533E">
              <w:rPr>
                <w:rFonts w:eastAsia="Times New Roman"/>
                <w:bCs/>
                <w:color w:val="auto"/>
                <w:lang w:val="en-US"/>
              </w:rPr>
              <w:t>of the</w:t>
            </w:r>
            <w:r w:rsidR="00431EAF" w:rsidRPr="009A533E">
              <w:rPr>
                <w:rFonts w:eastAsia="Times New Roman"/>
                <w:bCs/>
                <w:color w:val="auto"/>
                <w:lang w:val="en-US"/>
              </w:rPr>
              <w:t xml:space="preserve"> GP collective action.</w:t>
            </w:r>
            <w:r w:rsidRPr="009A533E">
              <w:rPr>
                <w:rFonts w:eastAsia="Times New Roman"/>
                <w:bCs/>
                <w:color w:val="auto"/>
                <w:lang w:val="en-US"/>
              </w:rPr>
              <w:t xml:space="preserve">  </w:t>
            </w:r>
          </w:p>
          <w:p w14:paraId="293C39AE" w14:textId="77777777" w:rsidR="00F45560" w:rsidRPr="009A533E" w:rsidRDefault="00F45560" w:rsidP="00F45560">
            <w:pPr>
              <w:spacing w:after="0" w:line="240" w:lineRule="auto"/>
              <w:jc w:val="both"/>
              <w:rPr>
                <w:rFonts w:eastAsia="Times New Roman"/>
                <w:bCs/>
                <w:color w:val="auto"/>
                <w:lang w:val="en-US"/>
              </w:rPr>
            </w:pPr>
          </w:p>
          <w:p w14:paraId="437705DA" w14:textId="4173711C" w:rsidR="003B0CD1" w:rsidRPr="009A533E" w:rsidRDefault="003B0CD1" w:rsidP="00F45560">
            <w:pPr>
              <w:spacing w:after="0" w:line="240" w:lineRule="auto"/>
              <w:jc w:val="both"/>
              <w:rPr>
                <w:rFonts w:eastAsia="Times New Roman"/>
                <w:b/>
                <w:color w:val="auto"/>
              </w:rPr>
            </w:pPr>
            <w:r w:rsidRPr="009A533E">
              <w:rPr>
                <w:rFonts w:eastAsia="Times New Roman"/>
                <w:b/>
                <w:color w:val="auto"/>
              </w:rPr>
              <w:t>Prevention and Health Inequalities</w:t>
            </w:r>
          </w:p>
          <w:p w14:paraId="4828652B" w14:textId="48BFA3D1" w:rsidR="003B0CD1" w:rsidRPr="009A533E" w:rsidRDefault="003B0CD1" w:rsidP="00F45560">
            <w:pPr>
              <w:spacing w:after="0" w:line="240" w:lineRule="auto"/>
              <w:jc w:val="both"/>
              <w:rPr>
                <w:rFonts w:eastAsia="Times New Roman"/>
                <w:bCs/>
                <w:color w:val="auto"/>
              </w:rPr>
            </w:pPr>
            <w:r w:rsidRPr="009A533E">
              <w:rPr>
                <w:rFonts w:eastAsia="Times New Roman"/>
                <w:bCs/>
                <w:color w:val="auto"/>
              </w:rPr>
              <w:t>Prevention and Health Inequalities form a key part in the long term aims of the organisation</w:t>
            </w:r>
            <w:r w:rsidR="009D0186" w:rsidRPr="009A533E">
              <w:rPr>
                <w:rFonts w:eastAsia="Times New Roman"/>
                <w:bCs/>
                <w:color w:val="auto"/>
              </w:rPr>
              <w:t>;</w:t>
            </w:r>
            <w:r w:rsidRPr="009A533E">
              <w:rPr>
                <w:rFonts w:eastAsia="Times New Roman"/>
                <w:bCs/>
                <w:color w:val="auto"/>
              </w:rPr>
              <w:t xml:space="preserve"> however the operating plan guidance also referenced some indicators to be monitored through the annual process that related to hypertension, CVD, and children's vaccinations, as well as CORE20Plus.  Data was readily available for the hypertension indicator </w:t>
            </w:r>
            <w:r w:rsidR="0098002B" w:rsidRPr="009A533E">
              <w:rPr>
                <w:rFonts w:eastAsia="Times New Roman"/>
                <w:bCs/>
                <w:color w:val="auto"/>
              </w:rPr>
              <w:t xml:space="preserve">and hypertension is seen </w:t>
            </w:r>
            <w:r w:rsidR="0098002B" w:rsidRPr="009A533E">
              <w:rPr>
                <w:rFonts w:eastAsia="Times New Roman"/>
                <w:bCs/>
                <w:color w:val="auto"/>
              </w:rPr>
              <w:lastRenderedPageBreak/>
              <w:t xml:space="preserve">as </w:t>
            </w:r>
            <w:r w:rsidR="003E6835" w:rsidRPr="009A533E">
              <w:rPr>
                <w:rFonts w:eastAsia="Times New Roman"/>
                <w:bCs/>
                <w:color w:val="auto"/>
              </w:rPr>
              <w:t xml:space="preserve">a key early indicator of other aspects of long term ill health </w:t>
            </w:r>
            <w:r w:rsidRPr="009A533E">
              <w:rPr>
                <w:rFonts w:eastAsia="Times New Roman"/>
                <w:bCs/>
                <w:color w:val="auto"/>
              </w:rPr>
              <w:t>and so has been identified as the priority indicator</w:t>
            </w:r>
            <w:r w:rsidR="00FB2C5C" w:rsidRPr="009A533E">
              <w:rPr>
                <w:rFonts w:eastAsia="Times New Roman"/>
                <w:bCs/>
                <w:color w:val="auto"/>
              </w:rPr>
              <w:t xml:space="preserve">. </w:t>
            </w:r>
            <w:r w:rsidR="006861CD" w:rsidRPr="009A533E">
              <w:rPr>
                <w:rFonts w:eastAsia="Times New Roman"/>
                <w:bCs/>
                <w:color w:val="auto"/>
              </w:rPr>
              <w:t>U</w:t>
            </w:r>
            <w:r w:rsidRPr="009A533E">
              <w:rPr>
                <w:rFonts w:eastAsia="Times New Roman"/>
                <w:bCs/>
                <w:color w:val="auto"/>
              </w:rPr>
              <w:t xml:space="preserve">pdates on progress of prevention and health inequalities will </w:t>
            </w:r>
            <w:r w:rsidR="006861CD" w:rsidRPr="009A533E">
              <w:rPr>
                <w:rFonts w:eastAsia="Times New Roman"/>
                <w:bCs/>
                <w:color w:val="auto"/>
              </w:rPr>
              <w:t xml:space="preserve">in the main </w:t>
            </w:r>
            <w:r w:rsidRPr="009A533E">
              <w:rPr>
                <w:rFonts w:eastAsia="Times New Roman"/>
                <w:bCs/>
                <w:color w:val="auto"/>
              </w:rPr>
              <w:t xml:space="preserve">be made via the Population Health and Prevention Committee. </w:t>
            </w:r>
            <w:r w:rsidR="0057096E" w:rsidRPr="009A533E">
              <w:rPr>
                <w:rFonts w:eastAsia="Times New Roman"/>
                <w:bCs/>
                <w:color w:val="auto"/>
              </w:rPr>
              <w:t>In regard to</w:t>
            </w:r>
            <w:r w:rsidR="00D71DDE" w:rsidRPr="009A533E">
              <w:rPr>
                <w:rFonts w:eastAsia="Times New Roman"/>
                <w:bCs/>
                <w:color w:val="auto"/>
              </w:rPr>
              <w:t xml:space="preserve"> the hypertension indicator; performance </w:t>
            </w:r>
            <w:r w:rsidR="003C13AD">
              <w:rPr>
                <w:rFonts w:eastAsia="Times New Roman"/>
                <w:bCs/>
                <w:color w:val="auto"/>
              </w:rPr>
              <w:t xml:space="preserve">in September was </w:t>
            </w:r>
            <w:r w:rsidR="001820A5">
              <w:rPr>
                <w:rFonts w:eastAsia="Times New Roman"/>
                <w:bCs/>
                <w:color w:val="auto"/>
              </w:rPr>
              <w:t xml:space="preserve">73.3% </w:t>
            </w:r>
            <w:r w:rsidR="00B4083B" w:rsidRPr="009A533E">
              <w:rPr>
                <w:rFonts w:eastAsia="Times New Roman"/>
                <w:bCs/>
                <w:color w:val="auto"/>
              </w:rPr>
              <w:t>against a target of 77%</w:t>
            </w:r>
            <w:r w:rsidR="00841326">
              <w:rPr>
                <w:rFonts w:eastAsia="Times New Roman"/>
                <w:bCs/>
                <w:color w:val="auto"/>
              </w:rPr>
              <w:t xml:space="preserve"> </w:t>
            </w:r>
            <w:r w:rsidR="00FC138A">
              <w:rPr>
                <w:rFonts w:eastAsia="Times New Roman"/>
                <w:bCs/>
                <w:color w:val="auto"/>
              </w:rPr>
              <w:t xml:space="preserve">with the indicator </w:t>
            </w:r>
            <w:r w:rsidR="00FC138A" w:rsidRPr="00FC138A">
              <w:rPr>
                <w:rFonts w:eastAsia="Times New Roman"/>
                <w:bCs/>
                <w:color w:val="auto"/>
              </w:rPr>
              <w:t>showing a special cause</w:t>
            </w:r>
            <w:r w:rsidR="00FC138A" w:rsidRPr="00FC138A">
              <w:rPr>
                <w:rFonts w:eastAsia="Times New Roman"/>
                <w:bCs/>
                <w:color w:val="auto"/>
                <w:lang w:val="en-US"/>
              </w:rPr>
              <w:t xml:space="preserve"> variation of a concerning nature</w:t>
            </w:r>
            <w:r w:rsidR="00CA5C91">
              <w:rPr>
                <w:rFonts w:eastAsia="Times New Roman"/>
                <w:bCs/>
                <w:color w:val="auto"/>
                <w:lang w:val="en-US"/>
              </w:rPr>
              <w:t>.</w:t>
            </w:r>
            <w:r w:rsidR="00B4083B" w:rsidRPr="009A533E">
              <w:rPr>
                <w:rFonts w:eastAsia="Times New Roman"/>
                <w:bCs/>
                <w:color w:val="auto"/>
              </w:rPr>
              <w:t xml:space="preserve"> A similar pattern was seen in </w:t>
            </w:r>
            <w:r w:rsidR="009D0186" w:rsidRPr="009A533E">
              <w:rPr>
                <w:rFonts w:eastAsia="Times New Roman"/>
                <w:bCs/>
                <w:color w:val="auto"/>
              </w:rPr>
              <w:t>the</w:t>
            </w:r>
            <w:r w:rsidR="00B4083B" w:rsidRPr="009A533E">
              <w:rPr>
                <w:rFonts w:eastAsia="Times New Roman"/>
                <w:bCs/>
                <w:color w:val="auto"/>
              </w:rPr>
              <w:t xml:space="preserve"> summer of 2023/24 and this </w:t>
            </w:r>
            <w:r w:rsidR="009A533E" w:rsidRPr="009A533E">
              <w:rPr>
                <w:rFonts w:eastAsia="Times New Roman"/>
                <w:bCs/>
                <w:color w:val="auto"/>
              </w:rPr>
              <w:t xml:space="preserve">is being </w:t>
            </w:r>
            <w:r w:rsidR="00B4083B" w:rsidRPr="009A533E">
              <w:rPr>
                <w:rFonts w:eastAsia="Times New Roman"/>
                <w:bCs/>
                <w:color w:val="auto"/>
              </w:rPr>
              <w:t>closely monitored</w:t>
            </w:r>
            <w:r w:rsidR="00794F04">
              <w:rPr>
                <w:rFonts w:eastAsia="Times New Roman"/>
                <w:bCs/>
                <w:color w:val="auto"/>
              </w:rPr>
              <w:t xml:space="preserve">.  Further information will be provided to SOAG next month that looks at the volumes behind the % performance as it is suggested that the volume of patients identified with hypertension and the number treated is </w:t>
            </w:r>
            <w:r w:rsidR="0010530C">
              <w:rPr>
                <w:rFonts w:eastAsia="Times New Roman"/>
                <w:bCs/>
                <w:color w:val="auto"/>
              </w:rPr>
              <w:t>increasing, but the proportions are not in line with the target.</w:t>
            </w:r>
          </w:p>
          <w:p w14:paraId="50BE0ED1" w14:textId="77777777" w:rsidR="003B0CD1" w:rsidRPr="00037E1E" w:rsidRDefault="003B0CD1" w:rsidP="00F45560">
            <w:pPr>
              <w:spacing w:after="0" w:line="240" w:lineRule="auto"/>
              <w:jc w:val="both"/>
              <w:rPr>
                <w:rFonts w:eastAsia="Times New Roman"/>
                <w:bCs/>
                <w:color w:val="auto"/>
              </w:rPr>
            </w:pPr>
          </w:p>
          <w:p w14:paraId="31D03ABC" w14:textId="05142BE7" w:rsidR="003B0CD1" w:rsidRPr="00037E1E" w:rsidRDefault="003B0CD1" w:rsidP="00F45560">
            <w:pPr>
              <w:spacing w:after="0" w:line="240" w:lineRule="auto"/>
              <w:jc w:val="both"/>
              <w:rPr>
                <w:rFonts w:eastAsia="Times New Roman"/>
                <w:b/>
                <w:color w:val="auto"/>
              </w:rPr>
            </w:pPr>
            <w:r w:rsidRPr="00037E1E">
              <w:rPr>
                <w:rFonts w:eastAsia="Times New Roman"/>
                <w:b/>
                <w:color w:val="auto"/>
              </w:rPr>
              <w:t>Community Services</w:t>
            </w:r>
          </w:p>
          <w:p w14:paraId="1C6A1B96" w14:textId="396BB02B" w:rsidR="003B0CD1" w:rsidRDefault="003B0CD1" w:rsidP="00F45560">
            <w:pPr>
              <w:spacing w:after="0" w:line="240" w:lineRule="auto"/>
              <w:jc w:val="both"/>
              <w:rPr>
                <w:rFonts w:eastAsia="Times New Roman"/>
                <w:bCs/>
                <w:color w:val="auto"/>
                <w:lang w:val="en-US"/>
              </w:rPr>
            </w:pPr>
            <w:r w:rsidRPr="00037E1E">
              <w:rPr>
                <w:rFonts w:eastAsia="Times New Roman"/>
                <w:bCs/>
                <w:color w:val="auto"/>
                <w:lang w:val="en-US"/>
              </w:rPr>
              <w:t xml:space="preserve">The priority indicator for Community Services is the number of patients waiting over 52 weeks, and there is a secondary </w:t>
            </w:r>
            <w:r w:rsidRPr="00037E1E">
              <w:rPr>
                <w:rFonts w:eastAsia="Times New Roman"/>
                <w:bCs/>
                <w:color w:val="000000" w:themeColor="text1"/>
                <w:lang w:val="en-US"/>
              </w:rPr>
              <w:t xml:space="preserve">target for </w:t>
            </w:r>
            <w:r w:rsidR="009D0186" w:rsidRPr="00037E1E">
              <w:rPr>
                <w:rFonts w:eastAsia="Times New Roman"/>
                <w:bCs/>
                <w:color w:val="000000" w:themeColor="text1"/>
                <w:lang w:val="en-US"/>
              </w:rPr>
              <w:t xml:space="preserve">the </w:t>
            </w:r>
            <w:r w:rsidRPr="00037E1E">
              <w:rPr>
                <w:rFonts w:eastAsia="Times New Roman"/>
                <w:bCs/>
                <w:color w:val="000000" w:themeColor="text1"/>
                <w:lang w:val="en-US"/>
              </w:rPr>
              <w:t xml:space="preserve">overall waiting list size.  The latest validated data available is </w:t>
            </w:r>
            <w:r w:rsidR="0010530C">
              <w:rPr>
                <w:rFonts w:eastAsia="Times New Roman"/>
                <w:bCs/>
                <w:color w:val="000000" w:themeColor="text1"/>
                <w:lang w:val="en-US"/>
              </w:rPr>
              <w:t>August</w:t>
            </w:r>
            <w:r w:rsidRPr="00037E1E">
              <w:rPr>
                <w:rFonts w:eastAsia="Times New Roman"/>
                <w:bCs/>
                <w:color w:val="000000" w:themeColor="text1"/>
                <w:lang w:val="en-US"/>
              </w:rPr>
              <w:t xml:space="preserve"> 2024, which saw 1,</w:t>
            </w:r>
            <w:r w:rsidR="003428CD" w:rsidRPr="00037E1E">
              <w:rPr>
                <w:rFonts w:eastAsia="Times New Roman"/>
                <w:bCs/>
                <w:color w:val="000000" w:themeColor="text1"/>
                <w:lang w:val="en-US"/>
              </w:rPr>
              <w:t>0</w:t>
            </w:r>
            <w:r w:rsidR="00B7476F">
              <w:rPr>
                <w:rFonts w:eastAsia="Times New Roman"/>
                <w:bCs/>
                <w:color w:val="000000" w:themeColor="text1"/>
                <w:lang w:val="en-US"/>
              </w:rPr>
              <w:t>00</w:t>
            </w:r>
            <w:r w:rsidRPr="00037E1E">
              <w:rPr>
                <w:rFonts w:eastAsia="Times New Roman"/>
                <w:bCs/>
                <w:color w:val="000000" w:themeColor="text1"/>
                <w:lang w:val="en-US"/>
              </w:rPr>
              <w:t xml:space="preserve"> patients wait over 52 weeks for community services against a plan of 1,1</w:t>
            </w:r>
            <w:r w:rsidR="005C3782" w:rsidRPr="00037E1E">
              <w:rPr>
                <w:rFonts w:eastAsia="Times New Roman"/>
                <w:bCs/>
                <w:color w:val="000000" w:themeColor="text1"/>
                <w:lang w:val="en-US"/>
              </w:rPr>
              <w:t>74</w:t>
            </w:r>
            <w:r w:rsidRPr="00037E1E">
              <w:rPr>
                <w:rFonts w:eastAsia="Times New Roman"/>
                <w:bCs/>
                <w:color w:val="000000" w:themeColor="text1"/>
                <w:lang w:val="en-US"/>
              </w:rPr>
              <w:t xml:space="preserve">. </w:t>
            </w:r>
            <w:r w:rsidR="00F82BB8" w:rsidRPr="00037E1E">
              <w:rPr>
                <w:rFonts w:eastAsia="Times New Roman"/>
                <w:bCs/>
                <w:color w:val="000000" w:themeColor="text1"/>
                <w:lang w:val="en-US"/>
              </w:rPr>
              <w:t>Although performance achieved in month</w:t>
            </w:r>
            <w:r w:rsidR="00722D21" w:rsidRPr="00037E1E">
              <w:rPr>
                <w:rFonts w:eastAsia="Times New Roman"/>
                <w:bCs/>
                <w:color w:val="000000" w:themeColor="text1"/>
                <w:lang w:val="en-US"/>
              </w:rPr>
              <w:t>, t</w:t>
            </w:r>
            <w:r w:rsidRPr="00037E1E">
              <w:rPr>
                <w:rFonts w:eastAsia="Times New Roman"/>
                <w:bCs/>
                <w:color w:val="000000" w:themeColor="text1"/>
                <w:lang w:val="en-US"/>
              </w:rPr>
              <w:t xml:space="preserve">he data is showing </w:t>
            </w:r>
            <w:r w:rsidR="00F06BF1" w:rsidRPr="00037E1E">
              <w:rPr>
                <w:rFonts w:eastAsia="Times New Roman"/>
                <w:bCs/>
                <w:color w:val="000000" w:themeColor="text1"/>
                <w:lang w:val="en-US"/>
              </w:rPr>
              <w:t>s</w:t>
            </w:r>
            <w:r w:rsidRPr="00037E1E">
              <w:rPr>
                <w:rFonts w:eastAsia="Times New Roman"/>
                <w:bCs/>
                <w:color w:val="000000" w:themeColor="text1"/>
                <w:lang w:val="en-US"/>
              </w:rPr>
              <w:t xml:space="preserve">pecial </w:t>
            </w:r>
            <w:r w:rsidR="00F06BF1" w:rsidRPr="00037E1E">
              <w:rPr>
                <w:rFonts w:eastAsia="Times New Roman"/>
                <w:bCs/>
                <w:color w:val="000000" w:themeColor="text1"/>
                <w:lang w:val="en-US"/>
              </w:rPr>
              <w:t>c</w:t>
            </w:r>
            <w:r w:rsidRPr="00037E1E">
              <w:rPr>
                <w:rFonts w:eastAsia="Times New Roman"/>
                <w:bCs/>
                <w:color w:val="000000" w:themeColor="text1"/>
                <w:lang w:val="en-US"/>
              </w:rPr>
              <w:t xml:space="preserve">ause variance of a concerning nature, and the report gives provider and service level information.  This shows the long wait position is </w:t>
            </w:r>
            <w:r w:rsidR="003670EB" w:rsidRPr="00037E1E">
              <w:rPr>
                <w:rFonts w:eastAsia="Times New Roman"/>
                <w:bCs/>
                <w:color w:val="000000" w:themeColor="text1"/>
                <w:lang w:val="en-US"/>
              </w:rPr>
              <w:t xml:space="preserve">predominantly </w:t>
            </w:r>
            <w:r w:rsidRPr="00037E1E">
              <w:rPr>
                <w:rFonts w:eastAsia="Times New Roman"/>
                <w:bCs/>
                <w:color w:val="000000" w:themeColor="text1"/>
                <w:lang w:val="en-US"/>
              </w:rPr>
              <w:t>centered around a single service</w:t>
            </w:r>
            <w:r w:rsidR="003670EB" w:rsidRPr="00037E1E">
              <w:rPr>
                <w:rFonts w:eastAsia="Times New Roman"/>
                <w:bCs/>
                <w:color w:val="000000" w:themeColor="text1"/>
                <w:lang w:val="en-US"/>
              </w:rPr>
              <w:t xml:space="preserve"> for Children and Young People</w:t>
            </w:r>
            <w:r w:rsidR="00722D21" w:rsidRPr="00037E1E">
              <w:rPr>
                <w:rFonts w:eastAsia="Times New Roman"/>
                <w:bCs/>
                <w:color w:val="000000" w:themeColor="text1"/>
                <w:lang w:val="en-US"/>
              </w:rPr>
              <w:t>:</w:t>
            </w:r>
            <w:r w:rsidR="003670EB" w:rsidRPr="00037E1E">
              <w:rPr>
                <w:rFonts w:eastAsia="Times New Roman"/>
                <w:bCs/>
                <w:color w:val="000000" w:themeColor="text1"/>
                <w:lang w:val="en-US"/>
              </w:rPr>
              <w:t xml:space="preserve"> Speech and language</w:t>
            </w:r>
            <w:r w:rsidR="007E0C3C" w:rsidRPr="00037E1E">
              <w:rPr>
                <w:rFonts w:eastAsia="Times New Roman"/>
                <w:bCs/>
                <w:color w:val="000000" w:themeColor="text1"/>
                <w:lang w:val="en-US"/>
              </w:rPr>
              <w:t xml:space="preserve">, although there is an emerging risk for </w:t>
            </w:r>
            <w:r w:rsidR="00C35F66" w:rsidRPr="00037E1E">
              <w:rPr>
                <w:rFonts w:eastAsia="Times New Roman"/>
                <w:bCs/>
                <w:color w:val="000000" w:themeColor="text1"/>
                <w:lang w:val="en-US"/>
              </w:rPr>
              <w:t xml:space="preserve">Nursing Therapy Support for LTC: Respiratory/COPD service.  </w:t>
            </w:r>
            <w:r w:rsidRPr="00037E1E">
              <w:rPr>
                <w:rFonts w:eastAsia="Times New Roman"/>
                <w:bCs/>
                <w:color w:val="000000" w:themeColor="text1"/>
                <w:lang w:val="en-US"/>
              </w:rPr>
              <w:t>The o</w:t>
            </w:r>
            <w:r w:rsidRPr="00037E1E">
              <w:rPr>
                <w:rFonts w:eastAsia="Times New Roman"/>
                <w:bCs/>
                <w:color w:val="auto"/>
                <w:lang w:val="en-US"/>
              </w:rPr>
              <w:t>verall waiting list size performance has shown no significant change (no improvement or deterioration in the last twelve months). The report gives further detail on actions that are being taken.</w:t>
            </w:r>
          </w:p>
          <w:p w14:paraId="17E1F665" w14:textId="77777777" w:rsidR="00F45560" w:rsidRPr="00037E1E" w:rsidRDefault="00F45560" w:rsidP="00F45560">
            <w:pPr>
              <w:spacing w:after="0" w:line="240" w:lineRule="auto"/>
              <w:jc w:val="both"/>
              <w:rPr>
                <w:bCs/>
                <w:color w:val="auto"/>
              </w:rPr>
            </w:pPr>
          </w:p>
          <w:p w14:paraId="7AB75E52" w14:textId="02B85FA5" w:rsidR="003B0CD1" w:rsidRPr="00C602F2" w:rsidRDefault="003B0CD1" w:rsidP="00F45560">
            <w:pPr>
              <w:pStyle w:val="ListParagraph"/>
              <w:spacing w:after="0" w:line="240" w:lineRule="auto"/>
              <w:ind w:left="0"/>
              <w:jc w:val="both"/>
              <w:rPr>
                <w:b/>
                <w:color w:val="auto"/>
              </w:rPr>
            </w:pPr>
            <w:r w:rsidRPr="00C602F2">
              <w:rPr>
                <w:b/>
                <w:color w:val="auto"/>
              </w:rPr>
              <w:t>Mental Health Services</w:t>
            </w:r>
          </w:p>
          <w:p w14:paraId="67AA759C" w14:textId="29A2F2E4" w:rsidR="003B0CD1" w:rsidRDefault="003B0CD1" w:rsidP="00F45560">
            <w:pPr>
              <w:spacing w:after="0" w:line="240" w:lineRule="auto"/>
              <w:jc w:val="both"/>
              <w:rPr>
                <w:bCs/>
                <w:color w:val="auto"/>
                <w:lang w:val="en-US"/>
              </w:rPr>
            </w:pPr>
            <w:r w:rsidRPr="00C602F2">
              <w:rPr>
                <w:bCs/>
                <w:color w:val="auto"/>
                <w:lang w:val="en-US"/>
              </w:rPr>
              <w:t xml:space="preserve">There are a number of indicators related to mental health services in the operating plan; performance against all of them is included in slides </w:t>
            </w:r>
            <w:r w:rsidR="0053195F">
              <w:rPr>
                <w:bCs/>
                <w:color w:val="auto"/>
                <w:lang w:val="en-US"/>
              </w:rPr>
              <w:t>30</w:t>
            </w:r>
            <w:r w:rsidRPr="00C602F2">
              <w:rPr>
                <w:bCs/>
                <w:color w:val="auto"/>
                <w:lang w:val="en-US"/>
              </w:rPr>
              <w:t xml:space="preserve"> to </w:t>
            </w:r>
            <w:r w:rsidR="0053195F">
              <w:rPr>
                <w:bCs/>
                <w:color w:val="auto"/>
                <w:lang w:val="en-US"/>
              </w:rPr>
              <w:t>3</w:t>
            </w:r>
            <w:r w:rsidRPr="00C602F2">
              <w:rPr>
                <w:bCs/>
                <w:color w:val="auto"/>
                <w:lang w:val="en-US"/>
              </w:rPr>
              <w:t>2.  For this month's report, the priority indicators that have been identified are Dementia Diagnosis rates, Out of Area Placements and Access to CYP services.  Some of the actual measures have changed definition and so comparison and trend data is not available. Key messages from the report are:</w:t>
            </w:r>
          </w:p>
          <w:p w14:paraId="35DEE60F" w14:textId="77777777" w:rsidR="00F45560" w:rsidRPr="00C602F2" w:rsidRDefault="00F45560" w:rsidP="00F45560">
            <w:pPr>
              <w:spacing w:after="0" w:line="240" w:lineRule="auto"/>
              <w:jc w:val="both"/>
              <w:rPr>
                <w:bCs/>
                <w:color w:val="auto"/>
                <w:lang w:val="en-US"/>
              </w:rPr>
            </w:pPr>
          </w:p>
          <w:p w14:paraId="116ECB66" w14:textId="0F82B218" w:rsidR="003B0CD1" w:rsidRDefault="003B0CD1" w:rsidP="00F45560">
            <w:pPr>
              <w:spacing w:after="0" w:line="240" w:lineRule="auto"/>
              <w:jc w:val="both"/>
              <w:rPr>
                <w:bCs/>
                <w:color w:val="auto"/>
              </w:rPr>
            </w:pPr>
            <w:r w:rsidRPr="00D25D9F">
              <w:rPr>
                <w:bCs/>
                <w:color w:val="auto"/>
                <w:lang w:val="en-US"/>
              </w:rPr>
              <w:t xml:space="preserve">Dementia Diagnosis rates in </w:t>
            </w:r>
            <w:r w:rsidR="0053195F">
              <w:rPr>
                <w:bCs/>
                <w:color w:val="auto"/>
                <w:lang w:val="en-US"/>
              </w:rPr>
              <w:t>August</w:t>
            </w:r>
            <w:r w:rsidRPr="00D25D9F">
              <w:rPr>
                <w:bCs/>
                <w:color w:val="auto"/>
              </w:rPr>
              <w:t xml:space="preserve"> were 5</w:t>
            </w:r>
            <w:r w:rsidR="00751A04" w:rsidRPr="00D25D9F">
              <w:rPr>
                <w:bCs/>
                <w:color w:val="auto"/>
              </w:rPr>
              <w:t>9.</w:t>
            </w:r>
            <w:r w:rsidR="000856C1">
              <w:rPr>
                <w:bCs/>
                <w:color w:val="auto"/>
              </w:rPr>
              <w:t>8</w:t>
            </w:r>
            <w:r w:rsidRPr="00D25D9F">
              <w:rPr>
                <w:bCs/>
                <w:color w:val="auto"/>
              </w:rPr>
              <w:t>%, which is below the ICB plan target of 6</w:t>
            </w:r>
            <w:r w:rsidR="007A27DF" w:rsidRPr="00D25D9F">
              <w:rPr>
                <w:bCs/>
                <w:color w:val="auto"/>
              </w:rPr>
              <w:t>0</w:t>
            </w:r>
            <w:r w:rsidR="00751A04" w:rsidRPr="00D25D9F">
              <w:rPr>
                <w:bCs/>
                <w:color w:val="auto"/>
              </w:rPr>
              <w:t>.</w:t>
            </w:r>
            <w:r w:rsidR="000856C1">
              <w:rPr>
                <w:bCs/>
                <w:color w:val="auto"/>
              </w:rPr>
              <w:t>6</w:t>
            </w:r>
            <w:r w:rsidRPr="00D25D9F">
              <w:rPr>
                <w:bCs/>
                <w:color w:val="auto"/>
              </w:rPr>
              <w:t>%. Performance since September 2023 has been above or at the upper control limit and therefore demonstrating special cause variation of an improving nature. However, even with the improved performance, the ICB remains adrift from the national target.  There is variation across the system which has been identified down to Primary Care Network level and individual GP practice.</w:t>
            </w:r>
            <w:r w:rsidR="00953DFA" w:rsidRPr="00D25D9F">
              <w:rPr>
                <w:bCs/>
                <w:color w:val="auto"/>
              </w:rPr>
              <w:t xml:space="preserve"> </w:t>
            </w:r>
          </w:p>
          <w:p w14:paraId="1F8B5C8E" w14:textId="77777777" w:rsidR="00F45560" w:rsidRPr="000F4DF9" w:rsidRDefault="00F45560" w:rsidP="00F45560">
            <w:pPr>
              <w:spacing w:after="0" w:line="240" w:lineRule="auto"/>
              <w:jc w:val="both"/>
              <w:rPr>
                <w:bCs/>
                <w:color w:val="auto"/>
                <w:lang w:val="en-US"/>
              </w:rPr>
            </w:pPr>
          </w:p>
          <w:p w14:paraId="627DC6D8" w14:textId="17472BCD" w:rsidR="003B0CD1" w:rsidRDefault="003B0CD1" w:rsidP="00F45560">
            <w:pPr>
              <w:spacing w:after="0" w:line="240" w:lineRule="auto"/>
              <w:jc w:val="both"/>
              <w:rPr>
                <w:bCs/>
                <w:color w:val="auto"/>
                <w:lang w:val="en-US"/>
              </w:rPr>
            </w:pPr>
            <w:r w:rsidRPr="000F4DF9">
              <w:rPr>
                <w:bCs/>
                <w:color w:val="auto"/>
                <w:lang w:val="en-US"/>
              </w:rPr>
              <w:t xml:space="preserve">Out of Area Placements are part of the ten key priorities for the ICB in regard to productivity and finance expectations.  The measure in this report </w:t>
            </w:r>
            <w:r w:rsidR="007A27DF" w:rsidRPr="000F4DF9">
              <w:rPr>
                <w:bCs/>
                <w:color w:val="auto"/>
                <w:lang w:val="en-US"/>
              </w:rPr>
              <w:t xml:space="preserve">now reflects the operating plan measure of </w:t>
            </w:r>
            <w:r w:rsidR="00070E5C">
              <w:rPr>
                <w:bCs/>
                <w:color w:val="auto"/>
                <w:lang w:val="en-US"/>
              </w:rPr>
              <w:t xml:space="preserve">acute out of area </w:t>
            </w:r>
            <w:r w:rsidR="007A27DF" w:rsidRPr="000F4DF9">
              <w:rPr>
                <w:bCs/>
                <w:color w:val="auto"/>
                <w:lang w:val="en-US"/>
              </w:rPr>
              <w:t>placements rather than bed</w:t>
            </w:r>
            <w:r w:rsidR="00D71B0D" w:rsidRPr="000F4DF9">
              <w:rPr>
                <w:bCs/>
                <w:color w:val="auto"/>
                <w:lang w:val="en-US"/>
              </w:rPr>
              <w:t xml:space="preserve"> </w:t>
            </w:r>
            <w:r w:rsidR="007A27DF" w:rsidRPr="000F4DF9">
              <w:rPr>
                <w:bCs/>
                <w:color w:val="auto"/>
                <w:lang w:val="en-US"/>
              </w:rPr>
              <w:t>days</w:t>
            </w:r>
            <w:r w:rsidR="00070E5C">
              <w:rPr>
                <w:bCs/>
                <w:color w:val="auto"/>
                <w:lang w:val="en-US"/>
              </w:rPr>
              <w:t xml:space="preserve"> (please note there </w:t>
            </w:r>
            <w:r w:rsidR="006637FB">
              <w:rPr>
                <w:bCs/>
                <w:color w:val="auto"/>
                <w:lang w:val="en-US"/>
              </w:rPr>
              <w:t>are a large number of rehab patients who are also out of area placements but do not count in this metric though information is provided to SOAG on these patients</w:t>
            </w:r>
            <w:r w:rsidR="001A5DA0">
              <w:rPr>
                <w:bCs/>
                <w:color w:val="auto"/>
                <w:lang w:val="en-US"/>
              </w:rPr>
              <w:t>)</w:t>
            </w:r>
            <w:r w:rsidR="00D71B0D" w:rsidRPr="000F4DF9">
              <w:rPr>
                <w:bCs/>
                <w:color w:val="000000" w:themeColor="text1"/>
                <w:lang w:val="en-US"/>
              </w:rPr>
              <w:t xml:space="preserve">.  </w:t>
            </w:r>
            <w:r w:rsidRPr="000F4DF9">
              <w:rPr>
                <w:bCs/>
                <w:color w:val="000000" w:themeColor="text1"/>
                <w:lang w:val="en-US"/>
              </w:rPr>
              <w:t>Performance in</w:t>
            </w:r>
            <w:r w:rsidR="001A5DA0">
              <w:rPr>
                <w:bCs/>
                <w:color w:val="000000" w:themeColor="text1"/>
                <w:lang w:val="en-US"/>
              </w:rPr>
              <w:t xml:space="preserve"> August</w:t>
            </w:r>
            <w:r w:rsidR="00D71B0D" w:rsidRPr="000F4DF9">
              <w:rPr>
                <w:bCs/>
                <w:color w:val="000000" w:themeColor="text1"/>
                <w:lang w:val="en-US"/>
              </w:rPr>
              <w:t xml:space="preserve"> </w:t>
            </w:r>
            <w:r w:rsidRPr="000F4DF9">
              <w:rPr>
                <w:bCs/>
                <w:color w:val="000000" w:themeColor="text1"/>
                <w:lang w:val="en-US"/>
              </w:rPr>
              <w:t xml:space="preserve">was </w:t>
            </w:r>
            <w:r w:rsidR="00B92C6E" w:rsidRPr="000F4DF9">
              <w:rPr>
                <w:bCs/>
                <w:color w:val="000000" w:themeColor="text1"/>
              </w:rPr>
              <w:t>1</w:t>
            </w:r>
            <w:r w:rsidR="001A5DA0">
              <w:rPr>
                <w:bCs/>
                <w:color w:val="000000" w:themeColor="text1"/>
              </w:rPr>
              <w:t>7</w:t>
            </w:r>
            <w:r w:rsidR="00B92C6E" w:rsidRPr="000F4DF9">
              <w:rPr>
                <w:bCs/>
                <w:color w:val="000000" w:themeColor="text1"/>
              </w:rPr>
              <w:t xml:space="preserve"> against a plan of 1</w:t>
            </w:r>
            <w:r w:rsidR="001A5DA0">
              <w:rPr>
                <w:bCs/>
                <w:color w:val="000000" w:themeColor="text1"/>
              </w:rPr>
              <w:t>3</w:t>
            </w:r>
            <w:r w:rsidR="00B92C6E" w:rsidRPr="000F4DF9">
              <w:rPr>
                <w:bCs/>
                <w:color w:val="000000" w:themeColor="text1"/>
              </w:rPr>
              <w:t xml:space="preserve">. There is variation at Place </w:t>
            </w:r>
            <w:r w:rsidR="00FC5826" w:rsidRPr="000F4DF9">
              <w:rPr>
                <w:bCs/>
                <w:color w:val="000000" w:themeColor="text1"/>
              </w:rPr>
              <w:t xml:space="preserve">with the majority of placements being from </w:t>
            </w:r>
            <w:r w:rsidR="00B92C6E" w:rsidRPr="000F4DF9">
              <w:rPr>
                <w:bCs/>
                <w:color w:val="000000" w:themeColor="text1"/>
              </w:rPr>
              <w:t xml:space="preserve">North Lincs at </w:t>
            </w:r>
            <w:r w:rsidR="004340BF">
              <w:rPr>
                <w:bCs/>
                <w:color w:val="000000" w:themeColor="text1"/>
              </w:rPr>
              <w:t>9</w:t>
            </w:r>
            <w:r w:rsidR="001D4515" w:rsidRPr="000F4DF9">
              <w:rPr>
                <w:bCs/>
                <w:color w:val="000000" w:themeColor="text1"/>
              </w:rPr>
              <w:t xml:space="preserve"> an</w:t>
            </w:r>
            <w:r w:rsidR="00245560" w:rsidRPr="000F4DF9">
              <w:rPr>
                <w:bCs/>
                <w:color w:val="000000" w:themeColor="text1"/>
              </w:rPr>
              <w:t xml:space="preserve">d </w:t>
            </w:r>
            <w:r w:rsidR="00B92C6E" w:rsidRPr="000F4DF9">
              <w:rPr>
                <w:bCs/>
                <w:color w:val="000000" w:themeColor="text1"/>
              </w:rPr>
              <w:t>Hull</w:t>
            </w:r>
            <w:r w:rsidR="001D4515" w:rsidRPr="000F4DF9">
              <w:rPr>
                <w:bCs/>
                <w:color w:val="000000" w:themeColor="text1"/>
              </w:rPr>
              <w:t xml:space="preserve"> at </w:t>
            </w:r>
            <w:r w:rsidR="004340BF">
              <w:rPr>
                <w:bCs/>
                <w:color w:val="000000" w:themeColor="text1"/>
              </w:rPr>
              <w:t>4</w:t>
            </w:r>
            <w:r w:rsidR="00B92C6E" w:rsidRPr="000F4DF9">
              <w:rPr>
                <w:bCs/>
                <w:color w:val="000000" w:themeColor="text1"/>
              </w:rPr>
              <w:t xml:space="preserve">. </w:t>
            </w:r>
            <w:r w:rsidRPr="000F4DF9">
              <w:rPr>
                <w:bCs/>
                <w:color w:val="000000" w:themeColor="text1"/>
                <w:lang w:val="en-US"/>
              </w:rPr>
              <w:t xml:space="preserve">Further detail and some key actions are described </w:t>
            </w:r>
            <w:r w:rsidRPr="000F4DF9">
              <w:rPr>
                <w:bCs/>
                <w:color w:val="auto"/>
                <w:lang w:val="en-US"/>
              </w:rPr>
              <w:t>in the report.</w:t>
            </w:r>
          </w:p>
          <w:p w14:paraId="4D3CFFC5" w14:textId="77777777" w:rsidR="00F45560" w:rsidRPr="000F4DF9" w:rsidRDefault="00F45560" w:rsidP="00F45560">
            <w:pPr>
              <w:spacing w:after="0" w:line="240" w:lineRule="auto"/>
              <w:jc w:val="both"/>
              <w:rPr>
                <w:bCs/>
                <w:color w:val="auto"/>
                <w:lang w:val="en-US"/>
              </w:rPr>
            </w:pPr>
          </w:p>
          <w:p w14:paraId="1C00A826" w14:textId="2824B564" w:rsidR="003B0CD1" w:rsidRDefault="003B0CD1" w:rsidP="00F45560">
            <w:pPr>
              <w:spacing w:after="0" w:line="240" w:lineRule="auto"/>
              <w:jc w:val="both"/>
              <w:rPr>
                <w:bCs/>
                <w:color w:val="auto"/>
                <w:lang w:val="en-US"/>
              </w:rPr>
            </w:pPr>
            <w:r w:rsidRPr="00020D78">
              <w:rPr>
                <w:bCs/>
                <w:color w:val="auto"/>
                <w:lang w:val="en-US"/>
              </w:rPr>
              <w:t xml:space="preserve">Access to CYP Mental Health </w:t>
            </w:r>
            <w:r w:rsidRPr="00020D78">
              <w:rPr>
                <w:bCs/>
                <w:color w:val="000000" w:themeColor="text1"/>
                <w:lang w:val="en-US"/>
              </w:rPr>
              <w:t xml:space="preserve">services is measured via </w:t>
            </w:r>
            <w:r w:rsidRPr="00020D78">
              <w:rPr>
                <w:bCs/>
                <w:color w:val="000000" w:themeColor="text1"/>
              </w:rPr>
              <w:t xml:space="preserve">available appointments, which in </w:t>
            </w:r>
            <w:r w:rsidR="005D0531">
              <w:rPr>
                <w:bCs/>
                <w:color w:val="000000" w:themeColor="text1"/>
              </w:rPr>
              <w:t>August</w:t>
            </w:r>
            <w:r w:rsidRPr="00020D78">
              <w:rPr>
                <w:bCs/>
                <w:color w:val="000000" w:themeColor="text1"/>
              </w:rPr>
              <w:t xml:space="preserve"> was 2</w:t>
            </w:r>
            <w:r w:rsidR="002864A8" w:rsidRPr="00020D78">
              <w:rPr>
                <w:bCs/>
                <w:color w:val="000000" w:themeColor="text1"/>
              </w:rPr>
              <w:t>0,</w:t>
            </w:r>
            <w:r w:rsidR="005D0531">
              <w:rPr>
                <w:bCs/>
                <w:color w:val="000000" w:themeColor="text1"/>
              </w:rPr>
              <w:t>750</w:t>
            </w:r>
            <w:r w:rsidRPr="00020D78">
              <w:rPr>
                <w:bCs/>
                <w:color w:val="000000" w:themeColor="text1"/>
              </w:rPr>
              <w:t xml:space="preserve"> against a plan of 21,690, and therefore below target. The provision made available has shown special cause variation of an improving </w:t>
            </w:r>
            <w:r w:rsidR="0057096E" w:rsidRPr="00020D78">
              <w:rPr>
                <w:bCs/>
                <w:color w:val="000000" w:themeColor="text1"/>
              </w:rPr>
              <w:t>nature but</w:t>
            </w:r>
            <w:r w:rsidRPr="00020D78">
              <w:rPr>
                <w:bCs/>
                <w:color w:val="000000" w:themeColor="text1"/>
              </w:rPr>
              <w:t xml:space="preserve"> is below the increased plan for 2024/25. </w:t>
            </w:r>
            <w:r w:rsidRPr="00020D78">
              <w:rPr>
                <w:bCs/>
                <w:color w:val="auto"/>
              </w:rPr>
              <w:t>Place level performance is variable against plan, however all areas except North Yorkshire and York are showing special cause variation of an improving nature.  North Yorkshire is showing no significant change and York is showing special cause variation of a concerning nature. The report describes actions that are being taken.</w:t>
            </w:r>
            <w:r w:rsidRPr="00020D78">
              <w:rPr>
                <w:bCs/>
                <w:color w:val="auto"/>
                <w:lang w:val="en-US"/>
              </w:rPr>
              <w:t xml:space="preserve">  </w:t>
            </w:r>
            <w:r w:rsidR="00CA5C91" w:rsidRPr="006C75C4">
              <w:rPr>
                <w:bCs/>
                <w:color w:val="000000" w:themeColor="text1"/>
                <w:lang w:val="en-US"/>
              </w:rPr>
              <w:t>The ICBs System Oversight and Assurance Group (</w:t>
            </w:r>
            <w:r w:rsidR="00A83CE8" w:rsidRPr="006C75C4">
              <w:rPr>
                <w:bCs/>
                <w:color w:val="000000" w:themeColor="text1"/>
                <w:lang w:val="en-US"/>
              </w:rPr>
              <w:t>SOAG</w:t>
            </w:r>
            <w:r w:rsidR="00CA5C91" w:rsidRPr="006C75C4">
              <w:rPr>
                <w:bCs/>
                <w:color w:val="000000" w:themeColor="text1"/>
                <w:lang w:val="en-US"/>
              </w:rPr>
              <w:t>)</w:t>
            </w:r>
            <w:r w:rsidR="00A83CE8" w:rsidRPr="006C75C4">
              <w:rPr>
                <w:bCs/>
                <w:color w:val="000000" w:themeColor="text1"/>
                <w:lang w:val="en-US"/>
              </w:rPr>
              <w:t xml:space="preserve"> was given further information describing the </w:t>
            </w:r>
            <w:r w:rsidR="00A83CE8">
              <w:rPr>
                <w:bCs/>
                <w:color w:val="auto"/>
                <w:lang w:val="en-US"/>
              </w:rPr>
              <w:t>growing number of children and young people waiting over 12 weeks for a first contact.</w:t>
            </w:r>
          </w:p>
          <w:p w14:paraId="3038532C" w14:textId="77777777" w:rsidR="00F45560" w:rsidRPr="00020D78" w:rsidRDefault="00F45560" w:rsidP="00F45560">
            <w:pPr>
              <w:spacing w:after="0" w:line="240" w:lineRule="auto"/>
              <w:jc w:val="both"/>
              <w:rPr>
                <w:bCs/>
                <w:color w:val="auto"/>
              </w:rPr>
            </w:pPr>
          </w:p>
          <w:p w14:paraId="7D4D2972" w14:textId="22236705" w:rsidR="003B0CD1" w:rsidRPr="00AD66C1" w:rsidRDefault="003B0CD1" w:rsidP="00F45560">
            <w:pPr>
              <w:spacing w:after="0" w:line="240" w:lineRule="auto"/>
              <w:jc w:val="both"/>
              <w:rPr>
                <w:rFonts w:eastAsia="Times New Roman"/>
                <w:b/>
                <w:color w:val="auto"/>
              </w:rPr>
            </w:pPr>
            <w:r w:rsidRPr="00AD66C1">
              <w:rPr>
                <w:rFonts w:eastAsia="Times New Roman"/>
                <w:b/>
                <w:color w:val="auto"/>
              </w:rPr>
              <w:t>Workforce</w:t>
            </w:r>
          </w:p>
          <w:p w14:paraId="17A3AFC3" w14:textId="0534EDE4" w:rsidR="009F369C" w:rsidRDefault="0066050C" w:rsidP="00F45560">
            <w:pPr>
              <w:pStyle w:val="ListParagraph"/>
              <w:spacing w:after="0" w:line="240" w:lineRule="auto"/>
              <w:ind w:left="0"/>
              <w:jc w:val="both"/>
              <w:rPr>
                <w:rFonts w:eastAsia="Times New Roman"/>
                <w:bCs/>
                <w:color w:val="auto"/>
              </w:rPr>
            </w:pPr>
            <w:r w:rsidRPr="0066050C">
              <w:rPr>
                <w:rFonts w:eastAsia="Times New Roman"/>
                <w:bCs/>
                <w:color w:val="auto"/>
                <w:lang w:val="en-US"/>
              </w:rPr>
              <w:t xml:space="preserve">The performance expectations for workforce set out in the operating plan refer to actions on working lives of doctors and clinical placements that are captured via the separate Breakthrough programme update.  In terms of workforce numbers, slides </w:t>
            </w:r>
            <w:r w:rsidR="008A5E60">
              <w:rPr>
                <w:rFonts w:eastAsia="Times New Roman"/>
                <w:bCs/>
                <w:color w:val="auto"/>
                <w:lang w:val="en-US"/>
              </w:rPr>
              <w:t>18</w:t>
            </w:r>
            <w:r w:rsidRPr="0066050C">
              <w:rPr>
                <w:rFonts w:eastAsia="Times New Roman"/>
                <w:bCs/>
                <w:color w:val="auto"/>
                <w:lang w:val="en-US"/>
              </w:rPr>
              <w:t xml:space="preserve">-22 provide an overview.  Key </w:t>
            </w:r>
            <w:r w:rsidRPr="0066050C">
              <w:rPr>
                <w:rFonts w:eastAsia="Times New Roman"/>
                <w:bCs/>
                <w:color w:val="auto"/>
                <w:lang w:val="en-US"/>
              </w:rPr>
              <w:lastRenderedPageBreak/>
              <w:t xml:space="preserve">messages and risks are </w:t>
            </w:r>
            <w:r w:rsidR="00122D90">
              <w:rPr>
                <w:rFonts w:eastAsia="Times New Roman"/>
                <w:bCs/>
                <w:color w:val="auto"/>
                <w:lang w:val="en-US"/>
              </w:rPr>
              <w:t>summarized on slide</w:t>
            </w:r>
            <w:r w:rsidR="00B453C5">
              <w:rPr>
                <w:rFonts w:eastAsia="Times New Roman"/>
                <w:bCs/>
                <w:color w:val="auto"/>
                <w:lang w:val="en-US"/>
              </w:rPr>
              <w:t>s 18 and</w:t>
            </w:r>
            <w:r w:rsidR="00122D90">
              <w:rPr>
                <w:rFonts w:eastAsia="Times New Roman"/>
                <w:bCs/>
                <w:color w:val="auto"/>
                <w:lang w:val="en-US"/>
              </w:rPr>
              <w:t xml:space="preserve"> 19 of the report</w:t>
            </w:r>
            <w:r w:rsidR="00275F89">
              <w:rPr>
                <w:rFonts w:eastAsia="Times New Roman"/>
                <w:bCs/>
                <w:color w:val="auto"/>
                <w:lang w:val="en-US"/>
              </w:rPr>
              <w:t xml:space="preserve">, the headlines </w:t>
            </w:r>
            <w:r w:rsidR="00BF33D6">
              <w:rPr>
                <w:rFonts w:eastAsia="Times New Roman"/>
                <w:bCs/>
                <w:color w:val="auto"/>
                <w:lang w:val="en-US"/>
              </w:rPr>
              <w:t xml:space="preserve">for September </w:t>
            </w:r>
            <w:r w:rsidR="00275F89">
              <w:rPr>
                <w:rFonts w:eastAsia="Times New Roman"/>
                <w:bCs/>
                <w:color w:val="auto"/>
                <w:lang w:val="en-US"/>
              </w:rPr>
              <w:t xml:space="preserve">being that agency </w:t>
            </w:r>
            <w:r w:rsidR="00CA5C91">
              <w:rPr>
                <w:rFonts w:eastAsia="Times New Roman"/>
                <w:bCs/>
                <w:color w:val="auto"/>
                <w:lang w:val="en-US"/>
              </w:rPr>
              <w:t>Whole time Equivalent (</w:t>
            </w:r>
            <w:r w:rsidR="00275F89">
              <w:rPr>
                <w:rFonts w:eastAsia="Times New Roman"/>
                <w:bCs/>
                <w:color w:val="auto"/>
                <w:lang w:val="en-US"/>
              </w:rPr>
              <w:t>WTE</w:t>
            </w:r>
            <w:r w:rsidR="00CA5C91">
              <w:rPr>
                <w:rFonts w:eastAsia="Times New Roman"/>
                <w:bCs/>
                <w:color w:val="auto"/>
                <w:lang w:val="en-US"/>
              </w:rPr>
              <w:t>)</w:t>
            </w:r>
            <w:r w:rsidR="00275F89">
              <w:rPr>
                <w:rFonts w:eastAsia="Times New Roman"/>
                <w:bCs/>
                <w:color w:val="auto"/>
                <w:lang w:val="en-US"/>
              </w:rPr>
              <w:t xml:space="preserve"> are below plan, and bank and substantive WTE are above plan</w:t>
            </w:r>
            <w:r w:rsidR="00E022FA">
              <w:rPr>
                <w:rFonts w:eastAsia="Times New Roman"/>
                <w:bCs/>
                <w:color w:val="auto"/>
                <w:lang w:val="en-US"/>
              </w:rPr>
              <w:t xml:space="preserve"> and as a result</w:t>
            </w:r>
            <w:r w:rsidR="00B453C5">
              <w:rPr>
                <w:rFonts w:eastAsia="Times New Roman"/>
                <w:bCs/>
                <w:color w:val="auto"/>
                <w:lang w:val="en-US"/>
              </w:rPr>
              <w:t>,</w:t>
            </w:r>
            <w:r w:rsidR="00E022FA">
              <w:rPr>
                <w:rFonts w:eastAsia="Times New Roman"/>
                <w:bCs/>
                <w:color w:val="auto"/>
                <w:lang w:val="en-US"/>
              </w:rPr>
              <w:t xml:space="preserve"> </w:t>
            </w:r>
            <w:r w:rsidR="00BF33D6">
              <w:rPr>
                <w:rFonts w:eastAsia="Times New Roman"/>
                <w:bCs/>
                <w:color w:val="auto"/>
                <w:lang w:val="en-US"/>
              </w:rPr>
              <w:t xml:space="preserve">overall </w:t>
            </w:r>
            <w:r w:rsidR="00E022FA">
              <w:rPr>
                <w:rFonts w:eastAsia="Times New Roman"/>
                <w:bCs/>
                <w:color w:val="auto"/>
                <w:lang w:val="en-US"/>
              </w:rPr>
              <w:t>pay</w:t>
            </w:r>
            <w:r w:rsidR="00B453C5">
              <w:rPr>
                <w:rFonts w:eastAsia="Times New Roman"/>
                <w:bCs/>
                <w:color w:val="auto"/>
                <w:lang w:val="en-US"/>
              </w:rPr>
              <w:t xml:space="preserve"> </w:t>
            </w:r>
            <w:r w:rsidR="00E022FA">
              <w:rPr>
                <w:rFonts w:eastAsia="Times New Roman"/>
                <w:bCs/>
                <w:color w:val="auto"/>
                <w:lang w:val="en-US"/>
              </w:rPr>
              <w:t>bill is above plan</w:t>
            </w:r>
            <w:r w:rsidR="00275F89">
              <w:rPr>
                <w:rFonts w:eastAsia="Times New Roman"/>
                <w:bCs/>
                <w:color w:val="auto"/>
                <w:lang w:val="en-US"/>
              </w:rPr>
              <w:t xml:space="preserve">.  </w:t>
            </w:r>
            <w:r w:rsidR="00F92FF6">
              <w:rPr>
                <w:rFonts w:eastAsia="Times New Roman"/>
                <w:bCs/>
                <w:color w:val="auto"/>
                <w:lang w:val="en-US"/>
              </w:rPr>
              <w:t>The number of WTE</w:t>
            </w:r>
            <w:r w:rsidR="00057DD0">
              <w:rPr>
                <w:rFonts w:eastAsia="Times New Roman"/>
                <w:bCs/>
                <w:color w:val="auto"/>
                <w:lang w:val="en-US"/>
              </w:rPr>
              <w:t xml:space="preserve"> has increased between August and September</w:t>
            </w:r>
            <w:r w:rsidR="00CA5C91">
              <w:rPr>
                <w:rFonts w:eastAsia="Times New Roman"/>
                <w:bCs/>
                <w:color w:val="auto"/>
                <w:lang w:val="en-US"/>
              </w:rPr>
              <w:t>,</w:t>
            </w:r>
            <w:r w:rsidR="00057DD0">
              <w:rPr>
                <w:rFonts w:eastAsia="Times New Roman"/>
                <w:bCs/>
                <w:color w:val="auto"/>
                <w:lang w:val="en-US"/>
              </w:rPr>
              <w:t xml:space="preserve"> but in relation to </w:t>
            </w:r>
            <w:r w:rsidR="00F92FF6">
              <w:rPr>
                <w:rFonts w:eastAsia="Times New Roman"/>
                <w:bCs/>
                <w:color w:val="auto"/>
                <w:lang w:val="en-US"/>
              </w:rPr>
              <w:t xml:space="preserve">plan </w:t>
            </w:r>
            <w:r w:rsidR="00057DD0">
              <w:rPr>
                <w:rFonts w:eastAsia="Times New Roman"/>
                <w:bCs/>
                <w:color w:val="auto"/>
                <w:lang w:val="en-US"/>
              </w:rPr>
              <w:t xml:space="preserve">is showing an </w:t>
            </w:r>
            <w:r w:rsidR="00F92FF6">
              <w:rPr>
                <w:rFonts w:eastAsia="Times New Roman"/>
                <w:bCs/>
                <w:color w:val="auto"/>
                <w:lang w:val="en-US"/>
              </w:rPr>
              <w:t>improved</w:t>
            </w:r>
            <w:r w:rsidR="00057DD0">
              <w:rPr>
                <w:rFonts w:eastAsia="Times New Roman"/>
                <w:bCs/>
                <w:color w:val="auto"/>
                <w:lang w:val="en-US"/>
              </w:rPr>
              <w:t xml:space="preserve"> position.</w:t>
            </w:r>
          </w:p>
          <w:p w14:paraId="5F234C9C" w14:textId="77777777" w:rsidR="0001092D" w:rsidRDefault="0001092D" w:rsidP="00F45560">
            <w:pPr>
              <w:pStyle w:val="ListParagraph"/>
              <w:spacing w:after="0" w:line="240" w:lineRule="auto"/>
              <w:ind w:left="0"/>
              <w:jc w:val="both"/>
              <w:rPr>
                <w:rFonts w:eastAsia="Times New Roman"/>
                <w:bCs/>
                <w:color w:val="auto"/>
              </w:rPr>
            </w:pPr>
          </w:p>
          <w:p w14:paraId="2D5A7D16" w14:textId="1935E440" w:rsidR="00057DD0" w:rsidRDefault="00057DD0" w:rsidP="00F45560">
            <w:pPr>
              <w:pStyle w:val="ListParagraph"/>
              <w:spacing w:after="0" w:line="240" w:lineRule="auto"/>
              <w:ind w:left="0"/>
              <w:jc w:val="both"/>
              <w:rPr>
                <w:rFonts w:eastAsia="Times New Roman"/>
                <w:b/>
                <w:color w:val="auto"/>
              </w:rPr>
            </w:pPr>
            <w:r>
              <w:rPr>
                <w:rFonts w:eastAsia="Times New Roman"/>
                <w:b/>
                <w:color w:val="auto"/>
              </w:rPr>
              <w:t xml:space="preserve">Children and Young People </w:t>
            </w:r>
          </w:p>
          <w:p w14:paraId="625B248C" w14:textId="77777777" w:rsidR="00C84D87" w:rsidRDefault="00057DD0" w:rsidP="00F45560">
            <w:pPr>
              <w:pStyle w:val="ListParagraph"/>
              <w:spacing w:after="0" w:line="240" w:lineRule="auto"/>
              <w:ind w:left="0"/>
              <w:jc w:val="both"/>
              <w:rPr>
                <w:rFonts w:eastAsia="Times New Roman"/>
                <w:bCs/>
                <w:color w:val="auto"/>
              </w:rPr>
            </w:pPr>
            <w:r>
              <w:rPr>
                <w:rFonts w:eastAsia="Times New Roman"/>
                <w:bCs/>
                <w:color w:val="auto"/>
              </w:rPr>
              <w:t xml:space="preserve">This month there was a review of </w:t>
            </w:r>
            <w:r w:rsidR="00D65A70">
              <w:rPr>
                <w:rFonts w:eastAsia="Times New Roman"/>
                <w:bCs/>
                <w:color w:val="auto"/>
              </w:rPr>
              <w:t xml:space="preserve">the access performance indicators in relation to </w:t>
            </w:r>
            <w:r>
              <w:rPr>
                <w:rFonts w:eastAsia="Times New Roman"/>
                <w:bCs/>
                <w:color w:val="auto"/>
              </w:rPr>
              <w:t xml:space="preserve">children and young people </w:t>
            </w:r>
            <w:r w:rsidR="00D65A70">
              <w:rPr>
                <w:rFonts w:eastAsia="Times New Roman"/>
                <w:bCs/>
                <w:color w:val="auto"/>
              </w:rPr>
              <w:t xml:space="preserve">where data supported.  </w:t>
            </w:r>
            <w:r w:rsidR="00313121">
              <w:rPr>
                <w:rFonts w:eastAsia="Times New Roman"/>
                <w:bCs/>
                <w:color w:val="auto"/>
              </w:rPr>
              <w:t>Slides 23-29 were discussed at SOAG and show a mixture of experience when compared to the performance in relation to adults and a different picture between hospital and out of hospital indicators.</w:t>
            </w:r>
          </w:p>
          <w:p w14:paraId="60317177" w14:textId="77777777" w:rsidR="00C84D87" w:rsidRDefault="00C84D87" w:rsidP="00F45560">
            <w:pPr>
              <w:pStyle w:val="ListParagraph"/>
              <w:spacing w:after="0" w:line="240" w:lineRule="auto"/>
              <w:ind w:left="0"/>
              <w:jc w:val="both"/>
              <w:rPr>
                <w:rFonts w:eastAsia="Times New Roman"/>
                <w:bCs/>
                <w:color w:val="auto"/>
              </w:rPr>
            </w:pPr>
          </w:p>
          <w:p w14:paraId="6CB26A51" w14:textId="5D960B04" w:rsidR="003B0CD1" w:rsidRPr="007A4547" w:rsidRDefault="00C84D87" w:rsidP="00F45560">
            <w:pPr>
              <w:pStyle w:val="ListParagraph"/>
              <w:spacing w:after="0" w:line="240" w:lineRule="auto"/>
              <w:ind w:left="0"/>
              <w:jc w:val="both"/>
              <w:rPr>
                <w:rFonts w:eastAsia="Times New Roman"/>
                <w:b/>
                <w:color w:val="auto"/>
                <w:lang w:val="en-US"/>
              </w:rPr>
            </w:pPr>
            <w:r w:rsidRPr="00F45560">
              <w:rPr>
                <w:rFonts w:eastAsia="Times New Roman"/>
                <w:b/>
                <w:color w:val="auto"/>
              </w:rPr>
              <w:t>Q</w:t>
            </w:r>
            <w:r w:rsidR="003B0CD1" w:rsidRPr="007A4547">
              <w:rPr>
                <w:rFonts w:eastAsia="Times New Roman"/>
                <w:b/>
                <w:color w:val="auto"/>
                <w:lang w:val="en-US"/>
              </w:rPr>
              <w:t>uality</w:t>
            </w:r>
          </w:p>
          <w:p w14:paraId="13A59213" w14:textId="77777777" w:rsidR="003B0CD1" w:rsidRPr="007A4547" w:rsidRDefault="003B0CD1" w:rsidP="00F45560">
            <w:pPr>
              <w:pStyle w:val="ListParagraph"/>
              <w:spacing w:after="0" w:line="240" w:lineRule="auto"/>
              <w:ind w:left="0"/>
              <w:jc w:val="both"/>
              <w:rPr>
                <w:rFonts w:eastAsia="Times New Roman"/>
                <w:bCs/>
                <w:color w:val="auto"/>
                <w:lang w:val="en-US"/>
              </w:rPr>
            </w:pPr>
            <w:r w:rsidRPr="007A4547">
              <w:rPr>
                <w:rFonts w:eastAsia="Times New Roman"/>
                <w:bCs/>
                <w:color w:val="auto"/>
                <w:lang w:val="en-US"/>
              </w:rPr>
              <w:t>It must be noted that the quality agenda has a large number of metrics that sit outside of the operating plan.  The operating plan guidance referenced the following indicators:</w:t>
            </w:r>
          </w:p>
          <w:p w14:paraId="51E1A510" w14:textId="77777777" w:rsidR="003B0CD1" w:rsidRPr="007A4547" w:rsidRDefault="003B0CD1" w:rsidP="00F45560">
            <w:pPr>
              <w:pStyle w:val="ListParagraph"/>
              <w:spacing w:after="0" w:line="240" w:lineRule="auto"/>
              <w:ind w:left="0"/>
              <w:jc w:val="both"/>
              <w:rPr>
                <w:rFonts w:eastAsia="Times New Roman"/>
                <w:bCs/>
                <w:color w:val="auto"/>
                <w:lang w:val="en-US"/>
              </w:rPr>
            </w:pPr>
          </w:p>
          <w:p w14:paraId="58863F90" w14:textId="77777777" w:rsidR="003B0CD1" w:rsidRPr="007A4547" w:rsidRDefault="003B0CD1" w:rsidP="00F45560">
            <w:pPr>
              <w:pStyle w:val="ListParagraph"/>
              <w:numPr>
                <w:ilvl w:val="0"/>
                <w:numId w:val="7"/>
              </w:numPr>
              <w:spacing w:after="0" w:line="240" w:lineRule="auto"/>
              <w:jc w:val="both"/>
              <w:rPr>
                <w:rFonts w:eastAsia="Times New Roman"/>
                <w:bCs/>
                <w:color w:val="auto"/>
              </w:rPr>
            </w:pPr>
            <w:r w:rsidRPr="007A4547">
              <w:rPr>
                <w:rFonts w:eastAsia="Times New Roman"/>
                <w:bCs/>
                <w:color w:val="auto"/>
              </w:rPr>
              <w:t>Implement 3 year plan for maternity and neonates</w:t>
            </w:r>
          </w:p>
          <w:p w14:paraId="31414E9B" w14:textId="77777777" w:rsidR="003B0CD1" w:rsidRPr="007A4547" w:rsidRDefault="003B0CD1" w:rsidP="00F45560">
            <w:pPr>
              <w:pStyle w:val="ListParagraph"/>
              <w:numPr>
                <w:ilvl w:val="0"/>
                <w:numId w:val="7"/>
              </w:numPr>
              <w:spacing w:after="0" w:line="240" w:lineRule="auto"/>
              <w:jc w:val="both"/>
              <w:rPr>
                <w:rFonts w:eastAsia="Times New Roman"/>
                <w:bCs/>
                <w:color w:val="auto"/>
              </w:rPr>
            </w:pPr>
            <w:r w:rsidRPr="007A4547">
              <w:rPr>
                <w:rFonts w:eastAsia="Times New Roman"/>
                <w:bCs/>
                <w:color w:val="auto"/>
              </w:rPr>
              <w:t>Develop at least one women’s Health Hub</w:t>
            </w:r>
          </w:p>
          <w:p w14:paraId="31715B3D" w14:textId="77777777" w:rsidR="003B0CD1" w:rsidRPr="007A4547" w:rsidRDefault="003B0CD1" w:rsidP="00F45560">
            <w:pPr>
              <w:pStyle w:val="ListParagraph"/>
              <w:numPr>
                <w:ilvl w:val="0"/>
                <w:numId w:val="7"/>
              </w:numPr>
              <w:spacing w:after="0" w:line="240" w:lineRule="auto"/>
              <w:jc w:val="both"/>
              <w:rPr>
                <w:rFonts w:eastAsia="Times New Roman"/>
                <w:bCs/>
                <w:color w:val="auto"/>
              </w:rPr>
            </w:pPr>
            <w:r w:rsidRPr="007A4547">
              <w:rPr>
                <w:rFonts w:eastAsia="Times New Roman"/>
                <w:bCs/>
                <w:color w:val="auto"/>
              </w:rPr>
              <w:t>Implement the patient safety incident response framework (PSIRF)</w:t>
            </w:r>
          </w:p>
          <w:p w14:paraId="64C5FF36" w14:textId="77777777" w:rsidR="003B0CD1" w:rsidRPr="007A4547" w:rsidRDefault="003B0CD1" w:rsidP="00F45560">
            <w:pPr>
              <w:pStyle w:val="ListParagraph"/>
              <w:spacing w:after="0" w:line="240" w:lineRule="auto"/>
              <w:ind w:left="0"/>
              <w:jc w:val="both"/>
              <w:rPr>
                <w:rFonts w:eastAsia="Times New Roman"/>
                <w:bCs/>
                <w:color w:val="auto"/>
                <w:lang w:val="en-US"/>
              </w:rPr>
            </w:pPr>
          </w:p>
          <w:p w14:paraId="1ADCA278" w14:textId="6FA920F7" w:rsidR="003B0CD1" w:rsidRPr="007A4547" w:rsidRDefault="00AD66C1" w:rsidP="00F45560">
            <w:pPr>
              <w:pStyle w:val="ListParagraph"/>
              <w:spacing w:after="0" w:line="240" w:lineRule="auto"/>
              <w:ind w:left="0"/>
              <w:jc w:val="both"/>
              <w:rPr>
                <w:bCs/>
                <w:color w:val="auto"/>
              </w:rPr>
            </w:pPr>
            <w:r w:rsidRPr="007A4547">
              <w:rPr>
                <w:rFonts w:eastAsia="Times New Roman"/>
                <w:bCs/>
                <w:color w:val="auto"/>
                <w:lang w:val="en-US"/>
              </w:rPr>
              <w:t xml:space="preserve">The authors of this report have </w:t>
            </w:r>
            <w:r w:rsidR="00502F41" w:rsidRPr="007A4547">
              <w:rPr>
                <w:rFonts w:eastAsia="Times New Roman"/>
                <w:bCs/>
                <w:color w:val="auto"/>
                <w:lang w:val="en-US"/>
              </w:rPr>
              <w:t xml:space="preserve">checked and are assured that updates on progress are being made direct to the Board through either escalations from the Quality Committee </w:t>
            </w:r>
            <w:r w:rsidR="00BA6BB1" w:rsidRPr="007A4547">
              <w:rPr>
                <w:rFonts w:eastAsia="Times New Roman"/>
                <w:bCs/>
                <w:color w:val="auto"/>
                <w:lang w:val="en-US"/>
              </w:rPr>
              <w:t>or through specific papers on the Board agenda from responsible officers</w:t>
            </w:r>
            <w:r w:rsidR="003B0CD1" w:rsidRPr="007A4547">
              <w:rPr>
                <w:rFonts w:eastAsia="Times New Roman"/>
                <w:bCs/>
                <w:color w:val="auto"/>
                <w:lang w:val="en-US"/>
              </w:rPr>
              <w:t>.</w:t>
            </w:r>
          </w:p>
          <w:p w14:paraId="1D51A5FF" w14:textId="77777777" w:rsidR="003B0CD1" w:rsidRPr="007A4547" w:rsidRDefault="003B0CD1" w:rsidP="00F45560">
            <w:pPr>
              <w:spacing w:after="0" w:line="240" w:lineRule="auto"/>
              <w:jc w:val="both"/>
              <w:rPr>
                <w:bCs/>
                <w:color w:val="auto"/>
              </w:rPr>
            </w:pPr>
          </w:p>
          <w:p w14:paraId="6059D74A" w14:textId="77777777" w:rsidR="003B0CD1" w:rsidRPr="007A4547" w:rsidRDefault="003B0CD1" w:rsidP="00F45560">
            <w:pPr>
              <w:spacing w:after="0" w:line="240" w:lineRule="auto"/>
              <w:jc w:val="both"/>
              <w:rPr>
                <w:bCs/>
                <w:color w:val="auto"/>
              </w:rPr>
            </w:pPr>
            <w:r w:rsidRPr="007A4547">
              <w:rPr>
                <w:bCs/>
                <w:color w:val="auto"/>
              </w:rPr>
              <w:t>The full complete report is attached for your consideration.</w:t>
            </w:r>
          </w:p>
          <w:p w14:paraId="481FA872" w14:textId="77777777" w:rsidR="00B23AD5" w:rsidRPr="00AA7A95" w:rsidRDefault="00B23AD5" w:rsidP="00F45560">
            <w:pPr>
              <w:spacing w:after="0" w:line="240" w:lineRule="auto"/>
              <w:jc w:val="both"/>
              <w:rPr>
                <w:color w:val="auto"/>
                <w:highlight w:val="yellow"/>
              </w:rPr>
            </w:pPr>
          </w:p>
          <w:p w14:paraId="0AFB514E" w14:textId="02140EE7" w:rsidR="00A958CA" w:rsidRPr="007A4547" w:rsidRDefault="002B7229" w:rsidP="00F45560">
            <w:pPr>
              <w:spacing w:after="0" w:line="240" w:lineRule="auto"/>
              <w:rPr>
                <w:color w:val="auto"/>
              </w:rPr>
            </w:pPr>
            <w:r w:rsidRPr="007A4547">
              <w:rPr>
                <w:b/>
                <w:color w:val="auto"/>
              </w:rPr>
              <w:t>RECOMMENDATIONS:</w:t>
            </w:r>
          </w:p>
          <w:p w14:paraId="59D0E49B" w14:textId="0AC14BB3" w:rsidR="007650BC" w:rsidRPr="007A4547" w:rsidRDefault="007650BC" w:rsidP="00F45560">
            <w:pPr>
              <w:spacing w:after="0" w:line="240" w:lineRule="auto"/>
              <w:rPr>
                <w:color w:val="auto"/>
              </w:rPr>
            </w:pPr>
          </w:p>
          <w:p w14:paraId="3481C0C9" w14:textId="225D58A2" w:rsidR="002D2FBC" w:rsidRPr="007A4547" w:rsidRDefault="002D2FBC" w:rsidP="00F45560">
            <w:pPr>
              <w:spacing w:after="0" w:line="240" w:lineRule="auto"/>
              <w:rPr>
                <w:color w:val="auto"/>
              </w:rPr>
            </w:pPr>
            <w:bookmarkStart w:id="2" w:name="_Hlk106101454"/>
            <w:r w:rsidRPr="007A4547">
              <w:rPr>
                <w:color w:val="auto"/>
              </w:rPr>
              <w:t>Members are asked to:</w:t>
            </w:r>
          </w:p>
          <w:p w14:paraId="721DF360" w14:textId="77777777" w:rsidR="002D2FBC" w:rsidRPr="007A4547" w:rsidRDefault="002D2FBC" w:rsidP="00F45560">
            <w:pPr>
              <w:spacing w:after="0" w:line="240" w:lineRule="auto"/>
              <w:rPr>
                <w:color w:val="auto"/>
              </w:rPr>
            </w:pPr>
          </w:p>
          <w:bookmarkEnd w:id="2"/>
          <w:p w14:paraId="586BED92" w14:textId="77777777" w:rsidR="00C90295" w:rsidRPr="007A4547" w:rsidRDefault="00C90295" w:rsidP="00F45560">
            <w:pPr>
              <w:pStyle w:val="ListParagraph"/>
              <w:numPr>
                <w:ilvl w:val="0"/>
                <w:numId w:val="10"/>
              </w:numPr>
              <w:spacing w:after="0" w:line="240" w:lineRule="auto"/>
              <w:ind w:hanging="54"/>
              <w:jc w:val="both"/>
              <w:rPr>
                <w:bCs/>
                <w:color w:val="000000" w:themeColor="text1"/>
              </w:rPr>
            </w:pPr>
            <w:r w:rsidRPr="007A4547">
              <w:rPr>
                <w:bCs/>
                <w:color w:val="auto"/>
              </w:rPr>
              <w:t xml:space="preserve">Note the development of the </w:t>
            </w:r>
            <w:r w:rsidRPr="007A4547">
              <w:rPr>
                <w:bCs/>
                <w:color w:val="000000" w:themeColor="text1"/>
              </w:rPr>
              <w:t>Board performance report in terms of its content, length and presentation.</w:t>
            </w:r>
            <w:r w:rsidRPr="007A4547">
              <w:rPr>
                <w:bCs/>
                <w:color w:val="000000" w:themeColor="text1"/>
              </w:rPr>
              <w:tab/>
            </w:r>
          </w:p>
          <w:p w14:paraId="3F85D8F9" w14:textId="77777777" w:rsidR="00C90295" w:rsidRPr="007A4547" w:rsidRDefault="00C90295" w:rsidP="00F45560">
            <w:pPr>
              <w:pStyle w:val="ListParagraph"/>
              <w:numPr>
                <w:ilvl w:val="0"/>
                <w:numId w:val="10"/>
              </w:numPr>
              <w:spacing w:after="0" w:line="240" w:lineRule="auto"/>
              <w:ind w:hanging="54"/>
              <w:jc w:val="both"/>
              <w:rPr>
                <w:bCs/>
                <w:color w:val="000000" w:themeColor="text1"/>
              </w:rPr>
            </w:pPr>
            <w:r w:rsidRPr="007A4547">
              <w:rPr>
                <w:bCs/>
                <w:color w:val="000000" w:themeColor="text1"/>
              </w:rPr>
              <w:t>Consider and discuss the performance report: - in particular, the issues highlighted in the cover sheet.</w:t>
            </w:r>
          </w:p>
          <w:p w14:paraId="0CE1A79F" w14:textId="77777777" w:rsidR="00C90295" w:rsidRDefault="00C90295" w:rsidP="00F45560">
            <w:pPr>
              <w:pStyle w:val="ListParagraph"/>
              <w:numPr>
                <w:ilvl w:val="0"/>
                <w:numId w:val="10"/>
              </w:numPr>
              <w:spacing w:after="0" w:line="240" w:lineRule="auto"/>
              <w:ind w:hanging="54"/>
              <w:jc w:val="both"/>
              <w:rPr>
                <w:bCs/>
                <w:color w:val="000000" w:themeColor="text1"/>
              </w:rPr>
            </w:pPr>
            <w:r w:rsidRPr="007A4547">
              <w:rPr>
                <w:bCs/>
                <w:color w:val="000000" w:themeColor="text1"/>
              </w:rPr>
              <w:t>Provide feedback to support the further development and evolution of the Board Performance Report.</w:t>
            </w:r>
          </w:p>
          <w:p w14:paraId="5DD056FB" w14:textId="254415DE" w:rsidR="000B2507" w:rsidRPr="006C6CAA" w:rsidRDefault="000B2507" w:rsidP="00F45560">
            <w:pPr>
              <w:spacing w:after="0" w:line="240" w:lineRule="auto"/>
              <w:rPr>
                <w:color w:val="auto"/>
                <w:sz w:val="16"/>
                <w:szCs w:val="16"/>
              </w:rPr>
            </w:pPr>
          </w:p>
        </w:tc>
      </w:tr>
    </w:tbl>
    <w:p w14:paraId="243F4965" w14:textId="77777777" w:rsidR="0071484F" w:rsidRDefault="0071484F" w:rsidP="00D05ADC">
      <w:pPr>
        <w:spacing w:after="0" w:line="120" w:lineRule="auto"/>
        <w:rPr>
          <w:color w:val="auto"/>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6C1E7A" w:rsidRPr="00524FEE" w14:paraId="63DCEC3B" w14:textId="77777777" w:rsidTr="00EF3216">
        <w:trPr>
          <w:trHeight w:val="427"/>
        </w:trPr>
        <w:tc>
          <w:tcPr>
            <w:tcW w:w="9608" w:type="dxa"/>
            <w:tcBorders>
              <w:bottom w:val="nil"/>
            </w:tcBorders>
            <w:shd w:val="clear" w:color="auto" w:fill="D9D9D9" w:themeFill="background1" w:themeFillShade="D9"/>
          </w:tcPr>
          <w:p w14:paraId="3A979286" w14:textId="2C72DC03" w:rsidR="006C1E7A" w:rsidRPr="00524FEE" w:rsidRDefault="006C1E7A" w:rsidP="00F45560">
            <w:pPr>
              <w:spacing w:after="0" w:line="240" w:lineRule="auto"/>
              <w:rPr>
                <w:color w:val="auto"/>
              </w:rPr>
            </w:pPr>
            <w:bookmarkStart w:id="3" w:name="_Hlk138950819"/>
            <w:r>
              <w:rPr>
                <w:b/>
                <w:color w:val="auto"/>
                <w:sz w:val="24"/>
                <w:szCs w:val="24"/>
              </w:rPr>
              <w:t xml:space="preserve">ICB STRATEGIC </w:t>
            </w:r>
            <w:r w:rsidRPr="00753A32">
              <w:rPr>
                <w:b/>
                <w:color w:val="auto"/>
                <w:sz w:val="24"/>
                <w:szCs w:val="24"/>
              </w:rPr>
              <w:t>OBJECTIVE</w:t>
            </w:r>
            <w:r>
              <w:rPr>
                <w:b/>
                <w:color w:val="auto"/>
                <w:sz w:val="24"/>
                <w:szCs w:val="24"/>
              </w:rPr>
              <w:t xml:space="preserve"> </w:t>
            </w:r>
          </w:p>
        </w:tc>
      </w:tr>
      <w:tr w:rsidR="006C1E7A" w:rsidRPr="00BD03D7" w14:paraId="60619CF1" w14:textId="77777777" w:rsidTr="00F45560">
        <w:trPr>
          <w:trHeight w:val="186"/>
        </w:trPr>
        <w:tc>
          <w:tcPr>
            <w:tcW w:w="9608" w:type="dxa"/>
            <w:tcBorders>
              <w:top w:val="nil"/>
            </w:tcBorders>
            <w:shd w:val="clear" w:color="auto" w:fill="D9D9D9" w:themeFill="background1" w:themeFillShade="D9"/>
          </w:tcPr>
          <w:p w14:paraId="40ED083B" w14:textId="164BE792" w:rsidR="00EF3216" w:rsidRPr="00BD03D7" w:rsidRDefault="00EF3216" w:rsidP="00F45560">
            <w:pPr>
              <w:spacing w:after="0" w:line="240" w:lineRule="auto"/>
              <w:rPr>
                <w:b/>
                <w:color w:val="auto"/>
              </w:rPr>
            </w:pPr>
          </w:p>
        </w:tc>
      </w:tr>
      <w:bookmarkEnd w:id="3"/>
    </w:tbl>
    <w:p w14:paraId="4A0E2310" w14:textId="77777777" w:rsidR="001D657A" w:rsidRDefault="001D657A" w:rsidP="00D05ADC">
      <w:pPr>
        <w:spacing w:after="0" w:line="120" w:lineRule="auto"/>
        <w:rPr>
          <w:color w:val="auto"/>
        </w:rPr>
      </w:pPr>
    </w:p>
    <w:tbl>
      <w:tblPr>
        <w:tblStyle w:val="TableGrid"/>
        <w:tblpPr w:leftFromText="180" w:rightFromText="180" w:vertAnchor="text" w:horzAnchor="margin" w:tblpY="-64"/>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640"/>
        <w:gridCol w:w="1968"/>
      </w:tblGrid>
      <w:tr w:rsidR="00CE23E4" w:rsidRPr="00566BDC" w14:paraId="184C4369" w14:textId="77777777" w:rsidTr="00F45560">
        <w:trPr>
          <w:trHeight w:val="546"/>
        </w:trPr>
        <w:tc>
          <w:tcPr>
            <w:tcW w:w="7653" w:type="dxa"/>
          </w:tcPr>
          <w:p w14:paraId="100DB891" w14:textId="472302D2" w:rsidR="006C1E7A" w:rsidRPr="00524FEE" w:rsidRDefault="000175AB" w:rsidP="00CE23E4">
            <w:pPr>
              <w:spacing w:after="0" w:line="240" w:lineRule="auto"/>
              <w:rPr>
                <w:b/>
                <w:color w:val="auto"/>
              </w:rPr>
            </w:pPr>
            <w:r>
              <w:rPr>
                <w:color w:val="auto"/>
              </w:rPr>
              <w:t>Leading for Excellence</w:t>
            </w:r>
          </w:p>
        </w:tc>
        <w:sdt>
          <w:sdtPr>
            <w:rPr>
              <w:color w:val="auto"/>
              <w:sz w:val="40"/>
              <w:szCs w:val="40"/>
            </w:rPr>
            <w:id w:val="-502581236"/>
            <w14:checkbox>
              <w14:checked w14:val="1"/>
              <w14:checkedState w14:val="2612" w14:font="MS Gothic"/>
              <w14:uncheckedState w14:val="2610" w14:font="MS Gothic"/>
            </w14:checkbox>
          </w:sdtPr>
          <w:sdtEndPr/>
          <w:sdtContent>
            <w:tc>
              <w:tcPr>
                <w:tcW w:w="1971" w:type="dxa"/>
              </w:tcPr>
              <w:p w14:paraId="796E51FD" w14:textId="18965ADE" w:rsidR="006C1E7A" w:rsidRPr="00F31E0E" w:rsidRDefault="00246F78" w:rsidP="006C1E7A">
                <w:pPr>
                  <w:spacing w:after="0" w:line="240" w:lineRule="auto"/>
                  <w:jc w:val="center"/>
                  <w:rPr>
                    <w:color w:val="auto"/>
                    <w:sz w:val="24"/>
                    <w:szCs w:val="24"/>
                  </w:rPr>
                </w:pPr>
                <w:r>
                  <w:rPr>
                    <w:rFonts w:ascii="MS Gothic" w:eastAsia="MS Gothic" w:hAnsi="MS Gothic" w:hint="eastAsia"/>
                    <w:color w:val="auto"/>
                    <w:sz w:val="40"/>
                    <w:szCs w:val="40"/>
                  </w:rPr>
                  <w:t>☒</w:t>
                </w:r>
              </w:p>
            </w:tc>
          </w:sdtContent>
        </w:sdt>
      </w:tr>
      <w:tr w:rsidR="00CE23E4" w:rsidRPr="00566BDC" w14:paraId="0896D655" w14:textId="77777777" w:rsidTr="00F45560">
        <w:trPr>
          <w:trHeight w:val="528"/>
        </w:trPr>
        <w:tc>
          <w:tcPr>
            <w:tcW w:w="7653" w:type="dxa"/>
          </w:tcPr>
          <w:p w14:paraId="40C2C738" w14:textId="0BC5D756" w:rsidR="006C1E7A" w:rsidRDefault="000175AB" w:rsidP="006C1E7A">
            <w:pPr>
              <w:spacing w:after="0" w:line="240" w:lineRule="auto"/>
              <w:rPr>
                <w:color w:val="auto"/>
              </w:rPr>
            </w:pPr>
            <w:r>
              <w:rPr>
                <w:color w:val="auto"/>
              </w:rPr>
              <w:t>Leading for Prevention</w:t>
            </w:r>
          </w:p>
          <w:p w14:paraId="0B619267" w14:textId="77777777" w:rsidR="006C1E7A" w:rsidRPr="00524FEE" w:rsidRDefault="006C1E7A" w:rsidP="006C1E7A">
            <w:pPr>
              <w:spacing w:after="0" w:line="240" w:lineRule="auto"/>
              <w:rPr>
                <w:b/>
                <w:color w:val="auto"/>
              </w:rPr>
            </w:pPr>
          </w:p>
        </w:tc>
        <w:sdt>
          <w:sdtPr>
            <w:rPr>
              <w:color w:val="auto"/>
              <w:sz w:val="40"/>
              <w:szCs w:val="40"/>
            </w:rPr>
            <w:id w:val="1263573161"/>
            <w14:checkbox>
              <w14:checked w14:val="0"/>
              <w14:checkedState w14:val="2612" w14:font="MS Gothic"/>
              <w14:uncheckedState w14:val="2610" w14:font="MS Gothic"/>
            </w14:checkbox>
          </w:sdtPr>
          <w:sdtEndPr/>
          <w:sdtContent>
            <w:tc>
              <w:tcPr>
                <w:tcW w:w="1971" w:type="dxa"/>
              </w:tcPr>
              <w:p w14:paraId="393A31D7" w14:textId="77777777" w:rsidR="006C1E7A" w:rsidRPr="00F31E0E" w:rsidRDefault="006C1E7A" w:rsidP="006C1E7A">
                <w:pPr>
                  <w:spacing w:after="0" w:line="240" w:lineRule="auto"/>
                  <w:jc w:val="center"/>
                  <w:rPr>
                    <w:color w:val="auto"/>
                    <w:sz w:val="24"/>
                    <w:szCs w:val="24"/>
                  </w:rPr>
                </w:pPr>
                <w:r>
                  <w:rPr>
                    <w:rFonts w:ascii="MS Gothic" w:eastAsia="MS Gothic" w:hAnsi="MS Gothic" w:hint="eastAsia"/>
                    <w:color w:val="auto"/>
                    <w:sz w:val="40"/>
                    <w:szCs w:val="40"/>
                  </w:rPr>
                  <w:t>☐</w:t>
                </w:r>
              </w:p>
            </w:tc>
          </w:sdtContent>
        </w:sdt>
      </w:tr>
      <w:tr w:rsidR="00CE23E4" w:rsidRPr="00566BDC" w14:paraId="6432F0E8" w14:textId="77777777" w:rsidTr="00F45560">
        <w:trPr>
          <w:trHeight w:val="528"/>
        </w:trPr>
        <w:tc>
          <w:tcPr>
            <w:tcW w:w="7653" w:type="dxa"/>
          </w:tcPr>
          <w:p w14:paraId="1DA92A76" w14:textId="0D4A5218" w:rsidR="006C1E7A" w:rsidRDefault="000175AB" w:rsidP="006C1E7A">
            <w:pPr>
              <w:spacing w:after="0" w:line="240" w:lineRule="auto"/>
              <w:jc w:val="both"/>
              <w:rPr>
                <w:color w:val="auto"/>
              </w:rPr>
            </w:pPr>
            <w:r>
              <w:rPr>
                <w:color w:val="auto"/>
              </w:rPr>
              <w:t>Leading for Sustainability</w:t>
            </w:r>
          </w:p>
          <w:p w14:paraId="7DCEB174" w14:textId="77777777" w:rsidR="006C1E7A" w:rsidRPr="00524FEE" w:rsidRDefault="006C1E7A" w:rsidP="006C1E7A">
            <w:pPr>
              <w:spacing w:after="0" w:line="240" w:lineRule="auto"/>
              <w:rPr>
                <w:b/>
                <w:color w:val="auto"/>
              </w:rPr>
            </w:pPr>
          </w:p>
        </w:tc>
        <w:sdt>
          <w:sdtPr>
            <w:rPr>
              <w:color w:val="auto"/>
              <w:sz w:val="40"/>
              <w:szCs w:val="40"/>
            </w:rPr>
            <w:id w:val="-1638247711"/>
            <w14:checkbox>
              <w14:checked w14:val="0"/>
              <w14:checkedState w14:val="2612" w14:font="MS Gothic"/>
              <w14:uncheckedState w14:val="2610" w14:font="MS Gothic"/>
            </w14:checkbox>
          </w:sdtPr>
          <w:sdtEndPr/>
          <w:sdtContent>
            <w:tc>
              <w:tcPr>
                <w:tcW w:w="1971" w:type="dxa"/>
              </w:tcPr>
              <w:p w14:paraId="7D7A9F01" w14:textId="77777777" w:rsidR="006C1E7A" w:rsidRPr="00F31E0E" w:rsidRDefault="006C1E7A" w:rsidP="006C1E7A">
                <w:pPr>
                  <w:spacing w:after="0" w:line="240" w:lineRule="auto"/>
                  <w:jc w:val="center"/>
                  <w:rPr>
                    <w:color w:val="auto"/>
                    <w:sz w:val="24"/>
                    <w:szCs w:val="24"/>
                  </w:rPr>
                </w:pPr>
                <w:r>
                  <w:rPr>
                    <w:rFonts w:ascii="MS Gothic" w:eastAsia="MS Gothic" w:hAnsi="MS Gothic" w:hint="eastAsia"/>
                    <w:color w:val="auto"/>
                    <w:sz w:val="40"/>
                    <w:szCs w:val="40"/>
                  </w:rPr>
                  <w:t>☐</w:t>
                </w:r>
              </w:p>
            </w:tc>
          </w:sdtContent>
        </w:sdt>
      </w:tr>
      <w:tr w:rsidR="007B2220" w:rsidRPr="00566BDC" w14:paraId="78DB33F8" w14:textId="77777777" w:rsidTr="00F45560">
        <w:trPr>
          <w:trHeight w:val="528"/>
        </w:trPr>
        <w:tc>
          <w:tcPr>
            <w:tcW w:w="7653" w:type="dxa"/>
          </w:tcPr>
          <w:p w14:paraId="2A8F27B0" w14:textId="609EB0E1" w:rsidR="007B2220" w:rsidRDefault="000175AB" w:rsidP="006C1E7A">
            <w:pPr>
              <w:spacing w:after="0" w:line="240" w:lineRule="auto"/>
              <w:jc w:val="both"/>
              <w:rPr>
                <w:color w:val="auto"/>
              </w:rPr>
            </w:pPr>
            <w:r>
              <w:rPr>
                <w:color w:val="auto"/>
              </w:rPr>
              <w:t>Voice at the Heart</w:t>
            </w:r>
          </w:p>
        </w:tc>
        <w:sdt>
          <w:sdtPr>
            <w:rPr>
              <w:color w:val="auto"/>
              <w:sz w:val="40"/>
              <w:szCs w:val="40"/>
            </w:rPr>
            <w:id w:val="769280798"/>
            <w14:checkbox>
              <w14:checked w14:val="0"/>
              <w14:checkedState w14:val="2612" w14:font="MS Gothic"/>
              <w14:uncheckedState w14:val="2610" w14:font="MS Gothic"/>
            </w14:checkbox>
          </w:sdtPr>
          <w:sdtEndPr/>
          <w:sdtContent>
            <w:tc>
              <w:tcPr>
                <w:tcW w:w="1971" w:type="dxa"/>
              </w:tcPr>
              <w:p w14:paraId="50F24202" w14:textId="06D017F3" w:rsidR="007B2220" w:rsidRDefault="000175AB" w:rsidP="006C1E7A">
                <w:pPr>
                  <w:spacing w:after="0" w:line="240" w:lineRule="auto"/>
                  <w:jc w:val="center"/>
                  <w:rPr>
                    <w:color w:val="auto"/>
                    <w:sz w:val="40"/>
                    <w:szCs w:val="40"/>
                  </w:rPr>
                </w:pPr>
                <w:r>
                  <w:rPr>
                    <w:rFonts w:ascii="MS Gothic" w:eastAsia="MS Gothic" w:hAnsi="MS Gothic" w:hint="eastAsia"/>
                    <w:color w:val="auto"/>
                    <w:sz w:val="40"/>
                    <w:szCs w:val="40"/>
                  </w:rPr>
                  <w:t>☐</w:t>
                </w:r>
              </w:p>
            </w:tc>
          </w:sdtContent>
        </w:sdt>
      </w:tr>
    </w:tbl>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08"/>
      </w:tblGrid>
      <w:tr w:rsidR="00F45560" w:rsidRPr="00524FEE" w14:paraId="614D6EE5" w14:textId="77777777" w:rsidTr="00F45560">
        <w:trPr>
          <w:trHeight w:val="427"/>
        </w:trPr>
        <w:tc>
          <w:tcPr>
            <w:tcW w:w="9608" w:type="dxa"/>
            <w:shd w:val="clear" w:color="auto" w:fill="D9D9D9" w:themeFill="background1" w:themeFillShade="D9"/>
          </w:tcPr>
          <w:p w14:paraId="10D4B637" w14:textId="4B5F1EF7" w:rsidR="00F45560" w:rsidRDefault="00F45560" w:rsidP="00F45560">
            <w:pPr>
              <w:spacing w:after="0" w:line="240" w:lineRule="auto"/>
              <w:rPr>
                <w:b/>
                <w:color w:val="auto"/>
                <w:sz w:val="24"/>
                <w:szCs w:val="24"/>
              </w:rPr>
            </w:pPr>
            <w:r>
              <w:rPr>
                <w:b/>
                <w:color w:val="auto"/>
                <w:sz w:val="24"/>
                <w:szCs w:val="24"/>
              </w:rPr>
              <w:t xml:space="preserve">ICB STRATEGIC </w:t>
            </w:r>
            <w:r w:rsidRPr="00753A32">
              <w:rPr>
                <w:b/>
                <w:color w:val="auto"/>
                <w:sz w:val="24"/>
                <w:szCs w:val="24"/>
              </w:rPr>
              <w:t>OBJECTIVE</w:t>
            </w:r>
            <w:r>
              <w:rPr>
                <w:b/>
                <w:color w:val="auto"/>
                <w:sz w:val="24"/>
                <w:szCs w:val="24"/>
              </w:rPr>
              <w:t xml:space="preserve"> </w:t>
            </w:r>
          </w:p>
          <w:p w14:paraId="1853C8DC" w14:textId="77777777" w:rsidR="00F45560" w:rsidRPr="00F45560" w:rsidRDefault="00F45560" w:rsidP="00F45560">
            <w:pPr>
              <w:spacing w:after="0" w:line="240" w:lineRule="auto"/>
              <w:rPr>
                <w:color w:val="auto"/>
                <w:sz w:val="24"/>
                <w:szCs w:val="24"/>
              </w:rPr>
            </w:pPr>
          </w:p>
        </w:tc>
      </w:tr>
    </w:tbl>
    <w:p w14:paraId="5895E8A7" w14:textId="77777777" w:rsidR="00F45560" w:rsidRDefault="00F45560" w:rsidP="0010586B">
      <w:pPr>
        <w:spacing w:after="0" w:line="120" w:lineRule="auto"/>
        <w:rPr>
          <w:color w:val="auto"/>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966"/>
        <w:gridCol w:w="6642"/>
      </w:tblGrid>
      <w:tr w:rsidR="00F45560" w14:paraId="28C72EAF" w14:textId="77777777" w:rsidTr="00F45560">
        <w:tc>
          <w:tcPr>
            <w:tcW w:w="2966" w:type="dxa"/>
          </w:tcPr>
          <w:p w14:paraId="196E444D" w14:textId="2D565F6B" w:rsidR="00F45560" w:rsidRDefault="00F45560" w:rsidP="00F45560">
            <w:pPr>
              <w:spacing w:after="0"/>
              <w:rPr>
                <w:b/>
                <w:color w:val="auto"/>
                <w:sz w:val="24"/>
                <w:szCs w:val="24"/>
              </w:rPr>
            </w:pPr>
            <w:r w:rsidRPr="00566BDC">
              <w:rPr>
                <w:color w:val="auto"/>
              </w:rPr>
              <w:t>Finance</w:t>
            </w:r>
          </w:p>
        </w:tc>
        <w:tc>
          <w:tcPr>
            <w:tcW w:w="6642" w:type="dxa"/>
          </w:tcPr>
          <w:p w14:paraId="363EF845" w14:textId="65975706" w:rsidR="00F45560" w:rsidRDefault="00F45560" w:rsidP="00F45560">
            <w:pPr>
              <w:spacing w:after="0"/>
              <w:rPr>
                <w:b/>
                <w:color w:val="auto"/>
                <w:sz w:val="24"/>
                <w:szCs w:val="24"/>
              </w:rPr>
            </w:pPr>
            <w:r w:rsidRPr="00DC6AD7">
              <w:rPr>
                <w:bCs/>
                <w:color w:val="auto"/>
              </w:rPr>
              <w:t>Use of resources is a theme in the operational plan with a priority around system financial balance. This will be covered through a separate report to the Board on the financial position.</w:t>
            </w:r>
          </w:p>
        </w:tc>
      </w:tr>
    </w:tbl>
    <w:p w14:paraId="10F0D100" w14:textId="77777777" w:rsidR="00CA5C91" w:rsidRDefault="00CA5C91" w:rsidP="00C4049C">
      <w:pPr>
        <w:spacing w:after="0"/>
        <w:rPr>
          <w:b/>
          <w:color w:val="auto"/>
          <w:sz w:val="24"/>
          <w:szCs w:val="24"/>
        </w:rPr>
      </w:pPr>
    </w:p>
    <w:p w14:paraId="5BD165CA" w14:textId="77777777" w:rsidR="009D0186" w:rsidRDefault="009D0186" w:rsidP="0010586B">
      <w:pPr>
        <w:spacing w:after="0" w:line="120" w:lineRule="auto"/>
        <w:rPr>
          <w:color w:val="auto"/>
        </w:rPr>
      </w:pPr>
    </w:p>
    <w:p w14:paraId="6627F94E" w14:textId="77777777" w:rsidR="00057DD0" w:rsidRDefault="00057DD0" w:rsidP="0010586B">
      <w:pPr>
        <w:spacing w:after="0" w:line="120" w:lineRule="auto"/>
        <w:rPr>
          <w:color w:val="auto"/>
        </w:rPr>
      </w:pPr>
    </w:p>
    <w:tbl>
      <w:tblPr>
        <w:tblStyle w:val="TableGrid"/>
        <w:tblpPr w:leftFromText="180" w:rightFromText="180" w:vertAnchor="page" w:horzAnchor="margin" w:tblpY="571"/>
        <w:tblW w:w="0" w:type="auto"/>
        <w:tblLayout w:type="fixed"/>
        <w:tblLook w:val="04A0" w:firstRow="1" w:lastRow="0" w:firstColumn="1" w:lastColumn="0" w:noHBand="0" w:noVBand="1"/>
      </w:tblPr>
      <w:tblGrid>
        <w:gridCol w:w="2962"/>
        <w:gridCol w:w="6646"/>
      </w:tblGrid>
      <w:tr w:rsidR="00F45560" w:rsidRPr="00566BDC" w14:paraId="2CDB4C2C" w14:textId="77777777" w:rsidTr="00F45560">
        <w:tc>
          <w:tcPr>
            <w:tcW w:w="2962" w:type="dxa"/>
            <w:tcBorders>
              <w:top w:val="single" w:sz="4" w:space="0" w:color="auto"/>
              <w:left w:val="double" w:sz="4" w:space="0" w:color="auto"/>
              <w:bottom w:val="single" w:sz="4" w:space="0" w:color="auto"/>
              <w:right w:val="single" w:sz="4" w:space="0" w:color="auto"/>
            </w:tcBorders>
          </w:tcPr>
          <w:p w14:paraId="0F12AF05" w14:textId="77777777" w:rsidR="00F45560" w:rsidRDefault="00F45560" w:rsidP="00F45560">
            <w:pPr>
              <w:spacing w:after="0" w:line="240" w:lineRule="auto"/>
              <w:rPr>
                <w:color w:val="auto"/>
              </w:rPr>
            </w:pPr>
            <w:r w:rsidRPr="00566BDC">
              <w:rPr>
                <w:color w:val="auto"/>
              </w:rPr>
              <w:t>HR</w:t>
            </w:r>
          </w:p>
          <w:p w14:paraId="5AD103BE" w14:textId="77777777" w:rsidR="00F45560" w:rsidRPr="00566BDC" w:rsidRDefault="00F45560" w:rsidP="00F45560">
            <w:pPr>
              <w:spacing w:after="0" w:line="240" w:lineRule="auto"/>
              <w:rPr>
                <w:b/>
                <w:color w:val="auto"/>
              </w:rPr>
            </w:pPr>
          </w:p>
        </w:tc>
        <w:tc>
          <w:tcPr>
            <w:tcW w:w="6646" w:type="dxa"/>
            <w:tcBorders>
              <w:top w:val="single" w:sz="4" w:space="0" w:color="auto"/>
              <w:left w:val="single" w:sz="4" w:space="0" w:color="auto"/>
              <w:bottom w:val="single" w:sz="4" w:space="0" w:color="auto"/>
              <w:right w:val="double" w:sz="4" w:space="0" w:color="auto"/>
            </w:tcBorders>
          </w:tcPr>
          <w:p w14:paraId="1F898151" w14:textId="77777777" w:rsidR="00F45560" w:rsidRPr="00DC6AD7" w:rsidRDefault="00F45560" w:rsidP="00F45560">
            <w:pPr>
              <w:spacing w:after="0" w:line="240" w:lineRule="auto"/>
              <w:rPr>
                <w:bCs/>
                <w:color w:val="auto"/>
              </w:rPr>
            </w:pPr>
            <w:r w:rsidRPr="00DC6AD7">
              <w:rPr>
                <w:bCs/>
                <w:color w:val="auto"/>
              </w:rPr>
              <w:t>Workforce is a theme in the operational plan with a priority around retention and staff attendance. Updates will be provided through the workforce reports to the Board.</w:t>
            </w:r>
          </w:p>
          <w:p w14:paraId="7932CC7A" w14:textId="77777777" w:rsidR="00F45560" w:rsidRPr="00DC6AD7" w:rsidRDefault="00F45560" w:rsidP="00F45560">
            <w:pPr>
              <w:spacing w:after="0" w:line="240" w:lineRule="auto"/>
              <w:rPr>
                <w:bCs/>
                <w:color w:val="auto"/>
              </w:rPr>
            </w:pPr>
          </w:p>
        </w:tc>
      </w:tr>
      <w:tr w:rsidR="00F45560" w:rsidRPr="00566BDC" w14:paraId="05103F53" w14:textId="77777777" w:rsidTr="00F45560">
        <w:tc>
          <w:tcPr>
            <w:tcW w:w="2962" w:type="dxa"/>
            <w:tcBorders>
              <w:top w:val="single" w:sz="4" w:space="0" w:color="auto"/>
              <w:left w:val="double" w:sz="4" w:space="0" w:color="auto"/>
              <w:bottom w:val="single" w:sz="4" w:space="0" w:color="auto"/>
              <w:right w:val="single" w:sz="4" w:space="0" w:color="auto"/>
            </w:tcBorders>
          </w:tcPr>
          <w:p w14:paraId="74060488" w14:textId="77777777" w:rsidR="00F45560" w:rsidRDefault="00F45560" w:rsidP="00F45560">
            <w:pPr>
              <w:spacing w:after="0" w:line="240" w:lineRule="auto"/>
              <w:rPr>
                <w:color w:val="auto"/>
              </w:rPr>
            </w:pPr>
            <w:r>
              <w:rPr>
                <w:color w:val="auto"/>
              </w:rPr>
              <w:t>Legal / Regulatory</w:t>
            </w:r>
          </w:p>
        </w:tc>
        <w:tc>
          <w:tcPr>
            <w:tcW w:w="6646" w:type="dxa"/>
            <w:tcBorders>
              <w:top w:val="single" w:sz="4" w:space="0" w:color="auto"/>
              <w:left w:val="single" w:sz="4" w:space="0" w:color="auto"/>
              <w:bottom w:val="single" w:sz="4" w:space="0" w:color="auto"/>
              <w:right w:val="double" w:sz="4" w:space="0" w:color="auto"/>
            </w:tcBorders>
          </w:tcPr>
          <w:p w14:paraId="25E8B95D" w14:textId="77777777" w:rsidR="00F45560" w:rsidRPr="00DC6AD7" w:rsidRDefault="00F45560" w:rsidP="00F45560">
            <w:pPr>
              <w:spacing w:after="0" w:line="240" w:lineRule="auto"/>
              <w:rPr>
                <w:bCs/>
                <w:color w:val="auto"/>
              </w:rPr>
            </w:pPr>
            <w:r w:rsidRPr="00DC6AD7">
              <w:rPr>
                <w:bCs/>
                <w:color w:val="auto"/>
              </w:rPr>
              <w:t>Progress against performance is linked to the system oversight framework.</w:t>
            </w:r>
          </w:p>
          <w:p w14:paraId="6C1BE43F" w14:textId="77777777" w:rsidR="00F45560" w:rsidRPr="00DC6AD7" w:rsidRDefault="00F45560" w:rsidP="00F45560">
            <w:pPr>
              <w:spacing w:after="0" w:line="240" w:lineRule="auto"/>
              <w:rPr>
                <w:bCs/>
                <w:color w:val="auto"/>
              </w:rPr>
            </w:pPr>
          </w:p>
        </w:tc>
      </w:tr>
      <w:tr w:rsidR="00F45560" w:rsidRPr="00566BDC" w14:paraId="2D00D078" w14:textId="77777777" w:rsidTr="00F45560">
        <w:tc>
          <w:tcPr>
            <w:tcW w:w="2962" w:type="dxa"/>
            <w:tcBorders>
              <w:top w:val="single" w:sz="4" w:space="0" w:color="auto"/>
              <w:left w:val="double" w:sz="4" w:space="0" w:color="auto"/>
              <w:bottom w:val="single" w:sz="4" w:space="0" w:color="auto"/>
              <w:right w:val="single" w:sz="4" w:space="0" w:color="auto"/>
            </w:tcBorders>
          </w:tcPr>
          <w:p w14:paraId="5B59FF22" w14:textId="77777777" w:rsidR="00F45560" w:rsidRDefault="00F45560" w:rsidP="00F45560">
            <w:pPr>
              <w:spacing w:after="0" w:line="240" w:lineRule="auto"/>
              <w:rPr>
                <w:color w:val="auto"/>
              </w:rPr>
            </w:pPr>
            <w:r>
              <w:rPr>
                <w:color w:val="auto"/>
              </w:rPr>
              <w:t>Data Protection / IG</w:t>
            </w:r>
          </w:p>
          <w:p w14:paraId="269DAD18" w14:textId="77777777" w:rsidR="00F45560" w:rsidRPr="00566BDC" w:rsidRDefault="00F45560" w:rsidP="00F45560">
            <w:pPr>
              <w:spacing w:after="0" w:line="240" w:lineRule="auto"/>
              <w:rPr>
                <w:color w:val="auto"/>
              </w:rPr>
            </w:pPr>
          </w:p>
        </w:tc>
        <w:tc>
          <w:tcPr>
            <w:tcW w:w="6646" w:type="dxa"/>
            <w:tcBorders>
              <w:top w:val="single" w:sz="4" w:space="0" w:color="auto"/>
              <w:left w:val="single" w:sz="4" w:space="0" w:color="auto"/>
              <w:bottom w:val="single" w:sz="4" w:space="0" w:color="auto"/>
              <w:right w:val="double" w:sz="4" w:space="0" w:color="auto"/>
            </w:tcBorders>
          </w:tcPr>
          <w:p w14:paraId="0A064139" w14:textId="77777777" w:rsidR="00F45560" w:rsidRPr="00DC6AD7" w:rsidRDefault="00F45560" w:rsidP="00F45560">
            <w:pPr>
              <w:spacing w:after="0" w:line="240" w:lineRule="auto"/>
              <w:rPr>
                <w:bCs/>
                <w:color w:val="auto"/>
              </w:rPr>
            </w:pPr>
            <w:r w:rsidRPr="00DC6AD7">
              <w:rPr>
                <w:bCs/>
                <w:color w:val="auto"/>
              </w:rPr>
              <w:t>There are no direct data protection/IG implications relating to this paper, however data protection/IG controls and mitigations will be considered, as relevant, for the production of the report.</w:t>
            </w:r>
          </w:p>
        </w:tc>
      </w:tr>
      <w:tr w:rsidR="00F45560" w:rsidRPr="00566BDC" w14:paraId="668A6E85" w14:textId="77777777" w:rsidTr="00F45560">
        <w:tc>
          <w:tcPr>
            <w:tcW w:w="2962" w:type="dxa"/>
            <w:tcBorders>
              <w:top w:val="single" w:sz="4" w:space="0" w:color="auto"/>
              <w:left w:val="double" w:sz="4" w:space="0" w:color="auto"/>
              <w:bottom w:val="single" w:sz="4" w:space="0" w:color="auto"/>
              <w:right w:val="single" w:sz="4" w:space="0" w:color="auto"/>
            </w:tcBorders>
          </w:tcPr>
          <w:p w14:paraId="134A5E3E" w14:textId="77777777" w:rsidR="00F45560" w:rsidRPr="00566BDC" w:rsidRDefault="00F45560" w:rsidP="00F45560">
            <w:pPr>
              <w:spacing w:after="0" w:line="240" w:lineRule="auto"/>
              <w:rPr>
                <w:b/>
                <w:color w:val="auto"/>
              </w:rPr>
            </w:pPr>
            <w:r>
              <w:rPr>
                <w:color w:val="auto"/>
              </w:rPr>
              <w:t>Health inequality / equality</w:t>
            </w:r>
          </w:p>
        </w:tc>
        <w:tc>
          <w:tcPr>
            <w:tcW w:w="6646" w:type="dxa"/>
            <w:tcBorders>
              <w:top w:val="single" w:sz="4" w:space="0" w:color="auto"/>
              <w:left w:val="single" w:sz="4" w:space="0" w:color="auto"/>
              <w:bottom w:val="single" w:sz="4" w:space="0" w:color="auto"/>
              <w:right w:val="double" w:sz="4" w:space="0" w:color="auto"/>
            </w:tcBorders>
          </w:tcPr>
          <w:p w14:paraId="270E316A" w14:textId="77777777" w:rsidR="00F45560" w:rsidRPr="00DC6AD7" w:rsidRDefault="00F45560" w:rsidP="00F45560">
            <w:pPr>
              <w:spacing w:after="0" w:line="240" w:lineRule="auto"/>
              <w:rPr>
                <w:bCs/>
                <w:color w:val="auto"/>
              </w:rPr>
            </w:pPr>
            <w:r w:rsidRPr="00DC6AD7">
              <w:rPr>
                <w:bCs/>
                <w:color w:val="auto"/>
              </w:rPr>
              <w:t>The ICB has a responsibility and accountability in relation to reducing inequalities and improving outcomes for the population. The 32 priorities set out in the planning guidance and the ICB operational plan has a theme of prevention and health inequalities. Where these are specific measures, these are included in the report.</w:t>
            </w:r>
          </w:p>
        </w:tc>
      </w:tr>
      <w:tr w:rsidR="00F45560" w:rsidRPr="00566BDC" w14:paraId="7F641141" w14:textId="77777777" w:rsidTr="00F45560">
        <w:tc>
          <w:tcPr>
            <w:tcW w:w="2962" w:type="dxa"/>
            <w:tcBorders>
              <w:top w:val="single" w:sz="4" w:space="0" w:color="auto"/>
              <w:left w:val="double" w:sz="4" w:space="0" w:color="auto"/>
              <w:bottom w:val="single" w:sz="4" w:space="0" w:color="auto"/>
              <w:right w:val="single" w:sz="4" w:space="0" w:color="auto"/>
            </w:tcBorders>
          </w:tcPr>
          <w:p w14:paraId="67BEDB4D" w14:textId="77777777" w:rsidR="00F45560" w:rsidRDefault="00F45560" w:rsidP="00F45560">
            <w:pPr>
              <w:spacing w:after="0" w:line="240" w:lineRule="auto"/>
              <w:rPr>
                <w:color w:val="auto"/>
              </w:rPr>
            </w:pPr>
            <w:r>
              <w:rPr>
                <w:color w:val="auto"/>
              </w:rPr>
              <w:t>Conflict of Interest Aspects</w:t>
            </w:r>
          </w:p>
          <w:p w14:paraId="1FF003E6" w14:textId="77777777" w:rsidR="00F45560" w:rsidRDefault="00F45560" w:rsidP="00F45560">
            <w:pPr>
              <w:spacing w:after="0" w:line="240" w:lineRule="auto"/>
              <w:rPr>
                <w:color w:val="auto"/>
              </w:rPr>
            </w:pPr>
          </w:p>
        </w:tc>
        <w:tc>
          <w:tcPr>
            <w:tcW w:w="6646" w:type="dxa"/>
            <w:tcBorders>
              <w:top w:val="single" w:sz="4" w:space="0" w:color="auto"/>
              <w:left w:val="single" w:sz="4" w:space="0" w:color="auto"/>
              <w:bottom w:val="single" w:sz="4" w:space="0" w:color="auto"/>
              <w:right w:val="double" w:sz="4" w:space="0" w:color="auto"/>
            </w:tcBorders>
          </w:tcPr>
          <w:p w14:paraId="55D249BF" w14:textId="77777777" w:rsidR="00F45560" w:rsidRPr="00DC6AD7" w:rsidRDefault="00F45560" w:rsidP="00F45560">
            <w:pPr>
              <w:spacing w:after="0" w:line="240" w:lineRule="auto"/>
              <w:rPr>
                <w:bCs/>
                <w:color w:val="auto"/>
              </w:rPr>
            </w:pPr>
            <w:r w:rsidRPr="00DC6AD7">
              <w:rPr>
                <w:bCs/>
                <w:color w:val="auto"/>
              </w:rPr>
              <w:t>No conflicts of interest are identified in relation to the Performance Report: however, it is noted that COIs will continue to be monitored on a case-by-case basis given the broad scope of the report’s contents and the professional/organisational diversity of the Board membership.</w:t>
            </w:r>
          </w:p>
        </w:tc>
      </w:tr>
      <w:tr w:rsidR="00F45560" w:rsidRPr="00566BDC" w14:paraId="16834B04" w14:textId="77777777" w:rsidTr="00F45560">
        <w:tc>
          <w:tcPr>
            <w:tcW w:w="2962" w:type="dxa"/>
            <w:tcBorders>
              <w:top w:val="single" w:sz="4" w:space="0" w:color="auto"/>
              <w:left w:val="double" w:sz="4" w:space="0" w:color="auto"/>
              <w:bottom w:val="double" w:sz="4" w:space="0" w:color="auto"/>
              <w:right w:val="single" w:sz="4" w:space="0" w:color="auto"/>
            </w:tcBorders>
          </w:tcPr>
          <w:p w14:paraId="3CF6E7E5" w14:textId="77777777" w:rsidR="00F45560" w:rsidRDefault="00F45560" w:rsidP="00F45560">
            <w:pPr>
              <w:spacing w:after="0" w:line="240" w:lineRule="auto"/>
              <w:rPr>
                <w:color w:val="auto"/>
              </w:rPr>
            </w:pPr>
            <w:r>
              <w:rPr>
                <w:color w:val="auto"/>
              </w:rPr>
              <w:t>Sustainability</w:t>
            </w:r>
          </w:p>
          <w:p w14:paraId="672B0AA4" w14:textId="77777777" w:rsidR="00F45560" w:rsidRPr="00566BDC" w:rsidRDefault="00F45560" w:rsidP="00F45560">
            <w:pPr>
              <w:spacing w:after="0" w:line="240" w:lineRule="auto"/>
              <w:rPr>
                <w:b/>
                <w:color w:val="auto"/>
              </w:rPr>
            </w:pPr>
          </w:p>
        </w:tc>
        <w:tc>
          <w:tcPr>
            <w:tcW w:w="6646" w:type="dxa"/>
            <w:tcBorders>
              <w:top w:val="single" w:sz="4" w:space="0" w:color="auto"/>
              <w:left w:val="single" w:sz="4" w:space="0" w:color="auto"/>
              <w:bottom w:val="double" w:sz="4" w:space="0" w:color="auto"/>
              <w:right w:val="double" w:sz="4" w:space="0" w:color="auto"/>
            </w:tcBorders>
          </w:tcPr>
          <w:p w14:paraId="7944163C" w14:textId="77777777" w:rsidR="00F45560" w:rsidRPr="00DC6AD7" w:rsidRDefault="00F45560" w:rsidP="00F45560">
            <w:pPr>
              <w:spacing w:after="0" w:line="240" w:lineRule="auto"/>
              <w:rPr>
                <w:bCs/>
                <w:color w:val="auto"/>
              </w:rPr>
            </w:pPr>
            <w:r w:rsidRPr="00DC6AD7">
              <w:rPr>
                <w:bCs/>
                <w:color w:val="auto"/>
              </w:rPr>
              <w:t>There are no sustainability implications relating to this paper, however sustainability controls and mitigations will be considered on a case-by-case basis, as appropriate.</w:t>
            </w:r>
          </w:p>
          <w:p w14:paraId="4415E1C6" w14:textId="77777777" w:rsidR="00F45560" w:rsidRPr="00DC6AD7" w:rsidRDefault="00F45560" w:rsidP="00F45560">
            <w:pPr>
              <w:spacing w:after="0" w:line="240" w:lineRule="auto"/>
              <w:rPr>
                <w:bCs/>
                <w:color w:val="auto"/>
              </w:rPr>
            </w:pPr>
          </w:p>
        </w:tc>
      </w:tr>
    </w:tbl>
    <w:p w14:paraId="0C77DEFE" w14:textId="77777777" w:rsidR="00C4049C" w:rsidRDefault="00C4049C" w:rsidP="00C4049C">
      <w:pPr>
        <w:spacing w:after="0" w:line="120" w:lineRule="auto"/>
        <w:rPr>
          <w:color w:val="auto"/>
        </w:rPr>
      </w:pPr>
    </w:p>
    <w:tbl>
      <w:tblPr>
        <w:tblStyle w:val="TableGrid"/>
        <w:tblpPr w:leftFromText="180" w:rightFromText="180" w:vertAnchor="text" w:horzAnchor="margin" w:tblpY="31"/>
        <w:tblW w:w="0" w:type="auto"/>
        <w:tblLook w:val="04A0" w:firstRow="1" w:lastRow="0" w:firstColumn="1" w:lastColumn="0" w:noHBand="0" w:noVBand="1"/>
      </w:tblPr>
      <w:tblGrid>
        <w:gridCol w:w="9608"/>
      </w:tblGrid>
      <w:tr w:rsidR="00F45560" w:rsidRPr="00566BDC" w14:paraId="1449553C" w14:textId="77777777" w:rsidTr="00F45560">
        <w:tc>
          <w:tcPr>
            <w:tcW w:w="9608" w:type="dxa"/>
            <w:tcBorders>
              <w:top w:val="double" w:sz="4" w:space="0" w:color="auto"/>
              <w:left w:val="double" w:sz="4" w:space="0" w:color="auto"/>
              <w:bottom w:val="double" w:sz="4" w:space="0" w:color="auto"/>
              <w:right w:val="double" w:sz="4" w:space="0" w:color="auto"/>
            </w:tcBorders>
          </w:tcPr>
          <w:p w14:paraId="65619D67" w14:textId="77777777" w:rsidR="00F45560" w:rsidRPr="00566BDC" w:rsidRDefault="00F45560" w:rsidP="00F45560">
            <w:pPr>
              <w:spacing w:after="0" w:line="240" w:lineRule="auto"/>
              <w:rPr>
                <w:b/>
                <w:color w:val="auto"/>
              </w:rPr>
            </w:pPr>
            <w:bookmarkStart w:id="4" w:name="_Hlk106134678"/>
          </w:p>
          <w:p w14:paraId="6D756F4F" w14:textId="77777777" w:rsidR="00F45560" w:rsidRDefault="00F45560" w:rsidP="00F45560">
            <w:pPr>
              <w:spacing w:after="0" w:line="240" w:lineRule="auto"/>
              <w:rPr>
                <w:b/>
                <w:color w:val="auto"/>
              </w:rPr>
            </w:pPr>
            <w:r>
              <w:rPr>
                <w:b/>
                <w:color w:val="auto"/>
              </w:rPr>
              <w:t>ASSESSED RISK</w:t>
            </w:r>
            <w:r w:rsidRPr="00566BDC">
              <w:rPr>
                <w:b/>
                <w:color w:val="auto"/>
              </w:rPr>
              <w:t>:</w:t>
            </w:r>
          </w:p>
          <w:p w14:paraId="152976CF" w14:textId="77777777" w:rsidR="00F45560" w:rsidRPr="00F45560" w:rsidRDefault="00F45560" w:rsidP="00F45560">
            <w:pPr>
              <w:spacing w:after="0" w:line="240" w:lineRule="auto"/>
              <w:rPr>
                <w:color w:val="auto"/>
                <w:sz w:val="24"/>
                <w:szCs w:val="24"/>
              </w:rPr>
            </w:pPr>
          </w:p>
          <w:p w14:paraId="6CE06F2D" w14:textId="72BFAAFA" w:rsidR="00F45560" w:rsidRPr="00F45560" w:rsidRDefault="00F45560" w:rsidP="00F45560">
            <w:pPr>
              <w:spacing w:after="0" w:line="240" w:lineRule="auto"/>
              <w:rPr>
                <w:color w:val="auto"/>
              </w:rPr>
            </w:pPr>
            <w:r w:rsidRPr="00F45560">
              <w:rPr>
                <w:color w:val="auto"/>
              </w:rPr>
              <w:t>The report identifies the main performance and delivery risks associated with the ICB's Operational Plan priorities for 2024/25.</w:t>
            </w:r>
          </w:p>
          <w:p w14:paraId="5E19867D" w14:textId="77777777" w:rsidR="00F45560" w:rsidRPr="00566BDC" w:rsidRDefault="00F45560" w:rsidP="00F45560">
            <w:pPr>
              <w:spacing w:after="0" w:line="240" w:lineRule="auto"/>
              <w:rPr>
                <w:color w:val="auto"/>
              </w:rPr>
            </w:pPr>
          </w:p>
        </w:tc>
      </w:tr>
      <w:bookmarkEnd w:id="4"/>
    </w:tbl>
    <w:p w14:paraId="6B60DE97" w14:textId="77777777" w:rsidR="00C4049C" w:rsidRDefault="00C4049C" w:rsidP="00C4049C">
      <w:pPr>
        <w:spacing w:after="0" w:line="120" w:lineRule="auto"/>
        <w:rPr>
          <w:color w:val="auto"/>
        </w:rPr>
      </w:pPr>
    </w:p>
    <w:tbl>
      <w:tblPr>
        <w:tblStyle w:val="TableGrid"/>
        <w:tblpPr w:leftFromText="180" w:rightFromText="180" w:vertAnchor="text" w:horzAnchor="margin" w:tblpY="-19"/>
        <w:tblW w:w="0" w:type="auto"/>
        <w:tblLook w:val="04A0" w:firstRow="1" w:lastRow="0" w:firstColumn="1" w:lastColumn="0" w:noHBand="0" w:noVBand="1"/>
      </w:tblPr>
      <w:tblGrid>
        <w:gridCol w:w="9608"/>
      </w:tblGrid>
      <w:tr w:rsidR="00F45560" w:rsidRPr="00566BDC" w14:paraId="158FDEBA" w14:textId="77777777" w:rsidTr="00F45560">
        <w:tc>
          <w:tcPr>
            <w:tcW w:w="9608" w:type="dxa"/>
            <w:tcBorders>
              <w:top w:val="double" w:sz="4" w:space="0" w:color="auto"/>
              <w:left w:val="double" w:sz="4" w:space="0" w:color="auto"/>
              <w:bottom w:val="double" w:sz="4" w:space="0" w:color="auto"/>
              <w:right w:val="double" w:sz="4" w:space="0" w:color="auto"/>
            </w:tcBorders>
          </w:tcPr>
          <w:p w14:paraId="5D2464E2" w14:textId="77777777" w:rsidR="00F45560" w:rsidRPr="00566BDC" w:rsidRDefault="00F45560" w:rsidP="00F45560">
            <w:pPr>
              <w:spacing w:after="0" w:line="240" w:lineRule="auto"/>
              <w:rPr>
                <w:b/>
                <w:color w:val="auto"/>
              </w:rPr>
            </w:pPr>
          </w:p>
          <w:p w14:paraId="18181CA5" w14:textId="77777777" w:rsidR="00F45560" w:rsidRDefault="00F45560" w:rsidP="00F45560">
            <w:pPr>
              <w:spacing w:after="0" w:line="240" w:lineRule="auto"/>
              <w:rPr>
                <w:b/>
                <w:color w:val="auto"/>
              </w:rPr>
            </w:pPr>
            <w:r>
              <w:rPr>
                <w:b/>
                <w:color w:val="auto"/>
              </w:rPr>
              <w:t>MONITORING AND ASSURANCE</w:t>
            </w:r>
            <w:r w:rsidRPr="00566BDC">
              <w:rPr>
                <w:b/>
                <w:color w:val="auto"/>
              </w:rPr>
              <w:t>:</w:t>
            </w:r>
            <w:r>
              <w:rPr>
                <w:b/>
                <w:color w:val="auto"/>
              </w:rPr>
              <w:t xml:space="preserve"> </w:t>
            </w:r>
          </w:p>
          <w:p w14:paraId="249C8B98" w14:textId="77777777" w:rsidR="00F45560" w:rsidRPr="00F45560" w:rsidRDefault="00F45560" w:rsidP="00F45560">
            <w:pPr>
              <w:spacing w:after="0" w:line="240" w:lineRule="auto"/>
              <w:rPr>
                <w:b/>
                <w:bCs/>
                <w:color w:val="auto"/>
              </w:rPr>
            </w:pPr>
          </w:p>
          <w:p w14:paraId="583F13BB" w14:textId="700FAE3F" w:rsidR="00F45560" w:rsidRPr="00F45560" w:rsidRDefault="00F45560" w:rsidP="00F45560">
            <w:pPr>
              <w:spacing w:after="0" w:line="240" w:lineRule="auto"/>
              <w:rPr>
                <w:bCs/>
                <w:color w:val="auto"/>
              </w:rPr>
            </w:pPr>
            <w:r w:rsidRPr="00F45560">
              <w:rPr>
                <w:bCs/>
                <w:color w:val="auto"/>
              </w:rPr>
              <w:t>The report is the principal means through which the ICB monitors the delivery of its Operational Plan and provides assurance in relation to its position.</w:t>
            </w:r>
          </w:p>
          <w:p w14:paraId="06E4E0C7" w14:textId="77777777" w:rsidR="00F45560" w:rsidRPr="00566BDC" w:rsidRDefault="00F45560" w:rsidP="00F45560">
            <w:pPr>
              <w:spacing w:after="0" w:line="240" w:lineRule="auto"/>
              <w:rPr>
                <w:color w:val="auto"/>
              </w:rPr>
            </w:pPr>
          </w:p>
        </w:tc>
      </w:tr>
    </w:tbl>
    <w:tbl>
      <w:tblPr>
        <w:tblStyle w:val="TableGrid"/>
        <w:tblpPr w:leftFromText="180" w:rightFromText="180" w:vertAnchor="text" w:horzAnchor="margin" w:tblpY="17"/>
        <w:tblW w:w="0" w:type="auto"/>
        <w:tblLook w:val="04A0" w:firstRow="1" w:lastRow="0" w:firstColumn="1" w:lastColumn="0" w:noHBand="0" w:noVBand="1"/>
      </w:tblPr>
      <w:tblGrid>
        <w:gridCol w:w="9608"/>
      </w:tblGrid>
      <w:tr w:rsidR="00F45560" w:rsidRPr="00566BDC" w14:paraId="28C70B98" w14:textId="77777777" w:rsidTr="00F45560">
        <w:tc>
          <w:tcPr>
            <w:tcW w:w="9608" w:type="dxa"/>
            <w:tcBorders>
              <w:top w:val="double" w:sz="4" w:space="0" w:color="auto"/>
              <w:left w:val="double" w:sz="4" w:space="0" w:color="auto"/>
              <w:bottom w:val="double" w:sz="4" w:space="0" w:color="auto"/>
              <w:right w:val="double" w:sz="4" w:space="0" w:color="auto"/>
            </w:tcBorders>
          </w:tcPr>
          <w:p w14:paraId="5DCDF90A" w14:textId="77777777" w:rsidR="00F45560" w:rsidRPr="00566BDC" w:rsidRDefault="00F45560" w:rsidP="00F45560">
            <w:pPr>
              <w:spacing w:after="0" w:line="240" w:lineRule="auto"/>
              <w:rPr>
                <w:b/>
                <w:color w:val="auto"/>
              </w:rPr>
            </w:pPr>
            <w:bookmarkStart w:id="5" w:name="_Hlk106098484"/>
          </w:p>
          <w:p w14:paraId="59DC1A62" w14:textId="77777777" w:rsidR="00F45560" w:rsidRDefault="00F45560" w:rsidP="00F45560">
            <w:pPr>
              <w:spacing w:after="0" w:line="240" w:lineRule="auto"/>
              <w:rPr>
                <w:color w:val="auto"/>
              </w:rPr>
            </w:pPr>
            <w:r w:rsidRPr="00566BDC">
              <w:rPr>
                <w:b/>
                <w:color w:val="auto"/>
              </w:rPr>
              <w:t>ENGAGEMENT:</w:t>
            </w:r>
            <w:r w:rsidRPr="00566BDC">
              <w:rPr>
                <w:color w:val="auto"/>
              </w:rPr>
              <w:t xml:space="preserve"> </w:t>
            </w:r>
          </w:p>
          <w:p w14:paraId="008D6C2A" w14:textId="77777777" w:rsidR="00F45560" w:rsidRDefault="00F45560" w:rsidP="00F45560">
            <w:pPr>
              <w:spacing w:after="0" w:line="240" w:lineRule="auto"/>
              <w:rPr>
                <w:color w:val="auto"/>
              </w:rPr>
            </w:pPr>
          </w:p>
          <w:p w14:paraId="41D7E806" w14:textId="6BED100B" w:rsidR="00F45560" w:rsidRDefault="00F45560" w:rsidP="00F45560">
            <w:pPr>
              <w:spacing w:after="0" w:line="240" w:lineRule="auto"/>
              <w:rPr>
                <w:color w:val="auto"/>
              </w:rPr>
            </w:pPr>
            <w:r>
              <w:rPr>
                <w:color w:val="auto"/>
              </w:rPr>
              <w:t>The report has engaged a number of colleagues and stakeholders to formulate its content.</w:t>
            </w:r>
          </w:p>
          <w:p w14:paraId="12ECFD88" w14:textId="77777777" w:rsidR="00F45560" w:rsidRPr="00566BDC" w:rsidRDefault="00F45560" w:rsidP="00F45560">
            <w:pPr>
              <w:spacing w:after="0" w:line="240" w:lineRule="auto"/>
              <w:rPr>
                <w:color w:val="auto"/>
              </w:rPr>
            </w:pPr>
          </w:p>
        </w:tc>
      </w:tr>
      <w:bookmarkEnd w:id="5"/>
    </w:tbl>
    <w:p w14:paraId="0E034250" w14:textId="77777777" w:rsidR="00C4049C" w:rsidRDefault="00C4049C" w:rsidP="00C4049C">
      <w:pPr>
        <w:spacing w:after="0" w:line="120" w:lineRule="auto"/>
        <w:rPr>
          <w:color w:val="auto"/>
        </w:rPr>
      </w:pPr>
    </w:p>
    <w:tbl>
      <w:tblPr>
        <w:tblStyle w:val="TableGrid"/>
        <w:tblpPr w:leftFromText="180" w:rightFromText="180" w:vertAnchor="text" w:horzAnchor="margin" w:tblpY="-1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C4049C" w14:paraId="424EAFA5" w14:textId="77777777" w:rsidTr="009B6F6B">
        <w:trPr>
          <w:trHeight w:val="427"/>
        </w:trPr>
        <w:tc>
          <w:tcPr>
            <w:tcW w:w="9608" w:type="dxa"/>
            <w:tcBorders>
              <w:bottom w:val="nil"/>
            </w:tcBorders>
          </w:tcPr>
          <w:p w14:paraId="2E13A286" w14:textId="77777777" w:rsidR="00C4049C" w:rsidRPr="00524FEE" w:rsidRDefault="00C4049C" w:rsidP="009B6F6B">
            <w:pPr>
              <w:spacing w:after="0"/>
              <w:rPr>
                <w:color w:val="auto"/>
              </w:rPr>
            </w:pPr>
            <w:r>
              <w:rPr>
                <w:b/>
                <w:color w:val="auto"/>
              </w:rPr>
              <w:t xml:space="preserve">REPORT EXEMPT FROM PUBLIC DISCLOSURE                            </w:t>
            </w:r>
            <w:r w:rsidRPr="00524FEE">
              <w:rPr>
                <w:color w:val="auto"/>
              </w:rPr>
              <w:t>No</w:t>
            </w:r>
            <w:r>
              <w:rPr>
                <w:color w:val="auto"/>
              </w:rPr>
              <w:t xml:space="preserve">   </w:t>
            </w:r>
            <w:sdt>
              <w:sdtPr>
                <w:rPr>
                  <w:color w:val="auto"/>
                  <w:sz w:val="40"/>
                  <w:szCs w:val="40"/>
                </w:rPr>
                <w:id w:val="1459919931"/>
                <w14:checkbox>
                  <w14:checked w14:val="1"/>
                  <w14:checkedState w14:val="2612" w14:font="MS Gothic"/>
                  <w14:uncheckedState w14:val="2610" w14:font="MS Gothic"/>
                </w14:checkbox>
              </w:sdtPr>
              <w:sdtEndPr/>
              <w:sdtContent>
                <w:r>
                  <w:rPr>
                    <w:rFonts w:ascii="MS Gothic" w:eastAsia="MS Gothic" w:hAnsi="MS Gothic" w:hint="eastAsia"/>
                    <w:color w:val="auto"/>
                    <w:sz w:val="40"/>
                    <w:szCs w:val="40"/>
                  </w:rPr>
                  <w:t>☒</w:t>
                </w:r>
              </w:sdtContent>
            </w:sdt>
            <w:r>
              <w:rPr>
                <w:color w:val="auto"/>
                <w:sz w:val="40"/>
                <w:szCs w:val="40"/>
              </w:rPr>
              <w:t xml:space="preserve">   </w:t>
            </w:r>
            <w:r w:rsidRPr="00524FEE">
              <w:rPr>
                <w:color w:val="auto"/>
              </w:rPr>
              <w:t>Yes</w:t>
            </w:r>
            <w:r>
              <w:rPr>
                <w:color w:val="auto"/>
              </w:rPr>
              <w:t xml:space="preserve">   </w:t>
            </w:r>
            <w:sdt>
              <w:sdtPr>
                <w:rPr>
                  <w:color w:val="auto"/>
                  <w:sz w:val="40"/>
                  <w:szCs w:val="40"/>
                </w:rPr>
                <w:id w:val="1948345607"/>
                <w14:checkbox>
                  <w14:checked w14:val="0"/>
                  <w14:checkedState w14:val="2612" w14:font="MS Gothic"/>
                  <w14:uncheckedState w14:val="2610" w14:font="MS Gothic"/>
                </w14:checkbox>
              </w:sdtPr>
              <w:sdtEndPr/>
              <w:sdtContent>
                <w:r w:rsidRPr="00CD20A8">
                  <w:rPr>
                    <w:rFonts w:ascii="MS Gothic" w:eastAsia="MS Gothic" w:hAnsi="MS Gothic" w:hint="eastAsia"/>
                    <w:color w:val="auto"/>
                    <w:sz w:val="40"/>
                    <w:szCs w:val="40"/>
                  </w:rPr>
                  <w:t>☐</w:t>
                </w:r>
              </w:sdtContent>
            </w:sdt>
          </w:p>
        </w:tc>
      </w:tr>
      <w:tr w:rsidR="00C4049C" w14:paraId="69060AE1" w14:textId="77777777" w:rsidTr="009B6F6B">
        <w:tc>
          <w:tcPr>
            <w:tcW w:w="9608" w:type="dxa"/>
            <w:tcBorders>
              <w:top w:val="nil"/>
            </w:tcBorders>
          </w:tcPr>
          <w:p w14:paraId="5FB512EC" w14:textId="77777777" w:rsidR="00C4049C" w:rsidRPr="00CD20A8" w:rsidRDefault="00C4049C" w:rsidP="009B6F6B">
            <w:pPr>
              <w:spacing w:after="0"/>
              <w:rPr>
                <w:color w:val="auto"/>
                <w:sz w:val="20"/>
              </w:rPr>
            </w:pPr>
            <w:r w:rsidRPr="00BD03D7">
              <w:rPr>
                <w:color w:val="auto"/>
                <w:sz w:val="20"/>
              </w:rPr>
              <w:t xml:space="preserve">If yes, </w:t>
            </w:r>
            <w:r>
              <w:rPr>
                <w:color w:val="auto"/>
                <w:sz w:val="20"/>
              </w:rPr>
              <w:t xml:space="preserve">please detail the specific grounds for exemption.    </w:t>
            </w:r>
          </w:p>
          <w:p w14:paraId="40A3DA9A" w14:textId="77777777" w:rsidR="00C4049C" w:rsidRPr="00BD03D7" w:rsidRDefault="00C4049C" w:rsidP="009B6F6B">
            <w:pPr>
              <w:spacing w:after="0"/>
              <w:rPr>
                <w:b/>
                <w:color w:val="auto"/>
              </w:rPr>
            </w:pPr>
          </w:p>
        </w:tc>
      </w:tr>
    </w:tbl>
    <w:p w14:paraId="27DC37C6" w14:textId="77777777" w:rsidR="00C4049C" w:rsidRDefault="00C4049C" w:rsidP="00C4049C">
      <w:pPr>
        <w:spacing w:after="0" w:line="120" w:lineRule="auto"/>
        <w:rPr>
          <w:color w:val="auto"/>
        </w:rPr>
      </w:pPr>
    </w:p>
    <w:p w14:paraId="07B97C91" w14:textId="77777777" w:rsidR="008951B4" w:rsidRDefault="008951B4" w:rsidP="00953DC4">
      <w:pPr>
        <w:spacing w:after="0" w:line="240" w:lineRule="auto"/>
        <w:ind w:left="-142" w:firstLine="862"/>
        <w:jc w:val="center"/>
        <w:rPr>
          <w:b/>
          <w:bCs/>
          <w:color w:val="auto"/>
          <w:sz w:val="24"/>
          <w:szCs w:val="24"/>
        </w:rPr>
      </w:pPr>
    </w:p>
    <w:sectPr w:rsidR="008951B4" w:rsidSect="000B082B">
      <w:footerReference w:type="default" r:id="rId13"/>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15FD5" w14:textId="77777777" w:rsidR="00C62AB9" w:rsidRDefault="00C62AB9" w:rsidP="00206B76">
      <w:pPr>
        <w:spacing w:after="0" w:line="240" w:lineRule="auto"/>
      </w:pPr>
      <w:r>
        <w:separator/>
      </w:r>
    </w:p>
  </w:endnote>
  <w:endnote w:type="continuationSeparator" w:id="0">
    <w:p w14:paraId="2F50A3A3" w14:textId="77777777" w:rsidR="00C62AB9" w:rsidRDefault="00C62AB9" w:rsidP="00206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6667157"/>
      <w:docPartObj>
        <w:docPartGallery w:val="Page Numbers (Bottom of Page)"/>
        <w:docPartUnique/>
      </w:docPartObj>
    </w:sdtPr>
    <w:sdtEndPr>
      <w:rPr>
        <w:color w:val="auto"/>
        <w:sz w:val="16"/>
        <w:szCs w:val="16"/>
      </w:rPr>
    </w:sdtEndPr>
    <w:sdtContent>
      <w:sdt>
        <w:sdtPr>
          <w:id w:val="-1769616900"/>
          <w:docPartObj>
            <w:docPartGallery w:val="Page Numbers (Top of Page)"/>
            <w:docPartUnique/>
          </w:docPartObj>
        </w:sdtPr>
        <w:sdtEndPr>
          <w:rPr>
            <w:color w:val="auto"/>
            <w:sz w:val="16"/>
            <w:szCs w:val="16"/>
          </w:rPr>
        </w:sdtEndPr>
        <w:sdtContent>
          <w:p w14:paraId="6010A07D" w14:textId="0728662A" w:rsidR="000B082B" w:rsidRPr="006C6CAA" w:rsidRDefault="006C6CAA" w:rsidP="006C6CAA">
            <w:pPr>
              <w:pStyle w:val="Footer"/>
              <w:jc w:val="right"/>
              <w:rPr>
                <w:color w:val="auto"/>
                <w:sz w:val="16"/>
                <w:szCs w:val="16"/>
              </w:rPr>
            </w:pPr>
            <w:r w:rsidRPr="006C6CAA">
              <w:rPr>
                <w:color w:val="auto"/>
                <w:sz w:val="16"/>
                <w:szCs w:val="16"/>
              </w:rPr>
              <w:t xml:space="preserve">Page </w:t>
            </w:r>
            <w:r w:rsidRPr="006C6CAA">
              <w:rPr>
                <w:color w:val="auto"/>
                <w:sz w:val="16"/>
                <w:szCs w:val="16"/>
              </w:rPr>
              <w:fldChar w:fldCharType="begin"/>
            </w:r>
            <w:r w:rsidRPr="006C6CAA">
              <w:rPr>
                <w:color w:val="auto"/>
                <w:sz w:val="16"/>
                <w:szCs w:val="16"/>
              </w:rPr>
              <w:instrText xml:space="preserve"> PAGE </w:instrText>
            </w:r>
            <w:r w:rsidRPr="006C6CAA">
              <w:rPr>
                <w:color w:val="auto"/>
                <w:sz w:val="16"/>
                <w:szCs w:val="16"/>
              </w:rPr>
              <w:fldChar w:fldCharType="separate"/>
            </w:r>
            <w:r w:rsidRPr="006C6CAA">
              <w:rPr>
                <w:noProof/>
                <w:color w:val="auto"/>
                <w:sz w:val="16"/>
                <w:szCs w:val="16"/>
              </w:rPr>
              <w:t>2</w:t>
            </w:r>
            <w:r w:rsidRPr="006C6CAA">
              <w:rPr>
                <w:color w:val="auto"/>
                <w:sz w:val="16"/>
                <w:szCs w:val="16"/>
              </w:rPr>
              <w:fldChar w:fldCharType="end"/>
            </w:r>
            <w:r w:rsidRPr="006C6CAA">
              <w:rPr>
                <w:color w:val="auto"/>
                <w:sz w:val="16"/>
                <w:szCs w:val="16"/>
              </w:rPr>
              <w:t xml:space="preserve"> of </w:t>
            </w:r>
            <w:r w:rsidRPr="006C6CAA">
              <w:rPr>
                <w:color w:val="auto"/>
                <w:sz w:val="16"/>
                <w:szCs w:val="16"/>
              </w:rPr>
              <w:fldChar w:fldCharType="begin"/>
            </w:r>
            <w:r w:rsidRPr="006C6CAA">
              <w:rPr>
                <w:color w:val="auto"/>
                <w:sz w:val="16"/>
                <w:szCs w:val="16"/>
              </w:rPr>
              <w:instrText xml:space="preserve"> NUMPAGES  </w:instrText>
            </w:r>
            <w:r w:rsidRPr="006C6CAA">
              <w:rPr>
                <w:color w:val="auto"/>
                <w:sz w:val="16"/>
                <w:szCs w:val="16"/>
              </w:rPr>
              <w:fldChar w:fldCharType="separate"/>
            </w:r>
            <w:r w:rsidRPr="006C6CAA">
              <w:rPr>
                <w:noProof/>
                <w:color w:val="auto"/>
                <w:sz w:val="16"/>
                <w:szCs w:val="16"/>
              </w:rPr>
              <w:t>2</w:t>
            </w:r>
            <w:r w:rsidRPr="006C6CAA">
              <w:rPr>
                <w:color w:val="auto"/>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4285D" w14:textId="77777777" w:rsidR="00C62AB9" w:rsidRDefault="00C62AB9" w:rsidP="00206B76">
      <w:pPr>
        <w:spacing w:after="0" w:line="240" w:lineRule="auto"/>
      </w:pPr>
      <w:r>
        <w:separator/>
      </w:r>
    </w:p>
  </w:footnote>
  <w:footnote w:type="continuationSeparator" w:id="0">
    <w:p w14:paraId="77A46FAF" w14:textId="77777777" w:rsidR="00C62AB9" w:rsidRDefault="00C62AB9" w:rsidP="00206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6609"/>
    <w:multiLevelType w:val="hybridMultilevel"/>
    <w:tmpl w:val="7110F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A4624"/>
    <w:multiLevelType w:val="hybridMultilevel"/>
    <w:tmpl w:val="9B220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D560E1"/>
    <w:multiLevelType w:val="hybridMultilevel"/>
    <w:tmpl w:val="17C66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5C7521"/>
    <w:multiLevelType w:val="hybridMultilevel"/>
    <w:tmpl w:val="58120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9D6C50"/>
    <w:multiLevelType w:val="multilevel"/>
    <w:tmpl w:val="540E1AD6"/>
    <w:lvl w:ilvl="0">
      <w:start w:val="1"/>
      <w:numFmt w:val="decimal"/>
      <w:lvlText w:val="%1."/>
      <w:lvlJc w:val="left"/>
      <w:pPr>
        <w:ind w:left="360" w:hanging="360"/>
      </w:pPr>
      <w:rPr>
        <w:rFonts w:hint="default"/>
        <w:b/>
        <w:bCs/>
        <w:i w:val="0"/>
        <w:iCs/>
        <w:color w:val="auto"/>
        <w:sz w:val="22"/>
      </w:rPr>
    </w:lvl>
    <w:lvl w:ilvl="1">
      <w:start w:val="1"/>
      <w:numFmt w:val="decimal"/>
      <w:lvlText w:val="%1.%2."/>
      <w:lvlJc w:val="left"/>
      <w:pPr>
        <w:ind w:left="114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27C1ACA"/>
    <w:multiLevelType w:val="hybridMultilevel"/>
    <w:tmpl w:val="C29A046C"/>
    <w:lvl w:ilvl="0" w:tplc="F822C3EE">
      <w:start w:val="1"/>
      <w:numFmt w:val="bullet"/>
      <w:lvlText w:val="•"/>
      <w:lvlJc w:val="left"/>
      <w:pPr>
        <w:tabs>
          <w:tab w:val="num" w:pos="720"/>
        </w:tabs>
        <w:ind w:left="720" w:hanging="360"/>
      </w:pPr>
      <w:rPr>
        <w:rFonts w:ascii="Arial" w:hAnsi="Arial" w:hint="default"/>
      </w:rPr>
    </w:lvl>
    <w:lvl w:ilvl="1" w:tplc="3EB285D4" w:tentative="1">
      <w:start w:val="1"/>
      <w:numFmt w:val="bullet"/>
      <w:lvlText w:val="•"/>
      <w:lvlJc w:val="left"/>
      <w:pPr>
        <w:tabs>
          <w:tab w:val="num" w:pos="1440"/>
        </w:tabs>
        <w:ind w:left="1440" w:hanging="360"/>
      </w:pPr>
      <w:rPr>
        <w:rFonts w:ascii="Arial" w:hAnsi="Arial" w:hint="default"/>
      </w:rPr>
    </w:lvl>
    <w:lvl w:ilvl="2" w:tplc="928A5D8C" w:tentative="1">
      <w:start w:val="1"/>
      <w:numFmt w:val="bullet"/>
      <w:lvlText w:val="•"/>
      <w:lvlJc w:val="left"/>
      <w:pPr>
        <w:tabs>
          <w:tab w:val="num" w:pos="2160"/>
        </w:tabs>
        <w:ind w:left="2160" w:hanging="360"/>
      </w:pPr>
      <w:rPr>
        <w:rFonts w:ascii="Arial" w:hAnsi="Arial" w:hint="default"/>
      </w:rPr>
    </w:lvl>
    <w:lvl w:ilvl="3" w:tplc="58DC428C" w:tentative="1">
      <w:start w:val="1"/>
      <w:numFmt w:val="bullet"/>
      <w:lvlText w:val="•"/>
      <w:lvlJc w:val="left"/>
      <w:pPr>
        <w:tabs>
          <w:tab w:val="num" w:pos="2880"/>
        </w:tabs>
        <w:ind w:left="2880" w:hanging="360"/>
      </w:pPr>
      <w:rPr>
        <w:rFonts w:ascii="Arial" w:hAnsi="Arial" w:hint="default"/>
      </w:rPr>
    </w:lvl>
    <w:lvl w:ilvl="4" w:tplc="42704D3C" w:tentative="1">
      <w:start w:val="1"/>
      <w:numFmt w:val="bullet"/>
      <w:lvlText w:val="•"/>
      <w:lvlJc w:val="left"/>
      <w:pPr>
        <w:tabs>
          <w:tab w:val="num" w:pos="3600"/>
        </w:tabs>
        <w:ind w:left="3600" w:hanging="360"/>
      </w:pPr>
      <w:rPr>
        <w:rFonts w:ascii="Arial" w:hAnsi="Arial" w:hint="default"/>
      </w:rPr>
    </w:lvl>
    <w:lvl w:ilvl="5" w:tplc="6DE4593E" w:tentative="1">
      <w:start w:val="1"/>
      <w:numFmt w:val="bullet"/>
      <w:lvlText w:val="•"/>
      <w:lvlJc w:val="left"/>
      <w:pPr>
        <w:tabs>
          <w:tab w:val="num" w:pos="4320"/>
        </w:tabs>
        <w:ind w:left="4320" w:hanging="360"/>
      </w:pPr>
      <w:rPr>
        <w:rFonts w:ascii="Arial" w:hAnsi="Arial" w:hint="default"/>
      </w:rPr>
    </w:lvl>
    <w:lvl w:ilvl="6" w:tplc="F55A441E" w:tentative="1">
      <w:start w:val="1"/>
      <w:numFmt w:val="bullet"/>
      <w:lvlText w:val="•"/>
      <w:lvlJc w:val="left"/>
      <w:pPr>
        <w:tabs>
          <w:tab w:val="num" w:pos="5040"/>
        </w:tabs>
        <w:ind w:left="5040" w:hanging="360"/>
      </w:pPr>
      <w:rPr>
        <w:rFonts w:ascii="Arial" w:hAnsi="Arial" w:hint="default"/>
      </w:rPr>
    </w:lvl>
    <w:lvl w:ilvl="7" w:tplc="83CC8B34" w:tentative="1">
      <w:start w:val="1"/>
      <w:numFmt w:val="bullet"/>
      <w:lvlText w:val="•"/>
      <w:lvlJc w:val="left"/>
      <w:pPr>
        <w:tabs>
          <w:tab w:val="num" w:pos="5760"/>
        </w:tabs>
        <w:ind w:left="5760" w:hanging="360"/>
      </w:pPr>
      <w:rPr>
        <w:rFonts w:ascii="Arial" w:hAnsi="Arial" w:hint="default"/>
      </w:rPr>
    </w:lvl>
    <w:lvl w:ilvl="8" w:tplc="EFEE316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FA62FE3"/>
    <w:multiLevelType w:val="hybridMultilevel"/>
    <w:tmpl w:val="BEFE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8B3881"/>
    <w:multiLevelType w:val="hybridMultilevel"/>
    <w:tmpl w:val="D34E0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9A20DC2"/>
    <w:multiLevelType w:val="hybridMultilevel"/>
    <w:tmpl w:val="AD227510"/>
    <w:lvl w:ilvl="0" w:tplc="0809001B">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EF41CFB"/>
    <w:multiLevelType w:val="hybridMultilevel"/>
    <w:tmpl w:val="DB5A87C0"/>
    <w:lvl w:ilvl="0" w:tplc="08090013">
      <w:start w:val="1"/>
      <w:numFmt w:val="upp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828666477">
    <w:abstractNumId w:val="4"/>
  </w:num>
  <w:num w:numId="2" w16cid:durableId="882718920">
    <w:abstractNumId w:val="1"/>
  </w:num>
  <w:num w:numId="3" w16cid:durableId="69666238">
    <w:abstractNumId w:val="0"/>
  </w:num>
  <w:num w:numId="4" w16cid:durableId="86193173">
    <w:abstractNumId w:val="2"/>
  </w:num>
  <w:num w:numId="5" w16cid:durableId="1161777815">
    <w:abstractNumId w:val="3"/>
  </w:num>
  <w:num w:numId="6" w16cid:durableId="711077932">
    <w:abstractNumId w:val="6"/>
  </w:num>
  <w:num w:numId="7" w16cid:durableId="1290623396">
    <w:abstractNumId w:val="5"/>
  </w:num>
  <w:num w:numId="8" w16cid:durableId="1687561696">
    <w:abstractNumId w:val="7"/>
  </w:num>
  <w:num w:numId="9" w16cid:durableId="91897458">
    <w:abstractNumId w:val="9"/>
  </w:num>
  <w:num w:numId="10" w16cid:durableId="181876191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9F"/>
    <w:rsid w:val="00000041"/>
    <w:rsid w:val="00007950"/>
    <w:rsid w:val="000102CB"/>
    <w:rsid w:val="0001092D"/>
    <w:rsid w:val="00011C4F"/>
    <w:rsid w:val="000126CA"/>
    <w:rsid w:val="000175AB"/>
    <w:rsid w:val="0002024F"/>
    <w:rsid w:val="0002076A"/>
    <w:rsid w:val="00020D78"/>
    <w:rsid w:val="00022EC8"/>
    <w:rsid w:val="00026704"/>
    <w:rsid w:val="00037E1E"/>
    <w:rsid w:val="00040A54"/>
    <w:rsid w:val="00043155"/>
    <w:rsid w:val="00043D87"/>
    <w:rsid w:val="00043E38"/>
    <w:rsid w:val="00045447"/>
    <w:rsid w:val="00053BA7"/>
    <w:rsid w:val="00057DD0"/>
    <w:rsid w:val="000601A8"/>
    <w:rsid w:val="0006137D"/>
    <w:rsid w:val="00070E5C"/>
    <w:rsid w:val="00080753"/>
    <w:rsid w:val="00084597"/>
    <w:rsid w:val="000856C1"/>
    <w:rsid w:val="00085A81"/>
    <w:rsid w:val="00095494"/>
    <w:rsid w:val="000A2C91"/>
    <w:rsid w:val="000A6313"/>
    <w:rsid w:val="000B082B"/>
    <w:rsid w:val="000B2507"/>
    <w:rsid w:val="000B458A"/>
    <w:rsid w:val="000B6058"/>
    <w:rsid w:val="000B7B78"/>
    <w:rsid w:val="000C325B"/>
    <w:rsid w:val="000C3DF7"/>
    <w:rsid w:val="000D2F25"/>
    <w:rsid w:val="000D3D48"/>
    <w:rsid w:val="000D3DFA"/>
    <w:rsid w:val="000E4B82"/>
    <w:rsid w:val="000E54A7"/>
    <w:rsid w:val="000E6CE5"/>
    <w:rsid w:val="000F00F0"/>
    <w:rsid w:val="000F4DF9"/>
    <w:rsid w:val="000F681C"/>
    <w:rsid w:val="001049D6"/>
    <w:rsid w:val="0010530C"/>
    <w:rsid w:val="0010586B"/>
    <w:rsid w:val="0010672E"/>
    <w:rsid w:val="00117908"/>
    <w:rsid w:val="00122D90"/>
    <w:rsid w:val="00122DFC"/>
    <w:rsid w:val="00123D69"/>
    <w:rsid w:val="00124D1D"/>
    <w:rsid w:val="00127AE3"/>
    <w:rsid w:val="00133A04"/>
    <w:rsid w:val="00137DBB"/>
    <w:rsid w:val="0014697A"/>
    <w:rsid w:val="001579C0"/>
    <w:rsid w:val="0016182F"/>
    <w:rsid w:val="00165FAE"/>
    <w:rsid w:val="00167407"/>
    <w:rsid w:val="00167E2D"/>
    <w:rsid w:val="001774D9"/>
    <w:rsid w:val="001820A5"/>
    <w:rsid w:val="00186878"/>
    <w:rsid w:val="00196845"/>
    <w:rsid w:val="001A441A"/>
    <w:rsid w:val="001A5DA0"/>
    <w:rsid w:val="001B1EF2"/>
    <w:rsid w:val="001B25C2"/>
    <w:rsid w:val="001C09DB"/>
    <w:rsid w:val="001C2543"/>
    <w:rsid w:val="001C6F52"/>
    <w:rsid w:val="001C786C"/>
    <w:rsid w:val="001D4515"/>
    <w:rsid w:val="001D657A"/>
    <w:rsid w:val="001E0822"/>
    <w:rsid w:val="001E6161"/>
    <w:rsid w:val="001E6526"/>
    <w:rsid w:val="001E780C"/>
    <w:rsid w:val="001F73A8"/>
    <w:rsid w:val="002001E7"/>
    <w:rsid w:val="00202518"/>
    <w:rsid w:val="00204AC7"/>
    <w:rsid w:val="00206B76"/>
    <w:rsid w:val="00211B1F"/>
    <w:rsid w:val="002121EC"/>
    <w:rsid w:val="0021269C"/>
    <w:rsid w:val="0021327D"/>
    <w:rsid w:val="00213DF2"/>
    <w:rsid w:val="00215560"/>
    <w:rsid w:val="0021698E"/>
    <w:rsid w:val="002170BA"/>
    <w:rsid w:val="00221680"/>
    <w:rsid w:val="002258B0"/>
    <w:rsid w:val="002415F0"/>
    <w:rsid w:val="00245560"/>
    <w:rsid w:val="00246F78"/>
    <w:rsid w:val="00247D8B"/>
    <w:rsid w:val="0025572F"/>
    <w:rsid w:val="00255925"/>
    <w:rsid w:val="00270E1F"/>
    <w:rsid w:val="00273C37"/>
    <w:rsid w:val="00275F89"/>
    <w:rsid w:val="002864A8"/>
    <w:rsid w:val="00290E33"/>
    <w:rsid w:val="0029582A"/>
    <w:rsid w:val="0029694C"/>
    <w:rsid w:val="002A13D9"/>
    <w:rsid w:val="002A182B"/>
    <w:rsid w:val="002A2FD1"/>
    <w:rsid w:val="002A33AE"/>
    <w:rsid w:val="002A5816"/>
    <w:rsid w:val="002A7A62"/>
    <w:rsid w:val="002B096B"/>
    <w:rsid w:val="002B0F1C"/>
    <w:rsid w:val="002B4676"/>
    <w:rsid w:val="002B6F55"/>
    <w:rsid w:val="002B7229"/>
    <w:rsid w:val="002D223A"/>
    <w:rsid w:val="002D22F3"/>
    <w:rsid w:val="002D2695"/>
    <w:rsid w:val="002D2FBC"/>
    <w:rsid w:val="002D4BC5"/>
    <w:rsid w:val="002D7FCB"/>
    <w:rsid w:val="002E50F3"/>
    <w:rsid w:val="002F1580"/>
    <w:rsid w:val="00303057"/>
    <w:rsid w:val="00310A09"/>
    <w:rsid w:val="00313121"/>
    <w:rsid w:val="003217FB"/>
    <w:rsid w:val="0032681D"/>
    <w:rsid w:val="00326FBF"/>
    <w:rsid w:val="003312D3"/>
    <w:rsid w:val="003315EE"/>
    <w:rsid w:val="00331688"/>
    <w:rsid w:val="00331868"/>
    <w:rsid w:val="00340567"/>
    <w:rsid w:val="003428CD"/>
    <w:rsid w:val="0034324D"/>
    <w:rsid w:val="00345092"/>
    <w:rsid w:val="00354B79"/>
    <w:rsid w:val="003670EB"/>
    <w:rsid w:val="003728AB"/>
    <w:rsid w:val="003734A1"/>
    <w:rsid w:val="00373698"/>
    <w:rsid w:val="003741ED"/>
    <w:rsid w:val="0037462C"/>
    <w:rsid w:val="0037732B"/>
    <w:rsid w:val="00381FC0"/>
    <w:rsid w:val="00384E5B"/>
    <w:rsid w:val="00386180"/>
    <w:rsid w:val="00390986"/>
    <w:rsid w:val="00390F40"/>
    <w:rsid w:val="003A14A9"/>
    <w:rsid w:val="003A1818"/>
    <w:rsid w:val="003B0CD1"/>
    <w:rsid w:val="003B2F18"/>
    <w:rsid w:val="003B6637"/>
    <w:rsid w:val="003C13AD"/>
    <w:rsid w:val="003C1D6F"/>
    <w:rsid w:val="003C5AB0"/>
    <w:rsid w:val="003C786E"/>
    <w:rsid w:val="003D11C8"/>
    <w:rsid w:val="003D2B27"/>
    <w:rsid w:val="003D47EE"/>
    <w:rsid w:val="003D5372"/>
    <w:rsid w:val="003E2167"/>
    <w:rsid w:val="003E5B87"/>
    <w:rsid w:val="003E6835"/>
    <w:rsid w:val="003F1348"/>
    <w:rsid w:val="003F6485"/>
    <w:rsid w:val="003F7FBC"/>
    <w:rsid w:val="004103DA"/>
    <w:rsid w:val="004108F8"/>
    <w:rsid w:val="004159D1"/>
    <w:rsid w:val="00417A64"/>
    <w:rsid w:val="004307C4"/>
    <w:rsid w:val="00431C03"/>
    <w:rsid w:val="00431EAF"/>
    <w:rsid w:val="004340BF"/>
    <w:rsid w:val="00437149"/>
    <w:rsid w:val="00440CA7"/>
    <w:rsid w:val="00440CFB"/>
    <w:rsid w:val="00445AFD"/>
    <w:rsid w:val="0046152F"/>
    <w:rsid w:val="00466779"/>
    <w:rsid w:val="00470C0C"/>
    <w:rsid w:val="004765EA"/>
    <w:rsid w:val="00476E2A"/>
    <w:rsid w:val="00481604"/>
    <w:rsid w:val="00485613"/>
    <w:rsid w:val="0049270B"/>
    <w:rsid w:val="00492841"/>
    <w:rsid w:val="0049375E"/>
    <w:rsid w:val="00496429"/>
    <w:rsid w:val="00497DAE"/>
    <w:rsid w:val="004A4AF8"/>
    <w:rsid w:val="004A4FEF"/>
    <w:rsid w:val="004A6F2B"/>
    <w:rsid w:val="004A75E4"/>
    <w:rsid w:val="004B0CCF"/>
    <w:rsid w:val="004B2DBB"/>
    <w:rsid w:val="004B6A05"/>
    <w:rsid w:val="004B7E14"/>
    <w:rsid w:val="004C16F5"/>
    <w:rsid w:val="004C2764"/>
    <w:rsid w:val="004C6ACE"/>
    <w:rsid w:val="004D060E"/>
    <w:rsid w:val="004E7484"/>
    <w:rsid w:val="004F0B68"/>
    <w:rsid w:val="004F1273"/>
    <w:rsid w:val="004F190C"/>
    <w:rsid w:val="004F3385"/>
    <w:rsid w:val="00502F41"/>
    <w:rsid w:val="00503F80"/>
    <w:rsid w:val="00505381"/>
    <w:rsid w:val="00512C83"/>
    <w:rsid w:val="00521467"/>
    <w:rsid w:val="00524FEE"/>
    <w:rsid w:val="0052611C"/>
    <w:rsid w:val="0053195F"/>
    <w:rsid w:val="00550283"/>
    <w:rsid w:val="00556818"/>
    <w:rsid w:val="00562B9D"/>
    <w:rsid w:val="00566BDC"/>
    <w:rsid w:val="0057096E"/>
    <w:rsid w:val="0059099C"/>
    <w:rsid w:val="0059566F"/>
    <w:rsid w:val="005A3F90"/>
    <w:rsid w:val="005A61A5"/>
    <w:rsid w:val="005A6CEB"/>
    <w:rsid w:val="005C3782"/>
    <w:rsid w:val="005C4DDD"/>
    <w:rsid w:val="005C6C78"/>
    <w:rsid w:val="005C6FA5"/>
    <w:rsid w:val="005D0531"/>
    <w:rsid w:val="005D3300"/>
    <w:rsid w:val="005D5E61"/>
    <w:rsid w:val="005E2527"/>
    <w:rsid w:val="005F0AC0"/>
    <w:rsid w:val="005F3077"/>
    <w:rsid w:val="005F7C93"/>
    <w:rsid w:val="00604489"/>
    <w:rsid w:val="00606936"/>
    <w:rsid w:val="0061348C"/>
    <w:rsid w:val="006219EE"/>
    <w:rsid w:val="00625D24"/>
    <w:rsid w:val="0063003E"/>
    <w:rsid w:val="0063018A"/>
    <w:rsid w:val="006320A1"/>
    <w:rsid w:val="00634CC3"/>
    <w:rsid w:val="006353ED"/>
    <w:rsid w:val="006362B9"/>
    <w:rsid w:val="0063726D"/>
    <w:rsid w:val="006500B1"/>
    <w:rsid w:val="006552CE"/>
    <w:rsid w:val="0066050C"/>
    <w:rsid w:val="00662CBF"/>
    <w:rsid w:val="006637FB"/>
    <w:rsid w:val="0067218A"/>
    <w:rsid w:val="00684FDE"/>
    <w:rsid w:val="006861CD"/>
    <w:rsid w:val="00694BEE"/>
    <w:rsid w:val="00696CD9"/>
    <w:rsid w:val="006A0AAE"/>
    <w:rsid w:val="006A2928"/>
    <w:rsid w:val="006B0471"/>
    <w:rsid w:val="006B448B"/>
    <w:rsid w:val="006B503B"/>
    <w:rsid w:val="006C125A"/>
    <w:rsid w:val="006C1E7A"/>
    <w:rsid w:val="006C31DB"/>
    <w:rsid w:val="006C43A1"/>
    <w:rsid w:val="006C4C28"/>
    <w:rsid w:val="006C6CAA"/>
    <w:rsid w:val="006C75C4"/>
    <w:rsid w:val="006C7A4C"/>
    <w:rsid w:val="006E1649"/>
    <w:rsid w:val="006E3A9D"/>
    <w:rsid w:val="006F51F1"/>
    <w:rsid w:val="006F7291"/>
    <w:rsid w:val="007025AD"/>
    <w:rsid w:val="007109D4"/>
    <w:rsid w:val="00711DBE"/>
    <w:rsid w:val="00714138"/>
    <w:rsid w:val="0071484F"/>
    <w:rsid w:val="0071658C"/>
    <w:rsid w:val="00722B9F"/>
    <w:rsid w:val="00722D21"/>
    <w:rsid w:val="00723683"/>
    <w:rsid w:val="00746877"/>
    <w:rsid w:val="00747512"/>
    <w:rsid w:val="00750FD9"/>
    <w:rsid w:val="00751A04"/>
    <w:rsid w:val="00752FC4"/>
    <w:rsid w:val="0075500E"/>
    <w:rsid w:val="00764500"/>
    <w:rsid w:val="007650BC"/>
    <w:rsid w:val="007736DB"/>
    <w:rsid w:val="00777C6F"/>
    <w:rsid w:val="00791F0D"/>
    <w:rsid w:val="00794F04"/>
    <w:rsid w:val="0079665C"/>
    <w:rsid w:val="007A27DF"/>
    <w:rsid w:val="007A3FFD"/>
    <w:rsid w:val="007A4547"/>
    <w:rsid w:val="007A615E"/>
    <w:rsid w:val="007B0DD7"/>
    <w:rsid w:val="007B2220"/>
    <w:rsid w:val="007B7316"/>
    <w:rsid w:val="007C42F1"/>
    <w:rsid w:val="007C6F0E"/>
    <w:rsid w:val="007C7835"/>
    <w:rsid w:val="007D5A7F"/>
    <w:rsid w:val="007E0385"/>
    <w:rsid w:val="007E0C3C"/>
    <w:rsid w:val="007E0F0A"/>
    <w:rsid w:val="007E5E8E"/>
    <w:rsid w:val="007E630F"/>
    <w:rsid w:val="007E7D10"/>
    <w:rsid w:val="007F2D0C"/>
    <w:rsid w:val="007F73FA"/>
    <w:rsid w:val="00801D37"/>
    <w:rsid w:val="008104F6"/>
    <w:rsid w:val="008133A3"/>
    <w:rsid w:val="008142EE"/>
    <w:rsid w:val="008205C8"/>
    <w:rsid w:val="00832316"/>
    <w:rsid w:val="00841326"/>
    <w:rsid w:val="008502FC"/>
    <w:rsid w:val="00856A5A"/>
    <w:rsid w:val="00856D9A"/>
    <w:rsid w:val="00857751"/>
    <w:rsid w:val="008601C9"/>
    <w:rsid w:val="00862AFA"/>
    <w:rsid w:val="00864DEE"/>
    <w:rsid w:val="00871019"/>
    <w:rsid w:val="00880E9F"/>
    <w:rsid w:val="00884D3A"/>
    <w:rsid w:val="00890AAB"/>
    <w:rsid w:val="008951B4"/>
    <w:rsid w:val="008953C7"/>
    <w:rsid w:val="008A5E60"/>
    <w:rsid w:val="008B11BB"/>
    <w:rsid w:val="008B1783"/>
    <w:rsid w:val="008B518F"/>
    <w:rsid w:val="008C4B93"/>
    <w:rsid w:val="008C54B1"/>
    <w:rsid w:val="008D121F"/>
    <w:rsid w:val="008D4F11"/>
    <w:rsid w:val="008E64C6"/>
    <w:rsid w:val="008E67E1"/>
    <w:rsid w:val="008F2002"/>
    <w:rsid w:val="008F27FD"/>
    <w:rsid w:val="008F2A65"/>
    <w:rsid w:val="008F4B69"/>
    <w:rsid w:val="00901FDA"/>
    <w:rsid w:val="0090276F"/>
    <w:rsid w:val="00903680"/>
    <w:rsid w:val="00903BE7"/>
    <w:rsid w:val="009061A5"/>
    <w:rsid w:val="00912FC7"/>
    <w:rsid w:val="00913A2F"/>
    <w:rsid w:val="009178B0"/>
    <w:rsid w:val="00922F3D"/>
    <w:rsid w:val="0093186A"/>
    <w:rsid w:val="009369E8"/>
    <w:rsid w:val="009538C1"/>
    <w:rsid w:val="00953DC4"/>
    <w:rsid w:val="00953DFA"/>
    <w:rsid w:val="00955029"/>
    <w:rsid w:val="00955C5A"/>
    <w:rsid w:val="00963148"/>
    <w:rsid w:val="00967B39"/>
    <w:rsid w:val="00976274"/>
    <w:rsid w:val="0098002B"/>
    <w:rsid w:val="00997FB9"/>
    <w:rsid w:val="009A1544"/>
    <w:rsid w:val="009A533E"/>
    <w:rsid w:val="009A6569"/>
    <w:rsid w:val="009B78E1"/>
    <w:rsid w:val="009C2A4D"/>
    <w:rsid w:val="009C5785"/>
    <w:rsid w:val="009C6995"/>
    <w:rsid w:val="009C7922"/>
    <w:rsid w:val="009D0186"/>
    <w:rsid w:val="009D047E"/>
    <w:rsid w:val="009E4EEE"/>
    <w:rsid w:val="009F369C"/>
    <w:rsid w:val="009F44BF"/>
    <w:rsid w:val="00A07AA3"/>
    <w:rsid w:val="00A11200"/>
    <w:rsid w:val="00A11FDC"/>
    <w:rsid w:val="00A24C14"/>
    <w:rsid w:val="00A27F44"/>
    <w:rsid w:val="00A304AD"/>
    <w:rsid w:val="00A31302"/>
    <w:rsid w:val="00A35FB5"/>
    <w:rsid w:val="00A5045D"/>
    <w:rsid w:val="00A5390B"/>
    <w:rsid w:val="00A569F8"/>
    <w:rsid w:val="00A713CE"/>
    <w:rsid w:val="00A75C83"/>
    <w:rsid w:val="00A76A81"/>
    <w:rsid w:val="00A83562"/>
    <w:rsid w:val="00A83CE8"/>
    <w:rsid w:val="00A87191"/>
    <w:rsid w:val="00A90438"/>
    <w:rsid w:val="00A90556"/>
    <w:rsid w:val="00A928F1"/>
    <w:rsid w:val="00A95265"/>
    <w:rsid w:val="00A958CA"/>
    <w:rsid w:val="00A95E61"/>
    <w:rsid w:val="00A962A9"/>
    <w:rsid w:val="00AA797D"/>
    <w:rsid w:val="00AA7A95"/>
    <w:rsid w:val="00AC1DC4"/>
    <w:rsid w:val="00AC22C8"/>
    <w:rsid w:val="00AC23A5"/>
    <w:rsid w:val="00AC6206"/>
    <w:rsid w:val="00AC6B62"/>
    <w:rsid w:val="00AD0594"/>
    <w:rsid w:val="00AD0924"/>
    <w:rsid w:val="00AD44BB"/>
    <w:rsid w:val="00AD4F6E"/>
    <w:rsid w:val="00AD66C1"/>
    <w:rsid w:val="00AE0874"/>
    <w:rsid w:val="00AE1706"/>
    <w:rsid w:val="00AE1D23"/>
    <w:rsid w:val="00AF0B1A"/>
    <w:rsid w:val="00AF316A"/>
    <w:rsid w:val="00AF4C41"/>
    <w:rsid w:val="00B00F64"/>
    <w:rsid w:val="00B01207"/>
    <w:rsid w:val="00B01889"/>
    <w:rsid w:val="00B022D8"/>
    <w:rsid w:val="00B0337D"/>
    <w:rsid w:val="00B04A46"/>
    <w:rsid w:val="00B1044C"/>
    <w:rsid w:val="00B10B87"/>
    <w:rsid w:val="00B177EC"/>
    <w:rsid w:val="00B17BE3"/>
    <w:rsid w:val="00B23603"/>
    <w:rsid w:val="00B23AD5"/>
    <w:rsid w:val="00B2634B"/>
    <w:rsid w:val="00B313BF"/>
    <w:rsid w:val="00B32430"/>
    <w:rsid w:val="00B4083B"/>
    <w:rsid w:val="00B42479"/>
    <w:rsid w:val="00B449FA"/>
    <w:rsid w:val="00B453C5"/>
    <w:rsid w:val="00B51E1D"/>
    <w:rsid w:val="00B52206"/>
    <w:rsid w:val="00B61596"/>
    <w:rsid w:val="00B61F05"/>
    <w:rsid w:val="00B63BB0"/>
    <w:rsid w:val="00B7476F"/>
    <w:rsid w:val="00B83395"/>
    <w:rsid w:val="00B86AF2"/>
    <w:rsid w:val="00B87F8C"/>
    <w:rsid w:val="00B907B0"/>
    <w:rsid w:val="00B91EB9"/>
    <w:rsid w:val="00B92C6E"/>
    <w:rsid w:val="00B9579C"/>
    <w:rsid w:val="00BA2E3F"/>
    <w:rsid w:val="00BA31CD"/>
    <w:rsid w:val="00BA6BB1"/>
    <w:rsid w:val="00BB3667"/>
    <w:rsid w:val="00BB5B75"/>
    <w:rsid w:val="00BC2195"/>
    <w:rsid w:val="00BD03D7"/>
    <w:rsid w:val="00BD06EE"/>
    <w:rsid w:val="00BD6B55"/>
    <w:rsid w:val="00BE195D"/>
    <w:rsid w:val="00BE466F"/>
    <w:rsid w:val="00BE579C"/>
    <w:rsid w:val="00BE6F00"/>
    <w:rsid w:val="00BF33D6"/>
    <w:rsid w:val="00C00E2C"/>
    <w:rsid w:val="00C20147"/>
    <w:rsid w:val="00C252C7"/>
    <w:rsid w:val="00C27DD6"/>
    <w:rsid w:val="00C35F66"/>
    <w:rsid w:val="00C4049C"/>
    <w:rsid w:val="00C4131D"/>
    <w:rsid w:val="00C413C7"/>
    <w:rsid w:val="00C43E82"/>
    <w:rsid w:val="00C448EC"/>
    <w:rsid w:val="00C45567"/>
    <w:rsid w:val="00C46119"/>
    <w:rsid w:val="00C52EC7"/>
    <w:rsid w:val="00C602F2"/>
    <w:rsid w:val="00C62AB9"/>
    <w:rsid w:val="00C736DA"/>
    <w:rsid w:val="00C743B0"/>
    <w:rsid w:val="00C760C9"/>
    <w:rsid w:val="00C84D87"/>
    <w:rsid w:val="00C8521E"/>
    <w:rsid w:val="00C90295"/>
    <w:rsid w:val="00C94B1C"/>
    <w:rsid w:val="00C96C54"/>
    <w:rsid w:val="00CA171C"/>
    <w:rsid w:val="00CA24E7"/>
    <w:rsid w:val="00CA4189"/>
    <w:rsid w:val="00CA5C91"/>
    <w:rsid w:val="00CB7B42"/>
    <w:rsid w:val="00CC6B18"/>
    <w:rsid w:val="00CD003C"/>
    <w:rsid w:val="00CD20A8"/>
    <w:rsid w:val="00CD5926"/>
    <w:rsid w:val="00CD6317"/>
    <w:rsid w:val="00CD7034"/>
    <w:rsid w:val="00CE23E4"/>
    <w:rsid w:val="00CE3FA8"/>
    <w:rsid w:val="00CF4ABB"/>
    <w:rsid w:val="00CF5029"/>
    <w:rsid w:val="00D00EC7"/>
    <w:rsid w:val="00D05ADC"/>
    <w:rsid w:val="00D12F29"/>
    <w:rsid w:val="00D164AE"/>
    <w:rsid w:val="00D24B48"/>
    <w:rsid w:val="00D25D9F"/>
    <w:rsid w:val="00D33689"/>
    <w:rsid w:val="00D431A0"/>
    <w:rsid w:val="00D5363C"/>
    <w:rsid w:val="00D619F8"/>
    <w:rsid w:val="00D65A70"/>
    <w:rsid w:val="00D71B0D"/>
    <w:rsid w:val="00D71DDE"/>
    <w:rsid w:val="00D72226"/>
    <w:rsid w:val="00D72609"/>
    <w:rsid w:val="00D80231"/>
    <w:rsid w:val="00D86D42"/>
    <w:rsid w:val="00D90441"/>
    <w:rsid w:val="00D90801"/>
    <w:rsid w:val="00D90E4F"/>
    <w:rsid w:val="00D91CDF"/>
    <w:rsid w:val="00D965D0"/>
    <w:rsid w:val="00DA4D1E"/>
    <w:rsid w:val="00DA55E6"/>
    <w:rsid w:val="00DB0C6E"/>
    <w:rsid w:val="00DB6201"/>
    <w:rsid w:val="00DC01B6"/>
    <w:rsid w:val="00DC7824"/>
    <w:rsid w:val="00DC7FA8"/>
    <w:rsid w:val="00DD3540"/>
    <w:rsid w:val="00DD6AB2"/>
    <w:rsid w:val="00DD7F1F"/>
    <w:rsid w:val="00DE2A62"/>
    <w:rsid w:val="00DE6766"/>
    <w:rsid w:val="00DF0F5C"/>
    <w:rsid w:val="00DF212B"/>
    <w:rsid w:val="00DF22AE"/>
    <w:rsid w:val="00E02119"/>
    <w:rsid w:val="00E022FA"/>
    <w:rsid w:val="00E0647A"/>
    <w:rsid w:val="00E13D47"/>
    <w:rsid w:val="00E16508"/>
    <w:rsid w:val="00E16E8E"/>
    <w:rsid w:val="00E17DCB"/>
    <w:rsid w:val="00E213AA"/>
    <w:rsid w:val="00E22336"/>
    <w:rsid w:val="00E238FC"/>
    <w:rsid w:val="00E23F16"/>
    <w:rsid w:val="00E26982"/>
    <w:rsid w:val="00E3188D"/>
    <w:rsid w:val="00E3617B"/>
    <w:rsid w:val="00E36CAA"/>
    <w:rsid w:val="00E37AF0"/>
    <w:rsid w:val="00E428C9"/>
    <w:rsid w:val="00E42977"/>
    <w:rsid w:val="00E4346B"/>
    <w:rsid w:val="00E439C6"/>
    <w:rsid w:val="00E43B29"/>
    <w:rsid w:val="00E44C14"/>
    <w:rsid w:val="00E46588"/>
    <w:rsid w:val="00E47CA3"/>
    <w:rsid w:val="00E515A7"/>
    <w:rsid w:val="00E57E85"/>
    <w:rsid w:val="00E648FA"/>
    <w:rsid w:val="00E735DB"/>
    <w:rsid w:val="00E750DE"/>
    <w:rsid w:val="00E763C6"/>
    <w:rsid w:val="00E77806"/>
    <w:rsid w:val="00E83BDF"/>
    <w:rsid w:val="00E84C5B"/>
    <w:rsid w:val="00E90537"/>
    <w:rsid w:val="00E93107"/>
    <w:rsid w:val="00EA1442"/>
    <w:rsid w:val="00EA7E82"/>
    <w:rsid w:val="00EC02C2"/>
    <w:rsid w:val="00EC11A1"/>
    <w:rsid w:val="00ED2242"/>
    <w:rsid w:val="00ED74B2"/>
    <w:rsid w:val="00EE3645"/>
    <w:rsid w:val="00EE4E15"/>
    <w:rsid w:val="00EE536B"/>
    <w:rsid w:val="00EE6016"/>
    <w:rsid w:val="00EF012F"/>
    <w:rsid w:val="00EF158C"/>
    <w:rsid w:val="00EF2519"/>
    <w:rsid w:val="00EF2850"/>
    <w:rsid w:val="00EF3216"/>
    <w:rsid w:val="00EF4BA3"/>
    <w:rsid w:val="00F02345"/>
    <w:rsid w:val="00F06BF1"/>
    <w:rsid w:val="00F07B5F"/>
    <w:rsid w:val="00F12D21"/>
    <w:rsid w:val="00F15426"/>
    <w:rsid w:val="00F169E7"/>
    <w:rsid w:val="00F17DC9"/>
    <w:rsid w:val="00F20663"/>
    <w:rsid w:val="00F32A5F"/>
    <w:rsid w:val="00F45560"/>
    <w:rsid w:val="00F4644B"/>
    <w:rsid w:val="00F50234"/>
    <w:rsid w:val="00F50C99"/>
    <w:rsid w:val="00F51B74"/>
    <w:rsid w:val="00F56BC3"/>
    <w:rsid w:val="00F60A32"/>
    <w:rsid w:val="00F623A5"/>
    <w:rsid w:val="00F637DB"/>
    <w:rsid w:val="00F7529C"/>
    <w:rsid w:val="00F76790"/>
    <w:rsid w:val="00F76F70"/>
    <w:rsid w:val="00F82BB8"/>
    <w:rsid w:val="00F86952"/>
    <w:rsid w:val="00F87E85"/>
    <w:rsid w:val="00F9030C"/>
    <w:rsid w:val="00F92FF6"/>
    <w:rsid w:val="00F96AEC"/>
    <w:rsid w:val="00FA5C25"/>
    <w:rsid w:val="00FA6456"/>
    <w:rsid w:val="00FB2C5C"/>
    <w:rsid w:val="00FB36CC"/>
    <w:rsid w:val="00FB76C8"/>
    <w:rsid w:val="00FC138A"/>
    <w:rsid w:val="00FC40F8"/>
    <w:rsid w:val="00FC5826"/>
    <w:rsid w:val="00FC620F"/>
    <w:rsid w:val="00FC6A4D"/>
    <w:rsid w:val="00FD76C0"/>
    <w:rsid w:val="00FE1045"/>
    <w:rsid w:val="00FE4442"/>
    <w:rsid w:val="00FF417E"/>
    <w:rsid w:val="00FF5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48746"/>
  <w15:docId w15:val="{E6675094-E940-49B8-87DC-66F08D4A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DF2"/>
    <w:pPr>
      <w:spacing w:after="200" w:line="276" w:lineRule="auto"/>
    </w:pPr>
    <w:rPr>
      <w:color w:val="FF0000"/>
      <w:sz w:val="22"/>
      <w:szCs w:val="22"/>
      <w:lang w:eastAsia="en-US"/>
    </w:rPr>
  </w:style>
  <w:style w:type="paragraph" w:styleId="Heading4">
    <w:name w:val="heading 4"/>
    <w:basedOn w:val="Normal"/>
    <w:next w:val="Normal"/>
    <w:link w:val="Heading4Char"/>
    <w:qFormat/>
    <w:rsid w:val="00F76790"/>
    <w:pPr>
      <w:keepNext/>
      <w:spacing w:after="0" w:line="240" w:lineRule="auto"/>
      <w:ind w:left="-720"/>
      <w:jc w:val="both"/>
      <w:outlineLvl w:val="3"/>
    </w:pPr>
    <w:rPr>
      <w:rFonts w:ascii="Times New Roman" w:eastAsia="Times New Roman" w:hAnsi="Times New Roman" w:cs="Times New Roman"/>
      <w:b/>
      <w:bCs/>
      <w:color w:val="auto"/>
      <w:sz w:val="24"/>
      <w:szCs w:val="24"/>
    </w:rPr>
  </w:style>
  <w:style w:type="paragraph" w:styleId="Heading5">
    <w:name w:val="heading 5"/>
    <w:basedOn w:val="Normal"/>
    <w:next w:val="Normal"/>
    <w:link w:val="Heading5Char"/>
    <w:qFormat/>
    <w:rsid w:val="00F76790"/>
    <w:pPr>
      <w:keepNext/>
      <w:spacing w:after="0" w:line="240" w:lineRule="auto"/>
      <w:ind w:left="720" w:hanging="720"/>
      <w:jc w:val="both"/>
      <w:outlineLvl w:val="4"/>
    </w:pPr>
    <w:rPr>
      <w:rFonts w:eastAsia="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76790"/>
    <w:rPr>
      <w:rFonts w:ascii="Times New Roman" w:eastAsia="Times New Roman" w:hAnsi="Times New Roman" w:cs="Times New Roman"/>
      <w:b/>
      <w:bCs/>
      <w:sz w:val="24"/>
      <w:szCs w:val="24"/>
      <w:lang w:eastAsia="en-US"/>
    </w:rPr>
  </w:style>
  <w:style w:type="character" w:customStyle="1" w:styleId="Heading5Char">
    <w:name w:val="Heading 5 Char"/>
    <w:basedOn w:val="DefaultParagraphFont"/>
    <w:link w:val="Heading5"/>
    <w:rsid w:val="00F76790"/>
    <w:rPr>
      <w:rFonts w:eastAsia="Times New Roman"/>
      <w:b/>
      <w:bCs/>
      <w:sz w:val="24"/>
      <w:szCs w:val="24"/>
      <w:lang w:eastAsia="en-US"/>
    </w:rPr>
  </w:style>
  <w:style w:type="paragraph" w:styleId="BodyTextIndent">
    <w:name w:val="Body Text Indent"/>
    <w:basedOn w:val="Normal"/>
    <w:link w:val="BodyTextIndentChar"/>
    <w:rsid w:val="00F76790"/>
    <w:pPr>
      <w:spacing w:after="0" w:line="240" w:lineRule="auto"/>
      <w:ind w:left="-720"/>
      <w:jc w:val="both"/>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F76790"/>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1B2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5C2"/>
    <w:rPr>
      <w:rFonts w:ascii="Tahoma" w:hAnsi="Tahoma" w:cs="Tahoma"/>
      <w:color w:val="FF0000"/>
      <w:sz w:val="16"/>
      <w:szCs w:val="16"/>
      <w:lang w:eastAsia="en-US"/>
    </w:rPr>
  </w:style>
  <w:style w:type="paragraph" w:styleId="ListParagraph">
    <w:name w:val="List Paragraph"/>
    <w:basedOn w:val="Normal"/>
    <w:uiPriority w:val="34"/>
    <w:qFormat/>
    <w:rsid w:val="000126CA"/>
    <w:pPr>
      <w:ind w:left="720"/>
      <w:contextualSpacing/>
    </w:pPr>
  </w:style>
  <w:style w:type="paragraph" w:styleId="PlainText">
    <w:name w:val="Plain Text"/>
    <w:basedOn w:val="Normal"/>
    <w:link w:val="PlainTextChar"/>
    <w:uiPriority w:val="99"/>
    <w:semiHidden/>
    <w:unhideWhenUsed/>
    <w:rsid w:val="001C786C"/>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semiHidden/>
    <w:rsid w:val="001C786C"/>
    <w:rPr>
      <w:rFonts w:ascii="Calibri" w:eastAsiaTheme="minorHAnsi" w:hAnsi="Calibri" w:cstheme="minorBidi"/>
      <w:sz w:val="22"/>
      <w:szCs w:val="21"/>
      <w:lang w:eastAsia="en-US"/>
    </w:rPr>
  </w:style>
  <w:style w:type="paragraph" w:styleId="NormalWeb">
    <w:name w:val="Normal (Web)"/>
    <w:basedOn w:val="Normal"/>
    <w:uiPriority w:val="99"/>
    <w:semiHidden/>
    <w:unhideWhenUsed/>
    <w:rsid w:val="00122DFC"/>
    <w:pPr>
      <w:spacing w:before="100" w:beforeAutospacing="1" w:after="100" w:afterAutospacing="1" w:line="240" w:lineRule="auto"/>
    </w:pPr>
    <w:rPr>
      <w:rFonts w:ascii="Times New Roman" w:eastAsiaTheme="minorHAnsi" w:hAnsi="Times New Roman" w:cs="Times New Roman"/>
      <w:color w:val="auto"/>
      <w:sz w:val="24"/>
      <w:szCs w:val="24"/>
      <w:lang w:eastAsia="en-GB"/>
    </w:rPr>
  </w:style>
  <w:style w:type="paragraph" w:styleId="Header">
    <w:name w:val="header"/>
    <w:basedOn w:val="Normal"/>
    <w:link w:val="HeaderChar"/>
    <w:uiPriority w:val="99"/>
    <w:unhideWhenUsed/>
    <w:rsid w:val="00206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B76"/>
    <w:rPr>
      <w:color w:val="FF0000"/>
      <w:sz w:val="22"/>
      <w:szCs w:val="22"/>
      <w:lang w:eastAsia="en-US"/>
    </w:rPr>
  </w:style>
  <w:style w:type="paragraph" w:styleId="Footer">
    <w:name w:val="footer"/>
    <w:basedOn w:val="Normal"/>
    <w:link w:val="FooterChar"/>
    <w:uiPriority w:val="99"/>
    <w:unhideWhenUsed/>
    <w:rsid w:val="00206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B76"/>
    <w:rPr>
      <w:color w:val="FF0000"/>
      <w:sz w:val="22"/>
      <w:szCs w:val="22"/>
      <w:lang w:eastAsia="en-US"/>
    </w:rPr>
  </w:style>
  <w:style w:type="character" w:styleId="SubtleReference">
    <w:name w:val="Subtle Reference"/>
    <w:basedOn w:val="DefaultParagraphFont"/>
    <w:uiPriority w:val="31"/>
    <w:qFormat/>
    <w:rsid w:val="00E735DB"/>
    <w:rPr>
      <w:smallCaps/>
      <w:color w:val="C0504D" w:themeColor="accent2"/>
      <w:u w:val="single"/>
    </w:rPr>
  </w:style>
  <w:style w:type="character" w:styleId="CommentReference">
    <w:name w:val="annotation reference"/>
    <w:basedOn w:val="DefaultParagraphFont"/>
    <w:uiPriority w:val="99"/>
    <w:semiHidden/>
    <w:unhideWhenUsed/>
    <w:rsid w:val="00B10B87"/>
    <w:rPr>
      <w:sz w:val="16"/>
      <w:szCs w:val="16"/>
    </w:rPr>
  </w:style>
  <w:style w:type="paragraph" w:styleId="CommentText">
    <w:name w:val="annotation text"/>
    <w:basedOn w:val="Normal"/>
    <w:link w:val="CommentTextChar"/>
    <w:uiPriority w:val="99"/>
    <w:unhideWhenUsed/>
    <w:rsid w:val="00B10B87"/>
    <w:pPr>
      <w:spacing w:line="240" w:lineRule="auto"/>
    </w:pPr>
    <w:rPr>
      <w:sz w:val="20"/>
      <w:szCs w:val="20"/>
    </w:rPr>
  </w:style>
  <w:style w:type="character" w:customStyle="1" w:styleId="CommentTextChar">
    <w:name w:val="Comment Text Char"/>
    <w:basedOn w:val="DefaultParagraphFont"/>
    <w:link w:val="CommentText"/>
    <w:uiPriority w:val="99"/>
    <w:rsid w:val="00B10B87"/>
    <w:rPr>
      <w:color w:val="FF0000"/>
      <w:lang w:eastAsia="en-US"/>
    </w:rPr>
  </w:style>
  <w:style w:type="paragraph" w:styleId="CommentSubject">
    <w:name w:val="annotation subject"/>
    <w:basedOn w:val="CommentText"/>
    <w:next w:val="CommentText"/>
    <w:link w:val="CommentSubjectChar"/>
    <w:uiPriority w:val="99"/>
    <w:semiHidden/>
    <w:unhideWhenUsed/>
    <w:rsid w:val="00B10B87"/>
    <w:rPr>
      <w:b/>
      <w:bCs/>
    </w:rPr>
  </w:style>
  <w:style w:type="character" w:customStyle="1" w:styleId="CommentSubjectChar">
    <w:name w:val="Comment Subject Char"/>
    <w:basedOn w:val="CommentTextChar"/>
    <w:link w:val="CommentSubject"/>
    <w:uiPriority w:val="99"/>
    <w:semiHidden/>
    <w:rsid w:val="00B10B87"/>
    <w:rPr>
      <w:b/>
      <w:bCs/>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1837">
      <w:bodyDiv w:val="1"/>
      <w:marLeft w:val="0"/>
      <w:marRight w:val="0"/>
      <w:marTop w:val="0"/>
      <w:marBottom w:val="0"/>
      <w:divBdr>
        <w:top w:val="none" w:sz="0" w:space="0" w:color="auto"/>
        <w:left w:val="none" w:sz="0" w:space="0" w:color="auto"/>
        <w:bottom w:val="none" w:sz="0" w:space="0" w:color="auto"/>
        <w:right w:val="none" w:sz="0" w:space="0" w:color="auto"/>
      </w:divBdr>
    </w:div>
    <w:div w:id="22173333">
      <w:bodyDiv w:val="1"/>
      <w:marLeft w:val="0"/>
      <w:marRight w:val="0"/>
      <w:marTop w:val="0"/>
      <w:marBottom w:val="0"/>
      <w:divBdr>
        <w:top w:val="none" w:sz="0" w:space="0" w:color="auto"/>
        <w:left w:val="none" w:sz="0" w:space="0" w:color="auto"/>
        <w:bottom w:val="none" w:sz="0" w:space="0" w:color="auto"/>
        <w:right w:val="none" w:sz="0" w:space="0" w:color="auto"/>
      </w:divBdr>
    </w:div>
    <w:div w:id="61343273">
      <w:bodyDiv w:val="1"/>
      <w:marLeft w:val="0"/>
      <w:marRight w:val="0"/>
      <w:marTop w:val="0"/>
      <w:marBottom w:val="0"/>
      <w:divBdr>
        <w:top w:val="none" w:sz="0" w:space="0" w:color="auto"/>
        <w:left w:val="none" w:sz="0" w:space="0" w:color="auto"/>
        <w:bottom w:val="none" w:sz="0" w:space="0" w:color="auto"/>
        <w:right w:val="none" w:sz="0" w:space="0" w:color="auto"/>
      </w:divBdr>
    </w:div>
    <w:div w:id="67001133">
      <w:bodyDiv w:val="1"/>
      <w:marLeft w:val="0"/>
      <w:marRight w:val="0"/>
      <w:marTop w:val="0"/>
      <w:marBottom w:val="0"/>
      <w:divBdr>
        <w:top w:val="none" w:sz="0" w:space="0" w:color="auto"/>
        <w:left w:val="none" w:sz="0" w:space="0" w:color="auto"/>
        <w:bottom w:val="none" w:sz="0" w:space="0" w:color="auto"/>
        <w:right w:val="none" w:sz="0" w:space="0" w:color="auto"/>
      </w:divBdr>
    </w:div>
    <w:div w:id="100876222">
      <w:bodyDiv w:val="1"/>
      <w:marLeft w:val="0"/>
      <w:marRight w:val="0"/>
      <w:marTop w:val="0"/>
      <w:marBottom w:val="0"/>
      <w:divBdr>
        <w:top w:val="none" w:sz="0" w:space="0" w:color="auto"/>
        <w:left w:val="none" w:sz="0" w:space="0" w:color="auto"/>
        <w:bottom w:val="none" w:sz="0" w:space="0" w:color="auto"/>
        <w:right w:val="none" w:sz="0" w:space="0" w:color="auto"/>
      </w:divBdr>
    </w:div>
    <w:div w:id="105393928">
      <w:bodyDiv w:val="1"/>
      <w:marLeft w:val="0"/>
      <w:marRight w:val="0"/>
      <w:marTop w:val="0"/>
      <w:marBottom w:val="0"/>
      <w:divBdr>
        <w:top w:val="none" w:sz="0" w:space="0" w:color="auto"/>
        <w:left w:val="none" w:sz="0" w:space="0" w:color="auto"/>
        <w:bottom w:val="none" w:sz="0" w:space="0" w:color="auto"/>
        <w:right w:val="none" w:sz="0" w:space="0" w:color="auto"/>
      </w:divBdr>
    </w:div>
    <w:div w:id="158084666">
      <w:bodyDiv w:val="1"/>
      <w:marLeft w:val="0"/>
      <w:marRight w:val="0"/>
      <w:marTop w:val="0"/>
      <w:marBottom w:val="0"/>
      <w:divBdr>
        <w:top w:val="none" w:sz="0" w:space="0" w:color="auto"/>
        <w:left w:val="none" w:sz="0" w:space="0" w:color="auto"/>
        <w:bottom w:val="none" w:sz="0" w:space="0" w:color="auto"/>
        <w:right w:val="none" w:sz="0" w:space="0" w:color="auto"/>
      </w:divBdr>
    </w:div>
    <w:div w:id="220099062">
      <w:bodyDiv w:val="1"/>
      <w:marLeft w:val="0"/>
      <w:marRight w:val="0"/>
      <w:marTop w:val="0"/>
      <w:marBottom w:val="0"/>
      <w:divBdr>
        <w:top w:val="none" w:sz="0" w:space="0" w:color="auto"/>
        <w:left w:val="none" w:sz="0" w:space="0" w:color="auto"/>
        <w:bottom w:val="none" w:sz="0" w:space="0" w:color="auto"/>
        <w:right w:val="none" w:sz="0" w:space="0" w:color="auto"/>
      </w:divBdr>
    </w:div>
    <w:div w:id="329793001">
      <w:bodyDiv w:val="1"/>
      <w:marLeft w:val="0"/>
      <w:marRight w:val="0"/>
      <w:marTop w:val="0"/>
      <w:marBottom w:val="0"/>
      <w:divBdr>
        <w:top w:val="none" w:sz="0" w:space="0" w:color="auto"/>
        <w:left w:val="none" w:sz="0" w:space="0" w:color="auto"/>
        <w:bottom w:val="none" w:sz="0" w:space="0" w:color="auto"/>
        <w:right w:val="none" w:sz="0" w:space="0" w:color="auto"/>
      </w:divBdr>
    </w:div>
    <w:div w:id="368918798">
      <w:bodyDiv w:val="1"/>
      <w:marLeft w:val="0"/>
      <w:marRight w:val="0"/>
      <w:marTop w:val="0"/>
      <w:marBottom w:val="0"/>
      <w:divBdr>
        <w:top w:val="none" w:sz="0" w:space="0" w:color="auto"/>
        <w:left w:val="none" w:sz="0" w:space="0" w:color="auto"/>
        <w:bottom w:val="none" w:sz="0" w:space="0" w:color="auto"/>
        <w:right w:val="none" w:sz="0" w:space="0" w:color="auto"/>
      </w:divBdr>
    </w:div>
    <w:div w:id="397098186">
      <w:bodyDiv w:val="1"/>
      <w:marLeft w:val="0"/>
      <w:marRight w:val="0"/>
      <w:marTop w:val="0"/>
      <w:marBottom w:val="0"/>
      <w:divBdr>
        <w:top w:val="none" w:sz="0" w:space="0" w:color="auto"/>
        <w:left w:val="none" w:sz="0" w:space="0" w:color="auto"/>
        <w:bottom w:val="none" w:sz="0" w:space="0" w:color="auto"/>
        <w:right w:val="none" w:sz="0" w:space="0" w:color="auto"/>
      </w:divBdr>
    </w:div>
    <w:div w:id="477067194">
      <w:bodyDiv w:val="1"/>
      <w:marLeft w:val="0"/>
      <w:marRight w:val="0"/>
      <w:marTop w:val="0"/>
      <w:marBottom w:val="0"/>
      <w:divBdr>
        <w:top w:val="none" w:sz="0" w:space="0" w:color="auto"/>
        <w:left w:val="none" w:sz="0" w:space="0" w:color="auto"/>
        <w:bottom w:val="none" w:sz="0" w:space="0" w:color="auto"/>
        <w:right w:val="none" w:sz="0" w:space="0" w:color="auto"/>
      </w:divBdr>
    </w:div>
    <w:div w:id="493764348">
      <w:bodyDiv w:val="1"/>
      <w:marLeft w:val="0"/>
      <w:marRight w:val="0"/>
      <w:marTop w:val="0"/>
      <w:marBottom w:val="0"/>
      <w:divBdr>
        <w:top w:val="none" w:sz="0" w:space="0" w:color="auto"/>
        <w:left w:val="none" w:sz="0" w:space="0" w:color="auto"/>
        <w:bottom w:val="none" w:sz="0" w:space="0" w:color="auto"/>
        <w:right w:val="none" w:sz="0" w:space="0" w:color="auto"/>
      </w:divBdr>
    </w:div>
    <w:div w:id="555162189">
      <w:bodyDiv w:val="1"/>
      <w:marLeft w:val="0"/>
      <w:marRight w:val="0"/>
      <w:marTop w:val="0"/>
      <w:marBottom w:val="0"/>
      <w:divBdr>
        <w:top w:val="none" w:sz="0" w:space="0" w:color="auto"/>
        <w:left w:val="none" w:sz="0" w:space="0" w:color="auto"/>
        <w:bottom w:val="none" w:sz="0" w:space="0" w:color="auto"/>
        <w:right w:val="none" w:sz="0" w:space="0" w:color="auto"/>
      </w:divBdr>
    </w:div>
    <w:div w:id="612370798">
      <w:bodyDiv w:val="1"/>
      <w:marLeft w:val="0"/>
      <w:marRight w:val="0"/>
      <w:marTop w:val="0"/>
      <w:marBottom w:val="0"/>
      <w:divBdr>
        <w:top w:val="none" w:sz="0" w:space="0" w:color="auto"/>
        <w:left w:val="none" w:sz="0" w:space="0" w:color="auto"/>
        <w:bottom w:val="none" w:sz="0" w:space="0" w:color="auto"/>
        <w:right w:val="none" w:sz="0" w:space="0" w:color="auto"/>
      </w:divBdr>
    </w:div>
    <w:div w:id="637608989">
      <w:bodyDiv w:val="1"/>
      <w:marLeft w:val="0"/>
      <w:marRight w:val="0"/>
      <w:marTop w:val="0"/>
      <w:marBottom w:val="0"/>
      <w:divBdr>
        <w:top w:val="none" w:sz="0" w:space="0" w:color="auto"/>
        <w:left w:val="none" w:sz="0" w:space="0" w:color="auto"/>
        <w:bottom w:val="none" w:sz="0" w:space="0" w:color="auto"/>
        <w:right w:val="none" w:sz="0" w:space="0" w:color="auto"/>
      </w:divBdr>
    </w:div>
    <w:div w:id="680620468">
      <w:bodyDiv w:val="1"/>
      <w:marLeft w:val="0"/>
      <w:marRight w:val="0"/>
      <w:marTop w:val="0"/>
      <w:marBottom w:val="0"/>
      <w:divBdr>
        <w:top w:val="none" w:sz="0" w:space="0" w:color="auto"/>
        <w:left w:val="none" w:sz="0" w:space="0" w:color="auto"/>
        <w:bottom w:val="none" w:sz="0" w:space="0" w:color="auto"/>
        <w:right w:val="none" w:sz="0" w:space="0" w:color="auto"/>
      </w:divBdr>
    </w:div>
    <w:div w:id="728923091">
      <w:bodyDiv w:val="1"/>
      <w:marLeft w:val="0"/>
      <w:marRight w:val="0"/>
      <w:marTop w:val="0"/>
      <w:marBottom w:val="0"/>
      <w:divBdr>
        <w:top w:val="none" w:sz="0" w:space="0" w:color="auto"/>
        <w:left w:val="none" w:sz="0" w:space="0" w:color="auto"/>
        <w:bottom w:val="none" w:sz="0" w:space="0" w:color="auto"/>
        <w:right w:val="none" w:sz="0" w:space="0" w:color="auto"/>
      </w:divBdr>
    </w:div>
    <w:div w:id="768282669">
      <w:bodyDiv w:val="1"/>
      <w:marLeft w:val="0"/>
      <w:marRight w:val="0"/>
      <w:marTop w:val="0"/>
      <w:marBottom w:val="0"/>
      <w:divBdr>
        <w:top w:val="none" w:sz="0" w:space="0" w:color="auto"/>
        <w:left w:val="none" w:sz="0" w:space="0" w:color="auto"/>
        <w:bottom w:val="none" w:sz="0" w:space="0" w:color="auto"/>
        <w:right w:val="none" w:sz="0" w:space="0" w:color="auto"/>
      </w:divBdr>
    </w:div>
    <w:div w:id="826819837">
      <w:bodyDiv w:val="1"/>
      <w:marLeft w:val="0"/>
      <w:marRight w:val="0"/>
      <w:marTop w:val="0"/>
      <w:marBottom w:val="0"/>
      <w:divBdr>
        <w:top w:val="none" w:sz="0" w:space="0" w:color="auto"/>
        <w:left w:val="none" w:sz="0" w:space="0" w:color="auto"/>
        <w:bottom w:val="none" w:sz="0" w:space="0" w:color="auto"/>
        <w:right w:val="none" w:sz="0" w:space="0" w:color="auto"/>
      </w:divBdr>
    </w:div>
    <w:div w:id="856509022">
      <w:bodyDiv w:val="1"/>
      <w:marLeft w:val="0"/>
      <w:marRight w:val="0"/>
      <w:marTop w:val="0"/>
      <w:marBottom w:val="0"/>
      <w:divBdr>
        <w:top w:val="none" w:sz="0" w:space="0" w:color="auto"/>
        <w:left w:val="none" w:sz="0" w:space="0" w:color="auto"/>
        <w:bottom w:val="none" w:sz="0" w:space="0" w:color="auto"/>
        <w:right w:val="none" w:sz="0" w:space="0" w:color="auto"/>
      </w:divBdr>
    </w:div>
    <w:div w:id="953054581">
      <w:bodyDiv w:val="1"/>
      <w:marLeft w:val="0"/>
      <w:marRight w:val="0"/>
      <w:marTop w:val="0"/>
      <w:marBottom w:val="0"/>
      <w:divBdr>
        <w:top w:val="none" w:sz="0" w:space="0" w:color="auto"/>
        <w:left w:val="none" w:sz="0" w:space="0" w:color="auto"/>
        <w:bottom w:val="none" w:sz="0" w:space="0" w:color="auto"/>
        <w:right w:val="none" w:sz="0" w:space="0" w:color="auto"/>
      </w:divBdr>
    </w:div>
    <w:div w:id="1027491118">
      <w:bodyDiv w:val="1"/>
      <w:marLeft w:val="0"/>
      <w:marRight w:val="0"/>
      <w:marTop w:val="0"/>
      <w:marBottom w:val="0"/>
      <w:divBdr>
        <w:top w:val="none" w:sz="0" w:space="0" w:color="auto"/>
        <w:left w:val="none" w:sz="0" w:space="0" w:color="auto"/>
        <w:bottom w:val="none" w:sz="0" w:space="0" w:color="auto"/>
        <w:right w:val="none" w:sz="0" w:space="0" w:color="auto"/>
      </w:divBdr>
    </w:div>
    <w:div w:id="1037586254">
      <w:bodyDiv w:val="1"/>
      <w:marLeft w:val="0"/>
      <w:marRight w:val="0"/>
      <w:marTop w:val="0"/>
      <w:marBottom w:val="0"/>
      <w:divBdr>
        <w:top w:val="none" w:sz="0" w:space="0" w:color="auto"/>
        <w:left w:val="none" w:sz="0" w:space="0" w:color="auto"/>
        <w:bottom w:val="none" w:sz="0" w:space="0" w:color="auto"/>
        <w:right w:val="none" w:sz="0" w:space="0" w:color="auto"/>
      </w:divBdr>
    </w:div>
    <w:div w:id="1370494269">
      <w:bodyDiv w:val="1"/>
      <w:marLeft w:val="0"/>
      <w:marRight w:val="0"/>
      <w:marTop w:val="0"/>
      <w:marBottom w:val="0"/>
      <w:divBdr>
        <w:top w:val="none" w:sz="0" w:space="0" w:color="auto"/>
        <w:left w:val="none" w:sz="0" w:space="0" w:color="auto"/>
        <w:bottom w:val="none" w:sz="0" w:space="0" w:color="auto"/>
        <w:right w:val="none" w:sz="0" w:space="0" w:color="auto"/>
      </w:divBdr>
    </w:div>
    <w:div w:id="1497568889">
      <w:bodyDiv w:val="1"/>
      <w:marLeft w:val="0"/>
      <w:marRight w:val="0"/>
      <w:marTop w:val="0"/>
      <w:marBottom w:val="0"/>
      <w:divBdr>
        <w:top w:val="none" w:sz="0" w:space="0" w:color="auto"/>
        <w:left w:val="none" w:sz="0" w:space="0" w:color="auto"/>
        <w:bottom w:val="none" w:sz="0" w:space="0" w:color="auto"/>
        <w:right w:val="none" w:sz="0" w:space="0" w:color="auto"/>
      </w:divBdr>
    </w:div>
    <w:div w:id="1498304195">
      <w:bodyDiv w:val="1"/>
      <w:marLeft w:val="0"/>
      <w:marRight w:val="0"/>
      <w:marTop w:val="0"/>
      <w:marBottom w:val="0"/>
      <w:divBdr>
        <w:top w:val="none" w:sz="0" w:space="0" w:color="auto"/>
        <w:left w:val="none" w:sz="0" w:space="0" w:color="auto"/>
        <w:bottom w:val="none" w:sz="0" w:space="0" w:color="auto"/>
        <w:right w:val="none" w:sz="0" w:space="0" w:color="auto"/>
      </w:divBdr>
    </w:div>
    <w:div w:id="1576208373">
      <w:bodyDiv w:val="1"/>
      <w:marLeft w:val="0"/>
      <w:marRight w:val="0"/>
      <w:marTop w:val="0"/>
      <w:marBottom w:val="0"/>
      <w:divBdr>
        <w:top w:val="none" w:sz="0" w:space="0" w:color="auto"/>
        <w:left w:val="none" w:sz="0" w:space="0" w:color="auto"/>
        <w:bottom w:val="none" w:sz="0" w:space="0" w:color="auto"/>
        <w:right w:val="none" w:sz="0" w:space="0" w:color="auto"/>
      </w:divBdr>
    </w:div>
    <w:div w:id="1668167805">
      <w:bodyDiv w:val="1"/>
      <w:marLeft w:val="0"/>
      <w:marRight w:val="0"/>
      <w:marTop w:val="0"/>
      <w:marBottom w:val="0"/>
      <w:divBdr>
        <w:top w:val="none" w:sz="0" w:space="0" w:color="auto"/>
        <w:left w:val="none" w:sz="0" w:space="0" w:color="auto"/>
        <w:bottom w:val="none" w:sz="0" w:space="0" w:color="auto"/>
        <w:right w:val="none" w:sz="0" w:space="0" w:color="auto"/>
      </w:divBdr>
    </w:div>
    <w:div w:id="1847137668">
      <w:bodyDiv w:val="1"/>
      <w:marLeft w:val="0"/>
      <w:marRight w:val="0"/>
      <w:marTop w:val="0"/>
      <w:marBottom w:val="0"/>
      <w:divBdr>
        <w:top w:val="none" w:sz="0" w:space="0" w:color="auto"/>
        <w:left w:val="none" w:sz="0" w:space="0" w:color="auto"/>
        <w:bottom w:val="none" w:sz="0" w:space="0" w:color="auto"/>
        <w:right w:val="none" w:sz="0" w:space="0" w:color="auto"/>
      </w:divBdr>
    </w:div>
    <w:div w:id="1895000028">
      <w:bodyDiv w:val="1"/>
      <w:marLeft w:val="0"/>
      <w:marRight w:val="0"/>
      <w:marTop w:val="0"/>
      <w:marBottom w:val="0"/>
      <w:divBdr>
        <w:top w:val="none" w:sz="0" w:space="0" w:color="auto"/>
        <w:left w:val="none" w:sz="0" w:space="0" w:color="auto"/>
        <w:bottom w:val="none" w:sz="0" w:space="0" w:color="auto"/>
        <w:right w:val="none" w:sz="0" w:space="0" w:color="auto"/>
      </w:divBdr>
    </w:div>
    <w:div w:id="1913659394">
      <w:bodyDiv w:val="1"/>
      <w:marLeft w:val="0"/>
      <w:marRight w:val="0"/>
      <w:marTop w:val="0"/>
      <w:marBottom w:val="0"/>
      <w:divBdr>
        <w:top w:val="none" w:sz="0" w:space="0" w:color="auto"/>
        <w:left w:val="none" w:sz="0" w:space="0" w:color="auto"/>
        <w:bottom w:val="none" w:sz="0" w:space="0" w:color="auto"/>
        <w:right w:val="none" w:sz="0" w:space="0" w:color="auto"/>
      </w:divBdr>
    </w:div>
    <w:div w:id="1953391600">
      <w:bodyDiv w:val="1"/>
      <w:marLeft w:val="0"/>
      <w:marRight w:val="0"/>
      <w:marTop w:val="0"/>
      <w:marBottom w:val="0"/>
      <w:divBdr>
        <w:top w:val="none" w:sz="0" w:space="0" w:color="auto"/>
        <w:left w:val="none" w:sz="0" w:space="0" w:color="auto"/>
        <w:bottom w:val="none" w:sz="0" w:space="0" w:color="auto"/>
        <w:right w:val="none" w:sz="0" w:space="0" w:color="auto"/>
      </w:divBdr>
    </w:div>
    <w:div w:id="2022465283">
      <w:bodyDiv w:val="1"/>
      <w:marLeft w:val="0"/>
      <w:marRight w:val="0"/>
      <w:marTop w:val="0"/>
      <w:marBottom w:val="0"/>
      <w:divBdr>
        <w:top w:val="none" w:sz="0" w:space="0" w:color="auto"/>
        <w:left w:val="none" w:sz="0" w:space="0" w:color="auto"/>
        <w:bottom w:val="none" w:sz="0" w:space="0" w:color="auto"/>
        <w:right w:val="none" w:sz="0" w:space="0" w:color="auto"/>
      </w:divBdr>
    </w:div>
    <w:div w:id="2027558000">
      <w:bodyDiv w:val="1"/>
      <w:marLeft w:val="0"/>
      <w:marRight w:val="0"/>
      <w:marTop w:val="0"/>
      <w:marBottom w:val="0"/>
      <w:divBdr>
        <w:top w:val="none" w:sz="0" w:space="0" w:color="auto"/>
        <w:left w:val="none" w:sz="0" w:space="0" w:color="auto"/>
        <w:bottom w:val="none" w:sz="0" w:space="0" w:color="auto"/>
        <w:right w:val="none" w:sz="0" w:space="0" w:color="auto"/>
      </w:divBdr>
    </w:div>
    <w:div w:id="2082482582">
      <w:bodyDiv w:val="1"/>
      <w:marLeft w:val="0"/>
      <w:marRight w:val="0"/>
      <w:marTop w:val="0"/>
      <w:marBottom w:val="0"/>
      <w:divBdr>
        <w:top w:val="none" w:sz="0" w:space="0" w:color="auto"/>
        <w:left w:val="none" w:sz="0" w:space="0" w:color="auto"/>
        <w:bottom w:val="none" w:sz="0" w:space="0" w:color="auto"/>
        <w:right w:val="none" w:sz="0" w:space="0" w:color="auto"/>
      </w:divBdr>
    </w:div>
    <w:div w:id="208714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18" ma:contentTypeDescription="Create a new document." ma:contentTypeScope="" ma:versionID="d78dcc516d9d0b8c742806fdab7285b1">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6bb9151ac21032116a52c569213d6963"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_ip_UnifiedCompliancePolicyProperties xmlns="http://schemas.microsoft.com/sharepoint/v3" xsi:nil="true"/>
    <TaxCatchAll xmlns="1365388d-8e0b-4df5-a0a3-cd102b49988e" xsi:nil="true"/>
    <Comments xmlns="f6a82410-35a1-48d9-a432-e298e5b95e4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223-3043-4547-99A2-9190AF282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65388d-8e0b-4df5-a0a3-cd102b49988e"/>
    <ds:schemaRef ds:uri="f6a82410-35a1-48d9-a432-e298e5b95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1DA949-B127-41BD-B7F7-DFC352955A49}">
  <ds:schemaRefs>
    <ds:schemaRef ds:uri="http://schemas.microsoft.com/sharepoint/v3/contenttype/forms"/>
  </ds:schemaRefs>
</ds:datastoreItem>
</file>

<file path=customXml/itemProps3.xml><?xml version="1.0" encoding="utf-8"?>
<ds:datastoreItem xmlns:ds="http://schemas.openxmlformats.org/officeDocument/2006/customXml" ds:itemID="{23763037-B374-4E91-8EE6-BB39F8C96688}">
  <ds:schemaRefs>
    <ds:schemaRef ds:uri="http://schemas.microsoft.com/office/2006/metadata/properties"/>
    <ds:schemaRef ds:uri="http://schemas.microsoft.com/office/infopath/2007/PartnerControls"/>
    <ds:schemaRef ds:uri="http://schemas.microsoft.com/sharepoint/v3"/>
    <ds:schemaRef ds:uri="f6a82410-35a1-48d9-a432-e298e5b95e46"/>
    <ds:schemaRef ds:uri="1365388d-8e0b-4df5-a0a3-cd102b49988e"/>
  </ds:schemaRefs>
</ds:datastoreItem>
</file>

<file path=customXml/itemProps4.xml><?xml version="1.0" encoding="utf-8"?>
<ds:datastoreItem xmlns:ds="http://schemas.openxmlformats.org/officeDocument/2006/customXml" ds:itemID="{5B453A60-B544-4BC1-9182-F2A47243DCBC}">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10</TotalTime>
  <Pages>5</Pages>
  <Words>2361</Words>
  <Characters>13461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NHS Hull</Company>
  <LinksUpToDate>false</LinksUpToDate>
  <CharactersWithSpaces>15791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smorley</dc:creator>
  <cp:lastModifiedBy>SENCIER, Sasha (NHS HUMBER AND NORTH YORKSHIRE ICB - 42D)</cp:lastModifiedBy>
  <cp:revision>4</cp:revision>
  <cp:lastPrinted>2017-09-01T14:28:00Z</cp:lastPrinted>
  <dcterms:created xsi:type="dcterms:W3CDTF">2024-11-04T14:55:00Z</dcterms:created>
  <dcterms:modified xsi:type="dcterms:W3CDTF">2024-11-06T11:37:00Z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y fmtid="{D5CDD505-2E9C-101B-9397-08002B2CF9AE}" pid="3" name="MediaServiceImageTags">
    <vt:lpwstr/>
  </property>
</Properties>
</file>