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296"/>
        <w:tblW w:w="0" w:type="auto"/>
        <w:tblLook w:val="04A0" w:firstRow="1" w:lastRow="0" w:firstColumn="1" w:lastColumn="0" w:noHBand="0" w:noVBand="1"/>
      </w:tblPr>
      <w:tblGrid>
        <w:gridCol w:w="2092"/>
        <w:gridCol w:w="7516"/>
      </w:tblGrid>
      <w:tr w:rsidR="00B23603" w:rsidRPr="00566BDC" w14:paraId="2D8CF850" w14:textId="77777777" w:rsidTr="00662CBF">
        <w:tc>
          <w:tcPr>
            <w:tcW w:w="2092" w:type="dxa"/>
            <w:tcBorders>
              <w:top w:val="double" w:sz="4" w:space="0" w:color="auto"/>
              <w:left w:val="double" w:sz="4" w:space="0" w:color="auto"/>
            </w:tcBorders>
            <w:shd w:val="clear" w:color="auto" w:fill="D9D9D9" w:themeFill="background1" w:themeFillShade="D9"/>
          </w:tcPr>
          <w:p w14:paraId="47343F76" w14:textId="77777777" w:rsidR="00B23603" w:rsidRDefault="00B23603" w:rsidP="007B0DD7">
            <w:pPr>
              <w:spacing w:after="0" w:line="240" w:lineRule="auto"/>
              <w:rPr>
                <w:b/>
                <w:color w:val="auto"/>
              </w:rPr>
            </w:pPr>
            <w:bookmarkStart w:id="0" w:name="_Hlk106134195"/>
            <w:r>
              <w:rPr>
                <w:b/>
                <w:color w:val="auto"/>
              </w:rPr>
              <w:t xml:space="preserve">Report to: </w:t>
            </w:r>
          </w:p>
          <w:p w14:paraId="21887D2C" w14:textId="724AB738" w:rsidR="00B23603" w:rsidRPr="00524FEE" w:rsidRDefault="00B23603" w:rsidP="007B0DD7">
            <w:pPr>
              <w:spacing w:after="0" w:line="240" w:lineRule="auto"/>
              <w:rPr>
                <w:b/>
                <w:color w:val="auto"/>
              </w:rPr>
            </w:pPr>
          </w:p>
        </w:tc>
        <w:tc>
          <w:tcPr>
            <w:tcW w:w="7516" w:type="dxa"/>
            <w:tcBorders>
              <w:top w:val="double" w:sz="4" w:space="0" w:color="auto"/>
              <w:right w:val="double" w:sz="4" w:space="0" w:color="auto"/>
            </w:tcBorders>
          </w:tcPr>
          <w:p w14:paraId="0C36CE17" w14:textId="0173337E" w:rsidR="00B23603" w:rsidRPr="00F31E0E" w:rsidRDefault="00955C5A" w:rsidP="007B0DD7">
            <w:pPr>
              <w:spacing w:after="0" w:line="240" w:lineRule="auto"/>
              <w:rPr>
                <w:color w:val="auto"/>
                <w:sz w:val="24"/>
                <w:szCs w:val="24"/>
              </w:rPr>
            </w:pPr>
            <w:r>
              <w:rPr>
                <w:color w:val="auto"/>
                <w:sz w:val="24"/>
                <w:szCs w:val="24"/>
              </w:rPr>
              <w:t>H</w:t>
            </w:r>
            <w:r w:rsidR="00CA14EE">
              <w:rPr>
                <w:color w:val="auto"/>
                <w:sz w:val="24"/>
                <w:szCs w:val="24"/>
              </w:rPr>
              <w:t>umber and North Yorkshire</w:t>
            </w:r>
            <w:r>
              <w:rPr>
                <w:color w:val="auto"/>
                <w:sz w:val="24"/>
                <w:szCs w:val="24"/>
              </w:rPr>
              <w:t xml:space="preserve"> </w:t>
            </w:r>
            <w:r w:rsidR="0075500E">
              <w:rPr>
                <w:color w:val="auto"/>
                <w:sz w:val="24"/>
                <w:szCs w:val="24"/>
              </w:rPr>
              <w:t>I</w:t>
            </w:r>
            <w:r w:rsidR="00732C37">
              <w:rPr>
                <w:color w:val="auto"/>
                <w:sz w:val="24"/>
                <w:szCs w:val="24"/>
              </w:rPr>
              <w:t>ntegrated Care</w:t>
            </w:r>
            <w:r w:rsidR="0075500E">
              <w:rPr>
                <w:color w:val="auto"/>
                <w:sz w:val="24"/>
                <w:szCs w:val="24"/>
              </w:rPr>
              <w:t xml:space="preserve"> Board</w:t>
            </w:r>
          </w:p>
        </w:tc>
      </w:tr>
      <w:tr w:rsidR="00373698" w:rsidRPr="00566BDC" w14:paraId="686A02B3" w14:textId="77777777" w:rsidTr="00EF3216">
        <w:tc>
          <w:tcPr>
            <w:tcW w:w="2092" w:type="dxa"/>
            <w:tcBorders>
              <w:left w:val="double" w:sz="4" w:space="0" w:color="auto"/>
            </w:tcBorders>
            <w:shd w:val="clear" w:color="auto" w:fill="D9D9D9" w:themeFill="background1" w:themeFillShade="D9"/>
          </w:tcPr>
          <w:p w14:paraId="3E0203E6" w14:textId="77777777" w:rsidR="00373698" w:rsidRPr="00524FEE" w:rsidRDefault="00373698" w:rsidP="007B0DD7">
            <w:pPr>
              <w:spacing w:after="0" w:line="240" w:lineRule="auto"/>
              <w:rPr>
                <w:b/>
                <w:color w:val="auto"/>
              </w:rPr>
            </w:pPr>
            <w:r w:rsidRPr="00524FEE">
              <w:rPr>
                <w:b/>
                <w:color w:val="auto"/>
              </w:rPr>
              <w:t>Date of Meeting:</w:t>
            </w:r>
          </w:p>
          <w:p w14:paraId="6E5C6A31" w14:textId="77777777" w:rsidR="00373698" w:rsidRPr="00524FEE" w:rsidRDefault="00373698" w:rsidP="007B0DD7">
            <w:pPr>
              <w:spacing w:after="0" w:line="240" w:lineRule="auto"/>
              <w:rPr>
                <w:b/>
                <w:color w:val="auto"/>
              </w:rPr>
            </w:pPr>
          </w:p>
        </w:tc>
        <w:tc>
          <w:tcPr>
            <w:tcW w:w="7516" w:type="dxa"/>
            <w:tcBorders>
              <w:right w:val="double" w:sz="4" w:space="0" w:color="auto"/>
            </w:tcBorders>
          </w:tcPr>
          <w:p w14:paraId="6A62B942" w14:textId="7999EF7F" w:rsidR="00373698" w:rsidRPr="00F31E0E" w:rsidRDefault="007F44B3" w:rsidP="007B0DD7">
            <w:pPr>
              <w:spacing w:after="0" w:line="240" w:lineRule="auto"/>
              <w:rPr>
                <w:color w:val="auto"/>
                <w:sz w:val="24"/>
                <w:szCs w:val="24"/>
              </w:rPr>
            </w:pPr>
            <w:r>
              <w:rPr>
                <w:color w:val="auto"/>
                <w:sz w:val="24"/>
                <w:szCs w:val="24"/>
              </w:rPr>
              <w:t>13 November 2024</w:t>
            </w:r>
          </w:p>
        </w:tc>
      </w:tr>
      <w:tr w:rsidR="00373698" w:rsidRPr="00566BDC" w14:paraId="5757FC8D" w14:textId="77777777" w:rsidTr="00EF3216">
        <w:tc>
          <w:tcPr>
            <w:tcW w:w="2092" w:type="dxa"/>
            <w:tcBorders>
              <w:left w:val="double" w:sz="4" w:space="0" w:color="auto"/>
            </w:tcBorders>
            <w:shd w:val="clear" w:color="auto" w:fill="D9D9D9" w:themeFill="background1" w:themeFillShade="D9"/>
          </w:tcPr>
          <w:p w14:paraId="45F6722E" w14:textId="77777777" w:rsidR="00373698" w:rsidRPr="00524FEE" w:rsidRDefault="00373698" w:rsidP="007B0DD7">
            <w:pPr>
              <w:spacing w:after="0" w:line="240" w:lineRule="auto"/>
              <w:rPr>
                <w:b/>
                <w:color w:val="auto"/>
              </w:rPr>
            </w:pPr>
            <w:r w:rsidRPr="00524FEE">
              <w:rPr>
                <w:b/>
                <w:color w:val="auto"/>
              </w:rPr>
              <w:t>Subject:</w:t>
            </w:r>
          </w:p>
          <w:p w14:paraId="1A8730CB" w14:textId="77777777" w:rsidR="00373698" w:rsidRPr="00524FEE" w:rsidRDefault="00373698" w:rsidP="007B0DD7">
            <w:pPr>
              <w:spacing w:after="0" w:line="240" w:lineRule="auto"/>
              <w:rPr>
                <w:b/>
                <w:color w:val="auto"/>
              </w:rPr>
            </w:pPr>
          </w:p>
        </w:tc>
        <w:tc>
          <w:tcPr>
            <w:tcW w:w="7516" w:type="dxa"/>
            <w:tcBorders>
              <w:right w:val="double" w:sz="4" w:space="0" w:color="auto"/>
            </w:tcBorders>
          </w:tcPr>
          <w:p w14:paraId="4F67ACAB" w14:textId="4483F49B" w:rsidR="00124D90" w:rsidRPr="0063726D" w:rsidRDefault="007F44B3" w:rsidP="007B0DD7">
            <w:pPr>
              <w:spacing w:after="0" w:line="240" w:lineRule="auto"/>
              <w:rPr>
                <w:b/>
                <w:bCs/>
                <w:color w:val="auto"/>
                <w:sz w:val="32"/>
                <w:szCs w:val="32"/>
              </w:rPr>
            </w:pPr>
            <w:r w:rsidRPr="003413EA">
              <w:rPr>
                <w:b/>
                <w:bCs/>
                <w:color w:val="auto"/>
                <w:sz w:val="32"/>
                <w:szCs w:val="32"/>
              </w:rPr>
              <w:t>Hope of a life still to be lived: A five-year plan for dementia in Humber and North Yorkshire</w:t>
            </w:r>
          </w:p>
        </w:tc>
      </w:tr>
      <w:tr w:rsidR="00373698" w:rsidRPr="00566BDC" w14:paraId="64241F01" w14:textId="77777777" w:rsidTr="00EF3216">
        <w:tc>
          <w:tcPr>
            <w:tcW w:w="2092" w:type="dxa"/>
            <w:tcBorders>
              <w:left w:val="double" w:sz="4" w:space="0" w:color="auto"/>
            </w:tcBorders>
            <w:shd w:val="clear" w:color="auto" w:fill="D9D9D9" w:themeFill="background1" w:themeFillShade="D9"/>
          </w:tcPr>
          <w:p w14:paraId="6580A4A8" w14:textId="5CA5F125" w:rsidR="00373698" w:rsidRPr="00524FEE" w:rsidRDefault="005A3F90" w:rsidP="007B0DD7">
            <w:pPr>
              <w:spacing w:after="0" w:line="240" w:lineRule="auto"/>
              <w:rPr>
                <w:b/>
                <w:color w:val="auto"/>
              </w:rPr>
            </w:pPr>
            <w:r>
              <w:rPr>
                <w:b/>
                <w:color w:val="auto"/>
              </w:rPr>
              <w:t>Director</w:t>
            </w:r>
            <w:r w:rsidR="00EF4BA3">
              <w:rPr>
                <w:b/>
                <w:color w:val="auto"/>
              </w:rPr>
              <w:t xml:space="preserve"> </w:t>
            </w:r>
            <w:r>
              <w:rPr>
                <w:b/>
                <w:color w:val="auto"/>
              </w:rPr>
              <w:t>Sponsor</w:t>
            </w:r>
            <w:r w:rsidR="00373698" w:rsidRPr="00524FEE">
              <w:rPr>
                <w:b/>
                <w:color w:val="auto"/>
              </w:rPr>
              <w:t>:</w:t>
            </w:r>
          </w:p>
          <w:p w14:paraId="1339AF67" w14:textId="77777777" w:rsidR="00373698" w:rsidRPr="00524FEE" w:rsidRDefault="00373698" w:rsidP="007B0DD7">
            <w:pPr>
              <w:spacing w:after="0" w:line="240" w:lineRule="auto"/>
              <w:rPr>
                <w:b/>
                <w:color w:val="auto"/>
              </w:rPr>
            </w:pPr>
          </w:p>
        </w:tc>
        <w:tc>
          <w:tcPr>
            <w:tcW w:w="7516" w:type="dxa"/>
            <w:tcBorders>
              <w:right w:val="double" w:sz="4" w:space="0" w:color="auto"/>
            </w:tcBorders>
          </w:tcPr>
          <w:p w14:paraId="614FB213" w14:textId="77777777" w:rsidR="00124D90" w:rsidRDefault="00124D90" w:rsidP="007B0DD7">
            <w:pPr>
              <w:spacing w:after="0" w:line="240" w:lineRule="auto"/>
              <w:rPr>
                <w:color w:val="auto"/>
                <w:sz w:val="24"/>
                <w:szCs w:val="24"/>
              </w:rPr>
            </w:pPr>
            <w:r>
              <w:rPr>
                <w:color w:val="auto"/>
                <w:sz w:val="24"/>
                <w:szCs w:val="24"/>
              </w:rPr>
              <w:t>Teresa Fenech</w:t>
            </w:r>
          </w:p>
          <w:p w14:paraId="36F6989F" w14:textId="436052A7" w:rsidR="00124D90" w:rsidRDefault="00124D90" w:rsidP="007B0DD7">
            <w:pPr>
              <w:spacing w:after="0" w:line="240" w:lineRule="auto"/>
              <w:rPr>
                <w:color w:val="auto"/>
                <w:sz w:val="24"/>
                <w:szCs w:val="24"/>
              </w:rPr>
            </w:pPr>
            <w:r>
              <w:rPr>
                <w:color w:val="auto"/>
                <w:sz w:val="24"/>
                <w:szCs w:val="24"/>
              </w:rPr>
              <w:t>Executive Director of Nursing &amp; Quality</w:t>
            </w:r>
          </w:p>
          <w:p w14:paraId="0023E097" w14:textId="535D849B" w:rsidR="00124D90" w:rsidRDefault="00124D90" w:rsidP="007B0DD7">
            <w:pPr>
              <w:spacing w:after="0" w:line="240" w:lineRule="auto"/>
              <w:rPr>
                <w:color w:val="auto"/>
                <w:sz w:val="24"/>
                <w:szCs w:val="24"/>
              </w:rPr>
            </w:pPr>
            <w:r>
              <w:rPr>
                <w:color w:val="auto"/>
                <w:sz w:val="24"/>
                <w:szCs w:val="24"/>
              </w:rPr>
              <w:t>Humber and North Yorkshire ICB</w:t>
            </w:r>
          </w:p>
          <w:p w14:paraId="50874320" w14:textId="77777777" w:rsidR="00124D90" w:rsidRDefault="00124D90" w:rsidP="007B0DD7">
            <w:pPr>
              <w:spacing w:after="0" w:line="240" w:lineRule="auto"/>
              <w:rPr>
                <w:color w:val="auto"/>
                <w:sz w:val="24"/>
                <w:szCs w:val="24"/>
              </w:rPr>
            </w:pPr>
          </w:p>
          <w:p w14:paraId="3FAF88FF" w14:textId="77777777" w:rsidR="00124D90" w:rsidRDefault="007F44B3" w:rsidP="00124D90">
            <w:pPr>
              <w:spacing w:after="0" w:line="240" w:lineRule="auto"/>
              <w:rPr>
                <w:color w:val="auto"/>
                <w:sz w:val="24"/>
                <w:szCs w:val="24"/>
              </w:rPr>
            </w:pPr>
            <w:r w:rsidRPr="00124D90">
              <w:rPr>
                <w:color w:val="auto"/>
                <w:sz w:val="24"/>
                <w:szCs w:val="24"/>
              </w:rPr>
              <w:t>Brent Kilmurray</w:t>
            </w:r>
          </w:p>
          <w:p w14:paraId="1D3063E4" w14:textId="73A5EE2F" w:rsidR="00124D90" w:rsidRPr="00124D90" w:rsidRDefault="00124D90" w:rsidP="00124D90">
            <w:pPr>
              <w:spacing w:after="0" w:line="240" w:lineRule="auto"/>
              <w:rPr>
                <w:color w:val="auto"/>
                <w:sz w:val="24"/>
                <w:szCs w:val="24"/>
              </w:rPr>
            </w:pPr>
            <w:r w:rsidRPr="00124D90">
              <w:rPr>
                <w:color w:val="auto"/>
                <w:sz w:val="24"/>
                <w:szCs w:val="24"/>
              </w:rPr>
              <w:t>Chair of the Mental Health, Learning Disabilities and Autism Collaborative</w:t>
            </w:r>
            <w:r>
              <w:rPr>
                <w:color w:val="auto"/>
                <w:sz w:val="24"/>
                <w:szCs w:val="24"/>
              </w:rPr>
              <w:t>, Humber &amp; North Yorkshire Health and Care Partnership</w:t>
            </w:r>
          </w:p>
          <w:p w14:paraId="6474F0BA" w14:textId="77777777" w:rsidR="00124D90" w:rsidRPr="00124D90" w:rsidRDefault="00124D90" w:rsidP="00124D90">
            <w:pPr>
              <w:spacing w:after="0" w:line="240" w:lineRule="auto"/>
              <w:rPr>
                <w:color w:val="auto"/>
                <w:sz w:val="24"/>
                <w:szCs w:val="24"/>
              </w:rPr>
            </w:pPr>
            <w:r w:rsidRPr="00124D90">
              <w:rPr>
                <w:color w:val="auto"/>
                <w:sz w:val="24"/>
                <w:szCs w:val="24"/>
              </w:rPr>
              <w:t>Chief Executive, Tees, Esk and Wear Valleys NHS Foundation Trust</w:t>
            </w:r>
          </w:p>
          <w:p w14:paraId="7543F3AC" w14:textId="77777777" w:rsidR="00124D90" w:rsidRPr="00124D90" w:rsidRDefault="00124D90" w:rsidP="00124D90">
            <w:pPr>
              <w:spacing w:after="0" w:line="240" w:lineRule="auto"/>
              <w:rPr>
                <w:color w:val="auto"/>
                <w:sz w:val="24"/>
                <w:szCs w:val="24"/>
              </w:rPr>
            </w:pPr>
            <w:r w:rsidRPr="00124D90">
              <w:rPr>
                <w:color w:val="auto"/>
                <w:sz w:val="24"/>
                <w:szCs w:val="24"/>
              </w:rPr>
              <w:t>ICB Board member for Mental Health, Learning Disabilities and Autism</w:t>
            </w:r>
          </w:p>
          <w:p w14:paraId="270ACB40" w14:textId="7DE76E88" w:rsidR="00124D90" w:rsidRPr="00F31E0E" w:rsidRDefault="00124D90" w:rsidP="00124D90">
            <w:pPr>
              <w:spacing w:after="0" w:line="240" w:lineRule="auto"/>
              <w:rPr>
                <w:color w:val="auto"/>
                <w:sz w:val="24"/>
                <w:szCs w:val="24"/>
              </w:rPr>
            </w:pPr>
          </w:p>
        </w:tc>
      </w:tr>
      <w:tr w:rsidR="008142EE" w:rsidRPr="00566BDC" w14:paraId="40590258" w14:textId="77777777" w:rsidTr="00EF3216">
        <w:tc>
          <w:tcPr>
            <w:tcW w:w="2092" w:type="dxa"/>
            <w:tcBorders>
              <w:left w:val="double" w:sz="4" w:space="0" w:color="auto"/>
            </w:tcBorders>
            <w:shd w:val="clear" w:color="auto" w:fill="D9D9D9" w:themeFill="background1" w:themeFillShade="D9"/>
          </w:tcPr>
          <w:p w14:paraId="58C65183" w14:textId="77777777" w:rsidR="008142EE" w:rsidRPr="00524FEE" w:rsidRDefault="008142EE" w:rsidP="007B0DD7">
            <w:pPr>
              <w:spacing w:after="0" w:line="240" w:lineRule="auto"/>
              <w:rPr>
                <w:b/>
                <w:color w:val="auto"/>
              </w:rPr>
            </w:pPr>
            <w:r w:rsidRPr="00524FEE">
              <w:rPr>
                <w:b/>
                <w:color w:val="auto"/>
              </w:rPr>
              <w:t>Author:</w:t>
            </w:r>
          </w:p>
          <w:p w14:paraId="4B31FADC" w14:textId="77777777" w:rsidR="008142EE" w:rsidRPr="00524FEE" w:rsidRDefault="008142EE" w:rsidP="007B0DD7">
            <w:pPr>
              <w:spacing w:after="0" w:line="240" w:lineRule="auto"/>
              <w:rPr>
                <w:b/>
                <w:color w:val="auto"/>
              </w:rPr>
            </w:pPr>
          </w:p>
        </w:tc>
        <w:tc>
          <w:tcPr>
            <w:tcW w:w="7516" w:type="dxa"/>
            <w:tcBorders>
              <w:right w:val="double" w:sz="4" w:space="0" w:color="auto"/>
            </w:tcBorders>
          </w:tcPr>
          <w:p w14:paraId="5771B5D1" w14:textId="7C43CEBA" w:rsidR="008142EE" w:rsidRPr="00F31E0E" w:rsidRDefault="007F44B3" w:rsidP="007B0DD7">
            <w:pPr>
              <w:spacing w:after="0" w:line="240" w:lineRule="auto"/>
              <w:rPr>
                <w:color w:val="auto"/>
                <w:sz w:val="24"/>
                <w:szCs w:val="24"/>
              </w:rPr>
            </w:pPr>
            <w:r>
              <w:rPr>
                <w:color w:val="auto"/>
                <w:sz w:val="24"/>
                <w:szCs w:val="24"/>
              </w:rPr>
              <w:t>Gemma Willingham-Storr (H</w:t>
            </w:r>
            <w:r w:rsidR="00B712D9">
              <w:rPr>
                <w:color w:val="auto"/>
                <w:sz w:val="24"/>
                <w:szCs w:val="24"/>
              </w:rPr>
              <w:t xml:space="preserve">umber and North Yorkshire </w:t>
            </w:r>
            <w:r>
              <w:rPr>
                <w:color w:val="auto"/>
                <w:sz w:val="24"/>
                <w:szCs w:val="24"/>
              </w:rPr>
              <w:t>ICS Dementia Programme Lead)</w:t>
            </w:r>
          </w:p>
        </w:tc>
      </w:tr>
    </w:tbl>
    <w:tbl>
      <w:tblPr>
        <w:tblStyle w:val="TableGrid"/>
        <w:tblpPr w:leftFromText="180" w:rightFromText="180" w:vertAnchor="text" w:horzAnchor="margin" w:tblpXSpec="right" w:tblpY="368"/>
        <w:tblW w:w="0" w:type="auto"/>
        <w:tblLook w:val="04A0" w:firstRow="1" w:lastRow="0" w:firstColumn="1" w:lastColumn="0" w:noHBand="0" w:noVBand="1"/>
      </w:tblPr>
      <w:tblGrid>
        <w:gridCol w:w="2273"/>
        <w:gridCol w:w="821"/>
      </w:tblGrid>
      <w:tr w:rsidR="00BB5B75" w14:paraId="31E3ECFC" w14:textId="77777777" w:rsidTr="00711DBE">
        <w:tc>
          <w:tcPr>
            <w:tcW w:w="2273" w:type="dxa"/>
            <w:tcBorders>
              <w:top w:val="double" w:sz="4" w:space="0" w:color="auto"/>
              <w:left w:val="double" w:sz="4" w:space="0" w:color="auto"/>
              <w:bottom w:val="single" w:sz="4" w:space="0" w:color="auto"/>
            </w:tcBorders>
            <w:shd w:val="clear" w:color="auto" w:fill="D9D9D9" w:themeFill="background1" w:themeFillShade="D9"/>
          </w:tcPr>
          <w:p w14:paraId="306A8370" w14:textId="77777777" w:rsidR="00BB5B75" w:rsidRDefault="00BB5B75" w:rsidP="007C7835">
            <w:pPr>
              <w:rPr>
                <w:b/>
                <w:bCs/>
                <w:color w:val="auto"/>
              </w:rPr>
            </w:pPr>
            <w:bookmarkStart w:id="1" w:name="_Hlk138951700"/>
            <w:bookmarkEnd w:id="0"/>
            <w:r>
              <w:rPr>
                <w:b/>
                <w:bCs/>
                <w:color w:val="auto"/>
              </w:rPr>
              <w:t>Agenda Item</w:t>
            </w:r>
            <w:r w:rsidRPr="007B0DD7">
              <w:rPr>
                <w:b/>
                <w:bCs/>
                <w:color w:val="auto"/>
              </w:rPr>
              <w:t xml:space="preserve"> No: </w:t>
            </w:r>
          </w:p>
          <w:p w14:paraId="5D88B756" w14:textId="77777777" w:rsidR="00BB5B75" w:rsidRPr="007B0DD7" w:rsidRDefault="00BB5B75" w:rsidP="007C7835">
            <w:pPr>
              <w:spacing w:line="240" w:lineRule="auto"/>
              <w:contextualSpacing/>
              <w:rPr>
                <w:b/>
                <w:bCs/>
              </w:rPr>
            </w:pPr>
          </w:p>
        </w:tc>
        <w:tc>
          <w:tcPr>
            <w:tcW w:w="821" w:type="dxa"/>
            <w:tcBorders>
              <w:top w:val="double" w:sz="4" w:space="0" w:color="auto"/>
              <w:bottom w:val="single" w:sz="4" w:space="0" w:color="auto"/>
              <w:right w:val="double" w:sz="4" w:space="0" w:color="auto"/>
            </w:tcBorders>
          </w:tcPr>
          <w:p w14:paraId="60EE529B" w14:textId="1330C8F2" w:rsidR="00BB5B75" w:rsidRPr="00BB5B75" w:rsidRDefault="003413EA" w:rsidP="007C7835">
            <w:pPr>
              <w:jc w:val="center"/>
              <w:rPr>
                <w:b/>
                <w:bCs/>
                <w:sz w:val="32"/>
                <w:szCs w:val="32"/>
              </w:rPr>
            </w:pPr>
            <w:r w:rsidRPr="003413EA">
              <w:rPr>
                <w:b/>
                <w:bCs/>
                <w:color w:val="auto"/>
                <w:sz w:val="32"/>
                <w:szCs w:val="32"/>
              </w:rPr>
              <w:t>13</w:t>
            </w:r>
          </w:p>
        </w:tc>
      </w:tr>
    </w:tbl>
    <w:bookmarkEnd w:id="1"/>
    <w:p w14:paraId="31BBC7A1" w14:textId="0B10B29D" w:rsidR="00880E9F" w:rsidRDefault="003E5B87" w:rsidP="00D05ADC">
      <w:pPr>
        <w:spacing w:after="0" w:line="120" w:lineRule="auto"/>
      </w:pPr>
      <w:r w:rsidRPr="007109D4">
        <w:rPr>
          <w:noProof/>
        </w:rPr>
        <w:drawing>
          <wp:anchor distT="0" distB="0" distL="114300" distR="114300" simplePos="0" relativeHeight="251679744" behindDoc="0" locked="0" layoutInCell="1" allowOverlap="1" wp14:anchorId="35A678BF" wp14:editId="2185CF6D">
            <wp:simplePos x="0" y="0"/>
            <wp:positionH relativeFrom="margin">
              <wp:posOffset>4747860</wp:posOffset>
            </wp:positionH>
            <wp:positionV relativeFrom="paragraph">
              <wp:posOffset>-548005</wp:posOffset>
            </wp:positionV>
            <wp:extent cx="1323700" cy="706632"/>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700" cy="7066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9D4">
        <w:rPr>
          <w:noProof/>
        </w:rPr>
        <w:drawing>
          <wp:anchor distT="0" distB="0" distL="114300" distR="114300" simplePos="0" relativeHeight="251678720" behindDoc="0" locked="0" layoutInCell="1" allowOverlap="1" wp14:anchorId="340992E0" wp14:editId="00CAB76D">
            <wp:simplePos x="0" y="0"/>
            <wp:positionH relativeFrom="margin">
              <wp:posOffset>5833</wp:posOffset>
            </wp:positionH>
            <wp:positionV relativeFrom="paragraph">
              <wp:posOffset>-501015</wp:posOffset>
            </wp:positionV>
            <wp:extent cx="2543175" cy="483620"/>
            <wp:effectExtent l="0" t="0" r="0" b="0"/>
            <wp:wrapNone/>
            <wp:docPr id="28"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483620"/>
                    </a:xfrm>
                    <a:prstGeom prst="rect">
                      <a:avLst/>
                    </a:prstGeom>
                    <a:noFill/>
                  </pic:spPr>
                </pic:pic>
              </a:graphicData>
            </a:graphic>
            <wp14:sizeRelH relativeFrom="page">
              <wp14:pctWidth>0</wp14:pctWidth>
            </wp14:sizeRelH>
            <wp14:sizeRelV relativeFrom="page">
              <wp14:pctHeight>0</wp14:pctHeight>
            </wp14:sizeRelV>
          </wp:anchor>
        </w:drawing>
      </w:r>
    </w:p>
    <w:p w14:paraId="69FFDEAD" w14:textId="65E6BE79" w:rsidR="007B0DD7" w:rsidRDefault="007B0DD7" w:rsidP="007B0DD7"/>
    <w:p w14:paraId="176AC93B" w14:textId="394E2501" w:rsidR="007B0DD7" w:rsidRPr="007B0DD7" w:rsidRDefault="007B0DD7" w:rsidP="007B0DD7"/>
    <w:tbl>
      <w:tblPr>
        <w:tblStyle w:val="TableGrid"/>
        <w:tblW w:w="0" w:type="auto"/>
        <w:tblBorders>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D72609" w:rsidRPr="00566BDC" w14:paraId="5E0D93DE" w14:textId="77777777" w:rsidTr="00C96C54">
        <w:trPr>
          <w:trHeight w:val="1274"/>
        </w:trPr>
        <w:tc>
          <w:tcPr>
            <w:tcW w:w="9608" w:type="dxa"/>
          </w:tcPr>
          <w:p w14:paraId="104A39C1" w14:textId="77777777" w:rsidR="00D72609" w:rsidRDefault="00D72609" w:rsidP="004A6F2B">
            <w:pPr>
              <w:spacing w:after="0" w:line="240" w:lineRule="auto"/>
              <w:rPr>
                <w:b/>
                <w:color w:val="auto"/>
              </w:rPr>
            </w:pPr>
          </w:p>
          <w:p w14:paraId="0A9659D6" w14:textId="2663C668" w:rsidR="00D72609" w:rsidRPr="003A1818" w:rsidRDefault="00D72609" w:rsidP="004A6F2B">
            <w:pPr>
              <w:spacing w:after="0" w:line="240" w:lineRule="auto"/>
              <w:rPr>
                <w:bCs/>
                <w:i/>
                <w:iCs/>
                <w:color w:val="auto"/>
                <w:sz w:val="20"/>
                <w:szCs w:val="20"/>
              </w:rPr>
            </w:pPr>
            <w:r>
              <w:rPr>
                <w:b/>
                <w:color w:val="auto"/>
              </w:rPr>
              <w:t>STATUS</w:t>
            </w:r>
            <w:r w:rsidRPr="00524FEE">
              <w:rPr>
                <w:b/>
                <w:color w:val="auto"/>
              </w:rPr>
              <w:t xml:space="preserve"> OF THE REPORT:</w:t>
            </w:r>
            <w:r w:rsidR="003A1818">
              <w:rPr>
                <w:b/>
                <w:color w:val="auto"/>
              </w:rPr>
              <w:t xml:space="preserve"> </w:t>
            </w:r>
          </w:p>
          <w:p w14:paraId="5C08B26E" w14:textId="16F7893B" w:rsidR="00C96C54" w:rsidRDefault="00E42977" w:rsidP="00E42977">
            <w:pPr>
              <w:spacing w:after="0" w:line="240" w:lineRule="auto"/>
              <w:rPr>
                <w:color w:val="auto"/>
                <w:sz w:val="40"/>
                <w:szCs w:val="44"/>
              </w:rPr>
            </w:pPr>
            <w:r>
              <w:rPr>
                <w:color w:val="auto"/>
                <w:szCs w:val="24"/>
              </w:rPr>
              <w:t>A</w:t>
            </w:r>
            <w:r w:rsidR="00D72609">
              <w:rPr>
                <w:color w:val="auto"/>
                <w:szCs w:val="24"/>
              </w:rPr>
              <w:t xml:space="preserve">pprove </w:t>
            </w:r>
            <w:sdt>
              <w:sdtPr>
                <w:rPr>
                  <w:color w:val="auto"/>
                  <w:sz w:val="40"/>
                  <w:szCs w:val="44"/>
                </w:rPr>
                <w:id w:val="-1610433266"/>
                <w14:checkbox>
                  <w14:checked w14:val="1"/>
                  <w14:checkedState w14:val="2612" w14:font="MS Gothic"/>
                  <w14:uncheckedState w14:val="2610" w14:font="MS Gothic"/>
                </w14:checkbox>
              </w:sdtPr>
              <w:sdtEndPr/>
              <w:sdtContent>
                <w:r w:rsidR="007F44B3">
                  <w:rPr>
                    <w:rFonts w:ascii="MS Gothic" w:eastAsia="MS Gothic" w:hAnsi="MS Gothic" w:hint="eastAsia"/>
                    <w:color w:val="auto"/>
                    <w:sz w:val="40"/>
                    <w:szCs w:val="44"/>
                  </w:rPr>
                  <w:t>☒</w:t>
                </w:r>
              </w:sdtContent>
            </w:sdt>
            <w:r w:rsidR="00D72609">
              <w:rPr>
                <w:color w:val="auto"/>
                <w:szCs w:val="24"/>
              </w:rPr>
              <w:t xml:space="preserve"> </w:t>
            </w:r>
            <w:r>
              <w:rPr>
                <w:color w:val="auto"/>
                <w:szCs w:val="24"/>
              </w:rPr>
              <w:t>D</w:t>
            </w:r>
            <w:r w:rsidR="00D72609">
              <w:rPr>
                <w:color w:val="auto"/>
                <w:szCs w:val="24"/>
              </w:rPr>
              <w:t xml:space="preserve">iscuss </w:t>
            </w:r>
            <w:sdt>
              <w:sdtPr>
                <w:rPr>
                  <w:color w:val="auto"/>
                  <w:sz w:val="40"/>
                  <w:szCs w:val="44"/>
                </w:rPr>
                <w:id w:val="-1579591642"/>
                <w14:checkbox>
                  <w14:checked w14:val="0"/>
                  <w14:checkedState w14:val="2612" w14:font="MS Gothic"/>
                  <w14:uncheckedState w14:val="2610" w14:font="MS Gothic"/>
                </w14:checkbox>
              </w:sdtPr>
              <w:sdtEndPr/>
              <w:sdtContent>
                <w:r w:rsidR="00801D37">
                  <w:rPr>
                    <w:rFonts w:ascii="MS Gothic" w:eastAsia="MS Gothic" w:hAnsi="MS Gothic" w:hint="eastAsia"/>
                    <w:color w:val="auto"/>
                    <w:sz w:val="40"/>
                    <w:szCs w:val="44"/>
                  </w:rPr>
                  <w:t>☐</w:t>
                </w:r>
              </w:sdtContent>
            </w:sdt>
            <w:r w:rsidR="00D72609">
              <w:rPr>
                <w:color w:val="auto"/>
                <w:szCs w:val="44"/>
              </w:rPr>
              <w:t xml:space="preserve">  </w:t>
            </w:r>
            <w:r>
              <w:rPr>
                <w:color w:val="auto"/>
                <w:szCs w:val="24"/>
              </w:rPr>
              <w:t xml:space="preserve">Assurance </w:t>
            </w:r>
            <w:sdt>
              <w:sdtPr>
                <w:rPr>
                  <w:color w:val="auto"/>
                  <w:sz w:val="40"/>
                  <w:szCs w:val="44"/>
                </w:rPr>
                <w:id w:val="-148137599"/>
                <w14:checkbox>
                  <w14:checked w14:val="0"/>
                  <w14:checkedState w14:val="2612" w14:font="MS Gothic"/>
                  <w14:uncheckedState w14:val="2610" w14:font="MS Gothic"/>
                </w14:checkbox>
              </w:sdtPr>
              <w:sdtEndPr/>
              <w:sdtContent>
                <w:r w:rsidR="003A1818">
                  <w:rPr>
                    <w:rFonts w:ascii="MS Gothic" w:eastAsia="MS Gothic" w:hAnsi="MS Gothic" w:hint="eastAsia"/>
                    <w:color w:val="auto"/>
                    <w:sz w:val="40"/>
                    <w:szCs w:val="44"/>
                  </w:rPr>
                  <w:t>☐</w:t>
                </w:r>
              </w:sdtContent>
            </w:sdt>
            <w:r>
              <w:rPr>
                <w:color w:val="auto"/>
                <w:sz w:val="40"/>
                <w:szCs w:val="44"/>
              </w:rPr>
              <w:t xml:space="preserve"> </w:t>
            </w:r>
            <w:r w:rsidR="003A1818" w:rsidRPr="003A1818">
              <w:rPr>
                <w:color w:val="auto"/>
                <w:szCs w:val="24"/>
              </w:rPr>
              <w:t>I</w:t>
            </w:r>
            <w:r w:rsidR="00D72609">
              <w:rPr>
                <w:color w:val="auto"/>
                <w:szCs w:val="24"/>
              </w:rPr>
              <w:t xml:space="preserve">nformation  </w:t>
            </w:r>
            <w:sdt>
              <w:sdtPr>
                <w:rPr>
                  <w:color w:val="auto"/>
                  <w:sz w:val="40"/>
                  <w:szCs w:val="44"/>
                </w:rPr>
                <w:id w:val="-360048554"/>
                <w14:checkbox>
                  <w14:checked w14:val="0"/>
                  <w14:checkedState w14:val="2612" w14:font="MS Gothic"/>
                  <w14:uncheckedState w14:val="2610" w14:font="MS Gothic"/>
                </w14:checkbox>
              </w:sdtPr>
              <w:sdtEndPr/>
              <w:sdtContent>
                <w:r w:rsidR="007F44B3">
                  <w:rPr>
                    <w:rFonts w:ascii="MS Gothic" w:eastAsia="MS Gothic" w:hAnsi="MS Gothic" w:hint="eastAsia"/>
                    <w:color w:val="auto"/>
                    <w:sz w:val="40"/>
                    <w:szCs w:val="44"/>
                  </w:rPr>
                  <w:t>☐</w:t>
                </w:r>
              </w:sdtContent>
            </w:sdt>
            <w:r>
              <w:rPr>
                <w:color w:val="auto"/>
                <w:szCs w:val="44"/>
              </w:rPr>
              <w:t xml:space="preserve">  </w:t>
            </w:r>
            <w:r w:rsidR="00D72609">
              <w:rPr>
                <w:color w:val="auto"/>
                <w:szCs w:val="24"/>
              </w:rPr>
              <w:t xml:space="preserve">A Regulatory Requirement </w:t>
            </w:r>
            <w:sdt>
              <w:sdtPr>
                <w:rPr>
                  <w:color w:val="auto"/>
                  <w:sz w:val="40"/>
                  <w:szCs w:val="44"/>
                </w:rPr>
                <w:id w:val="999157182"/>
                <w14:checkbox>
                  <w14:checked w14:val="0"/>
                  <w14:checkedState w14:val="2612" w14:font="MS Gothic"/>
                  <w14:uncheckedState w14:val="2610" w14:font="MS Gothic"/>
                </w14:checkbox>
              </w:sdtPr>
              <w:sdtEndPr/>
              <w:sdtContent>
                <w:r>
                  <w:rPr>
                    <w:rFonts w:ascii="MS Gothic" w:eastAsia="MS Gothic" w:hAnsi="MS Gothic" w:hint="eastAsia"/>
                    <w:color w:val="auto"/>
                    <w:sz w:val="40"/>
                    <w:szCs w:val="44"/>
                  </w:rPr>
                  <w:t>☐</w:t>
                </w:r>
              </w:sdtContent>
            </w:sdt>
          </w:p>
          <w:p w14:paraId="61D25B83" w14:textId="3D683030" w:rsidR="00C96C54" w:rsidRPr="00C96C54" w:rsidRDefault="00C96C54" w:rsidP="00E42977">
            <w:pPr>
              <w:spacing w:after="0" w:line="240" w:lineRule="auto"/>
              <w:rPr>
                <w:color w:val="auto"/>
                <w:sz w:val="16"/>
                <w:szCs w:val="16"/>
              </w:rPr>
            </w:pPr>
          </w:p>
        </w:tc>
      </w:tr>
    </w:tbl>
    <w:p w14:paraId="347C550D" w14:textId="77777777" w:rsidR="002D2FBC" w:rsidRDefault="002D2FBC" w:rsidP="00D05ADC">
      <w:pPr>
        <w:spacing w:after="0" w:line="120" w:lineRule="auto"/>
      </w:pPr>
    </w:p>
    <w:tbl>
      <w:tblPr>
        <w:tblStyle w:val="TableGrid"/>
        <w:tblW w:w="9624" w:type="dxa"/>
        <w:tblLayout w:type="fixed"/>
        <w:tblLook w:val="04A0" w:firstRow="1" w:lastRow="0" w:firstColumn="1" w:lastColumn="0" w:noHBand="0" w:noVBand="1"/>
      </w:tblPr>
      <w:tblGrid>
        <w:gridCol w:w="9624"/>
      </w:tblGrid>
      <w:tr w:rsidR="00880E9F" w:rsidRPr="00566BDC" w14:paraId="1CA5B16E" w14:textId="77777777" w:rsidTr="006C1E7A">
        <w:trPr>
          <w:trHeight w:val="1824"/>
        </w:trPr>
        <w:tc>
          <w:tcPr>
            <w:tcW w:w="9624" w:type="dxa"/>
            <w:tcBorders>
              <w:top w:val="double" w:sz="4" w:space="0" w:color="auto"/>
              <w:left w:val="double" w:sz="4" w:space="0" w:color="auto"/>
              <w:bottom w:val="double" w:sz="4" w:space="0" w:color="auto"/>
              <w:right w:val="double" w:sz="4" w:space="0" w:color="auto"/>
            </w:tcBorders>
          </w:tcPr>
          <w:p w14:paraId="5B6E1D45" w14:textId="08E6F6EA" w:rsidR="00524FEE" w:rsidRDefault="00524FEE" w:rsidP="006C6CAA">
            <w:pPr>
              <w:spacing w:after="0" w:line="240" w:lineRule="auto"/>
              <w:rPr>
                <w:b/>
                <w:color w:val="auto"/>
              </w:rPr>
            </w:pPr>
          </w:p>
          <w:p w14:paraId="14EC190B" w14:textId="316C717B" w:rsidR="00A958CA" w:rsidRPr="00B17BE3" w:rsidRDefault="007650BC" w:rsidP="002E48FC">
            <w:pPr>
              <w:spacing w:after="0" w:line="240" w:lineRule="auto"/>
              <w:rPr>
                <w:b/>
                <w:color w:val="auto"/>
              </w:rPr>
            </w:pPr>
            <w:r>
              <w:rPr>
                <w:b/>
                <w:color w:val="auto"/>
              </w:rPr>
              <w:t xml:space="preserve">SUMMARY </w:t>
            </w:r>
            <w:r w:rsidR="00F02345">
              <w:rPr>
                <w:b/>
                <w:color w:val="auto"/>
              </w:rPr>
              <w:t>OF REPORT</w:t>
            </w:r>
            <w:r w:rsidR="002B7229">
              <w:rPr>
                <w:b/>
                <w:color w:val="auto"/>
              </w:rPr>
              <w:t>:</w:t>
            </w:r>
            <w:r w:rsidR="00B17BE3">
              <w:rPr>
                <w:b/>
                <w:color w:val="auto"/>
              </w:rPr>
              <w:t xml:space="preserve"> </w:t>
            </w:r>
          </w:p>
          <w:p w14:paraId="408989AC" w14:textId="77777777" w:rsidR="00A958CA" w:rsidRDefault="00A958CA" w:rsidP="00A958CA">
            <w:pPr>
              <w:spacing w:after="0" w:line="240" w:lineRule="auto"/>
              <w:jc w:val="both"/>
              <w:rPr>
                <w:color w:val="auto"/>
              </w:rPr>
            </w:pPr>
          </w:p>
          <w:p w14:paraId="481FA872" w14:textId="4BBF848B" w:rsidR="00B23AD5" w:rsidRDefault="007F44B3" w:rsidP="002E48FC">
            <w:pPr>
              <w:spacing w:after="0" w:line="240" w:lineRule="auto"/>
              <w:rPr>
                <w:color w:val="auto"/>
              </w:rPr>
            </w:pPr>
            <w:r w:rsidRPr="007F44B3">
              <w:rPr>
                <w:color w:val="auto"/>
              </w:rPr>
              <w:t xml:space="preserve">‘Hope of a </w:t>
            </w:r>
            <w:r>
              <w:rPr>
                <w:color w:val="auto"/>
              </w:rPr>
              <w:t>L</w:t>
            </w:r>
            <w:r w:rsidRPr="007F44B3">
              <w:rPr>
                <w:color w:val="auto"/>
              </w:rPr>
              <w:t xml:space="preserve">ife </w:t>
            </w:r>
            <w:r>
              <w:rPr>
                <w:color w:val="auto"/>
              </w:rPr>
              <w:t>S</w:t>
            </w:r>
            <w:r w:rsidRPr="007F44B3">
              <w:rPr>
                <w:color w:val="auto"/>
              </w:rPr>
              <w:t xml:space="preserve">till to be </w:t>
            </w:r>
            <w:r>
              <w:rPr>
                <w:color w:val="auto"/>
              </w:rPr>
              <w:t>L</w:t>
            </w:r>
            <w:r w:rsidRPr="007F44B3">
              <w:rPr>
                <w:color w:val="auto"/>
              </w:rPr>
              <w:t>ived’ is the</w:t>
            </w:r>
            <w:r w:rsidR="00B712D9">
              <w:rPr>
                <w:color w:val="auto"/>
              </w:rPr>
              <w:t xml:space="preserve"> Humber and North Yorkshire </w:t>
            </w:r>
            <w:r w:rsidRPr="007F44B3">
              <w:rPr>
                <w:color w:val="auto"/>
              </w:rPr>
              <w:t>ICS five-year plan for dementia, with an accompanying action plan to be reviewed annually. This plan has been coproduced in partnership with people living with dementia, their families and care partners, VCSE organisations, mental health providers, acute trust providers, primary care services, local authorit</w:t>
            </w:r>
            <w:r>
              <w:rPr>
                <w:color w:val="auto"/>
              </w:rPr>
              <w:t>ies</w:t>
            </w:r>
            <w:r w:rsidRPr="007F44B3">
              <w:rPr>
                <w:color w:val="auto"/>
              </w:rPr>
              <w:t xml:space="preserve">, hospices, and Place colleagues, across Humber and North Yorkshire. </w:t>
            </w:r>
            <w:r>
              <w:rPr>
                <w:color w:val="auto"/>
              </w:rPr>
              <w:t xml:space="preserve">This is a high level plan that sets out actions to address six priority areas that will ultimately improve patient experience, improvement dementia diagnosis rates, and reduce variation. This aligns with existing local strategies and local Places and systems are aligning their new localised plans to this ICS plan. </w:t>
            </w:r>
            <w:r w:rsidR="00C67331">
              <w:rPr>
                <w:color w:val="auto"/>
              </w:rPr>
              <w:t>This plans aligns to the ICB Blueprint and vision for the next five years, and has been supported by the Clinical and Professionals Group on 1</w:t>
            </w:r>
            <w:r w:rsidR="00C67331" w:rsidRPr="00C67331">
              <w:rPr>
                <w:color w:val="auto"/>
                <w:vertAlign w:val="superscript"/>
              </w:rPr>
              <w:t>st</w:t>
            </w:r>
            <w:r w:rsidR="00C67331">
              <w:rPr>
                <w:color w:val="auto"/>
              </w:rPr>
              <w:t xml:space="preserve"> November 2024. </w:t>
            </w:r>
          </w:p>
          <w:p w14:paraId="782DB493" w14:textId="77777777" w:rsidR="002E48FC" w:rsidRDefault="002E48FC" w:rsidP="002E48FC">
            <w:pPr>
              <w:spacing w:after="0" w:line="240" w:lineRule="auto"/>
              <w:rPr>
                <w:color w:val="auto"/>
              </w:rPr>
            </w:pPr>
          </w:p>
          <w:p w14:paraId="0AFB514E" w14:textId="475260C1" w:rsidR="00A958CA" w:rsidRDefault="002B7229" w:rsidP="002E48FC">
            <w:pPr>
              <w:spacing w:after="0" w:line="240" w:lineRule="auto"/>
              <w:rPr>
                <w:color w:val="auto"/>
              </w:rPr>
            </w:pPr>
            <w:r w:rsidRPr="00566BDC">
              <w:rPr>
                <w:b/>
                <w:color w:val="auto"/>
              </w:rPr>
              <w:t>RECOMMENDATIONS:</w:t>
            </w:r>
            <w:r w:rsidR="002D2FBC">
              <w:rPr>
                <w:color w:val="auto"/>
              </w:rPr>
              <w:t xml:space="preserve"> </w:t>
            </w:r>
          </w:p>
          <w:p w14:paraId="59D0E49B" w14:textId="0AC14BB3" w:rsidR="007650BC" w:rsidRDefault="007650BC" w:rsidP="002E48FC">
            <w:pPr>
              <w:spacing w:after="0" w:line="240" w:lineRule="auto"/>
              <w:rPr>
                <w:color w:val="auto"/>
              </w:rPr>
            </w:pPr>
          </w:p>
          <w:p w14:paraId="3481C0C9" w14:textId="225D58A2" w:rsidR="002D2FBC" w:rsidRDefault="002D2FBC" w:rsidP="002E48FC">
            <w:pPr>
              <w:spacing w:after="0" w:line="240" w:lineRule="auto"/>
              <w:rPr>
                <w:color w:val="auto"/>
              </w:rPr>
            </w:pPr>
            <w:bookmarkStart w:id="2" w:name="_Hlk106101454"/>
            <w:r>
              <w:rPr>
                <w:color w:val="auto"/>
              </w:rPr>
              <w:t>Members are asked to:</w:t>
            </w:r>
          </w:p>
          <w:p w14:paraId="721DF360" w14:textId="77777777" w:rsidR="002D2FBC" w:rsidRDefault="002D2FBC" w:rsidP="002E48FC">
            <w:pPr>
              <w:spacing w:after="0" w:line="240" w:lineRule="auto"/>
              <w:rPr>
                <w:color w:val="auto"/>
              </w:rPr>
            </w:pPr>
          </w:p>
          <w:p w14:paraId="18C4BA4B" w14:textId="6481E106" w:rsidR="007650BC" w:rsidRPr="007F44B3" w:rsidRDefault="007F44B3" w:rsidP="002E48FC">
            <w:pPr>
              <w:pStyle w:val="ListParagraph"/>
              <w:numPr>
                <w:ilvl w:val="0"/>
                <w:numId w:val="7"/>
              </w:numPr>
              <w:spacing w:after="0" w:line="240" w:lineRule="auto"/>
              <w:rPr>
                <w:color w:val="auto"/>
              </w:rPr>
            </w:pPr>
            <w:r>
              <w:rPr>
                <w:color w:val="auto"/>
              </w:rPr>
              <w:t xml:space="preserve">Approve the five-year plan ready for its launch in November 2024. </w:t>
            </w:r>
            <w:r w:rsidR="006C6CAA" w:rsidRPr="007F44B3">
              <w:rPr>
                <w:color w:val="auto"/>
              </w:rPr>
              <w:tab/>
            </w:r>
          </w:p>
          <w:bookmarkEnd w:id="2"/>
          <w:p w14:paraId="02F3DF7A" w14:textId="5C8012E3" w:rsidR="009F44BF" w:rsidRDefault="009F44BF" w:rsidP="000B2507">
            <w:pPr>
              <w:spacing w:after="0" w:line="240" w:lineRule="auto"/>
              <w:rPr>
                <w:color w:val="auto"/>
              </w:rPr>
            </w:pPr>
          </w:p>
          <w:p w14:paraId="5DD056FB" w14:textId="254415DE" w:rsidR="000B2507" w:rsidRPr="006C6CAA" w:rsidRDefault="000B2507" w:rsidP="000B2507">
            <w:pPr>
              <w:spacing w:after="0" w:line="240" w:lineRule="auto"/>
              <w:rPr>
                <w:color w:val="auto"/>
                <w:sz w:val="16"/>
                <w:szCs w:val="16"/>
              </w:rPr>
            </w:pPr>
          </w:p>
        </w:tc>
      </w:tr>
    </w:tbl>
    <w:tbl>
      <w:tblPr>
        <w:tblStyle w:val="TableGrid"/>
        <w:tblpPr w:leftFromText="180" w:rightFromText="180" w:vertAnchor="text" w:horzAnchor="margin" w:tblpY="-112"/>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640"/>
        <w:gridCol w:w="1968"/>
      </w:tblGrid>
      <w:tr w:rsidR="00DF7B5E" w:rsidRPr="00566BDC" w14:paraId="3AB0F5F2" w14:textId="77777777" w:rsidTr="00DF7B5E">
        <w:trPr>
          <w:trHeight w:val="546"/>
        </w:trPr>
        <w:tc>
          <w:tcPr>
            <w:tcW w:w="9608" w:type="dxa"/>
            <w:gridSpan w:val="2"/>
            <w:shd w:val="clear" w:color="auto" w:fill="D9D9D9" w:themeFill="background1" w:themeFillShade="D9"/>
          </w:tcPr>
          <w:p w14:paraId="2E34CD33" w14:textId="20179190" w:rsidR="00DF7B5E" w:rsidRPr="00DF7B5E" w:rsidRDefault="00DF7B5E" w:rsidP="00DF7B5E">
            <w:pPr>
              <w:spacing w:after="0"/>
              <w:rPr>
                <w:bCs/>
                <w:i/>
                <w:iCs/>
                <w:color w:val="auto"/>
                <w:sz w:val="20"/>
                <w:szCs w:val="20"/>
              </w:rPr>
            </w:pPr>
            <w:r>
              <w:rPr>
                <w:b/>
                <w:color w:val="auto"/>
                <w:sz w:val="24"/>
                <w:szCs w:val="24"/>
              </w:rPr>
              <w:lastRenderedPageBreak/>
              <w:t xml:space="preserve">ICB STRATEGIC </w:t>
            </w:r>
            <w:r w:rsidRPr="00753A32">
              <w:rPr>
                <w:b/>
                <w:color w:val="auto"/>
                <w:sz w:val="24"/>
                <w:szCs w:val="24"/>
              </w:rPr>
              <w:t>OBJECTIVE</w:t>
            </w:r>
            <w:r>
              <w:rPr>
                <w:b/>
                <w:color w:val="auto"/>
                <w:sz w:val="24"/>
                <w:szCs w:val="24"/>
              </w:rPr>
              <w:t xml:space="preserve"> </w:t>
            </w:r>
          </w:p>
        </w:tc>
      </w:tr>
      <w:tr w:rsidR="00DF7B5E" w:rsidRPr="00566BDC" w14:paraId="48B38C95" w14:textId="77777777" w:rsidTr="00DF7B5E">
        <w:trPr>
          <w:trHeight w:val="546"/>
        </w:trPr>
        <w:tc>
          <w:tcPr>
            <w:tcW w:w="7640" w:type="dxa"/>
          </w:tcPr>
          <w:p w14:paraId="31D80547" w14:textId="77777777" w:rsidR="00DF7B5E" w:rsidRPr="00524FEE" w:rsidRDefault="00DF7B5E" w:rsidP="00DF7B5E">
            <w:pPr>
              <w:spacing w:after="0" w:line="240" w:lineRule="auto"/>
              <w:rPr>
                <w:b/>
                <w:color w:val="auto"/>
              </w:rPr>
            </w:pPr>
            <w:r>
              <w:rPr>
                <w:color w:val="auto"/>
              </w:rPr>
              <w:t>Leading for Excellence</w:t>
            </w:r>
          </w:p>
        </w:tc>
        <w:sdt>
          <w:sdtPr>
            <w:rPr>
              <w:color w:val="auto"/>
              <w:sz w:val="40"/>
              <w:szCs w:val="40"/>
            </w:rPr>
            <w:id w:val="-502581236"/>
            <w14:checkbox>
              <w14:checked w14:val="1"/>
              <w14:checkedState w14:val="2612" w14:font="MS Gothic"/>
              <w14:uncheckedState w14:val="2610" w14:font="MS Gothic"/>
            </w14:checkbox>
          </w:sdtPr>
          <w:sdtEndPr/>
          <w:sdtContent>
            <w:tc>
              <w:tcPr>
                <w:tcW w:w="1968" w:type="dxa"/>
              </w:tcPr>
              <w:p w14:paraId="474F4FC1" w14:textId="77777777" w:rsidR="00DF7B5E" w:rsidRPr="00F31E0E" w:rsidRDefault="00DF7B5E" w:rsidP="00DF7B5E">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DF7B5E" w:rsidRPr="00566BDC" w14:paraId="71A0A493" w14:textId="77777777" w:rsidTr="00DF7B5E">
        <w:trPr>
          <w:trHeight w:val="528"/>
        </w:trPr>
        <w:tc>
          <w:tcPr>
            <w:tcW w:w="7640" w:type="dxa"/>
          </w:tcPr>
          <w:p w14:paraId="2B25186E" w14:textId="77777777" w:rsidR="00DF7B5E" w:rsidRDefault="00DF7B5E" w:rsidP="00DF7B5E">
            <w:pPr>
              <w:spacing w:after="0" w:line="240" w:lineRule="auto"/>
              <w:rPr>
                <w:color w:val="auto"/>
              </w:rPr>
            </w:pPr>
            <w:r>
              <w:rPr>
                <w:color w:val="auto"/>
              </w:rPr>
              <w:t>Leading for Prevention</w:t>
            </w:r>
          </w:p>
          <w:p w14:paraId="492707CE" w14:textId="77777777" w:rsidR="00DF7B5E" w:rsidRPr="00524FEE" w:rsidRDefault="00DF7B5E" w:rsidP="00DF7B5E">
            <w:pPr>
              <w:spacing w:after="0" w:line="240" w:lineRule="auto"/>
              <w:rPr>
                <w:b/>
                <w:color w:val="auto"/>
              </w:rPr>
            </w:pPr>
          </w:p>
        </w:tc>
        <w:sdt>
          <w:sdtPr>
            <w:rPr>
              <w:color w:val="auto"/>
              <w:sz w:val="40"/>
              <w:szCs w:val="40"/>
            </w:rPr>
            <w:id w:val="1263573161"/>
            <w14:checkbox>
              <w14:checked w14:val="1"/>
              <w14:checkedState w14:val="2612" w14:font="MS Gothic"/>
              <w14:uncheckedState w14:val="2610" w14:font="MS Gothic"/>
            </w14:checkbox>
          </w:sdtPr>
          <w:sdtEndPr/>
          <w:sdtContent>
            <w:tc>
              <w:tcPr>
                <w:tcW w:w="1968" w:type="dxa"/>
              </w:tcPr>
              <w:p w14:paraId="79634D7D" w14:textId="77777777" w:rsidR="00DF7B5E" w:rsidRPr="00F31E0E" w:rsidRDefault="00DF7B5E" w:rsidP="00DF7B5E">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DF7B5E" w:rsidRPr="00566BDC" w14:paraId="0E719F01" w14:textId="77777777" w:rsidTr="00DF7B5E">
        <w:trPr>
          <w:trHeight w:val="528"/>
        </w:trPr>
        <w:tc>
          <w:tcPr>
            <w:tcW w:w="7640" w:type="dxa"/>
          </w:tcPr>
          <w:p w14:paraId="3AD69875" w14:textId="77777777" w:rsidR="00DF7B5E" w:rsidRDefault="00DF7B5E" w:rsidP="00DF7B5E">
            <w:pPr>
              <w:spacing w:after="0" w:line="240" w:lineRule="auto"/>
              <w:jc w:val="both"/>
              <w:rPr>
                <w:color w:val="auto"/>
              </w:rPr>
            </w:pPr>
            <w:r>
              <w:rPr>
                <w:color w:val="auto"/>
              </w:rPr>
              <w:t>Leading for Sustainability</w:t>
            </w:r>
          </w:p>
          <w:p w14:paraId="55A3A07C" w14:textId="77777777" w:rsidR="00DF7B5E" w:rsidRPr="00524FEE" w:rsidRDefault="00DF7B5E" w:rsidP="00DF7B5E">
            <w:pPr>
              <w:spacing w:after="0" w:line="240" w:lineRule="auto"/>
              <w:rPr>
                <w:b/>
                <w:color w:val="auto"/>
              </w:rPr>
            </w:pPr>
          </w:p>
        </w:tc>
        <w:sdt>
          <w:sdtPr>
            <w:rPr>
              <w:color w:val="auto"/>
              <w:sz w:val="40"/>
              <w:szCs w:val="40"/>
            </w:rPr>
            <w:id w:val="-1638247711"/>
            <w14:checkbox>
              <w14:checked w14:val="1"/>
              <w14:checkedState w14:val="2612" w14:font="MS Gothic"/>
              <w14:uncheckedState w14:val="2610" w14:font="MS Gothic"/>
            </w14:checkbox>
          </w:sdtPr>
          <w:sdtEndPr/>
          <w:sdtContent>
            <w:tc>
              <w:tcPr>
                <w:tcW w:w="1968" w:type="dxa"/>
              </w:tcPr>
              <w:p w14:paraId="0150A90A" w14:textId="77777777" w:rsidR="00DF7B5E" w:rsidRPr="00F31E0E" w:rsidRDefault="00DF7B5E" w:rsidP="00DF7B5E">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DF7B5E" w:rsidRPr="00566BDC" w14:paraId="3D7522FD" w14:textId="77777777" w:rsidTr="00DF7B5E">
        <w:trPr>
          <w:trHeight w:val="528"/>
        </w:trPr>
        <w:tc>
          <w:tcPr>
            <w:tcW w:w="7640" w:type="dxa"/>
          </w:tcPr>
          <w:p w14:paraId="37EDAFF3" w14:textId="77777777" w:rsidR="00DF7B5E" w:rsidRDefault="00DF7B5E" w:rsidP="00DF7B5E">
            <w:pPr>
              <w:spacing w:after="0" w:line="240" w:lineRule="auto"/>
              <w:jc w:val="both"/>
              <w:rPr>
                <w:color w:val="auto"/>
              </w:rPr>
            </w:pPr>
            <w:r>
              <w:rPr>
                <w:color w:val="auto"/>
              </w:rPr>
              <w:t>Voice at the Heart</w:t>
            </w:r>
          </w:p>
        </w:tc>
        <w:sdt>
          <w:sdtPr>
            <w:rPr>
              <w:color w:val="auto"/>
              <w:sz w:val="40"/>
              <w:szCs w:val="40"/>
            </w:rPr>
            <w:id w:val="769280798"/>
            <w14:checkbox>
              <w14:checked w14:val="1"/>
              <w14:checkedState w14:val="2612" w14:font="MS Gothic"/>
              <w14:uncheckedState w14:val="2610" w14:font="MS Gothic"/>
            </w14:checkbox>
          </w:sdtPr>
          <w:sdtEndPr/>
          <w:sdtContent>
            <w:tc>
              <w:tcPr>
                <w:tcW w:w="1968" w:type="dxa"/>
              </w:tcPr>
              <w:p w14:paraId="3483C04D" w14:textId="77777777" w:rsidR="00DF7B5E" w:rsidRDefault="00DF7B5E" w:rsidP="00DF7B5E">
                <w:pPr>
                  <w:spacing w:after="0" w:line="240" w:lineRule="auto"/>
                  <w:jc w:val="center"/>
                  <w:rPr>
                    <w:color w:val="auto"/>
                    <w:sz w:val="40"/>
                    <w:szCs w:val="40"/>
                  </w:rPr>
                </w:pPr>
                <w:r>
                  <w:rPr>
                    <w:rFonts w:ascii="MS Gothic" w:eastAsia="MS Gothic" w:hAnsi="MS Gothic" w:hint="eastAsia"/>
                    <w:color w:val="auto"/>
                    <w:sz w:val="40"/>
                    <w:szCs w:val="40"/>
                  </w:rPr>
                  <w:t>☒</w:t>
                </w:r>
              </w:p>
            </w:tc>
          </w:sdtContent>
        </w:sdt>
      </w:tr>
    </w:tbl>
    <w:p w14:paraId="019D6696" w14:textId="0E753FDE" w:rsidR="00381FC0" w:rsidRPr="003413EA" w:rsidRDefault="00381FC0" w:rsidP="00D05ADC">
      <w:pPr>
        <w:spacing w:after="0" w:line="120" w:lineRule="auto"/>
        <w:rPr>
          <w:color w:val="auto"/>
          <w:sz w:val="6"/>
          <w:szCs w:val="6"/>
        </w:rPr>
      </w:pPr>
    </w:p>
    <w:p w14:paraId="7461CE38" w14:textId="77777777" w:rsidR="00CA14EE" w:rsidRDefault="00CA14EE" w:rsidP="003413EA">
      <w:pPr>
        <w:spacing w:after="0" w:line="240" w:lineRule="auto"/>
        <w:rPr>
          <w:color w:val="auto"/>
        </w:rPr>
      </w:pPr>
    </w:p>
    <w:tbl>
      <w:tblPr>
        <w:tblStyle w:val="TableGrid"/>
        <w:tblpPr w:leftFromText="180" w:rightFromText="180" w:vertAnchor="text" w:horzAnchor="margin" w:tblpY="-7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DF7B5E" w:rsidRPr="00524FEE" w14:paraId="634C2983" w14:textId="77777777" w:rsidTr="00DF7B5E">
        <w:trPr>
          <w:trHeight w:val="427"/>
        </w:trPr>
        <w:tc>
          <w:tcPr>
            <w:tcW w:w="9608" w:type="dxa"/>
            <w:shd w:val="clear" w:color="auto" w:fill="D9D9D9" w:themeFill="background1" w:themeFillShade="D9"/>
          </w:tcPr>
          <w:p w14:paraId="720ABFCD" w14:textId="77777777" w:rsidR="00DF7B5E" w:rsidRDefault="00DF7B5E" w:rsidP="002E48FC">
            <w:pPr>
              <w:spacing w:after="0"/>
              <w:rPr>
                <w:b/>
                <w:color w:val="auto"/>
                <w:sz w:val="24"/>
                <w:szCs w:val="24"/>
              </w:rPr>
            </w:pPr>
            <w:r>
              <w:rPr>
                <w:b/>
                <w:color w:val="auto"/>
                <w:sz w:val="24"/>
                <w:szCs w:val="24"/>
              </w:rPr>
              <w:t xml:space="preserve">IMPLICATIONS </w:t>
            </w:r>
          </w:p>
          <w:p w14:paraId="286FC7AE" w14:textId="546EDE49" w:rsidR="003413EA" w:rsidRPr="00524FEE" w:rsidRDefault="003413EA" w:rsidP="002E48FC">
            <w:pPr>
              <w:spacing w:after="0"/>
              <w:rPr>
                <w:color w:val="auto"/>
              </w:rPr>
            </w:pPr>
          </w:p>
        </w:tc>
      </w:tr>
    </w:tbl>
    <w:tbl>
      <w:tblPr>
        <w:tblStyle w:val="TableGrid"/>
        <w:tblpPr w:leftFromText="180" w:rightFromText="180" w:vertAnchor="page" w:horzAnchor="margin" w:tblpY="4771"/>
        <w:tblW w:w="0" w:type="auto"/>
        <w:tblLayout w:type="fixed"/>
        <w:tblLook w:val="04A0" w:firstRow="1" w:lastRow="0" w:firstColumn="1" w:lastColumn="0" w:noHBand="0" w:noVBand="1"/>
      </w:tblPr>
      <w:tblGrid>
        <w:gridCol w:w="2962"/>
        <w:gridCol w:w="6646"/>
      </w:tblGrid>
      <w:tr w:rsidR="002E48FC" w:rsidRPr="00566BDC" w14:paraId="08C2C488" w14:textId="77777777" w:rsidTr="002E48FC">
        <w:tc>
          <w:tcPr>
            <w:tcW w:w="2962" w:type="dxa"/>
            <w:tcBorders>
              <w:top w:val="double" w:sz="4" w:space="0" w:color="auto"/>
              <w:left w:val="double" w:sz="4" w:space="0" w:color="auto"/>
              <w:bottom w:val="single" w:sz="4" w:space="0" w:color="auto"/>
              <w:right w:val="single" w:sz="4" w:space="0" w:color="auto"/>
            </w:tcBorders>
          </w:tcPr>
          <w:p w14:paraId="1DB4131C" w14:textId="77777777" w:rsidR="002E48FC" w:rsidRPr="00566BDC" w:rsidRDefault="002E48FC" w:rsidP="002E48FC">
            <w:pPr>
              <w:spacing w:after="0" w:line="240" w:lineRule="auto"/>
              <w:rPr>
                <w:b/>
                <w:color w:val="auto"/>
              </w:rPr>
            </w:pPr>
            <w:r w:rsidRPr="00566BDC">
              <w:rPr>
                <w:color w:val="auto"/>
              </w:rPr>
              <w:t>Finance</w:t>
            </w:r>
          </w:p>
        </w:tc>
        <w:tc>
          <w:tcPr>
            <w:tcW w:w="6646" w:type="dxa"/>
            <w:tcBorders>
              <w:top w:val="double" w:sz="4" w:space="0" w:color="auto"/>
              <w:left w:val="single" w:sz="4" w:space="0" w:color="auto"/>
              <w:bottom w:val="single" w:sz="4" w:space="0" w:color="auto"/>
              <w:right w:val="double" w:sz="4" w:space="0" w:color="auto"/>
            </w:tcBorders>
          </w:tcPr>
          <w:p w14:paraId="204DD557" w14:textId="77777777" w:rsidR="002E48FC" w:rsidRDefault="002E48FC" w:rsidP="002E48FC">
            <w:pPr>
              <w:spacing w:after="0" w:line="240" w:lineRule="auto"/>
              <w:rPr>
                <w:b/>
                <w:color w:val="auto"/>
              </w:rPr>
            </w:pPr>
            <w:r>
              <w:rPr>
                <w:bCs/>
                <w:color w:val="auto"/>
              </w:rPr>
              <w:t>The priorities have</w:t>
            </w:r>
            <w:r w:rsidRPr="00E24F78">
              <w:rPr>
                <w:color w:val="auto"/>
              </w:rPr>
              <w:t xml:space="preserve"> all been developed on the premise that dementia does not receive national funding, therefore all interventions and actions will be developed as far as is practically possible within existing resource.</w:t>
            </w:r>
          </w:p>
          <w:p w14:paraId="64FE3EF9" w14:textId="77777777" w:rsidR="002E48FC" w:rsidRPr="00566BDC" w:rsidRDefault="002E48FC" w:rsidP="002E48FC">
            <w:pPr>
              <w:spacing w:after="0" w:line="240" w:lineRule="auto"/>
              <w:rPr>
                <w:b/>
                <w:color w:val="auto"/>
              </w:rPr>
            </w:pPr>
          </w:p>
        </w:tc>
      </w:tr>
      <w:tr w:rsidR="002E48FC" w:rsidRPr="00566BDC" w14:paraId="6957F65F" w14:textId="77777777" w:rsidTr="002E48FC">
        <w:tc>
          <w:tcPr>
            <w:tcW w:w="2962" w:type="dxa"/>
            <w:tcBorders>
              <w:top w:val="single" w:sz="4" w:space="0" w:color="auto"/>
              <w:left w:val="double" w:sz="4" w:space="0" w:color="auto"/>
              <w:bottom w:val="single" w:sz="4" w:space="0" w:color="auto"/>
              <w:right w:val="single" w:sz="4" w:space="0" w:color="auto"/>
            </w:tcBorders>
          </w:tcPr>
          <w:p w14:paraId="32FA425D" w14:textId="77777777" w:rsidR="002E48FC" w:rsidRPr="00566BDC" w:rsidRDefault="002E48FC" w:rsidP="002E48FC">
            <w:pPr>
              <w:spacing w:after="0" w:line="240" w:lineRule="auto"/>
              <w:rPr>
                <w:color w:val="auto"/>
              </w:rPr>
            </w:pPr>
            <w:r w:rsidRPr="00566BDC">
              <w:rPr>
                <w:color w:val="auto"/>
              </w:rPr>
              <w:t>Quality</w:t>
            </w:r>
          </w:p>
        </w:tc>
        <w:tc>
          <w:tcPr>
            <w:tcW w:w="6646" w:type="dxa"/>
            <w:tcBorders>
              <w:top w:val="single" w:sz="4" w:space="0" w:color="auto"/>
              <w:left w:val="single" w:sz="4" w:space="0" w:color="auto"/>
              <w:bottom w:val="single" w:sz="4" w:space="0" w:color="auto"/>
              <w:right w:val="double" w:sz="4" w:space="0" w:color="auto"/>
            </w:tcBorders>
          </w:tcPr>
          <w:p w14:paraId="45D0C306" w14:textId="77777777" w:rsidR="002E48FC" w:rsidRPr="009E7ECA" w:rsidRDefault="002E48FC" w:rsidP="002E48FC">
            <w:pPr>
              <w:spacing w:after="0" w:line="240" w:lineRule="auto"/>
              <w:rPr>
                <w:bCs/>
                <w:color w:val="auto"/>
              </w:rPr>
            </w:pPr>
            <w:r w:rsidRPr="009E7ECA">
              <w:rPr>
                <w:bCs/>
                <w:color w:val="auto"/>
              </w:rPr>
              <w:t xml:space="preserve">This plan aims at improving the quality of care and support available for people with dementia and their families. </w:t>
            </w:r>
          </w:p>
          <w:p w14:paraId="74D6A3D4" w14:textId="77777777" w:rsidR="002E48FC" w:rsidRPr="00566BDC" w:rsidRDefault="002E48FC" w:rsidP="002E48FC">
            <w:pPr>
              <w:spacing w:after="0" w:line="240" w:lineRule="auto"/>
              <w:rPr>
                <w:b/>
                <w:color w:val="auto"/>
              </w:rPr>
            </w:pPr>
          </w:p>
        </w:tc>
      </w:tr>
      <w:tr w:rsidR="002E48FC" w:rsidRPr="00566BDC" w14:paraId="1E920984" w14:textId="77777777" w:rsidTr="002E48FC">
        <w:tc>
          <w:tcPr>
            <w:tcW w:w="2962" w:type="dxa"/>
            <w:tcBorders>
              <w:top w:val="single" w:sz="4" w:space="0" w:color="auto"/>
              <w:left w:val="double" w:sz="4" w:space="0" w:color="auto"/>
              <w:bottom w:val="single" w:sz="4" w:space="0" w:color="auto"/>
              <w:right w:val="single" w:sz="4" w:space="0" w:color="auto"/>
            </w:tcBorders>
          </w:tcPr>
          <w:p w14:paraId="6E938C2D" w14:textId="77777777" w:rsidR="002E48FC" w:rsidRDefault="002E48FC" w:rsidP="002E48FC">
            <w:pPr>
              <w:spacing w:after="0" w:line="240" w:lineRule="auto"/>
              <w:rPr>
                <w:color w:val="auto"/>
              </w:rPr>
            </w:pPr>
            <w:r w:rsidRPr="00566BDC">
              <w:rPr>
                <w:color w:val="auto"/>
              </w:rPr>
              <w:t>HR</w:t>
            </w:r>
          </w:p>
          <w:p w14:paraId="2D75893E" w14:textId="77777777" w:rsidR="002E48FC" w:rsidRPr="00566BDC" w:rsidRDefault="002E48FC" w:rsidP="002E48FC">
            <w:pPr>
              <w:spacing w:after="0" w:line="240" w:lineRule="auto"/>
              <w:rPr>
                <w:b/>
                <w:color w:val="auto"/>
              </w:rPr>
            </w:pPr>
          </w:p>
        </w:tc>
        <w:tc>
          <w:tcPr>
            <w:tcW w:w="6646" w:type="dxa"/>
            <w:tcBorders>
              <w:top w:val="single" w:sz="4" w:space="0" w:color="auto"/>
              <w:left w:val="single" w:sz="4" w:space="0" w:color="auto"/>
              <w:bottom w:val="single" w:sz="4" w:space="0" w:color="auto"/>
              <w:right w:val="double" w:sz="4" w:space="0" w:color="auto"/>
            </w:tcBorders>
          </w:tcPr>
          <w:p w14:paraId="111EE2C6" w14:textId="77777777" w:rsidR="002E48FC" w:rsidRPr="00943DB4" w:rsidRDefault="002E48FC" w:rsidP="002E48FC">
            <w:pPr>
              <w:spacing w:after="0" w:line="240" w:lineRule="auto"/>
              <w:rPr>
                <w:bCs/>
                <w:color w:val="auto"/>
              </w:rPr>
            </w:pPr>
            <w:r w:rsidRPr="00943DB4">
              <w:rPr>
                <w:bCs/>
                <w:color w:val="auto"/>
              </w:rPr>
              <w:t>N/A</w:t>
            </w:r>
          </w:p>
          <w:p w14:paraId="68EE71D6" w14:textId="77777777" w:rsidR="002E48FC" w:rsidRPr="00943DB4" w:rsidRDefault="002E48FC" w:rsidP="002E48FC">
            <w:pPr>
              <w:spacing w:after="0" w:line="240" w:lineRule="auto"/>
              <w:rPr>
                <w:bCs/>
                <w:color w:val="auto"/>
              </w:rPr>
            </w:pPr>
          </w:p>
        </w:tc>
      </w:tr>
      <w:tr w:rsidR="002E48FC" w:rsidRPr="00566BDC" w14:paraId="7FA254BB" w14:textId="77777777" w:rsidTr="002E48FC">
        <w:tc>
          <w:tcPr>
            <w:tcW w:w="2962" w:type="dxa"/>
            <w:tcBorders>
              <w:top w:val="single" w:sz="4" w:space="0" w:color="auto"/>
              <w:left w:val="double" w:sz="4" w:space="0" w:color="auto"/>
              <w:bottom w:val="single" w:sz="4" w:space="0" w:color="auto"/>
              <w:right w:val="single" w:sz="4" w:space="0" w:color="auto"/>
            </w:tcBorders>
          </w:tcPr>
          <w:p w14:paraId="6383E092" w14:textId="77777777" w:rsidR="002E48FC" w:rsidRDefault="002E48FC" w:rsidP="002E48FC">
            <w:pPr>
              <w:spacing w:after="0" w:line="240" w:lineRule="auto"/>
              <w:rPr>
                <w:color w:val="auto"/>
              </w:rPr>
            </w:pPr>
            <w:r>
              <w:rPr>
                <w:color w:val="auto"/>
              </w:rPr>
              <w:t>Legal / Regulatory</w:t>
            </w:r>
          </w:p>
        </w:tc>
        <w:tc>
          <w:tcPr>
            <w:tcW w:w="6646" w:type="dxa"/>
            <w:tcBorders>
              <w:top w:val="single" w:sz="4" w:space="0" w:color="auto"/>
              <w:left w:val="single" w:sz="4" w:space="0" w:color="auto"/>
              <w:bottom w:val="single" w:sz="4" w:space="0" w:color="auto"/>
              <w:right w:val="double" w:sz="4" w:space="0" w:color="auto"/>
            </w:tcBorders>
          </w:tcPr>
          <w:p w14:paraId="554B3627" w14:textId="77777777" w:rsidR="002E48FC" w:rsidRPr="00943DB4" w:rsidRDefault="002E48FC" w:rsidP="002E48FC">
            <w:pPr>
              <w:spacing w:after="0" w:line="240" w:lineRule="auto"/>
              <w:rPr>
                <w:bCs/>
                <w:color w:val="auto"/>
              </w:rPr>
            </w:pPr>
            <w:r w:rsidRPr="00943DB4">
              <w:rPr>
                <w:bCs/>
                <w:color w:val="auto"/>
              </w:rPr>
              <w:t>N/A</w:t>
            </w:r>
          </w:p>
          <w:p w14:paraId="41694C56" w14:textId="77777777" w:rsidR="002E48FC" w:rsidRPr="00943DB4" w:rsidRDefault="002E48FC" w:rsidP="002E48FC">
            <w:pPr>
              <w:spacing w:after="0" w:line="240" w:lineRule="auto"/>
              <w:rPr>
                <w:bCs/>
                <w:color w:val="auto"/>
              </w:rPr>
            </w:pPr>
          </w:p>
        </w:tc>
      </w:tr>
      <w:tr w:rsidR="002E48FC" w:rsidRPr="00566BDC" w14:paraId="4A65B071" w14:textId="77777777" w:rsidTr="002E48FC">
        <w:tc>
          <w:tcPr>
            <w:tcW w:w="2962" w:type="dxa"/>
            <w:tcBorders>
              <w:top w:val="single" w:sz="4" w:space="0" w:color="auto"/>
              <w:left w:val="double" w:sz="4" w:space="0" w:color="auto"/>
              <w:bottom w:val="single" w:sz="4" w:space="0" w:color="auto"/>
              <w:right w:val="single" w:sz="4" w:space="0" w:color="auto"/>
            </w:tcBorders>
          </w:tcPr>
          <w:p w14:paraId="119993CE" w14:textId="77777777" w:rsidR="002E48FC" w:rsidRDefault="002E48FC" w:rsidP="002E48FC">
            <w:pPr>
              <w:spacing w:after="0" w:line="240" w:lineRule="auto"/>
              <w:rPr>
                <w:color w:val="auto"/>
              </w:rPr>
            </w:pPr>
            <w:r>
              <w:rPr>
                <w:color w:val="auto"/>
              </w:rPr>
              <w:t>Data Protection / IG</w:t>
            </w:r>
          </w:p>
          <w:p w14:paraId="4BC801B4" w14:textId="77777777" w:rsidR="002E48FC" w:rsidRPr="00566BDC" w:rsidRDefault="002E48FC" w:rsidP="002E48FC">
            <w:pPr>
              <w:spacing w:after="0" w:line="240" w:lineRule="auto"/>
              <w:rPr>
                <w:color w:val="auto"/>
              </w:rPr>
            </w:pPr>
          </w:p>
        </w:tc>
        <w:tc>
          <w:tcPr>
            <w:tcW w:w="6646" w:type="dxa"/>
            <w:tcBorders>
              <w:top w:val="single" w:sz="4" w:space="0" w:color="auto"/>
              <w:left w:val="single" w:sz="4" w:space="0" w:color="auto"/>
              <w:bottom w:val="single" w:sz="4" w:space="0" w:color="auto"/>
              <w:right w:val="double" w:sz="4" w:space="0" w:color="auto"/>
            </w:tcBorders>
          </w:tcPr>
          <w:p w14:paraId="52F63540" w14:textId="77777777" w:rsidR="002E48FC" w:rsidRPr="00943DB4" w:rsidRDefault="002E48FC" w:rsidP="002E48FC">
            <w:pPr>
              <w:spacing w:after="0" w:line="240" w:lineRule="auto"/>
              <w:rPr>
                <w:bCs/>
                <w:color w:val="auto"/>
              </w:rPr>
            </w:pPr>
            <w:r w:rsidRPr="00943DB4">
              <w:rPr>
                <w:bCs/>
                <w:color w:val="auto"/>
              </w:rPr>
              <w:t>N/A</w:t>
            </w:r>
          </w:p>
        </w:tc>
      </w:tr>
      <w:tr w:rsidR="002E48FC" w:rsidRPr="00566BDC" w14:paraId="2C8F725C" w14:textId="77777777" w:rsidTr="002E48FC">
        <w:tc>
          <w:tcPr>
            <w:tcW w:w="2962" w:type="dxa"/>
            <w:tcBorders>
              <w:top w:val="single" w:sz="4" w:space="0" w:color="auto"/>
              <w:left w:val="double" w:sz="4" w:space="0" w:color="auto"/>
              <w:bottom w:val="single" w:sz="4" w:space="0" w:color="auto"/>
              <w:right w:val="single" w:sz="4" w:space="0" w:color="auto"/>
            </w:tcBorders>
          </w:tcPr>
          <w:p w14:paraId="3A2EB0E0" w14:textId="77777777" w:rsidR="002E48FC" w:rsidRPr="00566BDC" w:rsidRDefault="002E48FC" w:rsidP="002E48FC">
            <w:pPr>
              <w:spacing w:after="0" w:line="240" w:lineRule="auto"/>
              <w:rPr>
                <w:b/>
                <w:color w:val="auto"/>
              </w:rPr>
            </w:pPr>
            <w:r>
              <w:rPr>
                <w:color w:val="auto"/>
              </w:rPr>
              <w:t>Health inequality / equality</w:t>
            </w:r>
          </w:p>
        </w:tc>
        <w:tc>
          <w:tcPr>
            <w:tcW w:w="6646" w:type="dxa"/>
            <w:tcBorders>
              <w:top w:val="single" w:sz="4" w:space="0" w:color="auto"/>
              <w:left w:val="single" w:sz="4" w:space="0" w:color="auto"/>
              <w:bottom w:val="single" w:sz="4" w:space="0" w:color="auto"/>
              <w:right w:val="double" w:sz="4" w:space="0" w:color="auto"/>
            </w:tcBorders>
          </w:tcPr>
          <w:p w14:paraId="2C444257" w14:textId="77777777" w:rsidR="002E48FC" w:rsidRPr="00943DB4" w:rsidRDefault="002E48FC" w:rsidP="002E48FC">
            <w:pPr>
              <w:spacing w:after="0" w:line="240" w:lineRule="auto"/>
              <w:rPr>
                <w:bCs/>
                <w:color w:val="auto"/>
              </w:rPr>
            </w:pPr>
            <w:r w:rsidRPr="00943DB4">
              <w:rPr>
                <w:bCs/>
                <w:color w:val="auto"/>
              </w:rPr>
              <w:t xml:space="preserve">The action plan aims to address health inequalities and inequities. </w:t>
            </w:r>
          </w:p>
          <w:p w14:paraId="51B1C996" w14:textId="77777777" w:rsidR="002E48FC" w:rsidRPr="00943DB4" w:rsidRDefault="002E48FC" w:rsidP="002E48FC">
            <w:pPr>
              <w:spacing w:after="0" w:line="240" w:lineRule="auto"/>
              <w:rPr>
                <w:bCs/>
                <w:color w:val="auto"/>
              </w:rPr>
            </w:pPr>
          </w:p>
        </w:tc>
      </w:tr>
      <w:tr w:rsidR="002E48FC" w:rsidRPr="00566BDC" w14:paraId="21466D57" w14:textId="77777777" w:rsidTr="002E48FC">
        <w:tc>
          <w:tcPr>
            <w:tcW w:w="2962" w:type="dxa"/>
            <w:tcBorders>
              <w:top w:val="single" w:sz="4" w:space="0" w:color="auto"/>
              <w:left w:val="double" w:sz="4" w:space="0" w:color="auto"/>
              <w:bottom w:val="single" w:sz="4" w:space="0" w:color="auto"/>
              <w:right w:val="single" w:sz="4" w:space="0" w:color="auto"/>
            </w:tcBorders>
          </w:tcPr>
          <w:p w14:paraId="1622F85C" w14:textId="77777777" w:rsidR="002E48FC" w:rsidRDefault="002E48FC" w:rsidP="002E48FC">
            <w:pPr>
              <w:spacing w:after="0" w:line="240" w:lineRule="auto"/>
              <w:rPr>
                <w:color w:val="auto"/>
              </w:rPr>
            </w:pPr>
            <w:r>
              <w:rPr>
                <w:color w:val="auto"/>
              </w:rPr>
              <w:t>Conflict of Interest Aspects</w:t>
            </w:r>
          </w:p>
          <w:p w14:paraId="569E9918" w14:textId="77777777" w:rsidR="002E48FC" w:rsidRDefault="002E48FC" w:rsidP="002E48FC">
            <w:pPr>
              <w:spacing w:after="0" w:line="240" w:lineRule="auto"/>
              <w:rPr>
                <w:color w:val="auto"/>
              </w:rPr>
            </w:pPr>
          </w:p>
        </w:tc>
        <w:tc>
          <w:tcPr>
            <w:tcW w:w="6646" w:type="dxa"/>
            <w:tcBorders>
              <w:top w:val="single" w:sz="4" w:space="0" w:color="auto"/>
              <w:left w:val="single" w:sz="4" w:space="0" w:color="auto"/>
              <w:bottom w:val="single" w:sz="4" w:space="0" w:color="auto"/>
              <w:right w:val="double" w:sz="4" w:space="0" w:color="auto"/>
            </w:tcBorders>
          </w:tcPr>
          <w:p w14:paraId="1D6405FD" w14:textId="77777777" w:rsidR="002E48FC" w:rsidRPr="00943DB4" w:rsidRDefault="002E48FC" w:rsidP="002E48FC">
            <w:pPr>
              <w:spacing w:after="0" w:line="240" w:lineRule="auto"/>
              <w:rPr>
                <w:bCs/>
                <w:color w:val="auto"/>
              </w:rPr>
            </w:pPr>
            <w:r w:rsidRPr="00943DB4">
              <w:rPr>
                <w:bCs/>
                <w:color w:val="auto"/>
              </w:rPr>
              <w:t>N/A</w:t>
            </w:r>
          </w:p>
        </w:tc>
      </w:tr>
      <w:tr w:rsidR="002E48FC" w:rsidRPr="00566BDC" w14:paraId="1953320B" w14:textId="77777777" w:rsidTr="002E48FC">
        <w:tc>
          <w:tcPr>
            <w:tcW w:w="2962" w:type="dxa"/>
            <w:tcBorders>
              <w:top w:val="single" w:sz="4" w:space="0" w:color="auto"/>
              <w:left w:val="double" w:sz="4" w:space="0" w:color="auto"/>
              <w:bottom w:val="double" w:sz="4" w:space="0" w:color="auto"/>
              <w:right w:val="single" w:sz="4" w:space="0" w:color="auto"/>
            </w:tcBorders>
          </w:tcPr>
          <w:p w14:paraId="25DD5F73" w14:textId="77777777" w:rsidR="002E48FC" w:rsidRDefault="002E48FC" w:rsidP="002E48FC">
            <w:pPr>
              <w:spacing w:after="0" w:line="240" w:lineRule="auto"/>
              <w:rPr>
                <w:color w:val="auto"/>
              </w:rPr>
            </w:pPr>
            <w:r>
              <w:rPr>
                <w:color w:val="auto"/>
              </w:rPr>
              <w:t>Sustainability</w:t>
            </w:r>
          </w:p>
          <w:p w14:paraId="38A38523" w14:textId="77777777" w:rsidR="002E48FC" w:rsidRPr="00566BDC" w:rsidRDefault="002E48FC" w:rsidP="002E48FC">
            <w:pPr>
              <w:spacing w:after="0" w:line="240" w:lineRule="auto"/>
              <w:rPr>
                <w:b/>
                <w:color w:val="auto"/>
              </w:rPr>
            </w:pPr>
          </w:p>
        </w:tc>
        <w:tc>
          <w:tcPr>
            <w:tcW w:w="6646" w:type="dxa"/>
            <w:tcBorders>
              <w:top w:val="single" w:sz="4" w:space="0" w:color="auto"/>
              <w:left w:val="single" w:sz="4" w:space="0" w:color="auto"/>
              <w:bottom w:val="double" w:sz="4" w:space="0" w:color="auto"/>
              <w:right w:val="double" w:sz="4" w:space="0" w:color="auto"/>
            </w:tcBorders>
          </w:tcPr>
          <w:p w14:paraId="743758B1" w14:textId="77777777" w:rsidR="002E48FC" w:rsidRPr="00943DB4" w:rsidRDefault="002E48FC" w:rsidP="002E48FC">
            <w:pPr>
              <w:spacing w:after="0" w:line="240" w:lineRule="auto"/>
              <w:rPr>
                <w:bCs/>
                <w:color w:val="auto"/>
              </w:rPr>
            </w:pPr>
            <w:r w:rsidRPr="00943DB4">
              <w:rPr>
                <w:bCs/>
                <w:color w:val="auto"/>
              </w:rPr>
              <w:t xml:space="preserve">Futureproofing is a key priority to ensure services and sustainable longer term. </w:t>
            </w:r>
          </w:p>
          <w:p w14:paraId="0A527B5C" w14:textId="77777777" w:rsidR="002E48FC" w:rsidRPr="00943DB4" w:rsidRDefault="002E48FC" w:rsidP="002E48FC">
            <w:pPr>
              <w:spacing w:after="0" w:line="240" w:lineRule="auto"/>
              <w:rPr>
                <w:bCs/>
                <w:color w:val="auto"/>
              </w:rPr>
            </w:pPr>
          </w:p>
        </w:tc>
      </w:tr>
    </w:tbl>
    <w:tbl>
      <w:tblPr>
        <w:tblStyle w:val="TableGrid"/>
        <w:tblW w:w="0" w:type="auto"/>
        <w:tblInd w:w="-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CA14EE" w:rsidRPr="00566BDC" w14:paraId="12FCC874" w14:textId="77777777" w:rsidTr="00CA14EE">
        <w:tc>
          <w:tcPr>
            <w:tcW w:w="9608" w:type="dxa"/>
          </w:tcPr>
          <w:p w14:paraId="4E664C32" w14:textId="77777777" w:rsidR="00CA14EE" w:rsidRPr="00566BDC" w:rsidRDefault="00CA14EE" w:rsidP="009C585D">
            <w:pPr>
              <w:spacing w:after="0" w:line="240" w:lineRule="auto"/>
              <w:rPr>
                <w:b/>
                <w:color w:val="auto"/>
              </w:rPr>
            </w:pPr>
            <w:bookmarkStart w:id="3" w:name="_Hlk106134678"/>
          </w:p>
          <w:p w14:paraId="6F89D30D" w14:textId="77777777" w:rsidR="00CA14EE" w:rsidRDefault="00CA14EE" w:rsidP="009C36D6">
            <w:pPr>
              <w:spacing w:after="0" w:line="240" w:lineRule="auto"/>
              <w:rPr>
                <w:color w:val="auto"/>
                <w:sz w:val="20"/>
                <w:szCs w:val="20"/>
              </w:rPr>
            </w:pPr>
            <w:r>
              <w:rPr>
                <w:b/>
                <w:color w:val="auto"/>
              </w:rPr>
              <w:t>ASSESSED RISK</w:t>
            </w:r>
            <w:r w:rsidRPr="00566BDC">
              <w:rPr>
                <w:b/>
                <w:color w:val="auto"/>
              </w:rPr>
              <w:t>:</w:t>
            </w:r>
            <w:r w:rsidRPr="00566BDC">
              <w:rPr>
                <w:color w:val="auto"/>
              </w:rPr>
              <w:t xml:space="preserve"> </w:t>
            </w:r>
            <w:r>
              <w:rPr>
                <w:color w:val="auto"/>
                <w:sz w:val="20"/>
                <w:szCs w:val="20"/>
              </w:rPr>
              <w:t xml:space="preserve"> </w:t>
            </w:r>
          </w:p>
          <w:p w14:paraId="65F5A888" w14:textId="77777777" w:rsidR="003413EA" w:rsidRPr="003413EA" w:rsidRDefault="003413EA" w:rsidP="009C36D6">
            <w:pPr>
              <w:spacing w:after="0" w:line="240" w:lineRule="auto"/>
              <w:rPr>
                <w:color w:val="auto"/>
                <w:sz w:val="16"/>
                <w:szCs w:val="16"/>
              </w:rPr>
            </w:pPr>
          </w:p>
          <w:p w14:paraId="23B93396" w14:textId="644BE28E" w:rsidR="003413EA" w:rsidRPr="003413EA" w:rsidRDefault="003413EA" w:rsidP="009C36D6">
            <w:pPr>
              <w:spacing w:after="0" w:line="240" w:lineRule="auto"/>
              <w:rPr>
                <w:color w:val="auto"/>
                <w:sz w:val="16"/>
                <w:szCs w:val="16"/>
              </w:rPr>
            </w:pPr>
          </w:p>
        </w:tc>
      </w:tr>
      <w:bookmarkEnd w:id="3"/>
    </w:tbl>
    <w:p w14:paraId="63B3A7A6" w14:textId="77777777" w:rsidR="00CA14EE" w:rsidRDefault="00CA14EE" w:rsidP="0010586B">
      <w:pPr>
        <w:spacing w:after="0" w:line="120" w:lineRule="auto"/>
        <w:rPr>
          <w:color w:val="auto"/>
        </w:rPr>
      </w:pPr>
    </w:p>
    <w:tbl>
      <w:tblPr>
        <w:tblStyle w:val="TableGrid"/>
        <w:tblW w:w="0" w:type="auto"/>
        <w:tblLook w:val="04A0" w:firstRow="1" w:lastRow="0" w:firstColumn="1" w:lastColumn="0" w:noHBand="0" w:noVBand="1"/>
      </w:tblPr>
      <w:tblGrid>
        <w:gridCol w:w="9608"/>
      </w:tblGrid>
      <w:tr w:rsidR="00043155" w:rsidRPr="00566BDC" w14:paraId="7C027CCA" w14:textId="77777777" w:rsidTr="006C1E7A">
        <w:tc>
          <w:tcPr>
            <w:tcW w:w="9747" w:type="dxa"/>
            <w:tcBorders>
              <w:top w:val="double" w:sz="4" w:space="0" w:color="auto"/>
              <w:left w:val="double" w:sz="4" w:space="0" w:color="auto"/>
              <w:bottom w:val="double" w:sz="4" w:space="0" w:color="auto"/>
              <w:right w:val="double" w:sz="4" w:space="0" w:color="auto"/>
            </w:tcBorders>
          </w:tcPr>
          <w:p w14:paraId="3E9DE11A" w14:textId="77777777" w:rsidR="00043155" w:rsidRPr="00566BDC" w:rsidRDefault="00043155" w:rsidP="0086751B">
            <w:pPr>
              <w:spacing w:after="0" w:line="240" w:lineRule="auto"/>
              <w:rPr>
                <w:b/>
                <w:color w:val="auto"/>
              </w:rPr>
            </w:pPr>
          </w:p>
          <w:p w14:paraId="01219628" w14:textId="493D635A" w:rsidR="00043155" w:rsidRDefault="00043155" w:rsidP="002E48FC">
            <w:pPr>
              <w:spacing w:after="0" w:line="240" w:lineRule="auto"/>
              <w:rPr>
                <w:i/>
                <w:iCs/>
                <w:color w:val="auto"/>
                <w:sz w:val="20"/>
                <w:szCs w:val="20"/>
              </w:rPr>
            </w:pPr>
            <w:r>
              <w:rPr>
                <w:b/>
                <w:color w:val="auto"/>
              </w:rPr>
              <w:t>MONITORING AND ASSURANCE</w:t>
            </w:r>
            <w:r w:rsidRPr="00566BDC">
              <w:rPr>
                <w:b/>
                <w:color w:val="auto"/>
              </w:rPr>
              <w:t>:</w:t>
            </w:r>
            <w:r>
              <w:rPr>
                <w:b/>
                <w:color w:val="auto"/>
              </w:rPr>
              <w:t xml:space="preserve"> </w:t>
            </w:r>
          </w:p>
          <w:p w14:paraId="064FFC0C" w14:textId="77777777" w:rsidR="00C005E9" w:rsidRDefault="00C005E9" w:rsidP="0086751B">
            <w:pPr>
              <w:spacing w:after="0" w:line="240" w:lineRule="auto"/>
              <w:rPr>
                <w:i/>
                <w:iCs/>
                <w:color w:val="auto"/>
              </w:rPr>
            </w:pPr>
          </w:p>
          <w:p w14:paraId="46A7661B" w14:textId="77777777" w:rsidR="00043155" w:rsidRDefault="00946C3B" w:rsidP="00DA3FC6">
            <w:pPr>
              <w:spacing w:after="0" w:line="240" w:lineRule="auto"/>
              <w:rPr>
                <w:color w:val="auto"/>
              </w:rPr>
            </w:pPr>
            <w:r>
              <w:rPr>
                <w:color w:val="auto"/>
              </w:rPr>
              <w:t xml:space="preserve">Monitoring will be through the following routes which are detailed within the action plan: </w:t>
            </w:r>
          </w:p>
          <w:p w14:paraId="1398FA78" w14:textId="77777777" w:rsidR="00DA3FC6" w:rsidRDefault="00DA3FC6" w:rsidP="00DA3FC6">
            <w:pPr>
              <w:spacing w:after="0" w:line="240" w:lineRule="auto"/>
              <w:rPr>
                <w:color w:val="auto"/>
              </w:rPr>
            </w:pPr>
          </w:p>
          <w:p w14:paraId="0E2611C2" w14:textId="764504E9" w:rsidR="00DA3FC6" w:rsidRDefault="00DA3FC6" w:rsidP="002E48FC">
            <w:pPr>
              <w:pStyle w:val="ListParagraph"/>
              <w:numPr>
                <w:ilvl w:val="0"/>
                <w:numId w:val="12"/>
              </w:numPr>
              <w:spacing w:after="0" w:line="240" w:lineRule="auto"/>
              <w:ind w:left="447" w:hanging="425"/>
              <w:rPr>
                <w:color w:val="auto"/>
              </w:rPr>
            </w:pPr>
            <w:r>
              <w:rPr>
                <w:color w:val="auto"/>
              </w:rPr>
              <w:t>Review of progress towards actions every 8 weeks through the H</w:t>
            </w:r>
            <w:r w:rsidR="00B712D9">
              <w:rPr>
                <w:color w:val="auto"/>
              </w:rPr>
              <w:t xml:space="preserve">umber and North Yorkshire </w:t>
            </w:r>
            <w:r>
              <w:rPr>
                <w:color w:val="auto"/>
              </w:rPr>
              <w:t xml:space="preserve">Dementia Steering Group. </w:t>
            </w:r>
          </w:p>
          <w:p w14:paraId="55ABC527" w14:textId="77777777" w:rsidR="00DA3FC6" w:rsidRDefault="00F60AAE" w:rsidP="002E48FC">
            <w:pPr>
              <w:pStyle w:val="ListParagraph"/>
              <w:numPr>
                <w:ilvl w:val="0"/>
                <w:numId w:val="12"/>
              </w:numPr>
              <w:spacing w:after="0" w:line="240" w:lineRule="auto"/>
              <w:ind w:left="447" w:hanging="425"/>
              <w:rPr>
                <w:color w:val="auto"/>
              </w:rPr>
            </w:pPr>
            <w:r>
              <w:rPr>
                <w:color w:val="auto"/>
              </w:rPr>
              <w:t>Briefing paper</w:t>
            </w:r>
            <w:r w:rsidR="00E64638">
              <w:rPr>
                <w:color w:val="auto"/>
              </w:rPr>
              <w:t xml:space="preserve"> update</w:t>
            </w:r>
            <w:r>
              <w:rPr>
                <w:color w:val="auto"/>
              </w:rPr>
              <w:t xml:space="preserve"> to the MHLDA Collaborative Executive Strategic Leadership Group </w:t>
            </w:r>
            <w:r w:rsidR="00E64638">
              <w:rPr>
                <w:color w:val="auto"/>
              </w:rPr>
              <w:t xml:space="preserve">every six months. </w:t>
            </w:r>
          </w:p>
          <w:p w14:paraId="6B7FEF76" w14:textId="16EC4FF0" w:rsidR="00E64638" w:rsidRDefault="00E64638" w:rsidP="002E48FC">
            <w:pPr>
              <w:pStyle w:val="ListParagraph"/>
              <w:numPr>
                <w:ilvl w:val="0"/>
                <w:numId w:val="12"/>
              </w:numPr>
              <w:spacing w:after="0" w:line="240" w:lineRule="auto"/>
              <w:ind w:left="447" w:hanging="425"/>
              <w:rPr>
                <w:color w:val="auto"/>
              </w:rPr>
            </w:pPr>
            <w:r>
              <w:rPr>
                <w:color w:val="auto"/>
              </w:rPr>
              <w:t xml:space="preserve">Tracking though the Dementia </w:t>
            </w:r>
            <w:r w:rsidR="00F51912">
              <w:rPr>
                <w:color w:val="auto"/>
              </w:rPr>
              <w:t>P</w:t>
            </w:r>
            <w:r>
              <w:rPr>
                <w:color w:val="auto"/>
              </w:rPr>
              <w:t xml:space="preserve">rogramme </w:t>
            </w:r>
            <w:r w:rsidR="00F51912">
              <w:rPr>
                <w:color w:val="auto"/>
              </w:rPr>
              <w:t xml:space="preserve">risk register </w:t>
            </w:r>
            <w:r>
              <w:rPr>
                <w:color w:val="auto"/>
              </w:rPr>
              <w:t>and ICB risk register</w:t>
            </w:r>
            <w:r w:rsidR="00F51912">
              <w:rPr>
                <w:color w:val="auto"/>
              </w:rPr>
              <w:t xml:space="preserve"> – reviewed bi-monthly and as required. </w:t>
            </w:r>
          </w:p>
          <w:p w14:paraId="1F817E53" w14:textId="01855CDF" w:rsidR="00F51912" w:rsidRDefault="00A26C2A" w:rsidP="002E48FC">
            <w:pPr>
              <w:pStyle w:val="ListParagraph"/>
              <w:numPr>
                <w:ilvl w:val="0"/>
                <w:numId w:val="12"/>
              </w:numPr>
              <w:spacing w:after="0" w:line="240" w:lineRule="auto"/>
              <w:ind w:left="447" w:hanging="425"/>
              <w:rPr>
                <w:color w:val="auto"/>
              </w:rPr>
            </w:pPr>
            <w:r>
              <w:rPr>
                <w:color w:val="auto"/>
              </w:rPr>
              <w:t>Monthly monitoring of memory service referrals, waiting list times, and dementia diagnosis rates via the</w:t>
            </w:r>
            <w:r w:rsidR="00AF39E9">
              <w:rPr>
                <w:color w:val="auto"/>
              </w:rPr>
              <w:t xml:space="preserve"> Humber and North Yorkshire </w:t>
            </w:r>
            <w:r>
              <w:rPr>
                <w:color w:val="auto"/>
              </w:rPr>
              <w:t>Dementia dashboard (on Epiphany)</w:t>
            </w:r>
            <w:r w:rsidR="002B28CF">
              <w:rPr>
                <w:color w:val="auto"/>
              </w:rPr>
              <w:t>. Performance varies significantly across H</w:t>
            </w:r>
            <w:r w:rsidR="00AF39E9">
              <w:rPr>
                <w:color w:val="auto"/>
              </w:rPr>
              <w:t xml:space="preserve">umber and North Yorkshire </w:t>
            </w:r>
            <w:r w:rsidR="002B28CF">
              <w:rPr>
                <w:color w:val="auto"/>
              </w:rPr>
              <w:t>and all partners are working to develop a ‘core offer’ which reflects best practice guidance</w:t>
            </w:r>
            <w:r w:rsidR="00A9015C">
              <w:rPr>
                <w:color w:val="auto"/>
              </w:rPr>
              <w:t xml:space="preserve">. </w:t>
            </w:r>
          </w:p>
          <w:p w14:paraId="7C34D812" w14:textId="6AF36B2A" w:rsidR="00A9015C" w:rsidRDefault="008567D9" w:rsidP="002E48FC">
            <w:pPr>
              <w:pStyle w:val="ListParagraph"/>
              <w:numPr>
                <w:ilvl w:val="0"/>
                <w:numId w:val="12"/>
              </w:numPr>
              <w:spacing w:after="0" w:line="240" w:lineRule="auto"/>
              <w:ind w:left="447" w:hanging="425"/>
              <w:rPr>
                <w:color w:val="auto"/>
              </w:rPr>
            </w:pPr>
            <w:r>
              <w:rPr>
                <w:color w:val="auto"/>
              </w:rPr>
              <w:lastRenderedPageBreak/>
              <w:t>Quarterly</w:t>
            </w:r>
            <w:r w:rsidR="00A9015C">
              <w:rPr>
                <w:color w:val="auto"/>
              </w:rPr>
              <w:t xml:space="preserve"> Assurance Return to NHSE.</w:t>
            </w:r>
          </w:p>
          <w:p w14:paraId="04310435" w14:textId="7994B3B9" w:rsidR="008567D9" w:rsidRDefault="00095429" w:rsidP="002E48FC">
            <w:pPr>
              <w:pStyle w:val="ListParagraph"/>
              <w:numPr>
                <w:ilvl w:val="0"/>
                <w:numId w:val="12"/>
              </w:numPr>
              <w:spacing w:after="0" w:line="240" w:lineRule="auto"/>
              <w:ind w:left="447" w:hanging="425"/>
              <w:rPr>
                <w:color w:val="auto"/>
              </w:rPr>
            </w:pPr>
            <w:r>
              <w:rPr>
                <w:color w:val="auto"/>
              </w:rPr>
              <w:t>Performance</w:t>
            </w:r>
            <w:r w:rsidR="00940E22">
              <w:rPr>
                <w:color w:val="auto"/>
              </w:rPr>
              <w:t xml:space="preserve"> updates on a regular basis via the System Oversight and Assurance Group. </w:t>
            </w:r>
          </w:p>
          <w:p w14:paraId="0FB18C5C" w14:textId="77777777" w:rsidR="00940E22" w:rsidRDefault="00940E22" w:rsidP="002E48FC">
            <w:pPr>
              <w:pStyle w:val="ListParagraph"/>
              <w:numPr>
                <w:ilvl w:val="0"/>
                <w:numId w:val="12"/>
              </w:numPr>
              <w:spacing w:after="0" w:line="240" w:lineRule="auto"/>
              <w:ind w:left="447" w:hanging="425"/>
              <w:rPr>
                <w:color w:val="auto"/>
              </w:rPr>
            </w:pPr>
            <w:r>
              <w:rPr>
                <w:color w:val="auto"/>
              </w:rPr>
              <w:t xml:space="preserve">Monthly highlight reports to the </w:t>
            </w:r>
            <w:r w:rsidR="00095429">
              <w:rPr>
                <w:color w:val="auto"/>
              </w:rPr>
              <w:t xml:space="preserve">UEC Programme ‘Additional Workstreams’ group. </w:t>
            </w:r>
          </w:p>
          <w:p w14:paraId="27575B42" w14:textId="77777777" w:rsidR="00095429" w:rsidRDefault="00095429" w:rsidP="002E48FC">
            <w:pPr>
              <w:pStyle w:val="ListParagraph"/>
              <w:spacing w:after="0" w:line="240" w:lineRule="auto"/>
              <w:ind w:left="447" w:hanging="425"/>
              <w:rPr>
                <w:color w:val="auto"/>
              </w:rPr>
            </w:pPr>
          </w:p>
          <w:p w14:paraId="1975A57D" w14:textId="14CC913E" w:rsidR="00F83AFB" w:rsidRDefault="00F83AFB" w:rsidP="00F83AFB">
            <w:pPr>
              <w:spacing w:after="0" w:line="240" w:lineRule="auto"/>
              <w:rPr>
                <w:color w:val="auto"/>
              </w:rPr>
            </w:pPr>
            <w:r>
              <w:rPr>
                <w:color w:val="auto"/>
              </w:rPr>
              <w:t xml:space="preserve">Additional routes to monitor quality and lived experience include: </w:t>
            </w:r>
          </w:p>
          <w:p w14:paraId="41E17FBB" w14:textId="6358AD61" w:rsidR="00F83AFB" w:rsidRDefault="00BC036E" w:rsidP="002E48FC">
            <w:pPr>
              <w:pStyle w:val="ListParagraph"/>
              <w:numPr>
                <w:ilvl w:val="0"/>
                <w:numId w:val="13"/>
              </w:numPr>
              <w:spacing w:after="0" w:line="240" w:lineRule="auto"/>
              <w:ind w:left="448" w:hanging="425"/>
              <w:rPr>
                <w:color w:val="auto"/>
              </w:rPr>
            </w:pPr>
            <w:r>
              <w:rPr>
                <w:color w:val="auto"/>
              </w:rPr>
              <w:t xml:space="preserve">Continued engagement </w:t>
            </w:r>
            <w:r w:rsidR="00C403E6">
              <w:rPr>
                <w:color w:val="auto"/>
              </w:rPr>
              <w:t xml:space="preserve">with local lived experience groups and individuals, including under-represented groups. </w:t>
            </w:r>
          </w:p>
          <w:p w14:paraId="14BF26E2" w14:textId="61AB6888" w:rsidR="00C403E6" w:rsidRDefault="00C403E6" w:rsidP="002E48FC">
            <w:pPr>
              <w:pStyle w:val="ListParagraph"/>
              <w:numPr>
                <w:ilvl w:val="0"/>
                <w:numId w:val="13"/>
              </w:numPr>
              <w:spacing w:after="0" w:line="240" w:lineRule="auto"/>
              <w:ind w:left="448" w:hanging="425"/>
              <w:rPr>
                <w:color w:val="auto"/>
              </w:rPr>
            </w:pPr>
            <w:r>
              <w:rPr>
                <w:color w:val="auto"/>
              </w:rPr>
              <w:t xml:space="preserve">Feedback from lived experience/engagement leads. </w:t>
            </w:r>
          </w:p>
          <w:p w14:paraId="39DF8732" w14:textId="27833B01" w:rsidR="00C403E6" w:rsidRDefault="00C403E6" w:rsidP="002E48FC">
            <w:pPr>
              <w:pStyle w:val="ListParagraph"/>
              <w:numPr>
                <w:ilvl w:val="0"/>
                <w:numId w:val="13"/>
              </w:numPr>
              <w:spacing w:after="0" w:line="240" w:lineRule="auto"/>
              <w:ind w:left="448" w:hanging="425"/>
              <w:rPr>
                <w:color w:val="auto"/>
              </w:rPr>
            </w:pPr>
            <w:r>
              <w:rPr>
                <w:color w:val="auto"/>
              </w:rPr>
              <w:t xml:space="preserve">Intelligence reports </w:t>
            </w:r>
            <w:r w:rsidR="009F0947">
              <w:rPr>
                <w:color w:val="auto"/>
              </w:rPr>
              <w:t>–</w:t>
            </w:r>
            <w:r>
              <w:rPr>
                <w:color w:val="auto"/>
              </w:rPr>
              <w:t xml:space="preserve"> PALS</w:t>
            </w:r>
            <w:r w:rsidR="009F0947">
              <w:rPr>
                <w:color w:val="auto"/>
              </w:rPr>
              <w:t xml:space="preserve">, Greatix/Datix/Healthwatch Reports). </w:t>
            </w:r>
          </w:p>
          <w:p w14:paraId="45C884B7" w14:textId="0D01E245" w:rsidR="009F0947" w:rsidRDefault="009F0947" w:rsidP="002E48FC">
            <w:pPr>
              <w:pStyle w:val="ListParagraph"/>
              <w:numPr>
                <w:ilvl w:val="0"/>
                <w:numId w:val="13"/>
              </w:numPr>
              <w:spacing w:after="0" w:line="240" w:lineRule="auto"/>
              <w:ind w:left="448" w:hanging="425"/>
              <w:rPr>
                <w:color w:val="auto"/>
              </w:rPr>
            </w:pPr>
            <w:r>
              <w:rPr>
                <w:color w:val="auto"/>
              </w:rPr>
              <w:t>Direct feedback to the H</w:t>
            </w:r>
            <w:r w:rsidR="00AF39E9">
              <w:rPr>
                <w:color w:val="auto"/>
              </w:rPr>
              <w:t xml:space="preserve">umber and North Yorkshire </w:t>
            </w:r>
            <w:r>
              <w:rPr>
                <w:color w:val="auto"/>
              </w:rPr>
              <w:t xml:space="preserve">Dementia Programme inbox. </w:t>
            </w:r>
          </w:p>
          <w:p w14:paraId="01A10592" w14:textId="7C6967CC" w:rsidR="009F0947" w:rsidRPr="00F83AFB" w:rsidRDefault="008D1F6D" w:rsidP="002E48FC">
            <w:pPr>
              <w:pStyle w:val="ListParagraph"/>
              <w:numPr>
                <w:ilvl w:val="0"/>
                <w:numId w:val="13"/>
              </w:numPr>
              <w:spacing w:after="0" w:line="240" w:lineRule="auto"/>
              <w:ind w:left="447" w:hanging="425"/>
              <w:rPr>
                <w:color w:val="auto"/>
              </w:rPr>
            </w:pPr>
            <w:r>
              <w:rPr>
                <w:color w:val="auto"/>
              </w:rPr>
              <w:t>Six weekly review of feedback from all of the above.</w:t>
            </w:r>
          </w:p>
          <w:p w14:paraId="5FEC0180" w14:textId="4C47FB9A" w:rsidR="00F83AFB" w:rsidRPr="00F83AFB" w:rsidRDefault="00F83AFB" w:rsidP="00F83AFB">
            <w:pPr>
              <w:spacing w:after="0" w:line="240" w:lineRule="auto"/>
              <w:rPr>
                <w:color w:val="auto"/>
              </w:rPr>
            </w:pPr>
          </w:p>
        </w:tc>
      </w:tr>
    </w:tbl>
    <w:p w14:paraId="489916CB" w14:textId="39492D09" w:rsidR="00043155" w:rsidRDefault="00043155" w:rsidP="0010586B">
      <w:pPr>
        <w:spacing w:after="0" w:line="120" w:lineRule="auto"/>
        <w:rPr>
          <w:color w:val="auto"/>
        </w:rPr>
      </w:pPr>
    </w:p>
    <w:tbl>
      <w:tblPr>
        <w:tblStyle w:val="TableGrid"/>
        <w:tblW w:w="0" w:type="auto"/>
        <w:tblLook w:val="04A0" w:firstRow="1" w:lastRow="0" w:firstColumn="1" w:lastColumn="0" w:noHBand="0" w:noVBand="1"/>
      </w:tblPr>
      <w:tblGrid>
        <w:gridCol w:w="9608"/>
      </w:tblGrid>
      <w:tr w:rsidR="00880E9F" w:rsidRPr="00566BDC" w14:paraId="7F94535B" w14:textId="77777777" w:rsidTr="006C1E7A">
        <w:tc>
          <w:tcPr>
            <w:tcW w:w="9608" w:type="dxa"/>
            <w:tcBorders>
              <w:top w:val="double" w:sz="4" w:space="0" w:color="auto"/>
              <w:left w:val="double" w:sz="4" w:space="0" w:color="auto"/>
              <w:bottom w:val="double" w:sz="4" w:space="0" w:color="auto"/>
              <w:right w:val="double" w:sz="4" w:space="0" w:color="auto"/>
            </w:tcBorders>
          </w:tcPr>
          <w:p w14:paraId="3584EAEA" w14:textId="77777777" w:rsidR="00566BDC" w:rsidRPr="00566BDC" w:rsidRDefault="00566BDC" w:rsidP="00566BDC">
            <w:pPr>
              <w:spacing w:after="0" w:line="240" w:lineRule="auto"/>
              <w:rPr>
                <w:b/>
                <w:color w:val="auto"/>
              </w:rPr>
            </w:pPr>
            <w:bookmarkStart w:id="4" w:name="_Hlk106098484"/>
          </w:p>
          <w:p w14:paraId="4734DBB0" w14:textId="0C89B4E7" w:rsidR="00880E9F" w:rsidRDefault="00880E9F" w:rsidP="002B4676">
            <w:pPr>
              <w:spacing w:after="0" w:line="240" w:lineRule="auto"/>
              <w:rPr>
                <w:i/>
                <w:iCs/>
                <w:color w:val="auto"/>
                <w:sz w:val="20"/>
                <w:szCs w:val="20"/>
              </w:rPr>
            </w:pPr>
            <w:r w:rsidRPr="00566BDC">
              <w:rPr>
                <w:b/>
                <w:color w:val="auto"/>
              </w:rPr>
              <w:t>ENGAGEMENT:</w:t>
            </w:r>
            <w:r w:rsidRPr="00566BDC">
              <w:rPr>
                <w:color w:val="auto"/>
              </w:rPr>
              <w:t xml:space="preserve"> </w:t>
            </w:r>
          </w:p>
          <w:p w14:paraId="46CC91D2" w14:textId="77777777" w:rsidR="008223F8" w:rsidRDefault="008223F8" w:rsidP="002B4676">
            <w:pPr>
              <w:spacing w:after="0" w:line="240" w:lineRule="auto"/>
              <w:rPr>
                <w:i/>
                <w:iCs/>
                <w:color w:val="auto"/>
                <w:sz w:val="20"/>
                <w:szCs w:val="20"/>
              </w:rPr>
            </w:pPr>
          </w:p>
          <w:p w14:paraId="251A6F4B" w14:textId="61C6E3A3" w:rsidR="003F0225" w:rsidRDefault="003F0225" w:rsidP="002E48FC">
            <w:pPr>
              <w:spacing w:after="0" w:line="240" w:lineRule="auto"/>
              <w:rPr>
                <w:color w:val="auto"/>
              </w:rPr>
            </w:pPr>
            <w:r w:rsidRPr="003F0225">
              <w:rPr>
                <w:color w:val="auto"/>
              </w:rPr>
              <w:t>Throughout the 15 months from July 2023 to September 2024, the H</w:t>
            </w:r>
            <w:r w:rsidR="00AF39E9">
              <w:rPr>
                <w:color w:val="auto"/>
              </w:rPr>
              <w:t xml:space="preserve">umber and North Yorkshire  </w:t>
            </w:r>
            <w:r w:rsidRPr="003F0225">
              <w:rPr>
                <w:color w:val="auto"/>
              </w:rPr>
              <w:t xml:space="preserve">Dementia </w:t>
            </w:r>
            <w:r>
              <w:rPr>
                <w:color w:val="auto"/>
              </w:rPr>
              <w:t>five-year plan</w:t>
            </w:r>
            <w:r w:rsidRPr="003F0225">
              <w:rPr>
                <w:color w:val="auto"/>
              </w:rPr>
              <w:t xml:space="preserve"> has been cocreated with significant involvement of people with lived experience. The</w:t>
            </w:r>
            <w:r w:rsidR="00BC4511">
              <w:rPr>
                <w:color w:val="auto"/>
              </w:rPr>
              <w:t xml:space="preserve"> plan</w:t>
            </w:r>
            <w:r w:rsidRPr="00F94AEB">
              <w:t xml:space="preserve"> </w:t>
            </w:r>
            <w:r w:rsidRPr="003F0225">
              <w:rPr>
                <w:color w:val="auto"/>
              </w:rPr>
              <w:t xml:space="preserve">has been developed in partnership with people living with dementia, their families and care partners, VCSE organisations, mental health providers, acute trust providers, primary care services, local authority, hospices, and Place colleagues, across Humber and North Yorkshire. </w:t>
            </w:r>
          </w:p>
          <w:p w14:paraId="2260FE0C" w14:textId="77777777" w:rsidR="006C71BB" w:rsidRPr="003F0225" w:rsidRDefault="006C71BB" w:rsidP="002E48FC">
            <w:pPr>
              <w:spacing w:after="0" w:line="240" w:lineRule="auto"/>
              <w:rPr>
                <w:color w:val="auto"/>
              </w:rPr>
            </w:pPr>
          </w:p>
          <w:p w14:paraId="022C4945" w14:textId="054F1FE4" w:rsidR="003F0225" w:rsidRPr="003F0225" w:rsidRDefault="003F0225" w:rsidP="002E48FC">
            <w:pPr>
              <w:spacing w:after="0" w:line="240" w:lineRule="auto"/>
              <w:rPr>
                <w:color w:val="auto"/>
              </w:rPr>
            </w:pPr>
            <w:r w:rsidRPr="003F0225">
              <w:rPr>
                <w:color w:val="auto"/>
              </w:rPr>
              <w:t xml:space="preserve">The title of the </w:t>
            </w:r>
            <w:r>
              <w:rPr>
                <w:color w:val="auto"/>
              </w:rPr>
              <w:t>plan</w:t>
            </w:r>
            <w:r w:rsidRPr="003F0225">
              <w:rPr>
                <w:color w:val="auto"/>
              </w:rPr>
              <w:t xml:space="preserve"> encompasses the broader vision of ‘Hope of a Life Still to be Lived’ and was named by the late Dr Wendy Mitchell BEM during the earlier stages of the</w:t>
            </w:r>
            <w:r w:rsidR="00BC4511">
              <w:rPr>
                <w:color w:val="auto"/>
              </w:rPr>
              <w:t xml:space="preserve"> plan </w:t>
            </w:r>
            <w:r w:rsidRPr="003F0225">
              <w:rPr>
                <w:color w:val="auto"/>
              </w:rPr>
              <w:t xml:space="preserve">development. </w:t>
            </w:r>
          </w:p>
          <w:p w14:paraId="3639E367" w14:textId="77777777" w:rsidR="006C71BB" w:rsidRDefault="006C71BB" w:rsidP="002E48FC">
            <w:pPr>
              <w:spacing w:after="0" w:line="240" w:lineRule="auto"/>
              <w:rPr>
                <w:color w:val="auto"/>
              </w:rPr>
            </w:pPr>
          </w:p>
          <w:p w14:paraId="7803984E" w14:textId="7DFEE23B" w:rsidR="003F0225" w:rsidRDefault="003F0225" w:rsidP="002E48FC">
            <w:pPr>
              <w:spacing w:after="0" w:line="240" w:lineRule="auto"/>
              <w:rPr>
                <w:color w:val="auto"/>
              </w:rPr>
            </w:pPr>
            <w:r w:rsidRPr="003F0225">
              <w:rPr>
                <w:color w:val="auto"/>
              </w:rPr>
              <w:t xml:space="preserve">Comprehensive engagement has been held to develop the final five-year </w:t>
            </w:r>
            <w:r>
              <w:rPr>
                <w:color w:val="auto"/>
              </w:rPr>
              <w:t>plan</w:t>
            </w:r>
            <w:r w:rsidRPr="003F0225">
              <w:rPr>
                <w:color w:val="auto"/>
              </w:rPr>
              <w:t xml:space="preserve"> which includes an annual review of the action plan. Engagement methods and sources of information have included:</w:t>
            </w:r>
          </w:p>
          <w:p w14:paraId="02F79C79" w14:textId="77777777" w:rsidR="002E48FC" w:rsidRPr="003F0225" w:rsidRDefault="002E48FC" w:rsidP="002E48FC">
            <w:pPr>
              <w:spacing w:after="0" w:line="240" w:lineRule="auto"/>
              <w:rPr>
                <w:color w:val="auto"/>
              </w:rPr>
            </w:pPr>
          </w:p>
          <w:p w14:paraId="3CF6EA0A" w14:textId="77777777" w:rsidR="003F0225" w:rsidRPr="003F0225" w:rsidRDefault="003F0225" w:rsidP="002E48FC">
            <w:pPr>
              <w:numPr>
                <w:ilvl w:val="0"/>
                <w:numId w:val="8"/>
              </w:numPr>
              <w:tabs>
                <w:tab w:val="clear" w:pos="12"/>
              </w:tabs>
              <w:spacing w:after="0" w:line="240" w:lineRule="auto"/>
              <w:ind w:left="447" w:hanging="425"/>
              <w:rPr>
                <w:color w:val="auto"/>
              </w:rPr>
            </w:pPr>
            <w:r w:rsidRPr="003F0225">
              <w:rPr>
                <w:color w:val="auto"/>
                <w:lang w:val="en-US"/>
              </w:rPr>
              <w:t>Workshops</w:t>
            </w:r>
          </w:p>
          <w:p w14:paraId="677D5C38" w14:textId="1E08781E" w:rsidR="003F0225" w:rsidRPr="003F0225" w:rsidRDefault="003F0225" w:rsidP="002E48FC">
            <w:pPr>
              <w:numPr>
                <w:ilvl w:val="0"/>
                <w:numId w:val="8"/>
              </w:numPr>
              <w:tabs>
                <w:tab w:val="clear" w:pos="12"/>
              </w:tabs>
              <w:spacing w:after="0" w:line="240" w:lineRule="auto"/>
              <w:ind w:left="447" w:hanging="425"/>
              <w:rPr>
                <w:color w:val="auto"/>
              </w:rPr>
            </w:pPr>
            <w:r w:rsidRPr="003F0225">
              <w:rPr>
                <w:color w:val="auto"/>
                <w:lang w:val="en-US"/>
              </w:rPr>
              <w:t>H</w:t>
            </w:r>
            <w:r w:rsidR="00AF39E9">
              <w:rPr>
                <w:color w:val="auto"/>
                <w:lang w:val="en-US"/>
              </w:rPr>
              <w:t xml:space="preserve">umber and North Yorkshire </w:t>
            </w:r>
            <w:r w:rsidRPr="003F0225">
              <w:rPr>
                <w:color w:val="auto"/>
                <w:lang w:val="en-US"/>
              </w:rPr>
              <w:t>Dementia Steering Group</w:t>
            </w:r>
          </w:p>
          <w:p w14:paraId="4F47C156" w14:textId="77777777" w:rsidR="003F0225" w:rsidRPr="003F0225" w:rsidRDefault="003F0225" w:rsidP="002E48FC">
            <w:pPr>
              <w:numPr>
                <w:ilvl w:val="0"/>
                <w:numId w:val="8"/>
              </w:numPr>
              <w:tabs>
                <w:tab w:val="clear" w:pos="12"/>
              </w:tabs>
              <w:spacing w:after="0" w:line="240" w:lineRule="auto"/>
              <w:ind w:left="447" w:hanging="425"/>
              <w:rPr>
                <w:color w:val="auto"/>
              </w:rPr>
            </w:pPr>
            <w:r w:rsidRPr="003F0225">
              <w:rPr>
                <w:color w:val="auto"/>
                <w:lang w:val="en-US"/>
              </w:rPr>
              <w:t>Listening sessions</w:t>
            </w:r>
          </w:p>
          <w:p w14:paraId="0ED0D6CA" w14:textId="77777777" w:rsidR="003F0225" w:rsidRPr="003F0225" w:rsidRDefault="003F0225" w:rsidP="002E48FC">
            <w:pPr>
              <w:numPr>
                <w:ilvl w:val="0"/>
                <w:numId w:val="8"/>
              </w:numPr>
              <w:tabs>
                <w:tab w:val="clear" w:pos="12"/>
              </w:tabs>
              <w:spacing w:after="0" w:line="240" w:lineRule="auto"/>
              <w:ind w:left="447" w:hanging="425"/>
              <w:rPr>
                <w:color w:val="auto"/>
              </w:rPr>
            </w:pPr>
            <w:r w:rsidRPr="003F0225">
              <w:rPr>
                <w:color w:val="auto"/>
                <w:lang w:val="en-US"/>
              </w:rPr>
              <w:t>Conference</w:t>
            </w:r>
          </w:p>
          <w:p w14:paraId="7CCCAEFD" w14:textId="77777777" w:rsidR="003F0225" w:rsidRPr="003F0225" w:rsidRDefault="003F0225" w:rsidP="002E48FC">
            <w:pPr>
              <w:numPr>
                <w:ilvl w:val="0"/>
                <w:numId w:val="8"/>
              </w:numPr>
              <w:tabs>
                <w:tab w:val="clear" w:pos="12"/>
              </w:tabs>
              <w:spacing w:after="0" w:line="240" w:lineRule="auto"/>
              <w:ind w:left="447" w:hanging="425"/>
              <w:rPr>
                <w:color w:val="auto"/>
              </w:rPr>
            </w:pPr>
            <w:r w:rsidRPr="003F0225">
              <w:rPr>
                <w:color w:val="auto"/>
                <w:lang w:val="en-US"/>
              </w:rPr>
              <w:t>Survey</w:t>
            </w:r>
          </w:p>
          <w:p w14:paraId="5362152C" w14:textId="77777777" w:rsidR="003F0225" w:rsidRPr="003F0225" w:rsidRDefault="003F0225" w:rsidP="002E48FC">
            <w:pPr>
              <w:numPr>
                <w:ilvl w:val="0"/>
                <w:numId w:val="8"/>
              </w:numPr>
              <w:tabs>
                <w:tab w:val="clear" w:pos="12"/>
              </w:tabs>
              <w:spacing w:after="0" w:line="240" w:lineRule="auto"/>
              <w:ind w:left="447" w:hanging="425"/>
              <w:rPr>
                <w:color w:val="auto"/>
              </w:rPr>
            </w:pPr>
            <w:r w:rsidRPr="003F0225">
              <w:rPr>
                <w:color w:val="auto"/>
                <w:lang w:val="en-US"/>
              </w:rPr>
              <w:t>The Big Chatty Bus</w:t>
            </w:r>
          </w:p>
          <w:p w14:paraId="74D31D29" w14:textId="77777777" w:rsidR="003F0225" w:rsidRPr="003F0225" w:rsidRDefault="003F0225" w:rsidP="002E48FC">
            <w:pPr>
              <w:numPr>
                <w:ilvl w:val="0"/>
                <w:numId w:val="8"/>
              </w:numPr>
              <w:tabs>
                <w:tab w:val="clear" w:pos="12"/>
              </w:tabs>
              <w:spacing w:after="0" w:line="240" w:lineRule="auto"/>
              <w:ind w:left="447" w:hanging="425"/>
              <w:rPr>
                <w:color w:val="auto"/>
              </w:rPr>
            </w:pPr>
            <w:r w:rsidRPr="003F0225">
              <w:rPr>
                <w:color w:val="auto"/>
              </w:rPr>
              <w:t>Intelligence reports such as Healthwatch insight reports, Carnall Farrar economic reports.</w:t>
            </w:r>
          </w:p>
          <w:p w14:paraId="6212A87A" w14:textId="77777777" w:rsidR="003F0225" w:rsidRPr="003F0225" w:rsidRDefault="003F0225" w:rsidP="002E48FC">
            <w:pPr>
              <w:numPr>
                <w:ilvl w:val="0"/>
                <w:numId w:val="8"/>
              </w:numPr>
              <w:tabs>
                <w:tab w:val="clear" w:pos="12"/>
              </w:tabs>
              <w:spacing w:after="0" w:line="240" w:lineRule="auto"/>
              <w:ind w:left="447" w:hanging="425"/>
              <w:rPr>
                <w:color w:val="auto"/>
              </w:rPr>
            </w:pPr>
            <w:r w:rsidRPr="003F0225">
              <w:rPr>
                <w:color w:val="auto"/>
              </w:rPr>
              <w:t xml:space="preserve">National policy including the NHS Long Term Plan, NICE Guidance on dementia, NHSE System Readiness for Disease Modifying Treatments. </w:t>
            </w:r>
          </w:p>
          <w:p w14:paraId="00D63075" w14:textId="77777777" w:rsidR="003F0225" w:rsidRPr="003F0225" w:rsidRDefault="003F0225" w:rsidP="002E48FC">
            <w:pPr>
              <w:numPr>
                <w:ilvl w:val="0"/>
                <w:numId w:val="8"/>
              </w:numPr>
              <w:tabs>
                <w:tab w:val="clear" w:pos="12"/>
              </w:tabs>
              <w:spacing w:after="0" w:line="240" w:lineRule="auto"/>
              <w:ind w:left="447" w:hanging="425"/>
              <w:rPr>
                <w:color w:val="auto"/>
              </w:rPr>
            </w:pPr>
            <w:r w:rsidRPr="003F0225">
              <w:rPr>
                <w:color w:val="auto"/>
              </w:rPr>
              <w:t>Communities of Practice</w:t>
            </w:r>
          </w:p>
          <w:p w14:paraId="340DADB4" w14:textId="77777777" w:rsidR="003F0225" w:rsidRPr="003F0225" w:rsidRDefault="003F0225" w:rsidP="002E48FC">
            <w:pPr>
              <w:numPr>
                <w:ilvl w:val="0"/>
                <w:numId w:val="8"/>
              </w:numPr>
              <w:tabs>
                <w:tab w:val="clear" w:pos="12"/>
              </w:tabs>
              <w:spacing w:after="0" w:line="240" w:lineRule="auto"/>
              <w:ind w:left="447" w:hanging="425"/>
              <w:rPr>
                <w:color w:val="auto"/>
              </w:rPr>
            </w:pPr>
            <w:r w:rsidRPr="003F0225">
              <w:rPr>
                <w:color w:val="auto"/>
              </w:rPr>
              <w:t>Research</w:t>
            </w:r>
          </w:p>
          <w:p w14:paraId="0BCDAAE3" w14:textId="77777777" w:rsidR="003F0225" w:rsidRPr="003F0225" w:rsidRDefault="003F0225" w:rsidP="002E48FC">
            <w:pPr>
              <w:numPr>
                <w:ilvl w:val="0"/>
                <w:numId w:val="8"/>
              </w:numPr>
              <w:tabs>
                <w:tab w:val="clear" w:pos="12"/>
              </w:tabs>
              <w:spacing w:after="0" w:line="240" w:lineRule="auto"/>
              <w:ind w:left="447" w:hanging="425"/>
              <w:rPr>
                <w:color w:val="auto"/>
              </w:rPr>
            </w:pPr>
            <w:r w:rsidRPr="003F0225">
              <w:rPr>
                <w:color w:val="auto"/>
              </w:rPr>
              <w:t>Lived experience groups</w:t>
            </w:r>
          </w:p>
          <w:p w14:paraId="17C7E249" w14:textId="77777777" w:rsidR="003F0225" w:rsidRPr="003F0225" w:rsidRDefault="003F0225" w:rsidP="002E48FC">
            <w:pPr>
              <w:numPr>
                <w:ilvl w:val="0"/>
                <w:numId w:val="8"/>
              </w:numPr>
              <w:tabs>
                <w:tab w:val="clear" w:pos="12"/>
              </w:tabs>
              <w:spacing w:after="0" w:line="240" w:lineRule="auto"/>
              <w:ind w:left="447" w:hanging="425"/>
              <w:rPr>
                <w:color w:val="auto"/>
              </w:rPr>
            </w:pPr>
            <w:r w:rsidRPr="003F0225">
              <w:rPr>
                <w:color w:val="auto"/>
              </w:rPr>
              <w:t>Dementia Advisory Board</w:t>
            </w:r>
          </w:p>
          <w:p w14:paraId="5BAEDEE6" w14:textId="50D24A5C" w:rsidR="008223F8" w:rsidRDefault="003F0225" w:rsidP="002E48FC">
            <w:pPr>
              <w:numPr>
                <w:ilvl w:val="0"/>
                <w:numId w:val="8"/>
              </w:numPr>
              <w:tabs>
                <w:tab w:val="clear" w:pos="12"/>
              </w:tabs>
              <w:spacing w:after="0" w:line="240" w:lineRule="auto"/>
              <w:ind w:left="447" w:hanging="425"/>
              <w:rPr>
                <w:color w:val="auto"/>
              </w:rPr>
            </w:pPr>
            <w:r w:rsidRPr="003F0225">
              <w:rPr>
                <w:color w:val="auto"/>
              </w:rPr>
              <w:t>H</w:t>
            </w:r>
            <w:r w:rsidR="00AF39E9">
              <w:rPr>
                <w:color w:val="auto"/>
              </w:rPr>
              <w:t xml:space="preserve">umber and North Yorkshire </w:t>
            </w:r>
            <w:r w:rsidRPr="003F0225">
              <w:rPr>
                <w:color w:val="auto"/>
              </w:rPr>
              <w:t>Dementia Dashboard</w:t>
            </w:r>
          </w:p>
          <w:p w14:paraId="0E7BDCE6" w14:textId="77777777" w:rsidR="002E48FC" w:rsidRPr="003F0225" w:rsidRDefault="002E48FC" w:rsidP="002E48FC">
            <w:pPr>
              <w:spacing w:after="0" w:line="240" w:lineRule="auto"/>
              <w:ind w:left="447"/>
              <w:rPr>
                <w:color w:val="auto"/>
              </w:rPr>
            </w:pPr>
          </w:p>
          <w:p w14:paraId="600DB045" w14:textId="77777777" w:rsidR="00814377" w:rsidRPr="00196C9C" w:rsidRDefault="00814377" w:rsidP="002E48FC">
            <w:pPr>
              <w:spacing w:after="0" w:line="240" w:lineRule="auto"/>
              <w:rPr>
                <w:color w:val="auto"/>
              </w:rPr>
            </w:pPr>
            <w:r w:rsidRPr="00196C9C">
              <w:rPr>
                <w:color w:val="auto"/>
              </w:rPr>
              <w:t xml:space="preserve">The dementia programme has an established workstream that is focussed on understanding the current and future needs of our population and is informed by a monthly dementia data dashboard to ensure interventions are fit for local need. </w:t>
            </w:r>
          </w:p>
          <w:p w14:paraId="72F60047" w14:textId="77777777" w:rsidR="002E48FC" w:rsidRDefault="002E48FC" w:rsidP="002E48FC">
            <w:pPr>
              <w:spacing w:after="0" w:line="240" w:lineRule="auto"/>
              <w:rPr>
                <w:color w:val="auto"/>
              </w:rPr>
            </w:pPr>
          </w:p>
          <w:p w14:paraId="561688AB" w14:textId="1504A9B8" w:rsidR="00196C9C" w:rsidRDefault="00196C9C" w:rsidP="002E48FC">
            <w:pPr>
              <w:spacing w:after="0" w:line="240" w:lineRule="auto"/>
              <w:rPr>
                <w:color w:val="auto"/>
              </w:rPr>
            </w:pPr>
            <w:r w:rsidRPr="00196C9C">
              <w:rPr>
                <w:color w:val="auto"/>
              </w:rPr>
              <w:t>The</w:t>
            </w:r>
            <w:r w:rsidR="00BC4511">
              <w:rPr>
                <w:color w:val="auto"/>
              </w:rPr>
              <w:t xml:space="preserve"> plan</w:t>
            </w:r>
            <w:r w:rsidRPr="00196C9C">
              <w:rPr>
                <w:color w:val="auto"/>
              </w:rPr>
              <w:t xml:space="preserve"> has been written in accordance with the Innovations in Dementia guidance on how to write and produce accessible information for people with dementia and has been reviewed by the Healthwatch Read Right Panel for accessibility. </w:t>
            </w:r>
          </w:p>
          <w:p w14:paraId="2325D2D8" w14:textId="77777777" w:rsidR="002E48FC" w:rsidRPr="00196C9C" w:rsidRDefault="002E48FC" w:rsidP="002E48FC">
            <w:pPr>
              <w:spacing w:after="0" w:line="240" w:lineRule="auto"/>
              <w:rPr>
                <w:color w:val="auto"/>
              </w:rPr>
            </w:pPr>
          </w:p>
          <w:p w14:paraId="02D6A569" w14:textId="53378AFB" w:rsidR="002E48FC" w:rsidRPr="00566BDC" w:rsidRDefault="00196C9C" w:rsidP="002E48FC">
            <w:pPr>
              <w:spacing w:after="0" w:line="240" w:lineRule="auto"/>
              <w:rPr>
                <w:color w:val="auto"/>
              </w:rPr>
            </w:pPr>
            <w:r w:rsidRPr="00196C9C">
              <w:rPr>
                <w:color w:val="auto"/>
              </w:rPr>
              <w:t>We are aiming to launch the</w:t>
            </w:r>
            <w:r w:rsidR="00BC4511">
              <w:rPr>
                <w:color w:val="auto"/>
              </w:rPr>
              <w:t xml:space="preserve"> plan</w:t>
            </w:r>
            <w:r w:rsidRPr="00196C9C">
              <w:rPr>
                <w:color w:val="auto"/>
              </w:rPr>
              <w:t xml:space="preserve"> in November 2024 in line with our annual conference and seek approval from the ICB Board to do so. The NHSE regional mental health team are keen to learn from the H</w:t>
            </w:r>
            <w:r w:rsidR="00AF39E9">
              <w:rPr>
                <w:color w:val="auto"/>
              </w:rPr>
              <w:t xml:space="preserve">umber and North Yorkshire </w:t>
            </w:r>
            <w:r w:rsidRPr="00196C9C">
              <w:rPr>
                <w:color w:val="auto"/>
              </w:rPr>
              <w:t>dementia programme and</w:t>
            </w:r>
            <w:r w:rsidR="00BC4511">
              <w:rPr>
                <w:color w:val="auto"/>
              </w:rPr>
              <w:t xml:space="preserve"> plan </w:t>
            </w:r>
            <w:r w:rsidRPr="00196C9C">
              <w:rPr>
                <w:color w:val="auto"/>
              </w:rPr>
              <w:t xml:space="preserve">development and have asked for support in sharing our learning with the other ICB’s in the region. </w:t>
            </w:r>
          </w:p>
        </w:tc>
      </w:tr>
      <w:bookmarkEnd w:id="4"/>
    </w:tbl>
    <w:p w14:paraId="784EBC53" w14:textId="464D2516" w:rsidR="00880E9F" w:rsidRDefault="00880E9F" w:rsidP="0010586B">
      <w:pPr>
        <w:spacing w:after="0" w:line="120" w:lineRule="auto"/>
        <w:rPr>
          <w:color w:val="auto"/>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CD20A8" w14:paraId="0FEFEDA4" w14:textId="77777777" w:rsidTr="00CD20A8">
        <w:trPr>
          <w:trHeight w:val="427"/>
        </w:trPr>
        <w:tc>
          <w:tcPr>
            <w:tcW w:w="9608" w:type="dxa"/>
            <w:tcBorders>
              <w:bottom w:val="nil"/>
            </w:tcBorders>
          </w:tcPr>
          <w:p w14:paraId="39D3DDC7" w14:textId="5103CED8" w:rsidR="00CD20A8" w:rsidRPr="00524FEE" w:rsidRDefault="00CD20A8" w:rsidP="00CD20A8">
            <w:pPr>
              <w:spacing w:after="0"/>
              <w:rPr>
                <w:color w:val="auto"/>
              </w:rPr>
            </w:pPr>
            <w:r>
              <w:rPr>
                <w:b/>
                <w:color w:val="auto"/>
              </w:rPr>
              <w:t xml:space="preserve">REPORT EXEMPT FROM PUBLIC DISCLOSURE                            </w:t>
            </w:r>
            <w:r w:rsidRPr="00524FEE">
              <w:rPr>
                <w:color w:val="auto"/>
              </w:rPr>
              <w:t>No</w:t>
            </w:r>
            <w:r>
              <w:rPr>
                <w:color w:val="auto"/>
              </w:rPr>
              <w:t xml:space="preserve">   </w:t>
            </w:r>
            <w:sdt>
              <w:sdtPr>
                <w:rPr>
                  <w:color w:val="auto"/>
                  <w:sz w:val="40"/>
                  <w:szCs w:val="40"/>
                </w:rPr>
                <w:id w:val="1459919931"/>
                <w14:checkbox>
                  <w14:checked w14:val="1"/>
                  <w14:checkedState w14:val="2612" w14:font="MS Gothic"/>
                  <w14:uncheckedState w14:val="2610" w14:font="MS Gothic"/>
                </w14:checkbox>
              </w:sdtPr>
              <w:sdtEndPr/>
              <w:sdtContent>
                <w:r w:rsidR="00475F17">
                  <w:rPr>
                    <w:rFonts w:ascii="MS Gothic" w:eastAsia="MS Gothic" w:hAnsi="MS Gothic" w:hint="eastAsia"/>
                    <w:color w:val="auto"/>
                    <w:sz w:val="40"/>
                    <w:szCs w:val="40"/>
                  </w:rPr>
                  <w:t>☒</w:t>
                </w:r>
              </w:sdtContent>
            </w:sdt>
            <w:r>
              <w:rPr>
                <w:color w:val="auto"/>
                <w:sz w:val="40"/>
                <w:szCs w:val="40"/>
              </w:rPr>
              <w:t xml:space="preserve">   </w:t>
            </w:r>
            <w:r w:rsidRPr="00524FEE">
              <w:rPr>
                <w:color w:val="auto"/>
              </w:rPr>
              <w:t>Yes</w:t>
            </w:r>
            <w:r>
              <w:rPr>
                <w:color w:val="auto"/>
              </w:rPr>
              <w:t xml:space="preserve">   </w:t>
            </w:r>
            <w:sdt>
              <w:sdtPr>
                <w:rPr>
                  <w:color w:val="auto"/>
                  <w:sz w:val="40"/>
                  <w:szCs w:val="40"/>
                </w:rPr>
                <w:id w:val="1948345607"/>
                <w14:checkbox>
                  <w14:checked w14:val="0"/>
                  <w14:checkedState w14:val="2612" w14:font="MS Gothic"/>
                  <w14:uncheckedState w14:val="2610" w14:font="MS Gothic"/>
                </w14:checkbox>
              </w:sdtPr>
              <w:sdtEndPr/>
              <w:sdtContent>
                <w:r w:rsidRPr="00CD20A8">
                  <w:rPr>
                    <w:rFonts w:ascii="MS Gothic" w:eastAsia="MS Gothic" w:hAnsi="MS Gothic" w:hint="eastAsia"/>
                    <w:color w:val="auto"/>
                    <w:sz w:val="40"/>
                    <w:szCs w:val="40"/>
                  </w:rPr>
                  <w:t>☐</w:t>
                </w:r>
              </w:sdtContent>
            </w:sdt>
          </w:p>
        </w:tc>
      </w:tr>
      <w:tr w:rsidR="004F190C" w14:paraId="4C3F0319" w14:textId="77777777" w:rsidTr="0086751B">
        <w:tc>
          <w:tcPr>
            <w:tcW w:w="9608" w:type="dxa"/>
            <w:tcBorders>
              <w:top w:val="nil"/>
            </w:tcBorders>
          </w:tcPr>
          <w:p w14:paraId="3CB6CF64" w14:textId="4E3F49BC" w:rsidR="004F190C" w:rsidRPr="00BD03D7" w:rsidRDefault="004F190C" w:rsidP="009C36D6">
            <w:pPr>
              <w:spacing w:after="0"/>
              <w:rPr>
                <w:b/>
                <w:color w:val="auto"/>
              </w:rPr>
            </w:pPr>
            <w:r w:rsidRPr="00BD03D7">
              <w:rPr>
                <w:color w:val="auto"/>
                <w:sz w:val="20"/>
              </w:rPr>
              <w:t xml:space="preserve">If yes, </w:t>
            </w:r>
            <w:r>
              <w:rPr>
                <w:color w:val="auto"/>
                <w:sz w:val="20"/>
              </w:rPr>
              <w:t xml:space="preserve">please </w:t>
            </w:r>
            <w:r w:rsidR="006C31DB">
              <w:rPr>
                <w:color w:val="auto"/>
                <w:sz w:val="20"/>
              </w:rPr>
              <w:t>detail</w:t>
            </w:r>
            <w:r>
              <w:rPr>
                <w:color w:val="auto"/>
                <w:sz w:val="20"/>
              </w:rPr>
              <w:t xml:space="preserve"> the </w:t>
            </w:r>
            <w:r w:rsidR="006C31DB">
              <w:rPr>
                <w:color w:val="auto"/>
                <w:sz w:val="20"/>
              </w:rPr>
              <w:t xml:space="preserve">specific </w:t>
            </w:r>
            <w:r>
              <w:rPr>
                <w:color w:val="auto"/>
                <w:sz w:val="20"/>
              </w:rPr>
              <w:t xml:space="preserve">grounds for </w:t>
            </w:r>
            <w:r w:rsidR="00B23603">
              <w:rPr>
                <w:color w:val="auto"/>
                <w:sz w:val="20"/>
              </w:rPr>
              <w:t>exemption.</w:t>
            </w:r>
            <w:r w:rsidR="00CD20A8">
              <w:rPr>
                <w:color w:val="auto"/>
                <w:sz w:val="20"/>
              </w:rPr>
              <w:t xml:space="preserve">    </w:t>
            </w:r>
          </w:p>
        </w:tc>
      </w:tr>
    </w:tbl>
    <w:p w14:paraId="21642BAF" w14:textId="77777777" w:rsidR="00880E9F" w:rsidRPr="00566BDC" w:rsidRDefault="00880E9F" w:rsidP="0010586B">
      <w:pPr>
        <w:spacing w:after="0" w:line="120" w:lineRule="auto"/>
        <w:rPr>
          <w:color w:val="auto"/>
        </w:rPr>
      </w:pPr>
    </w:p>
    <w:p w14:paraId="5015E580" w14:textId="77777777" w:rsidR="006C71BB" w:rsidRDefault="006C71BB">
      <w:pPr>
        <w:spacing w:after="0" w:line="240" w:lineRule="auto"/>
        <w:rPr>
          <w:b/>
          <w:bCs/>
          <w:color w:val="auto"/>
          <w:sz w:val="24"/>
          <w:szCs w:val="24"/>
        </w:rPr>
      </w:pPr>
      <w:r>
        <w:rPr>
          <w:b/>
          <w:bCs/>
          <w:color w:val="auto"/>
          <w:sz w:val="24"/>
          <w:szCs w:val="24"/>
        </w:rPr>
        <w:br w:type="page"/>
      </w:r>
    </w:p>
    <w:p w14:paraId="7629F03F" w14:textId="65D5A488" w:rsidR="002E48FC" w:rsidRDefault="00AF41BD" w:rsidP="002E48FC">
      <w:pPr>
        <w:spacing w:after="0" w:line="240" w:lineRule="auto"/>
        <w:jc w:val="center"/>
        <w:rPr>
          <w:b/>
          <w:bCs/>
          <w:color w:val="auto"/>
          <w:sz w:val="24"/>
          <w:szCs w:val="24"/>
        </w:rPr>
      </w:pPr>
      <w:r w:rsidRPr="002E48FC">
        <w:rPr>
          <w:b/>
          <w:bCs/>
          <w:color w:val="auto"/>
          <w:sz w:val="24"/>
          <w:szCs w:val="24"/>
        </w:rPr>
        <w:lastRenderedPageBreak/>
        <w:t xml:space="preserve">Hope of a Life Still to be Lived – </w:t>
      </w:r>
    </w:p>
    <w:p w14:paraId="053FD6D0" w14:textId="4BA78F1C" w:rsidR="00A958CA" w:rsidRPr="002E48FC" w:rsidRDefault="00AF41BD" w:rsidP="002E48FC">
      <w:pPr>
        <w:spacing w:after="0" w:line="240" w:lineRule="auto"/>
        <w:jc w:val="center"/>
        <w:rPr>
          <w:b/>
          <w:bCs/>
          <w:color w:val="auto"/>
          <w:sz w:val="24"/>
          <w:szCs w:val="24"/>
        </w:rPr>
      </w:pPr>
      <w:r w:rsidRPr="002E48FC">
        <w:rPr>
          <w:b/>
          <w:bCs/>
          <w:color w:val="auto"/>
          <w:sz w:val="24"/>
          <w:szCs w:val="24"/>
        </w:rPr>
        <w:t>A five-year plan for dementia in Humber and North Yorkshire</w:t>
      </w:r>
    </w:p>
    <w:p w14:paraId="7D2093E5" w14:textId="77777777" w:rsidR="00A958CA" w:rsidRPr="002E48FC" w:rsidRDefault="00A958CA" w:rsidP="002E48FC">
      <w:pPr>
        <w:spacing w:after="0" w:line="240" w:lineRule="auto"/>
        <w:jc w:val="center"/>
        <w:rPr>
          <w:b/>
          <w:bCs/>
          <w:color w:val="auto"/>
          <w:sz w:val="24"/>
          <w:szCs w:val="24"/>
        </w:rPr>
      </w:pPr>
    </w:p>
    <w:p w14:paraId="65D6AA15" w14:textId="77777777" w:rsidR="00A958CA" w:rsidRPr="002E48FC" w:rsidRDefault="00A958CA" w:rsidP="002E48FC">
      <w:pPr>
        <w:pStyle w:val="ListParagraph"/>
        <w:numPr>
          <w:ilvl w:val="0"/>
          <w:numId w:val="1"/>
        </w:numPr>
        <w:spacing w:after="0" w:line="240" w:lineRule="auto"/>
        <w:ind w:left="567" w:hanging="567"/>
        <w:jc w:val="both"/>
        <w:rPr>
          <w:b/>
          <w:bCs/>
          <w:color w:val="auto"/>
          <w:sz w:val="24"/>
          <w:szCs w:val="24"/>
        </w:rPr>
      </w:pPr>
      <w:r w:rsidRPr="002E48FC">
        <w:rPr>
          <w:b/>
          <w:bCs/>
          <w:color w:val="auto"/>
          <w:sz w:val="24"/>
          <w:szCs w:val="24"/>
        </w:rPr>
        <w:t>INTRODUCTION</w:t>
      </w:r>
    </w:p>
    <w:p w14:paraId="7747C510" w14:textId="77777777" w:rsidR="00A958CA" w:rsidRPr="002E48FC" w:rsidRDefault="00A958CA" w:rsidP="002E48FC">
      <w:pPr>
        <w:pStyle w:val="ListParagraph"/>
        <w:spacing w:after="0" w:line="240" w:lineRule="auto"/>
        <w:ind w:left="360"/>
        <w:jc w:val="both"/>
        <w:rPr>
          <w:b/>
          <w:bCs/>
          <w:color w:val="auto"/>
          <w:sz w:val="24"/>
          <w:szCs w:val="24"/>
        </w:rPr>
      </w:pPr>
    </w:p>
    <w:p w14:paraId="7A9D348C" w14:textId="6F4E9B4E" w:rsidR="00A732F6" w:rsidRPr="002E48FC" w:rsidRDefault="006D5F1C" w:rsidP="009C36D6">
      <w:pPr>
        <w:pStyle w:val="ListParagraph"/>
        <w:numPr>
          <w:ilvl w:val="1"/>
          <w:numId w:val="14"/>
        </w:numPr>
        <w:spacing w:after="0" w:line="240" w:lineRule="auto"/>
        <w:ind w:left="567" w:hanging="567"/>
        <w:rPr>
          <w:color w:val="auto"/>
          <w:sz w:val="24"/>
          <w:szCs w:val="24"/>
        </w:rPr>
      </w:pPr>
      <w:r w:rsidRPr="002E48FC">
        <w:rPr>
          <w:color w:val="auto"/>
          <w:sz w:val="24"/>
          <w:szCs w:val="24"/>
        </w:rPr>
        <w:t xml:space="preserve">The dementia programme has an established workstream that is focussed on understanding the current and future needs of our population and is informed by a monthly dementia data dashboard to ensure interventions are fit for local need. </w:t>
      </w:r>
      <w:r w:rsidR="001D6896" w:rsidRPr="002E48FC">
        <w:rPr>
          <w:color w:val="auto"/>
          <w:sz w:val="24"/>
          <w:szCs w:val="24"/>
        </w:rPr>
        <w:t xml:space="preserve">Making best use of existing data, </w:t>
      </w:r>
      <w:r w:rsidR="00A732F6" w:rsidRPr="002E48FC">
        <w:rPr>
          <w:color w:val="auto"/>
          <w:sz w:val="24"/>
          <w:szCs w:val="24"/>
        </w:rPr>
        <w:t>l</w:t>
      </w:r>
      <w:r w:rsidR="001D6896" w:rsidRPr="002E48FC">
        <w:rPr>
          <w:color w:val="auto"/>
          <w:sz w:val="24"/>
          <w:szCs w:val="24"/>
        </w:rPr>
        <w:t xml:space="preserve">ocal knowledge and significant multi-agency engagement over the last 15 months, </w:t>
      </w:r>
      <w:r w:rsidR="00337ACB" w:rsidRPr="002E48FC">
        <w:rPr>
          <w:color w:val="auto"/>
          <w:sz w:val="24"/>
          <w:szCs w:val="24"/>
        </w:rPr>
        <w:t>a five-year plan has been developed</w:t>
      </w:r>
      <w:r w:rsidR="00A732F6" w:rsidRPr="002E48FC">
        <w:rPr>
          <w:color w:val="auto"/>
          <w:sz w:val="24"/>
          <w:szCs w:val="24"/>
        </w:rPr>
        <w:t>. The six key priorities have been identified as below and have all been developed on the premise that dementia does not receive national funding, therefore all interventions and actions will be developed as far as is practically possible within existing resource. The</w:t>
      </w:r>
      <w:r w:rsidR="00BC4511">
        <w:rPr>
          <w:color w:val="auto"/>
          <w:sz w:val="24"/>
          <w:szCs w:val="24"/>
        </w:rPr>
        <w:t xml:space="preserve"> plan</w:t>
      </w:r>
      <w:r w:rsidR="00A732F6" w:rsidRPr="002E48FC">
        <w:rPr>
          <w:color w:val="auto"/>
          <w:sz w:val="24"/>
          <w:szCs w:val="24"/>
        </w:rPr>
        <w:t xml:space="preserve"> aims to focus on prevention of dementia (40% of dementia’s are preventable) and prevention of further avoidable ill health, improve access and support to people with dementia and their families, and ensure that all changes are sustainable for the future and take into account the needs of our future population. </w:t>
      </w:r>
    </w:p>
    <w:p w14:paraId="63608E16" w14:textId="77777777" w:rsidR="002E48FC" w:rsidRDefault="002E48FC" w:rsidP="002E48FC">
      <w:pPr>
        <w:pStyle w:val="ListParagraph"/>
        <w:ind w:left="567"/>
        <w:jc w:val="both"/>
        <w:rPr>
          <w:color w:val="auto"/>
        </w:rPr>
      </w:pPr>
    </w:p>
    <w:p w14:paraId="5C642B3C" w14:textId="38B7A759" w:rsidR="00C5051D" w:rsidRPr="00F2716D" w:rsidRDefault="002E48FC" w:rsidP="00F2716D">
      <w:pPr>
        <w:pStyle w:val="ListParagraph"/>
        <w:numPr>
          <w:ilvl w:val="1"/>
          <w:numId w:val="14"/>
        </w:numPr>
        <w:rPr>
          <w:color w:val="auto"/>
        </w:rPr>
      </w:pPr>
      <w:r>
        <w:rPr>
          <w:noProof/>
        </w:rPr>
        <w:drawing>
          <wp:anchor distT="0" distB="0" distL="114300" distR="114300" simplePos="0" relativeHeight="251680768" behindDoc="0" locked="0" layoutInCell="1" allowOverlap="1" wp14:anchorId="4EDBE289" wp14:editId="51D1B1C1">
            <wp:simplePos x="0" y="0"/>
            <wp:positionH relativeFrom="margin">
              <wp:align>center</wp:align>
            </wp:positionH>
            <wp:positionV relativeFrom="paragraph">
              <wp:posOffset>7620</wp:posOffset>
            </wp:positionV>
            <wp:extent cx="4707172" cy="5248463"/>
            <wp:effectExtent l="0" t="0" r="0" b="0"/>
            <wp:wrapThrough wrapText="bothSides">
              <wp:wrapPolygon edited="0">
                <wp:start x="0" y="0"/>
                <wp:lineTo x="0" y="21482"/>
                <wp:lineTo x="21507" y="21482"/>
                <wp:lineTo x="21507" y="0"/>
                <wp:lineTo x="0" y="0"/>
              </wp:wrapPolygon>
            </wp:wrapThrough>
            <wp:docPr id="11" name="Picture 10">
              <a:extLst xmlns:a="http://schemas.openxmlformats.org/drawingml/2006/main">
                <a:ext uri="{FF2B5EF4-FFF2-40B4-BE49-F238E27FC236}">
                  <a16:creationId xmlns:a16="http://schemas.microsoft.com/office/drawing/2014/main" id="{F75D3E90-DC20-F0C1-6A5B-DF321BB605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F75D3E90-DC20-F0C1-6A5B-DF321BB60523}"/>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707172" cy="5248463"/>
                    </a:xfrm>
                    <a:prstGeom prst="rect">
                      <a:avLst/>
                    </a:prstGeom>
                  </pic:spPr>
                </pic:pic>
              </a:graphicData>
            </a:graphic>
          </wp:anchor>
        </w:drawing>
      </w:r>
    </w:p>
    <w:p w14:paraId="6EA01A15" w14:textId="17B5E8FB" w:rsidR="00F2716D" w:rsidRPr="00C5051D" w:rsidRDefault="00F2716D" w:rsidP="00C5051D">
      <w:pPr>
        <w:jc w:val="center"/>
        <w:rPr>
          <w:color w:val="auto"/>
        </w:rPr>
      </w:pPr>
    </w:p>
    <w:p w14:paraId="381F67F9" w14:textId="7BF5E5CD" w:rsidR="006D5F1C" w:rsidRPr="00A732F6" w:rsidRDefault="006D5F1C" w:rsidP="00A732F6">
      <w:pPr>
        <w:rPr>
          <w:color w:val="auto"/>
        </w:rPr>
      </w:pPr>
    </w:p>
    <w:p w14:paraId="175FE410" w14:textId="77777777" w:rsidR="00A958CA" w:rsidRPr="006D5F1C" w:rsidRDefault="00A958CA" w:rsidP="006D5F1C">
      <w:pPr>
        <w:spacing w:after="0" w:line="240" w:lineRule="auto"/>
        <w:jc w:val="both"/>
        <w:rPr>
          <w:b/>
          <w:bCs/>
          <w:color w:val="auto"/>
          <w:sz w:val="24"/>
          <w:szCs w:val="24"/>
        </w:rPr>
      </w:pPr>
    </w:p>
    <w:p w14:paraId="54BCE6FE" w14:textId="77777777" w:rsidR="00A958CA" w:rsidRDefault="00A958CA" w:rsidP="00A958CA">
      <w:pPr>
        <w:spacing w:after="0" w:line="240" w:lineRule="auto"/>
        <w:jc w:val="both"/>
        <w:rPr>
          <w:b/>
          <w:bCs/>
          <w:color w:val="auto"/>
          <w:sz w:val="24"/>
          <w:szCs w:val="24"/>
        </w:rPr>
      </w:pPr>
    </w:p>
    <w:p w14:paraId="4965A6E1" w14:textId="77777777" w:rsidR="002E48FC" w:rsidRDefault="002E48FC" w:rsidP="00A958CA">
      <w:pPr>
        <w:spacing w:after="0" w:line="240" w:lineRule="auto"/>
        <w:jc w:val="both"/>
        <w:rPr>
          <w:b/>
          <w:bCs/>
          <w:color w:val="auto"/>
          <w:sz w:val="24"/>
          <w:szCs w:val="24"/>
        </w:rPr>
      </w:pPr>
    </w:p>
    <w:p w14:paraId="6350AB0A" w14:textId="77777777" w:rsidR="002E48FC" w:rsidRDefault="002E48FC" w:rsidP="00A958CA">
      <w:pPr>
        <w:spacing w:after="0" w:line="240" w:lineRule="auto"/>
        <w:jc w:val="both"/>
        <w:rPr>
          <w:b/>
          <w:bCs/>
          <w:color w:val="auto"/>
          <w:sz w:val="24"/>
          <w:szCs w:val="24"/>
        </w:rPr>
      </w:pPr>
    </w:p>
    <w:p w14:paraId="3084D015" w14:textId="77777777" w:rsidR="002E48FC" w:rsidRDefault="002E48FC" w:rsidP="00A958CA">
      <w:pPr>
        <w:spacing w:after="0" w:line="240" w:lineRule="auto"/>
        <w:jc w:val="both"/>
        <w:rPr>
          <w:b/>
          <w:bCs/>
          <w:color w:val="auto"/>
          <w:sz w:val="24"/>
          <w:szCs w:val="24"/>
        </w:rPr>
      </w:pPr>
    </w:p>
    <w:p w14:paraId="263DD928" w14:textId="77777777" w:rsidR="002E48FC" w:rsidRDefault="002E48FC" w:rsidP="00A958CA">
      <w:pPr>
        <w:spacing w:after="0" w:line="240" w:lineRule="auto"/>
        <w:jc w:val="both"/>
        <w:rPr>
          <w:b/>
          <w:bCs/>
          <w:color w:val="auto"/>
          <w:sz w:val="24"/>
          <w:szCs w:val="24"/>
        </w:rPr>
      </w:pPr>
    </w:p>
    <w:p w14:paraId="4E80E3F7" w14:textId="77777777" w:rsidR="002E48FC" w:rsidRDefault="002E48FC" w:rsidP="00A958CA">
      <w:pPr>
        <w:spacing w:after="0" w:line="240" w:lineRule="auto"/>
        <w:jc w:val="both"/>
        <w:rPr>
          <w:b/>
          <w:bCs/>
          <w:color w:val="auto"/>
          <w:sz w:val="24"/>
          <w:szCs w:val="24"/>
        </w:rPr>
      </w:pPr>
    </w:p>
    <w:p w14:paraId="0D949729" w14:textId="77777777" w:rsidR="002E48FC" w:rsidRDefault="002E48FC" w:rsidP="00A958CA">
      <w:pPr>
        <w:spacing w:after="0" w:line="240" w:lineRule="auto"/>
        <w:jc w:val="both"/>
        <w:rPr>
          <w:b/>
          <w:bCs/>
          <w:color w:val="auto"/>
          <w:sz w:val="24"/>
          <w:szCs w:val="24"/>
        </w:rPr>
      </w:pPr>
    </w:p>
    <w:p w14:paraId="41E163ED" w14:textId="77777777" w:rsidR="002E48FC" w:rsidRDefault="002E48FC" w:rsidP="00A958CA">
      <w:pPr>
        <w:spacing w:after="0" w:line="240" w:lineRule="auto"/>
        <w:jc w:val="both"/>
        <w:rPr>
          <w:b/>
          <w:bCs/>
          <w:color w:val="auto"/>
          <w:sz w:val="24"/>
          <w:szCs w:val="24"/>
        </w:rPr>
      </w:pPr>
    </w:p>
    <w:p w14:paraId="27F73D58" w14:textId="77777777" w:rsidR="002E48FC" w:rsidRDefault="002E48FC" w:rsidP="00A958CA">
      <w:pPr>
        <w:spacing w:after="0" w:line="240" w:lineRule="auto"/>
        <w:jc w:val="both"/>
        <w:rPr>
          <w:b/>
          <w:bCs/>
          <w:color w:val="auto"/>
          <w:sz w:val="24"/>
          <w:szCs w:val="24"/>
        </w:rPr>
      </w:pPr>
    </w:p>
    <w:p w14:paraId="37F4BC5D" w14:textId="77777777" w:rsidR="002E48FC" w:rsidRDefault="002E48FC" w:rsidP="00A958CA">
      <w:pPr>
        <w:spacing w:after="0" w:line="240" w:lineRule="auto"/>
        <w:jc w:val="both"/>
        <w:rPr>
          <w:b/>
          <w:bCs/>
          <w:color w:val="auto"/>
          <w:sz w:val="24"/>
          <w:szCs w:val="24"/>
        </w:rPr>
      </w:pPr>
    </w:p>
    <w:p w14:paraId="4C39D45F" w14:textId="77777777" w:rsidR="002E48FC" w:rsidRDefault="002E48FC" w:rsidP="00A958CA">
      <w:pPr>
        <w:spacing w:after="0" w:line="240" w:lineRule="auto"/>
        <w:jc w:val="both"/>
        <w:rPr>
          <w:b/>
          <w:bCs/>
          <w:color w:val="auto"/>
          <w:sz w:val="24"/>
          <w:szCs w:val="24"/>
        </w:rPr>
      </w:pPr>
    </w:p>
    <w:p w14:paraId="2F51C9AE" w14:textId="77777777" w:rsidR="002E48FC" w:rsidRDefault="002E48FC" w:rsidP="00A958CA">
      <w:pPr>
        <w:spacing w:after="0" w:line="240" w:lineRule="auto"/>
        <w:jc w:val="both"/>
        <w:rPr>
          <w:b/>
          <w:bCs/>
          <w:color w:val="auto"/>
          <w:sz w:val="24"/>
          <w:szCs w:val="24"/>
        </w:rPr>
      </w:pPr>
    </w:p>
    <w:p w14:paraId="3D6480C2" w14:textId="77777777" w:rsidR="002E48FC" w:rsidRDefault="002E48FC" w:rsidP="00A958CA">
      <w:pPr>
        <w:spacing w:after="0" w:line="240" w:lineRule="auto"/>
        <w:jc w:val="both"/>
        <w:rPr>
          <w:b/>
          <w:bCs/>
          <w:color w:val="auto"/>
          <w:sz w:val="24"/>
          <w:szCs w:val="24"/>
        </w:rPr>
      </w:pPr>
    </w:p>
    <w:p w14:paraId="1A28A110" w14:textId="77777777" w:rsidR="002E48FC" w:rsidRDefault="002E48FC" w:rsidP="00A958CA">
      <w:pPr>
        <w:spacing w:after="0" w:line="240" w:lineRule="auto"/>
        <w:jc w:val="both"/>
        <w:rPr>
          <w:b/>
          <w:bCs/>
          <w:color w:val="auto"/>
          <w:sz w:val="24"/>
          <w:szCs w:val="24"/>
        </w:rPr>
      </w:pPr>
    </w:p>
    <w:p w14:paraId="58E47A53" w14:textId="77777777" w:rsidR="002E48FC" w:rsidRDefault="002E48FC" w:rsidP="00A958CA">
      <w:pPr>
        <w:spacing w:after="0" w:line="240" w:lineRule="auto"/>
        <w:jc w:val="both"/>
        <w:rPr>
          <w:b/>
          <w:bCs/>
          <w:color w:val="auto"/>
          <w:sz w:val="24"/>
          <w:szCs w:val="24"/>
        </w:rPr>
      </w:pPr>
    </w:p>
    <w:p w14:paraId="351E2064" w14:textId="77777777" w:rsidR="002E48FC" w:rsidRDefault="002E48FC" w:rsidP="00A958CA">
      <w:pPr>
        <w:spacing w:after="0" w:line="240" w:lineRule="auto"/>
        <w:jc w:val="both"/>
        <w:rPr>
          <w:b/>
          <w:bCs/>
          <w:color w:val="auto"/>
          <w:sz w:val="24"/>
          <w:szCs w:val="24"/>
        </w:rPr>
      </w:pPr>
    </w:p>
    <w:p w14:paraId="6999D183" w14:textId="77777777" w:rsidR="002E48FC" w:rsidRDefault="002E48FC" w:rsidP="00A958CA">
      <w:pPr>
        <w:spacing w:after="0" w:line="240" w:lineRule="auto"/>
        <w:jc w:val="both"/>
        <w:rPr>
          <w:b/>
          <w:bCs/>
          <w:color w:val="auto"/>
          <w:sz w:val="24"/>
          <w:szCs w:val="24"/>
        </w:rPr>
      </w:pPr>
    </w:p>
    <w:p w14:paraId="35515B2E" w14:textId="77777777" w:rsidR="002E48FC" w:rsidRDefault="002E48FC" w:rsidP="00A958CA">
      <w:pPr>
        <w:spacing w:after="0" w:line="240" w:lineRule="auto"/>
        <w:jc w:val="both"/>
        <w:rPr>
          <w:b/>
          <w:bCs/>
          <w:color w:val="auto"/>
          <w:sz w:val="24"/>
          <w:szCs w:val="24"/>
        </w:rPr>
      </w:pPr>
    </w:p>
    <w:p w14:paraId="2E4FD167" w14:textId="77777777" w:rsidR="002E48FC" w:rsidRDefault="002E48FC" w:rsidP="00A958CA">
      <w:pPr>
        <w:spacing w:after="0" w:line="240" w:lineRule="auto"/>
        <w:jc w:val="both"/>
        <w:rPr>
          <w:b/>
          <w:bCs/>
          <w:color w:val="auto"/>
          <w:sz w:val="24"/>
          <w:szCs w:val="24"/>
        </w:rPr>
      </w:pPr>
    </w:p>
    <w:p w14:paraId="5B3A8C8D" w14:textId="77777777" w:rsidR="002E48FC" w:rsidRDefault="002E48FC" w:rsidP="00A958CA">
      <w:pPr>
        <w:spacing w:after="0" w:line="240" w:lineRule="auto"/>
        <w:jc w:val="both"/>
        <w:rPr>
          <w:b/>
          <w:bCs/>
          <w:color w:val="auto"/>
          <w:sz w:val="24"/>
          <w:szCs w:val="24"/>
        </w:rPr>
      </w:pPr>
    </w:p>
    <w:p w14:paraId="517301AC" w14:textId="77777777" w:rsidR="002E48FC" w:rsidRDefault="002E48FC" w:rsidP="00A958CA">
      <w:pPr>
        <w:spacing w:after="0" w:line="240" w:lineRule="auto"/>
        <w:jc w:val="both"/>
        <w:rPr>
          <w:b/>
          <w:bCs/>
          <w:color w:val="auto"/>
          <w:sz w:val="24"/>
          <w:szCs w:val="24"/>
        </w:rPr>
      </w:pPr>
    </w:p>
    <w:p w14:paraId="4E0CA946" w14:textId="77777777" w:rsidR="002E48FC" w:rsidRDefault="002E48FC" w:rsidP="00A958CA">
      <w:pPr>
        <w:spacing w:after="0" w:line="240" w:lineRule="auto"/>
        <w:jc w:val="both"/>
        <w:rPr>
          <w:b/>
          <w:bCs/>
          <w:color w:val="auto"/>
          <w:sz w:val="24"/>
          <w:szCs w:val="24"/>
        </w:rPr>
      </w:pPr>
    </w:p>
    <w:p w14:paraId="1F76C8A8" w14:textId="77777777" w:rsidR="002E48FC" w:rsidRDefault="002E48FC" w:rsidP="00A958CA">
      <w:pPr>
        <w:spacing w:after="0" w:line="240" w:lineRule="auto"/>
        <w:jc w:val="both"/>
        <w:rPr>
          <w:b/>
          <w:bCs/>
          <w:color w:val="auto"/>
          <w:sz w:val="24"/>
          <w:szCs w:val="24"/>
        </w:rPr>
      </w:pPr>
    </w:p>
    <w:p w14:paraId="381B91B9" w14:textId="77777777" w:rsidR="002E48FC" w:rsidRDefault="002E48FC" w:rsidP="00A958CA">
      <w:pPr>
        <w:spacing w:after="0" w:line="240" w:lineRule="auto"/>
        <w:jc w:val="both"/>
        <w:rPr>
          <w:b/>
          <w:bCs/>
          <w:color w:val="auto"/>
          <w:sz w:val="24"/>
          <w:szCs w:val="24"/>
        </w:rPr>
      </w:pPr>
    </w:p>
    <w:p w14:paraId="13FCAD4B" w14:textId="77777777" w:rsidR="002E48FC" w:rsidRDefault="002E48FC" w:rsidP="00A958CA">
      <w:pPr>
        <w:spacing w:after="0" w:line="240" w:lineRule="auto"/>
        <w:jc w:val="both"/>
        <w:rPr>
          <w:b/>
          <w:bCs/>
          <w:color w:val="auto"/>
          <w:sz w:val="24"/>
          <w:szCs w:val="24"/>
        </w:rPr>
      </w:pPr>
    </w:p>
    <w:p w14:paraId="5468E3E8" w14:textId="77777777" w:rsidR="002E48FC" w:rsidRDefault="002E48FC" w:rsidP="00A958CA">
      <w:pPr>
        <w:spacing w:after="0" w:line="240" w:lineRule="auto"/>
        <w:jc w:val="both"/>
        <w:rPr>
          <w:b/>
          <w:bCs/>
          <w:color w:val="auto"/>
          <w:sz w:val="24"/>
          <w:szCs w:val="24"/>
        </w:rPr>
      </w:pPr>
    </w:p>
    <w:p w14:paraId="226F3928" w14:textId="77777777" w:rsidR="002E48FC" w:rsidRDefault="002E48FC" w:rsidP="00A958CA">
      <w:pPr>
        <w:spacing w:after="0" w:line="240" w:lineRule="auto"/>
        <w:jc w:val="both"/>
        <w:rPr>
          <w:b/>
          <w:bCs/>
          <w:color w:val="auto"/>
          <w:sz w:val="24"/>
          <w:szCs w:val="24"/>
        </w:rPr>
      </w:pPr>
    </w:p>
    <w:p w14:paraId="67196D76" w14:textId="77777777" w:rsidR="002E48FC" w:rsidRPr="00A958CA" w:rsidRDefault="002E48FC" w:rsidP="00A958CA">
      <w:pPr>
        <w:spacing w:after="0" w:line="240" w:lineRule="auto"/>
        <w:jc w:val="both"/>
        <w:rPr>
          <w:b/>
          <w:bCs/>
          <w:color w:val="auto"/>
          <w:sz w:val="24"/>
          <w:szCs w:val="24"/>
        </w:rPr>
      </w:pPr>
    </w:p>
    <w:p w14:paraId="2675BF29" w14:textId="77777777" w:rsidR="00A958CA" w:rsidRPr="002E48FC" w:rsidRDefault="00A958CA" w:rsidP="002E48FC">
      <w:pPr>
        <w:pStyle w:val="ListParagraph"/>
        <w:numPr>
          <w:ilvl w:val="0"/>
          <w:numId w:val="1"/>
        </w:numPr>
        <w:spacing w:after="0" w:line="240" w:lineRule="auto"/>
        <w:ind w:left="567" w:hanging="567"/>
        <w:jc w:val="both"/>
        <w:rPr>
          <w:b/>
          <w:bCs/>
          <w:color w:val="auto"/>
          <w:sz w:val="24"/>
          <w:szCs w:val="24"/>
        </w:rPr>
      </w:pPr>
      <w:r w:rsidRPr="002E48FC">
        <w:rPr>
          <w:b/>
          <w:bCs/>
          <w:color w:val="auto"/>
          <w:sz w:val="24"/>
          <w:szCs w:val="24"/>
        </w:rPr>
        <w:lastRenderedPageBreak/>
        <w:t xml:space="preserve">BACKGROUND </w:t>
      </w:r>
    </w:p>
    <w:p w14:paraId="4D8A7043" w14:textId="0D627A71" w:rsidR="00A958CA" w:rsidRPr="002E48FC" w:rsidRDefault="00A958CA" w:rsidP="002E48FC">
      <w:pPr>
        <w:pStyle w:val="ListParagraph"/>
        <w:spacing w:after="0" w:line="240" w:lineRule="auto"/>
        <w:ind w:left="360"/>
        <w:jc w:val="both"/>
        <w:rPr>
          <w:b/>
          <w:bCs/>
          <w:color w:val="auto"/>
          <w:sz w:val="24"/>
          <w:szCs w:val="24"/>
        </w:rPr>
      </w:pPr>
      <w:r w:rsidRPr="002E48FC">
        <w:rPr>
          <w:i/>
          <w:iCs/>
          <w:color w:val="auto"/>
          <w:sz w:val="24"/>
          <w:szCs w:val="24"/>
        </w:rPr>
        <w:t xml:space="preserve">   </w:t>
      </w:r>
    </w:p>
    <w:p w14:paraId="0B0FB7A0" w14:textId="660F232B" w:rsidR="00DC7BF8" w:rsidRPr="002E48FC" w:rsidRDefault="007263EA" w:rsidP="002E48FC">
      <w:pPr>
        <w:pStyle w:val="ListParagraph"/>
        <w:numPr>
          <w:ilvl w:val="1"/>
          <w:numId w:val="23"/>
        </w:numPr>
        <w:spacing w:after="0" w:line="240" w:lineRule="auto"/>
        <w:ind w:left="567" w:hanging="567"/>
        <w:rPr>
          <w:color w:val="auto"/>
          <w:sz w:val="24"/>
          <w:szCs w:val="24"/>
        </w:rPr>
      </w:pPr>
      <w:r w:rsidRPr="002E48FC">
        <w:rPr>
          <w:color w:val="auto"/>
          <w:sz w:val="24"/>
          <w:szCs w:val="24"/>
        </w:rPr>
        <w:t>The H</w:t>
      </w:r>
      <w:r w:rsidR="00AF39E9">
        <w:rPr>
          <w:color w:val="auto"/>
          <w:sz w:val="24"/>
          <w:szCs w:val="24"/>
        </w:rPr>
        <w:t xml:space="preserve">umber and North Yorkshire </w:t>
      </w:r>
      <w:r w:rsidRPr="002E48FC">
        <w:rPr>
          <w:color w:val="auto"/>
          <w:sz w:val="24"/>
          <w:szCs w:val="24"/>
        </w:rPr>
        <w:t xml:space="preserve">Dementia 5 year plan </w:t>
      </w:r>
      <w:r w:rsidR="0064199A" w:rsidRPr="002E48FC">
        <w:rPr>
          <w:color w:val="auto"/>
          <w:sz w:val="24"/>
          <w:szCs w:val="24"/>
        </w:rPr>
        <w:t>is aligned to the below:</w:t>
      </w:r>
    </w:p>
    <w:p w14:paraId="750434A9" w14:textId="2A3AA84E" w:rsidR="00DC7BF8" w:rsidRPr="002E48FC" w:rsidRDefault="00DC7BF8" w:rsidP="009C36D6">
      <w:pPr>
        <w:pStyle w:val="ListParagraph"/>
        <w:numPr>
          <w:ilvl w:val="0"/>
          <w:numId w:val="16"/>
        </w:numPr>
        <w:spacing w:after="0" w:line="240" w:lineRule="auto"/>
        <w:ind w:left="993" w:hanging="426"/>
        <w:rPr>
          <w:color w:val="auto"/>
          <w:sz w:val="24"/>
          <w:szCs w:val="24"/>
        </w:rPr>
      </w:pPr>
      <w:r w:rsidRPr="002E48FC">
        <w:rPr>
          <w:color w:val="auto"/>
          <w:sz w:val="24"/>
          <w:szCs w:val="24"/>
        </w:rPr>
        <w:t>Humber and North Yorkshire ICB strategy and vision for everyone in H</w:t>
      </w:r>
      <w:r w:rsidR="00AF39E9">
        <w:rPr>
          <w:color w:val="auto"/>
          <w:sz w:val="24"/>
          <w:szCs w:val="24"/>
        </w:rPr>
        <w:t xml:space="preserve">umber and North Yorkshire </w:t>
      </w:r>
      <w:r w:rsidRPr="002E48FC">
        <w:rPr>
          <w:color w:val="auto"/>
          <w:sz w:val="24"/>
          <w:szCs w:val="24"/>
        </w:rPr>
        <w:t xml:space="preserve">to live longer, healthier lives.  For everyone to start well, live well, age well, and die well.  </w:t>
      </w:r>
    </w:p>
    <w:p w14:paraId="3D6538CC" w14:textId="6747A9C0" w:rsidR="00DC7BF8" w:rsidRPr="002E48FC" w:rsidRDefault="00DC7BF8" w:rsidP="009C36D6">
      <w:pPr>
        <w:pStyle w:val="ListParagraph"/>
        <w:numPr>
          <w:ilvl w:val="0"/>
          <w:numId w:val="18"/>
        </w:numPr>
        <w:spacing w:after="0" w:line="240" w:lineRule="auto"/>
        <w:ind w:left="993" w:hanging="426"/>
        <w:rPr>
          <w:color w:val="auto"/>
          <w:sz w:val="24"/>
          <w:szCs w:val="24"/>
        </w:rPr>
      </w:pPr>
      <w:r w:rsidRPr="002E48FC">
        <w:rPr>
          <w:color w:val="auto"/>
          <w:sz w:val="24"/>
          <w:szCs w:val="24"/>
        </w:rPr>
        <w:t>H</w:t>
      </w:r>
      <w:r w:rsidR="00AF39E9">
        <w:rPr>
          <w:color w:val="auto"/>
          <w:sz w:val="24"/>
          <w:szCs w:val="24"/>
        </w:rPr>
        <w:t xml:space="preserve">umber and North Yorkshire </w:t>
      </w:r>
      <w:r w:rsidRPr="002E48FC">
        <w:rPr>
          <w:color w:val="auto"/>
          <w:sz w:val="24"/>
          <w:szCs w:val="24"/>
        </w:rPr>
        <w:t>ICB Innovation, Research and Improvement System (IRIS).</w:t>
      </w:r>
    </w:p>
    <w:p w14:paraId="6F40B842" w14:textId="77777777" w:rsidR="00DC7BF8" w:rsidRPr="002E48FC" w:rsidRDefault="00DC7BF8" w:rsidP="009C36D6">
      <w:pPr>
        <w:pStyle w:val="ListParagraph"/>
        <w:numPr>
          <w:ilvl w:val="0"/>
          <w:numId w:val="18"/>
        </w:numPr>
        <w:spacing w:after="0" w:line="240" w:lineRule="auto"/>
        <w:ind w:left="993" w:hanging="426"/>
        <w:rPr>
          <w:color w:val="auto"/>
          <w:sz w:val="24"/>
          <w:szCs w:val="24"/>
        </w:rPr>
      </w:pPr>
      <w:r w:rsidRPr="002E48FC">
        <w:rPr>
          <w:color w:val="auto"/>
          <w:sz w:val="24"/>
          <w:szCs w:val="24"/>
        </w:rPr>
        <w:t xml:space="preserve">NICE Guideline [NG97] Dementia: assessment, management and support for people living with dementia and their carers. </w:t>
      </w:r>
    </w:p>
    <w:p w14:paraId="20E9A720" w14:textId="77777777" w:rsidR="00DC7BF8" w:rsidRPr="002E48FC" w:rsidRDefault="00DC7BF8" w:rsidP="009C36D6">
      <w:pPr>
        <w:pStyle w:val="ListParagraph"/>
        <w:numPr>
          <w:ilvl w:val="0"/>
          <w:numId w:val="18"/>
        </w:numPr>
        <w:spacing w:after="0" w:line="240" w:lineRule="auto"/>
        <w:ind w:left="993" w:hanging="426"/>
        <w:rPr>
          <w:color w:val="auto"/>
          <w:sz w:val="24"/>
          <w:szCs w:val="24"/>
        </w:rPr>
      </w:pPr>
      <w:r w:rsidRPr="002E48FC">
        <w:rPr>
          <w:color w:val="auto"/>
          <w:sz w:val="24"/>
          <w:szCs w:val="24"/>
        </w:rPr>
        <w:t>NHS Long Term Plan – 24/25 planning.</w:t>
      </w:r>
    </w:p>
    <w:p w14:paraId="3EBD46E0" w14:textId="77777777" w:rsidR="00DC7BF8" w:rsidRPr="002E48FC" w:rsidRDefault="00DC7BF8" w:rsidP="009C36D6">
      <w:pPr>
        <w:pStyle w:val="ListParagraph"/>
        <w:numPr>
          <w:ilvl w:val="0"/>
          <w:numId w:val="18"/>
        </w:numPr>
        <w:spacing w:after="0" w:line="240" w:lineRule="auto"/>
        <w:ind w:left="993" w:hanging="426"/>
        <w:rPr>
          <w:color w:val="auto"/>
          <w:sz w:val="24"/>
          <w:szCs w:val="24"/>
        </w:rPr>
      </w:pPr>
      <w:r w:rsidRPr="002E48FC">
        <w:rPr>
          <w:color w:val="auto"/>
          <w:sz w:val="24"/>
          <w:szCs w:val="24"/>
        </w:rPr>
        <w:t>Major Conditions Strategy.</w:t>
      </w:r>
    </w:p>
    <w:p w14:paraId="7E54C774" w14:textId="77777777" w:rsidR="00DC7BF8" w:rsidRPr="002E48FC" w:rsidRDefault="00DC7BF8" w:rsidP="009C36D6">
      <w:pPr>
        <w:pStyle w:val="ListParagraph"/>
        <w:numPr>
          <w:ilvl w:val="0"/>
          <w:numId w:val="18"/>
        </w:numPr>
        <w:spacing w:after="0" w:line="240" w:lineRule="auto"/>
        <w:ind w:left="993" w:hanging="426"/>
        <w:rPr>
          <w:color w:val="auto"/>
          <w:sz w:val="24"/>
          <w:szCs w:val="24"/>
        </w:rPr>
      </w:pPr>
      <w:r w:rsidRPr="002E48FC">
        <w:rPr>
          <w:color w:val="auto"/>
          <w:sz w:val="24"/>
          <w:szCs w:val="24"/>
        </w:rPr>
        <w:t>National Inpatient Quality Transformation Programme</w:t>
      </w:r>
    </w:p>
    <w:p w14:paraId="1574A34E" w14:textId="77777777" w:rsidR="00DC7BF8" w:rsidRPr="002E48FC" w:rsidRDefault="00DC7BF8" w:rsidP="009C36D6">
      <w:pPr>
        <w:pStyle w:val="ListParagraph"/>
        <w:numPr>
          <w:ilvl w:val="0"/>
          <w:numId w:val="18"/>
        </w:numPr>
        <w:spacing w:after="0" w:line="240" w:lineRule="auto"/>
        <w:ind w:left="993" w:hanging="426"/>
        <w:rPr>
          <w:color w:val="auto"/>
          <w:sz w:val="24"/>
          <w:szCs w:val="24"/>
        </w:rPr>
      </w:pPr>
      <w:r w:rsidRPr="002E48FC">
        <w:rPr>
          <w:color w:val="auto"/>
          <w:sz w:val="24"/>
          <w:szCs w:val="24"/>
        </w:rPr>
        <w:t xml:space="preserve">NHSE Dementia programme and preparation for new Alzhiemer’s disease modifying treatments. </w:t>
      </w:r>
    </w:p>
    <w:p w14:paraId="36A9AC0C" w14:textId="77777777" w:rsidR="00DC7BF8" w:rsidRPr="002E48FC" w:rsidRDefault="00DC7BF8" w:rsidP="009C36D6">
      <w:pPr>
        <w:pStyle w:val="ListParagraph"/>
        <w:numPr>
          <w:ilvl w:val="0"/>
          <w:numId w:val="18"/>
        </w:numPr>
        <w:spacing w:after="0" w:line="240" w:lineRule="auto"/>
        <w:ind w:left="993" w:hanging="426"/>
        <w:rPr>
          <w:color w:val="auto"/>
          <w:sz w:val="24"/>
          <w:szCs w:val="24"/>
        </w:rPr>
      </w:pPr>
      <w:r w:rsidRPr="002E48FC">
        <w:rPr>
          <w:color w:val="auto"/>
          <w:sz w:val="24"/>
          <w:szCs w:val="24"/>
        </w:rPr>
        <w:t xml:space="preserve">Carnall Farrar (2024) report – The economic impact of dementia. </w:t>
      </w:r>
    </w:p>
    <w:p w14:paraId="4A3E8BEF" w14:textId="77777777" w:rsidR="00F938B2" w:rsidRPr="002E48FC" w:rsidRDefault="00F938B2" w:rsidP="002E48FC">
      <w:pPr>
        <w:pStyle w:val="ListParagraph"/>
        <w:spacing w:after="0" w:line="240" w:lineRule="auto"/>
        <w:rPr>
          <w:color w:val="auto"/>
          <w:sz w:val="24"/>
          <w:szCs w:val="24"/>
        </w:rPr>
      </w:pPr>
    </w:p>
    <w:p w14:paraId="3967A950" w14:textId="36EE8875" w:rsidR="00466D09" w:rsidRPr="002E48FC" w:rsidRDefault="006F4375" w:rsidP="002E48FC">
      <w:pPr>
        <w:pStyle w:val="ListParagraph"/>
        <w:numPr>
          <w:ilvl w:val="1"/>
          <w:numId w:val="23"/>
        </w:numPr>
        <w:spacing w:after="0" w:line="240" w:lineRule="auto"/>
        <w:ind w:left="567" w:hanging="567"/>
        <w:rPr>
          <w:color w:val="auto"/>
          <w:sz w:val="24"/>
          <w:szCs w:val="24"/>
        </w:rPr>
      </w:pPr>
      <w:r w:rsidRPr="002E48FC">
        <w:rPr>
          <w:color w:val="auto"/>
          <w:sz w:val="24"/>
          <w:szCs w:val="24"/>
        </w:rPr>
        <w:t>A high level Strategic Outline Case (SOC)</w:t>
      </w:r>
      <w:r w:rsidR="00B964B3" w:rsidRPr="002E48FC">
        <w:rPr>
          <w:color w:val="auto"/>
          <w:sz w:val="24"/>
          <w:szCs w:val="24"/>
        </w:rPr>
        <w:t xml:space="preserve"> and</w:t>
      </w:r>
      <w:r w:rsidRPr="002E48FC">
        <w:rPr>
          <w:color w:val="auto"/>
          <w:sz w:val="24"/>
          <w:szCs w:val="24"/>
        </w:rPr>
        <w:t xml:space="preserve"> has been shared with the </w:t>
      </w:r>
      <w:r w:rsidR="00B964B3" w:rsidRPr="002E48FC">
        <w:rPr>
          <w:color w:val="auto"/>
          <w:sz w:val="24"/>
          <w:szCs w:val="24"/>
        </w:rPr>
        <w:t xml:space="preserve">Board previously which highlights the </w:t>
      </w:r>
      <w:r w:rsidR="005853A3" w:rsidRPr="002E48FC">
        <w:rPr>
          <w:color w:val="auto"/>
          <w:sz w:val="24"/>
          <w:szCs w:val="24"/>
        </w:rPr>
        <w:t xml:space="preserve">case for change and </w:t>
      </w:r>
      <w:r w:rsidR="00466D09" w:rsidRPr="002E48FC">
        <w:rPr>
          <w:color w:val="auto"/>
          <w:sz w:val="24"/>
          <w:szCs w:val="24"/>
        </w:rPr>
        <w:t>the challenges that the plan aims to address. Attached below for reference.</w:t>
      </w:r>
    </w:p>
    <w:p w14:paraId="530197B3" w14:textId="77786E80" w:rsidR="00A958CA" w:rsidRDefault="003413EA" w:rsidP="003075EE">
      <w:pPr>
        <w:pStyle w:val="ListParagraph"/>
        <w:spacing w:after="160"/>
        <w:ind w:left="1142"/>
        <w:rPr>
          <w:color w:val="auto"/>
        </w:rPr>
      </w:pPr>
      <w:r>
        <w:rPr>
          <w:color w:val="auto"/>
        </w:rPr>
        <w:object w:dxaOrig="1596" w:dyaOrig="1033" w14:anchorId="646F5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3pt;height:51.8pt" o:ole="">
            <v:imagedata r:id="rId14" o:title=""/>
          </v:shape>
          <o:OLEObject Type="Embed" ProgID="Acrobat.Document.DC" ShapeID="_x0000_i1025" DrawAspect="Icon" ObjectID="_1792398277" r:id="rId15"/>
        </w:object>
      </w:r>
    </w:p>
    <w:p w14:paraId="61308E12" w14:textId="2338EE12" w:rsidR="003075EE" w:rsidRPr="002E48FC" w:rsidRDefault="003075EE" w:rsidP="002E48FC">
      <w:pPr>
        <w:pStyle w:val="ListParagraph"/>
        <w:numPr>
          <w:ilvl w:val="1"/>
          <w:numId w:val="23"/>
        </w:numPr>
        <w:spacing w:after="0" w:line="240" w:lineRule="auto"/>
        <w:ind w:left="567" w:hanging="567"/>
        <w:rPr>
          <w:color w:val="auto"/>
          <w:sz w:val="24"/>
          <w:szCs w:val="24"/>
        </w:rPr>
      </w:pPr>
      <w:r w:rsidRPr="002E48FC">
        <w:rPr>
          <w:color w:val="auto"/>
          <w:sz w:val="24"/>
          <w:szCs w:val="24"/>
        </w:rPr>
        <w:t>This plan has been approved by the MHLDA Operational Leadership Group (OLG) and by the MHLDA Collaborative Executive Strategic Leadership Group</w:t>
      </w:r>
      <w:r w:rsidR="00E27A3B" w:rsidRPr="002E48FC">
        <w:rPr>
          <w:color w:val="auto"/>
          <w:sz w:val="24"/>
          <w:szCs w:val="24"/>
        </w:rPr>
        <w:t xml:space="preserve"> in October 2024. </w:t>
      </w:r>
    </w:p>
    <w:p w14:paraId="7F25944D" w14:textId="77777777" w:rsidR="00A958CA" w:rsidRPr="002E48FC" w:rsidRDefault="00A958CA" w:rsidP="002E48FC">
      <w:pPr>
        <w:pStyle w:val="ListParagraph"/>
        <w:spacing w:after="0" w:line="240" w:lineRule="auto"/>
        <w:ind w:left="567"/>
        <w:jc w:val="both"/>
        <w:rPr>
          <w:b/>
          <w:bCs/>
          <w:color w:val="auto"/>
          <w:sz w:val="24"/>
          <w:szCs w:val="24"/>
        </w:rPr>
      </w:pPr>
    </w:p>
    <w:p w14:paraId="15E5CA08" w14:textId="77777777" w:rsidR="00A958CA" w:rsidRPr="002E48FC" w:rsidRDefault="00A958CA" w:rsidP="002E48FC">
      <w:pPr>
        <w:pStyle w:val="Heading4"/>
        <w:numPr>
          <w:ilvl w:val="0"/>
          <w:numId w:val="23"/>
        </w:numPr>
        <w:ind w:left="567" w:hanging="567"/>
        <w:rPr>
          <w:rFonts w:ascii="Arial" w:hAnsi="Arial" w:cs="Arial"/>
        </w:rPr>
      </w:pPr>
      <w:r w:rsidRPr="002E48FC">
        <w:rPr>
          <w:rFonts w:ascii="Arial" w:hAnsi="Arial" w:cs="Arial"/>
        </w:rPr>
        <w:t>ASSESSMENT</w:t>
      </w:r>
    </w:p>
    <w:p w14:paraId="4C1527FF" w14:textId="561BB4D1" w:rsidR="00A958CA" w:rsidRPr="002E48FC" w:rsidRDefault="00A958CA" w:rsidP="002E48FC">
      <w:pPr>
        <w:pStyle w:val="Heading4"/>
        <w:tabs>
          <w:tab w:val="left" w:pos="630"/>
        </w:tabs>
        <w:ind w:left="0" w:firstLine="360"/>
        <w:rPr>
          <w:rFonts w:ascii="Arial" w:hAnsi="Arial" w:cs="Arial"/>
          <w:b w:val="0"/>
          <w:bCs w:val="0"/>
        </w:rPr>
      </w:pPr>
      <w:r w:rsidRPr="002E48FC">
        <w:rPr>
          <w:rFonts w:ascii="Arial" w:hAnsi="Arial" w:cs="Arial"/>
          <w:b w:val="0"/>
          <w:bCs w:val="0"/>
        </w:rPr>
        <w:t xml:space="preserve">   </w:t>
      </w:r>
    </w:p>
    <w:p w14:paraId="3D0C1CAB" w14:textId="77777777" w:rsidR="004D7596" w:rsidRPr="002E48FC" w:rsidRDefault="00EB327D" w:rsidP="002E48FC">
      <w:pPr>
        <w:pStyle w:val="ListParagraph"/>
        <w:numPr>
          <w:ilvl w:val="1"/>
          <w:numId w:val="23"/>
        </w:numPr>
        <w:spacing w:after="0" w:line="240" w:lineRule="auto"/>
        <w:ind w:left="567" w:hanging="567"/>
        <w:rPr>
          <w:color w:val="auto"/>
          <w:sz w:val="24"/>
          <w:szCs w:val="24"/>
        </w:rPr>
      </w:pPr>
      <w:r w:rsidRPr="002E48FC">
        <w:rPr>
          <w:color w:val="auto"/>
          <w:sz w:val="24"/>
          <w:szCs w:val="24"/>
        </w:rPr>
        <w:t xml:space="preserve">The five year plan aims to reduce variation in access to dementia prevention, assessment, diagnosis and post-diagnostic support across Humber and North Yorkshire. There is currently significant variation in all aspects of dementia care with 40% of those estimated to have a diagnosis, not currently accessing a diagnosis. Of the 60% who do have a diagnosis, their experiences and outcomes vary significantly. </w:t>
      </w:r>
      <w:r w:rsidR="004D7596" w:rsidRPr="002E48FC">
        <w:rPr>
          <w:color w:val="auto"/>
          <w:sz w:val="24"/>
          <w:szCs w:val="24"/>
        </w:rPr>
        <w:t xml:space="preserve">  </w:t>
      </w:r>
    </w:p>
    <w:p w14:paraId="4848BDC4" w14:textId="264C464A" w:rsidR="008152BE" w:rsidRDefault="002E48FC" w:rsidP="002E48FC">
      <w:pPr>
        <w:pStyle w:val="ListParagraph"/>
        <w:spacing w:after="0" w:line="240" w:lineRule="auto"/>
        <w:ind w:left="567" w:hanging="567"/>
        <w:rPr>
          <w:color w:val="auto"/>
          <w:sz w:val="24"/>
          <w:szCs w:val="24"/>
        </w:rPr>
      </w:pPr>
      <w:r w:rsidRPr="002E48FC">
        <w:rPr>
          <w:color w:val="auto"/>
          <w:sz w:val="24"/>
          <w:szCs w:val="24"/>
        </w:rPr>
        <w:tab/>
      </w:r>
      <w:r w:rsidR="004D7596" w:rsidRPr="002E48FC">
        <w:rPr>
          <w:color w:val="auto"/>
          <w:sz w:val="24"/>
          <w:szCs w:val="24"/>
        </w:rPr>
        <w:t>The actions aim to</w:t>
      </w:r>
      <w:r w:rsidR="00EB327D" w:rsidRPr="002E48FC">
        <w:rPr>
          <w:color w:val="auto"/>
          <w:sz w:val="24"/>
          <w:szCs w:val="24"/>
        </w:rPr>
        <w:t xml:space="preserve"> improve access, prevention, communication, education, futureproofing, research and innovation. Addressing these key areas will aid in the improvement of the</w:t>
      </w:r>
      <w:r w:rsidR="00B712D9">
        <w:rPr>
          <w:color w:val="auto"/>
          <w:sz w:val="24"/>
          <w:szCs w:val="24"/>
        </w:rPr>
        <w:t xml:space="preserve"> Humber and North Yorkshire </w:t>
      </w:r>
      <w:r w:rsidR="00EB327D" w:rsidRPr="002E48FC">
        <w:rPr>
          <w:color w:val="auto"/>
          <w:sz w:val="24"/>
          <w:szCs w:val="24"/>
        </w:rPr>
        <w:t xml:space="preserve">dementia diagnosis rates whilst ensuring the system is equipped to manage additional demand. </w:t>
      </w:r>
    </w:p>
    <w:p w14:paraId="72A743A6" w14:textId="77777777" w:rsidR="009C36D6" w:rsidRPr="002E48FC" w:rsidRDefault="009C36D6" w:rsidP="002E48FC">
      <w:pPr>
        <w:pStyle w:val="ListParagraph"/>
        <w:spacing w:after="0" w:line="240" w:lineRule="auto"/>
        <w:ind w:left="567" w:hanging="567"/>
        <w:rPr>
          <w:color w:val="auto"/>
          <w:sz w:val="24"/>
          <w:szCs w:val="24"/>
        </w:rPr>
      </w:pPr>
    </w:p>
    <w:p w14:paraId="7380632F" w14:textId="5497C8A1" w:rsidR="008152BE" w:rsidRDefault="008152BE" w:rsidP="002E48FC">
      <w:pPr>
        <w:pStyle w:val="ListParagraph"/>
        <w:numPr>
          <w:ilvl w:val="1"/>
          <w:numId w:val="23"/>
        </w:numPr>
        <w:spacing w:after="0" w:line="240" w:lineRule="auto"/>
        <w:ind w:left="567" w:hanging="567"/>
        <w:rPr>
          <w:color w:val="auto"/>
          <w:sz w:val="24"/>
          <w:szCs w:val="24"/>
        </w:rPr>
      </w:pPr>
      <w:r w:rsidRPr="002E48FC">
        <w:rPr>
          <w:color w:val="auto"/>
          <w:sz w:val="24"/>
          <w:szCs w:val="24"/>
        </w:rPr>
        <w:t xml:space="preserve">Lived experience – people across </w:t>
      </w:r>
      <w:r w:rsidR="00B712D9">
        <w:rPr>
          <w:color w:val="auto"/>
          <w:sz w:val="24"/>
          <w:szCs w:val="24"/>
        </w:rPr>
        <w:t xml:space="preserve">Humber and North Yorkshire </w:t>
      </w:r>
      <w:r w:rsidRPr="002E48FC">
        <w:rPr>
          <w:color w:val="auto"/>
          <w:sz w:val="24"/>
          <w:szCs w:val="24"/>
        </w:rPr>
        <w:t xml:space="preserve">are having difficulties in accessing timely diagnosis both at primary care and secondary care level. In some areas people are waiting up to 60 months for a dementia diagnosis. </w:t>
      </w:r>
    </w:p>
    <w:p w14:paraId="12163435" w14:textId="77777777" w:rsidR="009C36D6" w:rsidRPr="002E48FC" w:rsidRDefault="009C36D6" w:rsidP="009C36D6">
      <w:pPr>
        <w:pStyle w:val="ListParagraph"/>
        <w:spacing w:after="0" w:line="240" w:lineRule="auto"/>
        <w:ind w:left="567"/>
        <w:rPr>
          <w:color w:val="auto"/>
          <w:sz w:val="24"/>
          <w:szCs w:val="24"/>
        </w:rPr>
      </w:pPr>
    </w:p>
    <w:p w14:paraId="514B1659" w14:textId="40AA4DFD" w:rsidR="00B75BA6" w:rsidRDefault="00E744BD" w:rsidP="002E48FC">
      <w:pPr>
        <w:pStyle w:val="ListParagraph"/>
        <w:numPr>
          <w:ilvl w:val="1"/>
          <w:numId w:val="23"/>
        </w:numPr>
        <w:spacing w:after="0" w:line="240" w:lineRule="auto"/>
        <w:ind w:left="567" w:hanging="567"/>
        <w:rPr>
          <w:color w:val="auto"/>
          <w:sz w:val="24"/>
          <w:szCs w:val="24"/>
        </w:rPr>
      </w:pPr>
      <w:r w:rsidRPr="002E48FC">
        <w:rPr>
          <w:color w:val="auto"/>
          <w:sz w:val="24"/>
          <w:szCs w:val="24"/>
        </w:rPr>
        <w:t xml:space="preserve">Access to services is variable and does not always take into account the demographics and population health groups. There is a greater need to understand this is more depth to </w:t>
      </w:r>
      <w:r w:rsidR="002B4ADA" w:rsidRPr="002E48FC">
        <w:rPr>
          <w:color w:val="auto"/>
          <w:sz w:val="24"/>
          <w:szCs w:val="24"/>
        </w:rPr>
        <w:t xml:space="preserve">improve access accordingly. </w:t>
      </w:r>
    </w:p>
    <w:p w14:paraId="654C25AF" w14:textId="77777777" w:rsidR="009C36D6" w:rsidRPr="002E48FC" w:rsidRDefault="009C36D6" w:rsidP="009C36D6">
      <w:pPr>
        <w:pStyle w:val="ListParagraph"/>
        <w:spacing w:after="0" w:line="240" w:lineRule="auto"/>
        <w:ind w:left="567"/>
        <w:rPr>
          <w:color w:val="auto"/>
          <w:sz w:val="24"/>
          <w:szCs w:val="24"/>
        </w:rPr>
      </w:pPr>
    </w:p>
    <w:p w14:paraId="301C3A8D" w14:textId="22ADBEE1" w:rsidR="0046068E" w:rsidRDefault="00EF3E43" w:rsidP="002E48FC">
      <w:pPr>
        <w:pStyle w:val="ListParagraph"/>
        <w:numPr>
          <w:ilvl w:val="1"/>
          <w:numId w:val="23"/>
        </w:numPr>
        <w:spacing w:after="0" w:line="240" w:lineRule="auto"/>
        <w:ind w:left="567" w:hanging="567"/>
        <w:rPr>
          <w:color w:val="auto"/>
          <w:sz w:val="24"/>
          <w:szCs w:val="24"/>
        </w:rPr>
      </w:pPr>
      <w:r w:rsidRPr="002E48FC">
        <w:rPr>
          <w:color w:val="auto"/>
          <w:sz w:val="24"/>
          <w:szCs w:val="24"/>
        </w:rPr>
        <w:t>We have an ageing population and the expected dementia diagnosis rates are expected to rise significantly. Modelling commenced within the dementia programme show the age trajectory across</w:t>
      </w:r>
      <w:r w:rsidR="00B712D9">
        <w:rPr>
          <w:color w:val="auto"/>
          <w:sz w:val="24"/>
          <w:szCs w:val="24"/>
        </w:rPr>
        <w:t xml:space="preserve"> Humber and North Yorkshire </w:t>
      </w:r>
      <w:r w:rsidR="00BB635E" w:rsidRPr="002E48FC">
        <w:rPr>
          <w:color w:val="auto"/>
          <w:sz w:val="24"/>
          <w:szCs w:val="24"/>
        </w:rPr>
        <w:t xml:space="preserve">over the next 15 years allowing for targeted focus to reflect population need. </w:t>
      </w:r>
    </w:p>
    <w:p w14:paraId="270023D8" w14:textId="77777777" w:rsidR="00676B65" w:rsidRDefault="0046068E" w:rsidP="002E48FC">
      <w:pPr>
        <w:pStyle w:val="ListParagraph"/>
        <w:numPr>
          <w:ilvl w:val="1"/>
          <w:numId w:val="23"/>
        </w:numPr>
        <w:spacing w:after="0" w:line="240" w:lineRule="auto"/>
        <w:ind w:left="567" w:hanging="567"/>
        <w:rPr>
          <w:color w:val="auto"/>
          <w:sz w:val="24"/>
          <w:szCs w:val="24"/>
        </w:rPr>
      </w:pPr>
      <w:r w:rsidRPr="002E48FC">
        <w:rPr>
          <w:color w:val="auto"/>
          <w:sz w:val="24"/>
          <w:szCs w:val="24"/>
        </w:rPr>
        <w:lastRenderedPageBreak/>
        <w:t xml:space="preserve">There are 29 disease modifying treatments on the horizon for use by 2030 – access to these is subject to accurate and timely diagnosis. We have a System Readiness workstream with NHSE aiming to address this as currently the system is not equipped to support the roll out. The first tablet form DMT is expected to be decided on by February 2025. </w:t>
      </w:r>
    </w:p>
    <w:p w14:paraId="007D0262" w14:textId="77777777" w:rsidR="009C36D6" w:rsidRPr="002E48FC" w:rsidRDefault="009C36D6" w:rsidP="009C36D6">
      <w:pPr>
        <w:pStyle w:val="ListParagraph"/>
        <w:spacing w:after="0" w:line="240" w:lineRule="auto"/>
        <w:ind w:left="567"/>
        <w:rPr>
          <w:color w:val="auto"/>
          <w:sz w:val="24"/>
          <w:szCs w:val="24"/>
        </w:rPr>
      </w:pPr>
    </w:p>
    <w:p w14:paraId="713B429A" w14:textId="248E4BB0" w:rsidR="00663E91" w:rsidRDefault="00676B65" w:rsidP="002E48FC">
      <w:pPr>
        <w:pStyle w:val="ListParagraph"/>
        <w:numPr>
          <w:ilvl w:val="1"/>
          <w:numId w:val="23"/>
        </w:numPr>
        <w:spacing w:after="0" w:line="240" w:lineRule="auto"/>
        <w:ind w:left="567" w:hanging="567"/>
        <w:rPr>
          <w:color w:val="auto"/>
          <w:sz w:val="24"/>
          <w:szCs w:val="24"/>
        </w:rPr>
      </w:pPr>
      <w:r w:rsidRPr="002E48FC">
        <w:rPr>
          <w:color w:val="auto"/>
          <w:sz w:val="24"/>
          <w:szCs w:val="24"/>
        </w:rPr>
        <w:t>The impact of delayed diagnosis and lack of support is not only detrimental to the person</w:t>
      </w:r>
      <w:r w:rsidR="00F94AEB">
        <w:rPr>
          <w:color w:val="auto"/>
          <w:sz w:val="24"/>
          <w:szCs w:val="24"/>
        </w:rPr>
        <w:t>,</w:t>
      </w:r>
      <w:r w:rsidRPr="002E48FC">
        <w:rPr>
          <w:color w:val="auto"/>
          <w:sz w:val="24"/>
          <w:szCs w:val="24"/>
        </w:rPr>
        <w:t xml:space="preserve"> but has a significant impact on the wider system</w:t>
      </w:r>
      <w:r w:rsidR="00F94AEB">
        <w:rPr>
          <w:color w:val="auto"/>
          <w:sz w:val="24"/>
          <w:szCs w:val="24"/>
        </w:rPr>
        <w:t>.  E</w:t>
      </w:r>
      <w:r w:rsidRPr="002E48FC">
        <w:rPr>
          <w:color w:val="auto"/>
          <w:sz w:val="24"/>
          <w:szCs w:val="24"/>
        </w:rPr>
        <w:t xml:space="preserve">.g. increased hospital admissions (acute and MH), carer breakdown (economic cost increases), greater risk of poor physical health (NHSE 2024 report suggests 25% of acute hospital beds are occupied by people with dementia, 43% of these due to conditions that are treatable in the community such as UTI’s and chest infections). Locally processes do not facilitate timely follow up for </w:t>
      </w:r>
      <w:r w:rsidR="00F94AEB">
        <w:rPr>
          <w:color w:val="auto"/>
          <w:sz w:val="24"/>
          <w:szCs w:val="24"/>
        </w:rPr>
        <w:t xml:space="preserve">those </w:t>
      </w:r>
      <w:r w:rsidRPr="002E48FC">
        <w:rPr>
          <w:color w:val="auto"/>
          <w:sz w:val="24"/>
          <w:szCs w:val="24"/>
        </w:rPr>
        <w:t xml:space="preserve">admitted with a delirium who cannot be assessed for dementia until the delirium has cleared. They are referred to the GP for follow up but follow-ups are not carried out. </w:t>
      </w:r>
      <w:r w:rsidR="00B712D9">
        <w:rPr>
          <w:color w:val="auto"/>
          <w:sz w:val="24"/>
          <w:szCs w:val="24"/>
        </w:rPr>
        <w:t xml:space="preserve">Humber and North Yorkshire </w:t>
      </w:r>
      <w:r w:rsidRPr="002E48FC">
        <w:rPr>
          <w:color w:val="auto"/>
          <w:sz w:val="24"/>
          <w:szCs w:val="24"/>
        </w:rPr>
        <w:t>are working with the region to explore alternative models such as virtual wards or delirium follow up clinics.</w:t>
      </w:r>
    </w:p>
    <w:p w14:paraId="302CF03E" w14:textId="77777777" w:rsidR="009C36D6" w:rsidRPr="002E48FC" w:rsidRDefault="009C36D6" w:rsidP="009C36D6">
      <w:pPr>
        <w:pStyle w:val="ListParagraph"/>
        <w:spacing w:after="0" w:line="240" w:lineRule="auto"/>
        <w:ind w:left="567"/>
        <w:rPr>
          <w:color w:val="auto"/>
          <w:sz w:val="24"/>
          <w:szCs w:val="24"/>
        </w:rPr>
      </w:pPr>
    </w:p>
    <w:p w14:paraId="4521141F" w14:textId="26C9781E" w:rsidR="00FD080D" w:rsidRDefault="00663E91" w:rsidP="004634E0">
      <w:pPr>
        <w:pStyle w:val="ListParagraph"/>
        <w:numPr>
          <w:ilvl w:val="1"/>
          <w:numId w:val="23"/>
        </w:numPr>
        <w:spacing w:after="0" w:line="240" w:lineRule="auto"/>
        <w:ind w:left="567" w:hanging="567"/>
        <w:rPr>
          <w:color w:val="auto"/>
          <w:sz w:val="24"/>
          <w:szCs w:val="24"/>
        </w:rPr>
      </w:pPr>
      <w:r w:rsidRPr="009C36D6">
        <w:rPr>
          <w:color w:val="auto"/>
          <w:sz w:val="24"/>
          <w:szCs w:val="24"/>
        </w:rPr>
        <w:t>Alternative models of diagnosing and managing dementia should be explored such as the work done by the frailty team from the Jean Bishop Integrated Care Centre in Hull</w:t>
      </w:r>
      <w:r w:rsidR="00FD080D" w:rsidRPr="009C36D6">
        <w:rPr>
          <w:color w:val="auto"/>
          <w:sz w:val="24"/>
          <w:szCs w:val="24"/>
        </w:rPr>
        <w:t>.</w:t>
      </w:r>
      <w:r w:rsidR="009C36D6" w:rsidRPr="009C36D6">
        <w:rPr>
          <w:color w:val="auto"/>
          <w:sz w:val="24"/>
          <w:szCs w:val="24"/>
        </w:rPr>
        <w:t xml:space="preserve"> </w:t>
      </w:r>
      <w:r w:rsidRPr="009C36D6">
        <w:rPr>
          <w:color w:val="auto"/>
          <w:sz w:val="24"/>
          <w:szCs w:val="24"/>
        </w:rPr>
        <w:t xml:space="preserve">This is a centre of excellence for the assessment and management of frail patients </w:t>
      </w:r>
      <w:r w:rsidR="00FD080D" w:rsidRPr="009C36D6">
        <w:rPr>
          <w:color w:val="auto"/>
          <w:sz w:val="24"/>
          <w:szCs w:val="24"/>
        </w:rPr>
        <w:t xml:space="preserve">who have proven they can reduce the number of these patients who require admission to the local acute NHS trust. The centre also </w:t>
      </w:r>
      <w:r w:rsidRPr="009C36D6">
        <w:rPr>
          <w:color w:val="auto"/>
          <w:sz w:val="24"/>
          <w:szCs w:val="24"/>
        </w:rPr>
        <w:t xml:space="preserve">runs a weekly MDT who manage complex dementia patients with </w:t>
      </w:r>
      <w:r w:rsidR="00FD080D" w:rsidRPr="009C36D6">
        <w:rPr>
          <w:color w:val="auto"/>
          <w:sz w:val="24"/>
          <w:szCs w:val="24"/>
        </w:rPr>
        <w:t>distress in dementia and the team often diagnose dementia in these frail patients avoiding referral to the memory clinic.</w:t>
      </w:r>
    </w:p>
    <w:p w14:paraId="3D1996A9" w14:textId="77777777" w:rsidR="009C36D6" w:rsidRPr="009C36D6" w:rsidRDefault="009C36D6" w:rsidP="009C36D6">
      <w:pPr>
        <w:pStyle w:val="ListParagraph"/>
        <w:spacing w:after="0" w:line="240" w:lineRule="auto"/>
        <w:ind w:left="567"/>
        <w:rPr>
          <w:color w:val="auto"/>
          <w:sz w:val="24"/>
          <w:szCs w:val="24"/>
        </w:rPr>
      </w:pPr>
    </w:p>
    <w:p w14:paraId="5B9FC4E1" w14:textId="691B65CE" w:rsidR="008B2D20" w:rsidRDefault="00890612" w:rsidP="002E48FC">
      <w:pPr>
        <w:pStyle w:val="ListParagraph"/>
        <w:numPr>
          <w:ilvl w:val="1"/>
          <w:numId w:val="23"/>
        </w:numPr>
        <w:spacing w:after="0" w:line="240" w:lineRule="auto"/>
        <w:ind w:left="567" w:hanging="567"/>
        <w:rPr>
          <w:color w:val="auto"/>
          <w:sz w:val="24"/>
          <w:szCs w:val="24"/>
        </w:rPr>
      </w:pPr>
      <w:r w:rsidRPr="002E48FC">
        <w:rPr>
          <w:color w:val="auto"/>
          <w:sz w:val="24"/>
          <w:szCs w:val="24"/>
        </w:rPr>
        <w:t xml:space="preserve">Economical impact – Carnall Farrar (2024) report the UK cost of dementia currently is £42b annually. This is expected to increase to £90b by 2024. </w:t>
      </w:r>
    </w:p>
    <w:p w14:paraId="053BB868" w14:textId="77777777" w:rsidR="009C36D6" w:rsidRPr="002E48FC" w:rsidRDefault="009C36D6" w:rsidP="009C36D6">
      <w:pPr>
        <w:pStyle w:val="ListParagraph"/>
        <w:spacing w:after="0" w:line="240" w:lineRule="auto"/>
        <w:ind w:left="567"/>
        <w:rPr>
          <w:color w:val="auto"/>
          <w:sz w:val="24"/>
          <w:szCs w:val="24"/>
        </w:rPr>
      </w:pPr>
    </w:p>
    <w:p w14:paraId="77C8B2AE" w14:textId="3D3C42C0" w:rsidR="002B4ADA" w:rsidRPr="002E48FC" w:rsidRDefault="008B2D20" w:rsidP="002E48FC">
      <w:pPr>
        <w:pStyle w:val="ListParagraph"/>
        <w:numPr>
          <w:ilvl w:val="1"/>
          <w:numId w:val="23"/>
        </w:numPr>
        <w:spacing w:after="0" w:line="240" w:lineRule="auto"/>
        <w:ind w:left="567" w:hanging="567"/>
        <w:rPr>
          <w:color w:val="auto"/>
          <w:sz w:val="24"/>
          <w:szCs w:val="24"/>
        </w:rPr>
      </w:pPr>
      <w:r w:rsidRPr="002E48FC">
        <w:rPr>
          <w:bCs/>
          <w:color w:val="auto"/>
          <w:sz w:val="24"/>
          <w:szCs w:val="24"/>
        </w:rPr>
        <w:t>Prevention: 45% of dementia’s are preventable so the programme will have a focus on the 14 known modifiable risk factors to address this</w:t>
      </w:r>
      <w:r w:rsidR="00122CB9" w:rsidRPr="002E48FC">
        <w:rPr>
          <w:bCs/>
          <w:color w:val="auto"/>
          <w:sz w:val="24"/>
          <w:szCs w:val="24"/>
        </w:rPr>
        <w:t xml:space="preserve"> </w:t>
      </w:r>
      <w:r w:rsidR="00C61EA2" w:rsidRPr="002E48FC">
        <w:rPr>
          <w:bCs/>
          <w:color w:val="auto"/>
          <w:sz w:val="24"/>
          <w:szCs w:val="24"/>
        </w:rPr>
        <w:t>(</w:t>
      </w:r>
      <w:r w:rsidR="00122CB9" w:rsidRPr="002E48FC">
        <w:rPr>
          <w:bCs/>
          <w:color w:val="auto"/>
          <w:sz w:val="24"/>
          <w:szCs w:val="24"/>
        </w:rPr>
        <w:t>Annex 1)</w:t>
      </w:r>
      <w:r w:rsidRPr="002E48FC">
        <w:rPr>
          <w:bCs/>
          <w:color w:val="auto"/>
          <w:sz w:val="24"/>
          <w:szCs w:val="24"/>
        </w:rPr>
        <w:t xml:space="preserve">. Additionally, there will be focus on reducing adverse outcomes for people with a dementia diagnosis within inclusion health groups and making use of existing and upcoming population health data. </w:t>
      </w:r>
    </w:p>
    <w:p w14:paraId="061BF5DB" w14:textId="77777777" w:rsidR="00A958CA" w:rsidRPr="002E48FC" w:rsidRDefault="00A958CA" w:rsidP="002E48FC">
      <w:pPr>
        <w:pStyle w:val="BodyTextIndent"/>
        <w:ind w:left="0"/>
        <w:rPr>
          <w:rFonts w:ascii="Arial" w:hAnsi="Arial" w:cs="Arial"/>
        </w:rPr>
      </w:pPr>
    </w:p>
    <w:p w14:paraId="77AE12FD" w14:textId="77777777" w:rsidR="00A958CA" w:rsidRPr="002E48FC" w:rsidRDefault="00A958CA" w:rsidP="002E48FC">
      <w:pPr>
        <w:pStyle w:val="Heading5"/>
        <w:numPr>
          <w:ilvl w:val="0"/>
          <w:numId w:val="23"/>
        </w:numPr>
        <w:ind w:left="567" w:hanging="567"/>
      </w:pPr>
      <w:r w:rsidRPr="002E48FC">
        <w:t xml:space="preserve">CONCLUSION </w:t>
      </w:r>
    </w:p>
    <w:p w14:paraId="6C1B75E9" w14:textId="77777777" w:rsidR="00A958CA" w:rsidRPr="002E48FC" w:rsidRDefault="00A958CA" w:rsidP="002E48FC">
      <w:pPr>
        <w:spacing w:after="0" w:line="240" w:lineRule="auto"/>
        <w:rPr>
          <w:sz w:val="24"/>
          <w:szCs w:val="24"/>
        </w:rPr>
      </w:pPr>
    </w:p>
    <w:p w14:paraId="2FFF793B" w14:textId="4D5688F2" w:rsidR="00D64FF9" w:rsidRDefault="00D64FF9" w:rsidP="002E48FC">
      <w:pPr>
        <w:spacing w:after="0" w:line="240" w:lineRule="auto"/>
        <w:ind w:left="567"/>
        <w:rPr>
          <w:color w:val="auto"/>
          <w:sz w:val="24"/>
          <w:szCs w:val="24"/>
        </w:rPr>
      </w:pPr>
      <w:r w:rsidRPr="002E48FC">
        <w:rPr>
          <w:color w:val="auto"/>
          <w:sz w:val="24"/>
          <w:szCs w:val="24"/>
        </w:rPr>
        <w:t>This is a five year plan commencing Nov</w:t>
      </w:r>
      <w:r w:rsidR="006C71BB">
        <w:rPr>
          <w:color w:val="auto"/>
          <w:sz w:val="24"/>
          <w:szCs w:val="24"/>
        </w:rPr>
        <w:t>ember</w:t>
      </w:r>
      <w:r w:rsidRPr="002E48FC">
        <w:rPr>
          <w:color w:val="auto"/>
          <w:sz w:val="24"/>
          <w:szCs w:val="24"/>
        </w:rPr>
        <w:t xml:space="preserve"> 2024 with some workstreams already in progress.  </w:t>
      </w:r>
      <w:r w:rsidR="00EA45F5" w:rsidRPr="002E48FC">
        <w:rPr>
          <w:color w:val="auto"/>
          <w:sz w:val="24"/>
          <w:szCs w:val="24"/>
        </w:rPr>
        <w:t xml:space="preserve">The benefits of </w:t>
      </w:r>
      <w:r w:rsidR="00687E3B" w:rsidRPr="002E48FC">
        <w:rPr>
          <w:color w:val="auto"/>
          <w:sz w:val="24"/>
          <w:szCs w:val="24"/>
        </w:rPr>
        <w:t>delivering on the action plan include:</w:t>
      </w:r>
    </w:p>
    <w:p w14:paraId="10785985" w14:textId="77777777" w:rsidR="009C36D6" w:rsidRPr="002E48FC" w:rsidRDefault="009C36D6" w:rsidP="002E48FC">
      <w:pPr>
        <w:spacing w:after="0" w:line="240" w:lineRule="auto"/>
        <w:ind w:left="567"/>
        <w:rPr>
          <w:color w:val="auto"/>
          <w:sz w:val="24"/>
          <w:szCs w:val="24"/>
        </w:rPr>
      </w:pPr>
    </w:p>
    <w:p w14:paraId="07253D84" w14:textId="77777777" w:rsidR="00687E3B" w:rsidRPr="002E48FC" w:rsidRDefault="00687E3B" w:rsidP="009C36D6">
      <w:pPr>
        <w:pStyle w:val="ListParagraph"/>
        <w:numPr>
          <w:ilvl w:val="0"/>
          <w:numId w:val="21"/>
        </w:numPr>
        <w:spacing w:after="0" w:line="240" w:lineRule="auto"/>
        <w:ind w:left="993" w:hanging="426"/>
        <w:rPr>
          <w:color w:val="auto"/>
          <w:sz w:val="24"/>
          <w:szCs w:val="24"/>
        </w:rPr>
      </w:pPr>
      <w:r w:rsidRPr="002E48FC">
        <w:rPr>
          <w:color w:val="auto"/>
          <w:sz w:val="24"/>
          <w:szCs w:val="24"/>
        </w:rPr>
        <w:t xml:space="preserve">Improved patient and family outcomes. </w:t>
      </w:r>
    </w:p>
    <w:p w14:paraId="3AB5A7F3" w14:textId="77777777" w:rsidR="00687E3B" w:rsidRPr="002E48FC" w:rsidRDefault="00687E3B" w:rsidP="009C36D6">
      <w:pPr>
        <w:pStyle w:val="ListParagraph"/>
        <w:numPr>
          <w:ilvl w:val="0"/>
          <w:numId w:val="21"/>
        </w:numPr>
        <w:spacing w:after="0" w:line="240" w:lineRule="auto"/>
        <w:ind w:left="993" w:hanging="426"/>
        <w:rPr>
          <w:color w:val="auto"/>
          <w:sz w:val="24"/>
          <w:szCs w:val="24"/>
        </w:rPr>
      </w:pPr>
      <w:r w:rsidRPr="002E48FC">
        <w:rPr>
          <w:color w:val="auto"/>
          <w:sz w:val="24"/>
          <w:szCs w:val="24"/>
        </w:rPr>
        <w:t>Reduced inequalities.</w:t>
      </w:r>
    </w:p>
    <w:p w14:paraId="65F8FB8D" w14:textId="77777777" w:rsidR="00687E3B" w:rsidRPr="002E48FC" w:rsidRDefault="00687E3B" w:rsidP="009C36D6">
      <w:pPr>
        <w:pStyle w:val="ListParagraph"/>
        <w:numPr>
          <w:ilvl w:val="0"/>
          <w:numId w:val="21"/>
        </w:numPr>
        <w:spacing w:after="0" w:line="240" w:lineRule="auto"/>
        <w:ind w:left="993" w:hanging="426"/>
        <w:rPr>
          <w:color w:val="auto"/>
          <w:sz w:val="24"/>
          <w:szCs w:val="24"/>
        </w:rPr>
      </w:pPr>
      <w:r w:rsidRPr="002E48FC">
        <w:rPr>
          <w:color w:val="auto"/>
          <w:sz w:val="24"/>
          <w:szCs w:val="24"/>
        </w:rPr>
        <w:t xml:space="preserve">Reduced crisis and carer breakdown. </w:t>
      </w:r>
    </w:p>
    <w:p w14:paraId="1BD74E1B" w14:textId="77777777" w:rsidR="00687E3B" w:rsidRPr="002E48FC" w:rsidRDefault="00687E3B" w:rsidP="009C36D6">
      <w:pPr>
        <w:pStyle w:val="ListParagraph"/>
        <w:numPr>
          <w:ilvl w:val="0"/>
          <w:numId w:val="21"/>
        </w:numPr>
        <w:spacing w:after="0" w:line="240" w:lineRule="auto"/>
        <w:ind w:left="993" w:hanging="426"/>
        <w:rPr>
          <w:color w:val="auto"/>
          <w:sz w:val="24"/>
          <w:szCs w:val="24"/>
        </w:rPr>
      </w:pPr>
      <w:r w:rsidRPr="002E48FC">
        <w:rPr>
          <w:color w:val="auto"/>
          <w:sz w:val="24"/>
          <w:szCs w:val="24"/>
        </w:rPr>
        <w:t>Reduced economic impact on the whole system.</w:t>
      </w:r>
    </w:p>
    <w:p w14:paraId="2DDC1B48" w14:textId="77777777" w:rsidR="00687E3B" w:rsidRPr="002E48FC" w:rsidRDefault="00687E3B" w:rsidP="009C36D6">
      <w:pPr>
        <w:pStyle w:val="ListParagraph"/>
        <w:numPr>
          <w:ilvl w:val="0"/>
          <w:numId w:val="21"/>
        </w:numPr>
        <w:spacing w:after="0" w:line="240" w:lineRule="auto"/>
        <w:ind w:left="993" w:hanging="426"/>
        <w:rPr>
          <w:color w:val="auto"/>
          <w:sz w:val="24"/>
          <w:szCs w:val="24"/>
        </w:rPr>
      </w:pPr>
      <w:r w:rsidRPr="002E48FC">
        <w:rPr>
          <w:color w:val="auto"/>
          <w:sz w:val="24"/>
          <w:szCs w:val="24"/>
        </w:rPr>
        <w:t xml:space="preserve">Improved dementia diagnosis rates. </w:t>
      </w:r>
    </w:p>
    <w:p w14:paraId="700F58D8" w14:textId="77777777" w:rsidR="00687E3B" w:rsidRPr="002E48FC" w:rsidRDefault="00687E3B" w:rsidP="009C36D6">
      <w:pPr>
        <w:pStyle w:val="ListParagraph"/>
        <w:numPr>
          <w:ilvl w:val="0"/>
          <w:numId w:val="21"/>
        </w:numPr>
        <w:spacing w:after="0" w:line="240" w:lineRule="auto"/>
        <w:ind w:left="993" w:hanging="426"/>
        <w:rPr>
          <w:color w:val="auto"/>
          <w:sz w:val="24"/>
          <w:szCs w:val="24"/>
        </w:rPr>
      </w:pPr>
      <w:r w:rsidRPr="002E48FC">
        <w:rPr>
          <w:color w:val="auto"/>
          <w:sz w:val="24"/>
          <w:szCs w:val="24"/>
        </w:rPr>
        <w:t xml:space="preserve">Earlier intervention meaning better quality of life for longer after diagnosis. </w:t>
      </w:r>
    </w:p>
    <w:p w14:paraId="17D03F72" w14:textId="77777777" w:rsidR="00687E3B" w:rsidRPr="002E48FC" w:rsidRDefault="00687E3B" w:rsidP="009C36D6">
      <w:pPr>
        <w:pStyle w:val="ListParagraph"/>
        <w:numPr>
          <w:ilvl w:val="0"/>
          <w:numId w:val="21"/>
        </w:numPr>
        <w:spacing w:after="0" w:line="240" w:lineRule="auto"/>
        <w:ind w:left="993" w:hanging="426"/>
        <w:rPr>
          <w:color w:val="auto"/>
          <w:sz w:val="24"/>
          <w:szCs w:val="24"/>
        </w:rPr>
      </w:pPr>
      <w:r w:rsidRPr="002E48FC">
        <w:rPr>
          <w:color w:val="auto"/>
          <w:sz w:val="24"/>
          <w:szCs w:val="24"/>
        </w:rPr>
        <w:t xml:space="preserve">Reduced out of area placements. </w:t>
      </w:r>
    </w:p>
    <w:p w14:paraId="2B1EBE53" w14:textId="77777777" w:rsidR="00687E3B" w:rsidRPr="002E48FC" w:rsidRDefault="00687E3B" w:rsidP="009C36D6">
      <w:pPr>
        <w:pStyle w:val="ListParagraph"/>
        <w:numPr>
          <w:ilvl w:val="0"/>
          <w:numId w:val="21"/>
        </w:numPr>
        <w:spacing w:after="0" w:line="240" w:lineRule="auto"/>
        <w:ind w:left="993" w:hanging="426"/>
        <w:rPr>
          <w:color w:val="auto"/>
          <w:sz w:val="24"/>
          <w:szCs w:val="24"/>
        </w:rPr>
      </w:pPr>
      <w:r w:rsidRPr="002E48FC">
        <w:rPr>
          <w:color w:val="auto"/>
          <w:sz w:val="24"/>
          <w:szCs w:val="24"/>
        </w:rPr>
        <w:t xml:space="preserve">Reduced hospital admissions (MH and acute). </w:t>
      </w:r>
    </w:p>
    <w:p w14:paraId="55783BAF" w14:textId="77777777" w:rsidR="00687E3B" w:rsidRDefault="00687E3B" w:rsidP="009C36D6">
      <w:pPr>
        <w:pStyle w:val="ListParagraph"/>
        <w:numPr>
          <w:ilvl w:val="0"/>
          <w:numId w:val="21"/>
        </w:numPr>
        <w:spacing w:after="0" w:line="240" w:lineRule="auto"/>
        <w:ind w:left="993" w:hanging="426"/>
        <w:rPr>
          <w:color w:val="auto"/>
          <w:sz w:val="24"/>
          <w:szCs w:val="24"/>
        </w:rPr>
      </w:pPr>
      <w:r w:rsidRPr="002E48FC">
        <w:rPr>
          <w:color w:val="auto"/>
          <w:sz w:val="24"/>
          <w:szCs w:val="24"/>
        </w:rPr>
        <w:t xml:space="preserve">Prevention of dementia longer term (potentially 45% of dementias can be prevented by addressing 14 modifiable risk factors). </w:t>
      </w:r>
    </w:p>
    <w:p w14:paraId="509582B0" w14:textId="77777777" w:rsidR="009C36D6" w:rsidRPr="002E48FC" w:rsidRDefault="009C36D6" w:rsidP="009C36D6">
      <w:pPr>
        <w:pStyle w:val="ListParagraph"/>
        <w:spacing w:after="0" w:line="240" w:lineRule="auto"/>
        <w:ind w:left="993"/>
        <w:rPr>
          <w:color w:val="auto"/>
          <w:sz w:val="24"/>
          <w:szCs w:val="24"/>
        </w:rPr>
      </w:pPr>
    </w:p>
    <w:p w14:paraId="675901C7" w14:textId="23863884" w:rsidR="00913A8D" w:rsidRDefault="00913A8D" w:rsidP="009C36D6">
      <w:pPr>
        <w:spacing w:after="0" w:line="240" w:lineRule="auto"/>
        <w:ind w:left="567"/>
        <w:rPr>
          <w:color w:val="auto"/>
          <w:sz w:val="24"/>
          <w:szCs w:val="24"/>
        </w:rPr>
      </w:pPr>
      <w:r w:rsidRPr="002E48FC">
        <w:rPr>
          <w:color w:val="auto"/>
          <w:sz w:val="24"/>
          <w:szCs w:val="24"/>
        </w:rPr>
        <w:lastRenderedPageBreak/>
        <w:t xml:space="preserve">The </w:t>
      </w:r>
      <w:r w:rsidR="00355C5E" w:rsidRPr="002E48FC">
        <w:rPr>
          <w:color w:val="auto"/>
          <w:sz w:val="24"/>
          <w:szCs w:val="24"/>
        </w:rPr>
        <w:t xml:space="preserve">action plan will be reviewed annually with further exploration work to refine the core offer and agreed performance </w:t>
      </w:r>
      <w:r w:rsidR="00BD6100" w:rsidRPr="002E48FC">
        <w:rPr>
          <w:color w:val="auto"/>
          <w:sz w:val="24"/>
          <w:szCs w:val="24"/>
        </w:rPr>
        <w:t>outcomes (in addition to existing DDR target)</w:t>
      </w:r>
      <w:r w:rsidR="0059483F" w:rsidRPr="002E48FC">
        <w:rPr>
          <w:color w:val="auto"/>
          <w:sz w:val="24"/>
          <w:szCs w:val="24"/>
        </w:rPr>
        <w:t xml:space="preserve">, with refined targets being agreed within the first 12 months based on the findings of the initial scoping work to better understand capacity and demand and finance modelling. </w:t>
      </w:r>
    </w:p>
    <w:p w14:paraId="57209AF2" w14:textId="77777777" w:rsidR="002E48FC" w:rsidRPr="002E48FC" w:rsidRDefault="002E48FC" w:rsidP="002E48FC">
      <w:pPr>
        <w:spacing w:after="0" w:line="240" w:lineRule="auto"/>
        <w:ind w:left="567"/>
        <w:rPr>
          <w:color w:val="auto"/>
          <w:sz w:val="24"/>
          <w:szCs w:val="24"/>
        </w:rPr>
      </w:pPr>
    </w:p>
    <w:p w14:paraId="32C4F6DF" w14:textId="77777777" w:rsidR="00A958CA" w:rsidRPr="002E48FC" w:rsidRDefault="00A958CA" w:rsidP="002E48FC">
      <w:pPr>
        <w:pStyle w:val="ListParagraph"/>
        <w:numPr>
          <w:ilvl w:val="0"/>
          <w:numId w:val="23"/>
        </w:numPr>
        <w:spacing w:after="0" w:line="240" w:lineRule="auto"/>
        <w:ind w:left="567" w:hanging="567"/>
        <w:rPr>
          <w:b/>
          <w:bCs/>
          <w:sz w:val="24"/>
          <w:szCs w:val="24"/>
        </w:rPr>
      </w:pPr>
      <w:r w:rsidRPr="002E48FC">
        <w:rPr>
          <w:b/>
          <w:bCs/>
          <w:color w:val="auto"/>
          <w:sz w:val="24"/>
          <w:szCs w:val="24"/>
        </w:rPr>
        <w:t>RECOMMENDATIONS</w:t>
      </w:r>
    </w:p>
    <w:p w14:paraId="493F9032" w14:textId="77777777" w:rsidR="00A958CA" w:rsidRPr="002E48FC" w:rsidRDefault="00A958CA" w:rsidP="002E48FC">
      <w:pPr>
        <w:pStyle w:val="ListParagraph"/>
        <w:spacing w:after="0" w:line="240" w:lineRule="auto"/>
        <w:ind w:left="567"/>
        <w:rPr>
          <w:b/>
          <w:bCs/>
          <w:sz w:val="24"/>
          <w:szCs w:val="24"/>
        </w:rPr>
      </w:pPr>
    </w:p>
    <w:p w14:paraId="268B9712" w14:textId="723FCE68" w:rsidR="00A958CA" w:rsidRPr="002E48FC" w:rsidRDefault="00A958CA" w:rsidP="002E48FC">
      <w:pPr>
        <w:pStyle w:val="ListParagraph"/>
        <w:numPr>
          <w:ilvl w:val="1"/>
          <w:numId w:val="23"/>
        </w:numPr>
        <w:spacing w:after="0" w:line="240" w:lineRule="auto"/>
        <w:ind w:left="567" w:hanging="567"/>
        <w:jc w:val="both"/>
        <w:rPr>
          <w:color w:val="auto"/>
          <w:sz w:val="24"/>
          <w:szCs w:val="24"/>
        </w:rPr>
      </w:pPr>
      <w:r w:rsidRPr="002E48FC">
        <w:rPr>
          <w:color w:val="auto"/>
          <w:sz w:val="24"/>
          <w:szCs w:val="24"/>
        </w:rPr>
        <w:t>Members are asked to:</w:t>
      </w:r>
    </w:p>
    <w:p w14:paraId="14DE537C" w14:textId="77777777" w:rsidR="00A958CA" w:rsidRPr="002E48FC" w:rsidRDefault="00A958CA" w:rsidP="002E48FC">
      <w:pPr>
        <w:pStyle w:val="ListParagraph"/>
        <w:spacing w:after="0" w:line="240" w:lineRule="auto"/>
        <w:ind w:left="567"/>
        <w:jc w:val="both"/>
        <w:rPr>
          <w:color w:val="auto"/>
          <w:sz w:val="24"/>
          <w:szCs w:val="24"/>
        </w:rPr>
      </w:pPr>
    </w:p>
    <w:p w14:paraId="542F5D43" w14:textId="6D9751EE" w:rsidR="00A958CA" w:rsidRPr="002E48FC" w:rsidRDefault="00913A8D" w:rsidP="002E48FC">
      <w:pPr>
        <w:pStyle w:val="ListParagraph"/>
        <w:numPr>
          <w:ilvl w:val="0"/>
          <w:numId w:val="22"/>
        </w:numPr>
        <w:spacing w:after="0" w:line="240" w:lineRule="auto"/>
        <w:ind w:left="993" w:hanging="426"/>
        <w:rPr>
          <w:color w:val="auto"/>
          <w:sz w:val="24"/>
          <w:szCs w:val="24"/>
        </w:rPr>
      </w:pPr>
      <w:r w:rsidRPr="002E48FC">
        <w:rPr>
          <w:color w:val="auto"/>
          <w:sz w:val="24"/>
          <w:szCs w:val="24"/>
        </w:rPr>
        <w:t>Approve and endorse this five-year plan for dementia in</w:t>
      </w:r>
      <w:r w:rsidR="00B712D9">
        <w:rPr>
          <w:color w:val="auto"/>
          <w:sz w:val="24"/>
          <w:szCs w:val="24"/>
        </w:rPr>
        <w:t xml:space="preserve"> Humber and North Yorkshire</w:t>
      </w:r>
      <w:r w:rsidRPr="002E48FC">
        <w:rPr>
          <w:color w:val="auto"/>
          <w:sz w:val="24"/>
          <w:szCs w:val="24"/>
        </w:rPr>
        <w:t xml:space="preserve">. </w:t>
      </w:r>
    </w:p>
    <w:p w14:paraId="3819B75F" w14:textId="77777777" w:rsidR="00A958CA" w:rsidRPr="002E48FC" w:rsidRDefault="00A958CA" w:rsidP="002E48FC">
      <w:pPr>
        <w:spacing w:after="0" w:line="240" w:lineRule="auto"/>
        <w:ind w:firstLine="567"/>
        <w:rPr>
          <w:color w:val="auto"/>
          <w:sz w:val="24"/>
          <w:szCs w:val="24"/>
        </w:rPr>
      </w:pPr>
    </w:p>
    <w:p w14:paraId="4980EE39" w14:textId="77777777" w:rsidR="00A958CA" w:rsidRPr="002E48FC" w:rsidRDefault="00A958CA" w:rsidP="002E48FC">
      <w:pPr>
        <w:spacing w:after="0" w:line="240" w:lineRule="auto"/>
        <w:jc w:val="center"/>
        <w:rPr>
          <w:b/>
          <w:bCs/>
          <w:color w:val="auto"/>
          <w:sz w:val="24"/>
          <w:szCs w:val="24"/>
        </w:rPr>
      </w:pPr>
    </w:p>
    <w:p w14:paraId="4F939663" w14:textId="740EFE95" w:rsidR="009C36D6" w:rsidRDefault="009C36D6">
      <w:pPr>
        <w:spacing w:after="0" w:line="240" w:lineRule="auto"/>
        <w:rPr>
          <w:b/>
          <w:bCs/>
          <w:color w:val="auto"/>
          <w:sz w:val="24"/>
          <w:szCs w:val="24"/>
        </w:rPr>
      </w:pPr>
      <w:r>
        <w:rPr>
          <w:b/>
          <w:bCs/>
          <w:color w:val="auto"/>
          <w:sz w:val="24"/>
          <w:szCs w:val="24"/>
        </w:rPr>
        <w:br w:type="page"/>
      </w:r>
    </w:p>
    <w:p w14:paraId="7E498DF7" w14:textId="77777777" w:rsidR="002E48FC" w:rsidRPr="002E48FC" w:rsidRDefault="002E48FC">
      <w:pPr>
        <w:spacing w:after="0" w:line="240" w:lineRule="auto"/>
        <w:rPr>
          <w:b/>
          <w:bCs/>
          <w:color w:val="auto"/>
          <w:sz w:val="24"/>
          <w:szCs w:val="24"/>
        </w:rPr>
      </w:pPr>
    </w:p>
    <w:p w14:paraId="6E3718A0" w14:textId="68243DA4" w:rsidR="00C61EA2" w:rsidRDefault="00C61EA2">
      <w:pPr>
        <w:spacing w:after="0" w:line="240" w:lineRule="auto"/>
        <w:rPr>
          <w:b/>
          <w:bCs/>
          <w:color w:val="auto"/>
          <w:sz w:val="24"/>
          <w:szCs w:val="24"/>
        </w:rPr>
      </w:pPr>
      <w:r w:rsidRPr="002E48FC">
        <w:rPr>
          <w:b/>
          <w:bCs/>
          <w:color w:val="auto"/>
          <w:sz w:val="24"/>
          <w:szCs w:val="24"/>
        </w:rPr>
        <w:t>Annex 1</w:t>
      </w:r>
    </w:p>
    <w:p w14:paraId="6B04DC78" w14:textId="77777777" w:rsidR="00F94AEB" w:rsidRPr="002E48FC" w:rsidRDefault="00F94AEB">
      <w:pPr>
        <w:spacing w:after="0" w:line="240" w:lineRule="auto"/>
        <w:rPr>
          <w:b/>
          <w:bCs/>
          <w:color w:val="auto"/>
          <w:sz w:val="24"/>
          <w:szCs w:val="24"/>
        </w:rPr>
      </w:pPr>
    </w:p>
    <w:p w14:paraId="6B06C72D" w14:textId="515D9871" w:rsidR="002E48FC" w:rsidRDefault="00F94AEB">
      <w:pPr>
        <w:spacing w:after="0" w:line="240" w:lineRule="auto"/>
        <w:rPr>
          <w:b/>
          <w:bCs/>
          <w:color w:val="auto"/>
          <w:sz w:val="24"/>
          <w:szCs w:val="24"/>
        </w:rPr>
      </w:pPr>
      <w:r>
        <w:rPr>
          <w:noProof/>
        </w:rPr>
        <w:drawing>
          <wp:anchor distT="0" distB="0" distL="114300" distR="114300" simplePos="0" relativeHeight="251681792" behindDoc="0" locked="0" layoutInCell="1" allowOverlap="1" wp14:anchorId="75239FD4" wp14:editId="0988938A">
            <wp:simplePos x="0" y="0"/>
            <wp:positionH relativeFrom="margin">
              <wp:align>left</wp:align>
            </wp:positionH>
            <wp:positionV relativeFrom="paragraph">
              <wp:posOffset>1905</wp:posOffset>
            </wp:positionV>
            <wp:extent cx="4728845" cy="8486775"/>
            <wp:effectExtent l="0" t="0" r="0" b="0"/>
            <wp:wrapThrough wrapText="bothSides">
              <wp:wrapPolygon edited="0">
                <wp:start x="0" y="0"/>
                <wp:lineTo x="0" y="21527"/>
                <wp:lineTo x="21493" y="21527"/>
                <wp:lineTo x="21493" y="0"/>
                <wp:lineTo x="0" y="0"/>
              </wp:wrapPolygon>
            </wp:wrapThrough>
            <wp:docPr id="1590073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073678" name=""/>
                    <pic:cNvPicPr/>
                  </pic:nvPicPr>
                  <pic:blipFill>
                    <a:blip r:embed="rId16">
                      <a:extLst>
                        <a:ext uri="{28A0092B-C50C-407E-A947-70E740481C1C}">
                          <a14:useLocalDpi xmlns:a14="http://schemas.microsoft.com/office/drawing/2010/main" val="0"/>
                        </a:ext>
                      </a:extLst>
                    </a:blip>
                    <a:stretch>
                      <a:fillRect/>
                    </a:stretch>
                  </pic:blipFill>
                  <pic:spPr>
                    <a:xfrm>
                      <a:off x="0" y="0"/>
                      <a:ext cx="4731645" cy="8491018"/>
                    </a:xfrm>
                    <a:prstGeom prst="rect">
                      <a:avLst/>
                    </a:prstGeom>
                  </pic:spPr>
                </pic:pic>
              </a:graphicData>
            </a:graphic>
            <wp14:sizeRelH relativeFrom="margin">
              <wp14:pctWidth>0</wp14:pctWidth>
            </wp14:sizeRelH>
            <wp14:sizeRelV relativeFrom="margin">
              <wp14:pctHeight>0</wp14:pctHeight>
            </wp14:sizeRelV>
          </wp:anchor>
        </w:drawing>
      </w:r>
    </w:p>
    <w:p w14:paraId="054A2306" w14:textId="09AE1D23" w:rsidR="00C61EA2" w:rsidRDefault="00C61EA2">
      <w:pPr>
        <w:spacing w:after="0" w:line="240" w:lineRule="auto"/>
        <w:rPr>
          <w:b/>
          <w:bCs/>
          <w:color w:val="auto"/>
          <w:sz w:val="24"/>
          <w:szCs w:val="24"/>
        </w:rPr>
      </w:pPr>
    </w:p>
    <w:sectPr w:rsidR="00C61EA2" w:rsidSect="000B082B">
      <w:footerReference w:type="default" r:id="rId17"/>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A069C" w14:textId="77777777" w:rsidR="00D07DE1" w:rsidRDefault="00D07DE1" w:rsidP="00206B76">
      <w:pPr>
        <w:spacing w:after="0" w:line="240" w:lineRule="auto"/>
      </w:pPr>
      <w:r>
        <w:separator/>
      </w:r>
    </w:p>
  </w:endnote>
  <w:endnote w:type="continuationSeparator" w:id="0">
    <w:p w14:paraId="2FD782F4" w14:textId="77777777" w:rsidR="00D07DE1" w:rsidRDefault="00D07DE1" w:rsidP="0020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667157"/>
      <w:docPartObj>
        <w:docPartGallery w:val="Page Numbers (Bottom of Page)"/>
        <w:docPartUnique/>
      </w:docPartObj>
    </w:sdtPr>
    <w:sdtEndPr>
      <w:rPr>
        <w:color w:val="auto"/>
        <w:sz w:val="16"/>
        <w:szCs w:val="16"/>
      </w:rPr>
    </w:sdtEndPr>
    <w:sdtContent>
      <w:sdt>
        <w:sdtPr>
          <w:id w:val="-1769616900"/>
          <w:docPartObj>
            <w:docPartGallery w:val="Page Numbers (Top of Page)"/>
            <w:docPartUnique/>
          </w:docPartObj>
        </w:sdtPr>
        <w:sdtEndPr>
          <w:rPr>
            <w:color w:val="auto"/>
            <w:sz w:val="16"/>
            <w:szCs w:val="16"/>
          </w:rPr>
        </w:sdtEndPr>
        <w:sdtContent>
          <w:p w14:paraId="6010A07D" w14:textId="0728662A" w:rsidR="000B082B" w:rsidRPr="006C6CAA" w:rsidRDefault="006C6CAA" w:rsidP="006C6CAA">
            <w:pPr>
              <w:pStyle w:val="Footer"/>
              <w:jc w:val="right"/>
              <w:rPr>
                <w:color w:val="auto"/>
                <w:sz w:val="16"/>
                <w:szCs w:val="16"/>
              </w:rPr>
            </w:pPr>
            <w:r w:rsidRPr="006C6CAA">
              <w:rPr>
                <w:color w:val="auto"/>
                <w:sz w:val="16"/>
                <w:szCs w:val="16"/>
              </w:rPr>
              <w:t xml:space="preserve">Page </w:t>
            </w:r>
            <w:r w:rsidRPr="006C6CAA">
              <w:rPr>
                <w:color w:val="auto"/>
                <w:sz w:val="16"/>
                <w:szCs w:val="16"/>
              </w:rPr>
              <w:fldChar w:fldCharType="begin"/>
            </w:r>
            <w:r w:rsidRPr="006C6CAA">
              <w:rPr>
                <w:color w:val="auto"/>
                <w:sz w:val="16"/>
                <w:szCs w:val="16"/>
              </w:rPr>
              <w:instrText xml:space="preserve"> PAGE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r w:rsidRPr="006C6CAA">
              <w:rPr>
                <w:color w:val="auto"/>
                <w:sz w:val="16"/>
                <w:szCs w:val="16"/>
              </w:rPr>
              <w:t xml:space="preserve"> of </w:t>
            </w:r>
            <w:r w:rsidRPr="006C6CAA">
              <w:rPr>
                <w:color w:val="auto"/>
                <w:sz w:val="16"/>
                <w:szCs w:val="16"/>
              </w:rPr>
              <w:fldChar w:fldCharType="begin"/>
            </w:r>
            <w:r w:rsidRPr="006C6CAA">
              <w:rPr>
                <w:color w:val="auto"/>
                <w:sz w:val="16"/>
                <w:szCs w:val="16"/>
              </w:rPr>
              <w:instrText xml:space="preserve"> NUMPAGES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4C574" w14:textId="77777777" w:rsidR="00D07DE1" w:rsidRDefault="00D07DE1" w:rsidP="00206B76">
      <w:pPr>
        <w:spacing w:after="0" w:line="240" w:lineRule="auto"/>
      </w:pPr>
      <w:r>
        <w:separator/>
      </w:r>
    </w:p>
  </w:footnote>
  <w:footnote w:type="continuationSeparator" w:id="0">
    <w:p w14:paraId="2CEF9FA9" w14:textId="77777777" w:rsidR="00D07DE1" w:rsidRDefault="00D07DE1" w:rsidP="00206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609"/>
    <w:multiLevelType w:val="hybridMultilevel"/>
    <w:tmpl w:val="7110F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A4624"/>
    <w:multiLevelType w:val="hybridMultilevel"/>
    <w:tmpl w:val="9B22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70221"/>
    <w:multiLevelType w:val="hybridMultilevel"/>
    <w:tmpl w:val="95BE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C4AF5"/>
    <w:multiLevelType w:val="hybridMultilevel"/>
    <w:tmpl w:val="9C54C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F66B7"/>
    <w:multiLevelType w:val="hybridMultilevel"/>
    <w:tmpl w:val="9D5E962C"/>
    <w:lvl w:ilvl="0" w:tplc="C32A94D0">
      <w:start w:val="1"/>
      <w:numFmt w:val="bullet"/>
      <w:lvlText w:val="•"/>
      <w:lvlJc w:val="left"/>
      <w:pPr>
        <w:tabs>
          <w:tab w:val="num" w:pos="720"/>
        </w:tabs>
        <w:ind w:left="720" w:hanging="360"/>
      </w:pPr>
      <w:rPr>
        <w:rFonts w:ascii="Arial" w:hAnsi="Arial" w:cs="Times New Roman" w:hint="default"/>
      </w:rPr>
    </w:lvl>
    <w:lvl w:ilvl="1" w:tplc="562C2A60">
      <w:start w:val="1"/>
      <w:numFmt w:val="bullet"/>
      <w:lvlText w:val="•"/>
      <w:lvlJc w:val="left"/>
      <w:pPr>
        <w:tabs>
          <w:tab w:val="num" w:pos="1440"/>
        </w:tabs>
        <w:ind w:left="1440" w:hanging="360"/>
      </w:pPr>
      <w:rPr>
        <w:rFonts w:ascii="Arial" w:hAnsi="Arial" w:cs="Times New Roman" w:hint="default"/>
      </w:rPr>
    </w:lvl>
    <w:lvl w:ilvl="2" w:tplc="25E40166">
      <w:start w:val="1"/>
      <w:numFmt w:val="bullet"/>
      <w:lvlText w:val="•"/>
      <w:lvlJc w:val="left"/>
      <w:pPr>
        <w:tabs>
          <w:tab w:val="num" w:pos="2160"/>
        </w:tabs>
        <w:ind w:left="2160" w:hanging="360"/>
      </w:pPr>
      <w:rPr>
        <w:rFonts w:ascii="Arial" w:hAnsi="Arial" w:cs="Times New Roman" w:hint="default"/>
      </w:rPr>
    </w:lvl>
    <w:lvl w:ilvl="3" w:tplc="00AAEADA">
      <w:start w:val="1"/>
      <w:numFmt w:val="bullet"/>
      <w:lvlText w:val="•"/>
      <w:lvlJc w:val="left"/>
      <w:pPr>
        <w:tabs>
          <w:tab w:val="num" w:pos="2880"/>
        </w:tabs>
        <w:ind w:left="2880" w:hanging="360"/>
      </w:pPr>
      <w:rPr>
        <w:rFonts w:ascii="Arial" w:hAnsi="Arial" w:cs="Times New Roman" w:hint="default"/>
      </w:rPr>
    </w:lvl>
    <w:lvl w:ilvl="4" w:tplc="2CEA8714">
      <w:start w:val="1"/>
      <w:numFmt w:val="bullet"/>
      <w:lvlText w:val="•"/>
      <w:lvlJc w:val="left"/>
      <w:pPr>
        <w:tabs>
          <w:tab w:val="num" w:pos="3600"/>
        </w:tabs>
        <w:ind w:left="3600" w:hanging="360"/>
      </w:pPr>
      <w:rPr>
        <w:rFonts w:ascii="Arial" w:hAnsi="Arial" w:cs="Times New Roman" w:hint="default"/>
      </w:rPr>
    </w:lvl>
    <w:lvl w:ilvl="5" w:tplc="A1524B56">
      <w:start w:val="1"/>
      <w:numFmt w:val="bullet"/>
      <w:lvlText w:val="•"/>
      <w:lvlJc w:val="left"/>
      <w:pPr>
        <w:tabs>
          <w:tab w:val="num" w:pos="4320"/>
        </w:tabs>
        <w:ind w:left="4320" w:hanging="360"/>
      </w:pPr>
      <w:rPr>
        <w:rFonts w:ascii="Arial" w:hAnsi="Arial" w:cs="Times New Roman" w:hint="default"/>
      </w:rPr>
    </w:lvl>
    <w:lvl w:ilvl="6" w:tplc="88000380">
      <w:start w:val="1"/>
      <w:numFmt w:val="bullet"/>
      <w:lvlText w:val="•"/>
      <w:lvlJc w:val="left"/>
      <w:pPr>
        <w:tabs>
          <w:tab w:val="num" w:pos="5040"/>
        </w:tabs>
        <w:ind w:left="5040" w:hanging="360"/>
      </w:pPr>
      <w:rPr>
        <w:rFonts w:ascii="Arial" w:hAnsi="Arial" w:cs="Times New Roman" w:hint="default"/>
      </w:rPr>
    </w:lvl>
    <w:lvl w:ilvl="7" w:tplc="BF84DF00">
      <w:start w:val="1"/>
      <w:numFmt w:val="bullet"/>
      <w:lvlText w:val="•"/>
      <w:lvlJc w:val="left"/>
      <w:pPr>
        <w:tabs>
          <w:tab w:val="num" w:pos="5760"/>
        </w:tabs>
        <w:ind w:left="5760" w:hanging="360"/>
      </w:pPr>
      <w:rPr>
        <w:rFonts w:ascii="Arial" w:hAnsi="Arial" w:cs="Times New Roman" w:hint="default"/>
      </w:rPr>
    </w:lvl>
    <w:lvl w:ilvl="8" w:tplc="B21A2264">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6491B2E"/>
    <w:multiLevelType w:val="hybridMultilevel"/>
    <w:tmpl w:val="E69ED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B2C6F"/>
    <w:multiLevelType w:val="hybridMultilevel"/>
    <w:tmpl w:val="CADCD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560E1"/>
    <w:multiLevelType w:val="hybridMultilevel"/>
    <w:tmpl w:val="17C66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AD4EE9"/>
    <w:multiLevelType w:val="multilevel"/>
    <w:tmpl w:val="E03AB5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5C7521"/>
    <w:multiLevelType w:val="hybridMultilevel"/>
    <w:tmpl w:val="58120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3E47B3"/>
    <w:multiLevelType w:val="hybridMultilevel"/>
    <w:tmpl w:val="BEE032DE"/>
    <w:lvl w:ilvl="0" w:tplc="F5E86A3A">
      <w:start w:val="1"/>
      <w:numFmt w:val="bullet"/>
      <w:lvlText w:val="•"/>
      <w:lvlJc w:val="left"/>
      <w:pPr>
        <w:tabs>
          <w:tab w:val="num" w:pos="12"/>
        </w:tabs>
        <w:ind w:left="12" w:hanging="360"/>
      </w:pPr>
      <w:rPr>
        <w:rFonts w:ascii="Arial" w:hAnsi="Arial" w:cs="Times New Roman" w:hint="default"/>
      </w:rPr>
    </w:lvl>
    <w:lvl w:ilvl="1" w:tplc="C786048A">
      <w:start w:val="1"/>
      <w:numFmt w:val="bullet"/>
      <w:lvlText w:val="•"/>
      <w:lvlJc w:val="left"/>
      <w:pPr>
        <w:tabs>
          <w:tab w:val="num" w:pos="732"/>
        </w:tabs>
        <w:ind w:left="732" w:hanging="360"/>
      </w:pPr>
      <w:rPr>
        <w:rFonts w:ascii="Arial" w:hAnsi="Arial" w:cs="Times New Roman" w:hint="default"/>
      </w:rPr>
    </w:lvl>
    <w:lvl w:ilvl="2" w:tplc="93C0ACC0">
      <w:start w:val="1"/>
      <w:numFmt w:val="bullet"/>
      <w:lvlText w:val="•"/>
      <w:lvlJc w:val="left"/>
      <w:pPr>
        <w:tabs>
          <w:tab w:val="num" w:pos="1452"/>
        </w:tabs>
        <w:ind w:left="1452" w:hanging="360"/>
      </w:pPr>
      <w:rPr>
        <w:rFonts w:ascii="Arial" w:hAnsi="Arial" w:cs="Times New Roman" w:hint="default"/>
      </w:rPr>
    </w:lvl>
    <w:lvl w:ilvl="3" w:tplc="F0244C36">
      <w:start w:val="1"/>
      <w:numFmt w:val="bullet"/>
      <w:lvlText w:val="•"/>
      <w:lvlJc w:val="left"/>
      <w:pPr>
        <w:tabs>
          <w:tab w:val="num" w:pos="2172"/>
        </w:tabs>
        <w:ind w:left="2172" w:hanging="360"/>
      </w:pPr>
      <w:rPr>
        <w:rFonts w:ascii="Arial" w:hAnsi="Arial" w:cs="Times New Roman" w:hint="default"/>
      </w:rPr>
    </w:lvl>
    <w:lvl w:ilvl="4" w:tplc="44A6062A">
      <w:start w:val="1"/>
      <w:numFmt w:val="bullet"/>
      <w:lvlText w:val="•"/>
      <w:lvlJc w:val="left"/>
      <w:pPr>
        <w:tabs>
          <w:tab w:val="num" w:pos="2892"/>
        </w:tabs>
        <w:ind w:left="2892" w:hanging="360"/>
      </w:pPr>
      <w:rPr>
        <w:rFonts w:ascii="Arial" w:hAnsi="Arial" w:cs="Times New Roman" w:hint="default"/>
      </w:rPr>
    </w:lvl>
    <w:lvl w:ilvl="5" w:tplc="E1EA611E">
      <w:start w:val="1"/>
      <w:numFmt w:val="bullet"/>
      <w:lvlText w:val="•"/>
      <w:lvlJc w:val="left"/>
      <w:pPr>
        <w:tabs>
          <w:tab w:val="num" w:pos="3612"/>
        </w:tabs>
        <w:ind w:left="3612" w:hanging="360"/>
      </w:pPr>
      <w:rPr>
        <w:rFonts w:ascii="Arial" w:hAnsi="Arial" w:cs="Times New Roman" w:hint="default"/>
      </w:rPr>
    </w:lvl>
    <w:lvl w:ilvl="6" w:tplc="206883A6">
      <w:start w:val="1"/>
      <w:numFmt w:val="bullet"/>
      <w:lvlText w:val="•"/>
      <w:lvlJc w:val="left"/>
      <w:pPr>
        <w:tabs>
          <w:tab w:val="num" w:pos="4332"/>
        </w:tabs>
        <w:ind w:left="4332" w:hanging="360"/>
      </w:pPr>
      <w:rPr>
        <w:rFonts w:ascii="Arial" w:hAnsi="Arial" w:cs="Times New Roman" w:hint="default"/>
      </w:rPr>
    </w:lvl>
    <w:lvl w:ilvl="7" w:tplc="F3ACB13C">
      <w:start w:val="1"/>
      <w:numFmt w:val="bullet"/>
      <w:lvlText w:val="•"/>
      <w:lvlJc w:val="left"/>
      <w:pPr>
        <w:tabs>
          <w:tab w:val="num" w:pos="5052"/>
        </w:tabs>
        <w:ind w:left="5052" w:hanging="360"/>
      </w:pPr>
      <w:rPr>
        <w:rFonts w:ascii="Arial" w:hAnsi="Arial" w:cs="Times New Roman" w:hint="default"/>
      </w:rPr>
    </w:lvl>
    <w:lvl w:ilvl="8" w:tplc="F75E658A">
      <w:start w:val="1"/>
      <w:numFmt w:val="bullet"/>
      <w:lvlText w:val="•"/>
      <w:lvlJc w:val="left"/>
      <w:pPr>
        <w:tabs>
          <w:tab w:val="num" w:pos="5772"/>
        </w:tabs>
        <w:ind w:left="5772" w:hanging="360"/>
      </w:pPr>
      <w:rPr>
        <w:rFonts w:ascii="Arial" w:hAnsi="Arial" w:cs="Times New Roman" w:hint="default"/>
      </w:rPr>
    </w:lvl>
  </w:abstractNum>
  <w:abstractNum w:abstractNumId="11" w15:restartNumberingAfterBreak="0">
    <w:nsid w:val="381B1430"/>
    <w:multiLevelType w:val="hybridMultilevel"/>
    <w:tmpl w:val="668EF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9D6C50"/>
    <w:multiLevelType w:val="multilevel"/>
    <w:tmpl w:val="540E1AD6"/>
    <w:lvl w:ilvl="0">
      <w:start w:val="1"/>
      <w:numFmt w:val="decimal"/>
      <w:lvlText w:val="%1."/>
      <w:lvlJc w:val="left"/>
      <w:pPr>
        <w:ind w:left="360" w:hanging="360"/>
      </w:pPr>
      <w:rPr>
        <w:rFonts w:hint="default"/>
        <w:b/>
        <w:bCs/>
        <w:i w:val="0"/>
        <w:iCs/>
        <w:color w:val="auto"/>
        <w:sz w:val="22"/>
      </w:rPr>
    </w:lvl>
    <w:lvl w:ilvl="1">
      <w:start w:val="1"/>
      <w:numFmt w:val="decimal"/>
      <w:lvlText w:val="%1.%2."/>
      <w:lvlJc w:val="left"/>
      <w:pPr>
        <w:ind w:left="114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ED2296"/>
    <w:multiLevelType w:val="hybridMultilevel"/>
    <w:tmpl w:val="3F7CF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404DA"/>
    <w:multiLevelType w:val="hybridMultilevel"/>
    <w:tmpl w:val="9B00C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D87B67"/>
    <w:multiLevelType w:val="multilevel"/>
    <w:tmpl w:val="5CA0D1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A62FE3"/>
    <w:multiLevelType w:val="hybridMultilevel"/>
    <w:tmpl w:val="BEFE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441287"/>
    <w:multiLevelType w:val="hybridMultilevel"/>
    <w:tmpl w:val="FF089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814103"/>
    <w:multiLevelType w:val="hybridMultilevel"/>
    <w:tmpl w:val="5002CF70"/>
    <w:lvl w:ilvl="0" w:tplc="C92A06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AE0C36"/>
    <w:multiLevelType w:val="multilevel"/>
    <w:tmpl w:val="6C86C410"/>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18E3385"/>
    <w:multiLevelType w:val="hybridMultilevel"/>
    <w:tmpl w:val="6B30A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D0AFF"/>
    <w:multiLevelType w:val="hybridMultilevel"/>
    <w:tmpl w:val="06184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082883"/>
    <w:multiLevelType w:val="hybridMultilevel"/>
    <w:tmpl w:val="9A1CC7CC"/>
    <w:lvl w:ilvl="0" w:tplc="98D6C0B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828666477">
    <w:abstractNumId w:val="12"/>
  </w:num>
  <w:num w:numId="2" w16cid:durableId="882718920">
    <w:abstractNumId w:val="1"/>
  </w:num>
  <w:num w:numId="3" w16cid:durableId="69666238">
    <w:abstractNumId w:val="0"/>
  </w:num>
  <w:num w:numId="4" w16cid:durableId="86193173">
    <w:abstractNumId w:val="7"/>
  </w:num>
  <w:num w:numId="5" w16cid:durableId="1161777815">
    <w:abstractNumId w:val="9"/>
  </w:num>
  <w:num w:numId="6" w16cid:durableId="711077932">
    <w:abstractNumId w:val="16"/>
  </w:num>
  <w:num w:numId="7" w16cid:durableId="1900290152">
    <w:abstractNumId w:val="18"/>
  </w:num>
  <w:num w:numId="8" w16cid:durableId="2437618">
    <w:abstractNumId w:val="10"/>
  </w:num>
  <w:num w:numId="9" w16cid:durableId="1080442552">
    <w:abstractNumId w:val="17"/>
  </w:num>
  <w:num w:numId="10" w16cid:durableId="178618170">
    <w:abstractNumId w:val="11"/>
  </w:num>
  <w:num w:numId="11" w16cid:durableId="2109351887">
    <w:abstractNumId w:val="21"/>
  </w:num>
  <w:num w:numId="12" w16cid:durableId="1469782824">
    <w:abstractNumId w:val="3"/>
  </w:num>
  <w:num w:numId="13" w16cid:durableId="431709910">
    <w:abstractNumId w:val="20"/>
  </w:num>
  <w:num w:numId="14" w16cid:durableId="1383745489">
    <w:abstractNumId w:val="15"/>
  </w:num>
  <w:num w:numId="15" w16cid:durableId="1482233027">
    <w:abstractNumId w:val="4"/>
  </w:num>
  <w:num w:numId="16" w16cid:durableId="1720518921">
    <w:abstractNumId w:val="13"/>
  </w:num>
  <w:num w:numId="17" w16cid:durableId="381683496">
    <w:abstractNumId w:val="8"/>
  </w:num>
  <w:num w:numId="18" w16cid:durableId="467868063">
    <w:abstractNumId w:val="2"/>
  </w:num>
  <w:num w:numId="19" w16cid:durableId="1847287842">
    <w:abstractNumId w:val="14"/>
  </w:num>
  <w:num w:numId="20" w16cid:durableId="561791644">
    <w:abstractNumId w:val="6"/>
  </w:num>
  <w:num w:numId="21" w16cid:durableId="67306639">
    <w:abstractNumId w:val="5"/>
  </w:num>
  <w:num w:numId="22" w16cid:durableId="293677493">
    <w:abstractNumId w:val="22"/>
  </w:num>
  <w:num w:numId="23" w16cid:durableId="1845506729">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TrackFormatting/>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F"/>
    <w:rsid w:val="00000041"/>
    <w:rsid w:val="00007950"/>
    <w:rsid w:val="000102CB"/>
    <w:rsid w:val="000126CA"/>
    <w:rsid w:val="000175AB"/>
    <w:rsid w:val="0002024F"/>
    <w:rsid w:val="00026704"/>
    <w:rsid w:val="00043155"/>
    <w:rsid w:val="00045447"/>
    <w:rsid w:val="000601A8"/>
    <w:rsid w:val="0006137D"/>
    <w:rsid w:val="00080753"/>
    <w:rsid w:val="00085A81"/>
    <w:rsid w:val="0009539A"/>
    <w:rsid w:val="00095429"/>
    <w:rsid w:val="00095494"/>
    <w:rsid w:val="000A2C91"/>
    <w:rsid w:val="000A6313"/>
    <w:rsid w:val="000B082B"/>
    <w:rsid w:val="000B2507"/>
    <w:rsid w:val="000B458A"/>
    <w:rsid w:val="000B6058"/>
    <w:rsid w:val="000B7B78"/>
    <w:rsid w:val="000C3DF7"/>
    <w:rsid w:val="000D2F25"/>
    <w:rsid w:val="000E4B82"/>
    <w:rsid w:val="000E54A7"/>
    <w:rsid w:val="000E6CE5"/>
    <w:rsid w:val="000F00F0"/>
    <w:rsid w:val="000F681C"/>
    <w:rsid w:val="001049D6"/>
    <w:rsid w:val="0010586B"/>
    <w:rsid w:val="0010672E"/>
    <w:rsid w:val="00117908"/>
    <w:rsid w:val="00122CB9"/>
    <w:rsid w:val="00122DFC"/>
    <w:rsid w:val="00124D1D"/>
    <w:rsid w:val="00124D90"/>
    <w:rsid w:val="00133A04"/>
    <w:rsid w:val="00137DBB"/>
    <w:rsid w:val="001623B8"/>
    <w:rsid w:val="00165FAE"/>
    <w:rsid w:val="00167407"/>
    <w:rsid w:val="001774D9"/>
    <w:rsid w:val="00181FC5"/>
    <w:rsid w:val="00186878"/>
    <w:rsid w:val="00196845"/>
    <w:rsid w:val="00196C9C"/>
    <w:rsid w:val="001A441A"/>
    <w:rsid w:val="001B1EF2"/>
    <w:rsid w:val="001B25C2"/>
    <w:rsid w:val="001C09DB"/>
    <w:rsid w:val="001C2543"/>
    <w:rsid w:val="001C6F52"/>
    <w:rsid w:val="001C786C"/>
    <w:rsid w:val="001D657A"/>
    <w:rsid w:val="001D6896"/>
    <w:rsid w:val="001E6526"/>
    <w:rsid w:val="001E780C"/>
    <w:rsid w:val="002001E7"/>
    <w:rsid w:val="00202518"/>
    <w:rsid w:val="00204AC7"/>
    <w:rsid w:val="00206B76"/>
    <w:rsid w:val="00211B1F"/>
    <w:rsid w:val="0021269C"/>
    <w:rsid w:val="00213DF2"/>
    <w:rsid w:val="0021698E"/>
    <w:rsid w:val="002170BA"/>
    <w:rsid w:val="00221680"/>
    <w:rsid w:val="002258B0"/>
    <w:rsid w:val="002415F0"/>
    <w:rsid w:val="0025572F"/>
    <w:rsid w:val="00255925"/>
    <w:rsid w:val="00270E1F"/>
    <w:rsid w:val="00273C37"/>
    <w:rsid w:val="0029694C"/>
    <w:rsid w:val="002A13D9"/>
    <w:rsid w:val="002A182B"/>
    <w:rsid w:val="002A33AE"/>
    <w:rsid w:val="002A5816"/>
    <w:rsid w:val="002A7A62"/>
    <w:rsid w:val="002B0F1C"/>
    <w:rsid w:val="002B28CF"/>
    <w:rsid w:val="002B4676"/>
    <w:rsid w:val="002B4ADA"/>
    <w:rsid w:val="002B6F55"/>
    <w:rsid w:val="002B7229"/>
    <w:rsid w:val="002D223A"/>
    <w:rsid w:val="002D22F3"/>
    <w:rsid w:val="002D2FBC"/>
    <w:rsid w:val="002D4BC5"/>
    <w:rsid w:val="002D7FCB"/>
    <w:rsid w:val="002E48FC"/>
    <w:rsid w:val="002E50F3"/>
    <w:rsid w:val="00303057"/>
    <w:rsid w:val="003075EE"/>
    <w:rsid w:val="00310A09"/>
    <w:rsid w:val="00326FBF"/>
    <w:rsid w:val="003312D3"/>
    <w:rsid w:val="003315EE"/>
    <w:rsid w:val="00331688"/>
    <w:rsid w:val="00337ACB"/>
    <w:rsid w:val="00340567"/>
    <w:rsid w:val="003413EA"/>
    <w:rsid w:val="0034324D"/>
    <w:rsid w:val="00355C5E"/>
    <w:rsid w:val="00361F44"/>
    <w:rsid w:val="00367F52"/>
    <w:rsid w:val="003728AB"/>
    <w:rsid w:val="003734A1"/>
    <w:rsid w:val="00373698"/>
    <w:rsid w:val="0037462C"/>
    <w:rsid w:val="0037732B"/>
    <w:rsid w:val="00381FC0"/>
    <w:rsid w:val="00386180"/>
    <w:rsid w:val="00390986"/>
    <w:rsid w:val="00390F40"/>
    <w:rsid w:val="003A14A9"/>
    <w:rsid w:val="003A1818"/>
    <w:rsid w:val="003B1DF0"/>
    <w:rsid w:val="003B2F18"/>
    <w:rsid w:val="003B6637"/>
    <w:rsid w:val="003C1D6F"/>
    <w:rsid w:val="003C5AB0"/>
    <w:rsid w:val="003D11C8"/>
    <w:rsid w:val="003D47EE"/>
    <w:rsid w:val="003E2167"/>
    <w:rsid w:val="003E5B87"/>
    <w:rsid w:val="003E6709"/>
    <w:rsid w:val="003F0225"/>
    <w:rsid w:val="003F6485"/>
    <w:rsid w:val="003F7FBC"/>
    <w:rsid w:val="004159D1"/>
    <w:rsid w:val="004307C4"/>
    <w:rsid w:val="00431C03"/>
    <w:rsid w:val="00440CA7"/>
    <w:rsid w:val="00440CFB"/>
    <w:rsid w:val="00445AFD"/>
    <w:rsid w:val="0046068E"/>
    <w:rsid w:val="0046152F"/>
    <w:rsid w:val="00466779"/>
    <w:rsid w:val="00466D09"/>
    <w:rsid w:val="00475F17"/>
    <w:rsid w:val="004765EA"/>
    <w:rsid w:val="00476E2A"/>
    <w:rsid w:val="00481604"/>
    <w:rsid w:val="00485613"/>
    <w:rsid w:val="0049270B"/>
    <w:rsid w:val="0049375E"/>
    <w:rsid w:val="00496429"/>
    <w:rsid w:val="00497DAE"/>
    <w:rsid w:val="004A4AF8"/>
    <w:rsid w:val="004A4FEF"/>
    <w:rsid w:val="004A6F2B"/>
    <w:rsid w:val="004B0CCF"/>
    <w:rsid w:val="004B6A05"/>
    <w:rsid w:val="004C16F5"/>
    <w:rsid w:val="004C2764"/>
    <w:rsid w:val="004D060E"/>
    <w:rsid w:val="004D7596"/>
    <w:rsid w:val="004F1273"/>
    <w:rsid w:val="004F190C"/>
    <w:rsid w:val="004F3385"/>
    <w:rsid w:val="00505381"/>
    <w:rsid w:val="00511B0F"/>
    <w:rsid w:val="00521467"/>
    <w:rsid w:val="00522B0D"/>
    <w:rsid w:val="00524FEE"/>
    <w:rsid w:val="0052611C"/>
    <w:rsid w:val="00556818"/>
    <w:rsid w:val="00566BDC"/>
    <w:rsid w:val="00582683"/>
    <w:rsid w:val="005853A3"/>
    <w:rsid w:val="0059099C"/>
    <w:rsid w:val="0059483F"/>
    <w:rsid w:val="0059566F"/>
    <w:rsid w:val="005A3F90"/>
    <w:rsid w:val="005A61A5"/>
    <w:rsid w:val="005A6CEB"/>
    <w:rsid w:val="005C4DDD"/>
    <w:rsid w:val="005C6C78"/>
    <w:rsid w:val="005D3300"/>
    <w:rsid w:val="005E2527"/>
    <w:rsid w:val="005F3077"/>
    <w:rsid w:val="00604489"/>
    <w:rsid w:val="00606936"/>
    <w:rsid w:val="0061348C"/>
    <w:rsid w:val="006219EE"/>
    <w:rsid w:val="0063018A"/>
    <w:rsid w:val="00634CC3"/>
    <w:rsid w:val="006353ED"/>
    <w:rsid w:val="006362B9"/>
    <w:rsid w:val="0063726D"/>
    <w:rsid w:val="0064199A"/>
    <w:rsid w:val="006500B1"/>
    <w:rsid w:val="006552CE"/>
    <w:rsid w:val="00662CBF"/>
    <w:rsid w:val="00663E91"/>
    <w:rsid w:val="00675F8A"/>
    <w:rsid w:val="00676B65"/>
    <w:rsid w:val="00687E3B"/>
    <w:rsid w:val="00696CD9"/>
    <w:rsid w:val="006C125A"/>
    <w:rsid w:val="006C1E7A"/>
    <w:rsid w:val="006C31DB"/>
    <w:rsid w:val="006C4C28"/>
    <w:rsid w:val="006C6CAA"/>
    <w:rsid w:val="006C71BB"/>
    <w:rsid w:val="006C7A4C"/>
    <w:rsid w:val="006D5F1C"/>
    <w:rsid w:val="006E1649"/>
    <w:rsid w:val="006F4375"/>
    <w:rsid w:val="006F51F1"/>
    <w:rsid w:val="006F7291"/>
    <w:rsid w:val="007025AD"/>
    <w:rsid w:val="007109D4"/>
    <w:rsid w:val="00711DBE"/>
    <w:rsid w:val="00714138"/>
    <w:rsid w:val="00722B9F"/>
    <w:rsid w:val="00723683"/>
    <w:rsid w:val="007263EA"/>
    <w:rsid w:val="00732C37"/>
    <w:rsid w:val="00746877"/>
    <w:rsid w:val="00750FD9"/>
    <w:rsid w:val="00752FC4"/>
    <w:rsid w:val="0075500E"/>
    <w:rsid w:val="00764500"/>
    <w:rsid w:val="007650BC"/>
    <w:rsid w:val="007736DB"/>
    <w:rsid w:val="007A3FFD"/>
    <w:rsid w:val="007B0DD7"/>
    <w:rsid w:val="007B2220"/>
    <w:rsid w:val="007B7316"/>
    <w:rsid w:val="007C42F1"/>
    <w:rsid w:val="007C6F0E"/>
    <w:rsid w:val="007C7835"/>
    <w:rsid w:val="007D5A7F"/>
    <w:rsid w:val="007E0F0A"/>
    <w:rsid w:val="007E630F"/>
    <w:rsid w:val="007E7D10"/>
    <w:rsid w:val="007F44B3"/>
    <w:rsid w:val="00801D37"/>
    <w:rsid w:val="008104F6"/>
    <w:rsid w:val="008133A3"/>
    <w:rsid w:val="008142EE"/>
    <w:rsid w:val="00814377"/>
    <w:rsid w:val="008152BE"/>
    <w:rsid w:val="008205C8"/>
    <w:rsid w:val="008223F8"/>
    <w:rsid w:val="00832316"/>
    <w:rsid w:val="008446F2"/>
    <w:rsid w:val="008502FC"/>
    <w:rsid w:val="008567D9"/>
    <w:rsid w:val="00856A5A"/>
    <w:rsid w:val="00856D9A"/>
    <w:rsid w:val="00857751"/>
    <w:rsid w:val="008601C9"/>
    <w:rsid w:val="00862AFA"/>
    <w:rsid w:val="00864DEE"/>
    <w:rsid w:val="00871019"/>
    <w:rsid w:val="00876055"/>
    <w:rsid w:val="00880E9F"/>
    <w:rsid w:val="00884D3A"/>
    <w:rsid w:val="00890612"/>
    <w:rsid w:val="008951B4"/>
    <w:rsid w:val="008B11BB"/>
    <w:rsid w:val="008B1783"/>
    <w:rsid w:val="008B2D20"/>
    <w:rsid w:val="008B518F"/>
    <w:rsid w:val="008C54B1"/>
    <w:rsid w:val="008D121F"/>
    <w:rsid w:val="008D1F6D"/>
    <w:rsid w:val="008D4F11"/>
    <w:rsid w:val="008E64C6"/>
    <w:rsid w:val="008F2002"/>
    <w:rsid w:val="008F27FD"/>
    <w:rsid w:val="00901FDA"/>
    <w:rsid w:val="0090276F"/>
    <w:rsid w:val="009061A5"/>
    <w:rsid w:val="00912FC7"/>
    <w:rsid w:val="00913A2F"/>
    <w:rsid w:val="00913A8D"/>
    <w:rsid w:val="00922F3D"/>
    <w:rsid w:val="0093186A"/>
    <w:rsid w:val="009369E8"/>
    <w:rsid w:val="00940E22"/>
    <w:rsid w:val="00943DB4"/>
    <w:rsid w:val="00946C3B"/>
    <w:rsid w:val="009538C1"/>
    <w:rsid w:val="00953DC4"/>
    <w:rsid w:val="00955029"/>
    <w:rsid w:val="00955C5A"/>
    <w:rsid w:val="00963148"/>
    <w:rsid w:val="009A6569"/>
    <w:rsid w:val="009C36D6"/>
    <w:rsid w:val="009C4BE1"/>
    <w:rsid w:val="009C5785"/>
    <w:rsid w:val="009D047E"/>
    <w:rsid w:val="009E7ECA"/>
    <w:rsid w:val="009F0947"/>
    <w:rsid w:val="009F44BF"/>
    <w:rsid w:val="00A07AA3"/>
    <w:rsid w:val="00A11200"/>
    <w:rsid w:val="00A24C14"/>
    <w:rsid w:val="00A26C2A"/>
    <w:rsid w:val="00A304AD"/>
    <w:rsid w:val="00A31302"/>
    <w:rsid w:val="00A32732"/>
    <w:rsid w:val="00A35FB5"/>
    <w:rsid w:val="00A5045D"/>
    <w:rsid w:val="00A5390B"/>
    <w:rsid w:val="00A569F8"/>
    <w:rsid w:val="00A713CE"/>
    <w:rsid w:val="00A72CF7"/>
    <w:rsid w:val="00A732F6"/>
    <w:rsid w:val="00A736BA"/>
    <w:rsid w:val="00A75C83"/>
    <w:rsid w:val="00A76A81"/>
    <w:rsid w:val="00A83562"/>
    <w:rsid w:val="00A87191"/>
    <w:rsid w:val="00A9015C"/>
    <w:rsid w:val="00A90438"/>
    <w:rsid w:val="00A90556"/>
    <w:rsid w:val="00A928F1"/>
    <w:rsid w:val="00A95265"/>
    <w:rsid w:val="00A958CA"/>
    <w:rsid w:val="00A95E61"/>
    <w:rsid w:val="00A962A9"/>
    <w:rsid w:val="00AC22C8"/>
    <w:rsid w:val="00AC6206"/>
    <w:rsid w:val="00AD0594"/>
    <w:rsid w:val="00AD44BB"/>
    <w:rsid w:val="00AD4F6E"/>
    <w:rsid w:val="00AD7C42"/>
    <w:rsid w:val="00AE0874"/>
    <w:rsid w:val="00AE1706"/>
    <w:rsid w:val="00AE1D23"/>
    <w:rsid w:val="00AF316A"/>
    <w:rsid w:val="00AF39E9"/>
    <w:rsid w:val="00AF41BD"/>
    <w:rsid w:val="00AF4C41"/>
    <w:rsid w:val="00B00F64"/>
    <w:rsid w:val="00B01207"/>
    <w:rsid w:val="00B0337D"/>
    <w:rsid w:val="00B0556E"/>
    <w:rsid w:val="00B1044C"/>
    <w:rsid w:val="00B177EC"/>
    <w:rsid w:val="00B17BE3"/>
    <w:rsid w:val="00B23603"/>
    <w:rsid w:val="00B23AD5"/>
    <w:rsid w:val="00B2634B"/>
    <w:rsid w:val="00B42479"/>
    <w:rsid w:val="00B449FA"/>
    <w:rsid w:val="00B52206"/>
    <w:rsid w:val="00B712D9"/>
    <w:rsid w:val="00B75BA6"/>
    <w:rsid w:val="00B86AF2"/>
    <w:rsid w:val="00B87F8C"/>
    <w:rsid w:val="00B907B0"/>
    <w:rsid w:val="00B91EB9"/>
    <w:rsid w:val="00B9579C"/>
    <w:rsid w:val="00B964B3"/>
    <w:rsid w:val="00BA2E3F"/>
    <w:rsid w:val="00BA31CD"/>
    <w:rsid w:val="00BB5B75"/>
    <w:rsid w:val="00BB635E"/>
    <w:rsid w:val="00BC036E"/>
    <w:rsid w:val="00BC2195"/>
    <w:rsid w:val="00BC4511"/>
    <w:rsid w:val="00BD03D7"/>
    <w:rsid w:val="00BD6100"/>
    <w:rsid w:val="00BD6B55"/>
    <w:rsid w:val="00BE195D"/>
    <w:rsid w:val="00BE579C"/>
    <w:rsid w:val="00BE6F00"/>
    <w:rsid w:val="00C005E9"/>
    <w:rsid w:val="00C00E2C"/>
    <w:rsid w:val="00C01D69"/>
    <w:rsid w:val="00C07A3F"/>
    <w:rsid w:val="00C20147"/>
    <w:rsid w:val="00C23C96"/>
    <w:rsid w:val="00C252C7"/>
    <w:rsid w:val="00C403E6"/>
    <w:rsid w:val="00C4131D"/>
    <w:rsid w:val="00C448EC"/>
    <w:rsid w:val="00C5051D"/>
    <w:rsid w:val="00C52EC7"/>
    <w:rsid w:val="00C61EA2"/>
    <w:rsid w:val="00C67331"/>
    <w:rsid w:val="00C736DA"/>
    <w:rsid w:val="00C760C9"/>
    <w:rsid w:val="00C8521E"/>
    <w:rsid w:val="00C94B1C"/>
    <w:rsid w:val="00C96C54"/>
    <w:rsid w:val="00CA14EE"/>
    <w:rsid w:val="00CA24E7"/>
    <w:rsid w:val="00CA4189"/>
    <w:rsid w:val="00CD003C"/>
    <w:rsid w:val="00CD20A8"/>
    <w:rsid w:val="00CD5926"/>
    <w:rsid w:val="00CD6317"/>
    <w:rsid w:val="00CD7034"/>
    <w:rsid w:val="00CE23E4"/>
    <w:rsid w:val="00CF4ABB"/>
    <w:rsid w:val="00CF5029"/>
    <w:rsid w:val="00D00EC7"/>
    <w:rsid w:val="00D05ADC"/>
    <w:rsid w:val="00D07DE1"/>
    <w:rsid w:val="00D164AE"/>
    <w:rsid w:val="00D24B48"/>
    <w:rsid w:val="00D33689"/>
    <w:rsid w:val="00D431A0"/>
    <w:rsid w:val="00D5363C"/>
    <w:rsid w:val="00D619F8"/>
    <w:rsid w:val="00D64FF9"/>
    <w:rsid w:val="00D67879"/>
    <w:rsid w:val="00D72226"/>
    <w:rsid w:val="00D72609"/>
    <w:rsid w:val="00D80231"/>
    <w:rsid w:val="00D86D42"/>
    <w:rsid w:val="00D90441"/>
    <w:rsid w:val="00D90801"/>
    <w:rsid w:val="00DA3FC6"/>
    <w:rsid w:val="00DA55E6"/>
    <w:rsid w:val="00DB1357"/>
    <w:rsid w:val="00DC01B6"/>
    <w:rsid w:val="00DC7824"/>
    <w:rsid w:val="00DC7BF8"/>
    <w:rsid w:val="00DC7FA8"/>
    <w:rsid w:val="00DD3540"/>
    <w:rsid w:val="00DD7F1F"/>
    <w:rsid w:val="00DF1896"/>
    <w:rsid w:val="00DF212B"/>
    <w:rsid w:val="00DF22AE"/>
    <w:rsid w:val="00DF7B5E"/>
    <w:rsid w:val="00E02119"/>
    <w:rsid w:val="00E02ACB"/>
    <w:rsid w:val="00E16508"/>
    <w:rsid w:val="00E16E8E"/>
    <w:rsid w:val="00E213AA"/>
    <w:rsid w:val="00E22336"/>
    <w:rsid w:val="00E238FC"/>
    <w:rsid w:val="00E23F16"/>
    <w:rsid w:val="00E26982"/>
    <w:rsid w:val="00E27A3B"/>
    <w:rsid w:val="00E3188D"/>
    <w:rsid w:val="00E3617B"/>
    <w:rsid w:val="00E36CAA"/>
    <w:rsid w:val="00E37AF0"/>
    <w:rsid w:val="00E428C9"/>
    <w:rsid w:val="00E42977"/>
    <w:rsid w:val="00E4346B"/>
    <w:rsid w:val="00E43B29"/>
    <w:rsid w:val="00E46588"/>
    <w:rsid w:val="00E64638"/>
    <w:rsid w:val="00E735DB"/>
    <w:rsid w:val="00E744BD"/>
    <w:rsid w:val="00E750DE"/>
    <w:rsid w:val="00E77806"/>
    <w:rsid w:val="00E84C5B"/>
    <w:rsid w:val="00E93107"/>
    <w:rsid w:val="00E97658"/>
    <w:rsid w:val="00EA1442"/>
    <w:rsid w:val="00EA45F5"/>
    <w:rsid w:val="00EA7E82"/>
    <w:rsid w:val="00EB327D"/>
    <w:rsid w:val="00EC02C2"/>
    <w:rsid w:val="00EC11A1"/>
    <w:rsid w:val="00ED2242"/>
    <w:rsid w:val="00EE3645"/>
    <w:rsid w:val="00EE4E15"/>
    <w:rsid w:val="00EF012F"/>
    <w:rsid w:val="00EF158C"/>
    <w:rsid w:val="00EF2519"/>
    <w:rsid w:val="00EF3216"/>
    <w:rsid w:val="00EF3E43"/>
    <w:rsid w:val="00EF4BA3"/>
    <w:rsid w:val="00F02345"/>
    <w:rsid w:val="00F07B5F"/>
    <w:rsid w:val="00F12D21"/>
    <w:rsid w:val="00F169E7"/>
    <w:rsid w:val="00F17DC9"/>
    <w:rsid w:val="00F2716D"/>
    <w:rsid w:val="00F32A5F"/>
    <w:rsid w:val="00F4644B"/>
    <w:rsid w:val="00F50234"/>
    <w:rsid w:val="00F51912"/>
    <w:rsid w:val="00F51B74"/>
    <w:rsid w:val="00F60A32"/>
    <w:rsid w:val="00F60AAE"/>
    <w:rsid w:val="00F623A5"/>
    <w:rsid w:val="00F637DB"/>
    <w:rsid w:val="00F76790"/>
    <w:rsid w:val="00F83AFB"/>
    <w:rsid w:val="00F86952"/>
    <w:rsid w:val="00F87E85"/>
    <w:rsid w:val="00F938B2"/>
    <w:rsid w:val="00F94AEB"/>
    <w:rsid w:val="00F96AEC"/>
    <w:rsid w:val="00FA5C25"/>
    <w:rsid w:val="00FA6456"/>
    <w:rsid w:val="00FB76C8"/>
    <w:rsid w:val="00FC40F8"/>
    <w:rsid w:val="00FC6A4D"/>
    <w:rsid w:val="00FD080D"/>
    <w:rsid w:val="00FE1045"/>
    <w:rsid w:val="00FE25DB"/>
    <w:rsid w:val="00FE4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B748746"/>
  <w15:docId w15:val="{E6675094-E940-49B8-87DC-66F08D4A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DF2"/>
    <w:pPr>
      <w:spacing w:after="200" w:line="276" w:lineRule="auto"/>
    </w:pPr>
    <w:rPr>
      <w:color w:val="FF0000"/>
      <w:sz w:val="22"/>
      <w:szCs w:val="22"/>
      <w:lang w:eastAsia="en-US"/>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basedOn w:val="Normal"/>
    <w:uiPriority w:val="34"/>
    <w:qFormat/>
    <w:rsid w:val="000126CA"/>
    <w:pPr>
      <w:ind w:left="720"/>
      <w:contextualSpacing/>
    </w:pPr>
  </w:style>
  <w:style w:type="paragraph" w:styleId="PlainText">
    <w:name w:val="Plain Text"/>
    <w:basedOn w:val="Normal"/>
    <w:link w:val="PlainTextChar"/>
    <w:uiPriority w:val="99"/>
    <w:semiHidden/>
    <w:unhideWhenUsed/>
    <w:rsid w:val="001C786C"/>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1C786C"/>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122DFC"/>
    <w:pPr>
      <w:spacing w:before="100" w:beforeAutospacing="1" w:after="100" w:afterAutospacing="1" w:line="240" w:lineRule="auto"/>
    </w:pPr>
    <w:rPr>
      <w:rFonts w:ascii="Times New Roman" w:eastAsiaTheme="minorHAnsi" w:hAnsi="Times New Roman" w:cs="Times New Roman"/>
      <w:color w:val="auto"/>
      <w:sz w:val="24"/>
      <w:szCs w:val="24"/>
      <w:lang w:eastAsia="en-GB"/>
    </w:rPr>
  </w:style>
  <w:style w:type="paragraph" w:styleId="Header">
    <w:name w:val="header"/>
    <w:basedOn w:val="Normal"/>
    <w:link w:val="HeaderChar"/>
    <w:uiPriority w:val="99"/>
    <w:unhideWhenUsed/>
    <w:rsid w:val="0020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76"/>
    <w:rPr>
      <w:color w:val="FF0000"/>
      <w:sz w:val="22"/>
      <w:szCs w:val="22"/>
      <w:lang w:eastAsia="en-US"/>
    </w:rPr>
  </w:style>
  <w:style w:type="paragraph" w:styleId="Footer">
    <w:name w:val="footer"/>
    <w:basedOn w:val="Normal"/>
    <w:link w:val="FooterChar"/>
    <w:uiPriority w:val="99"/>
    <w:unhideWhenUsed/>
    <w:rsid w:val="0020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76"/>
    <w:rPr>
      <w:color w:val="FF0000"/>
      <w:sz w:val="22"/>
      <w:szCs w:val="22"/>
      <w:lang w:eastAsia="en-US"/>
    </w:rPr>
  </w:style>
  <w:style w:type="character" w:styleId="SubtleReference">
    <w:name w:val="Subtle Reference"/>
    <w:basedOn w:val="DefaultParagraphFont"/>
    <w:uiPriority w:val="31"/>
    <w:qFormat/>
    <w:rsid w:val="00E735DB"/>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22173333">
      <w:bodyDiv w:val="1"/>
      <w:marLeft w:val="0"/>
      <w:marRight w:val="0"/>
      <w:marTop w:val="0"/>
      <w:marBottom w:val="0"/>
      <w:divBdr>
        <w:top w:val="none" w:sz="0" w:space="0" w:color="auto"/>
        <w:left w:val="none" w:sz="0" w:space="0" w:color="auto"/>
        <w:bottom w:val="none" w:sz="0" w:space="0" w:color="auto"/>
        <w:right w:val="none" w:sz="0" w:space="0" w:color="auto"/>
      </w:divBdr>
    </w:div>
    <w:div w:id="61343273">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100876222">
      <w:bodyDiv w:val="1"/>
      <w:marLeft w:val="0"/>
      <w:marRight w:val="0"/>
      <w:marTop w:val="0"/>
      <w:marBottom w:val="0"/>
      <w:divBdr>
        <w:top w:val="none" w:sz="0" w:space="0" w:color="auto"/>
        <w:left w:val="none" w:sz="0" w:space="0" w:color="auto"/>
        <w:bottom w:val="none" w:sz="0" w:space="0" w:color="auto"/>
        <w:right w:val="none" w:sz="0" w:space="0" w:color="auto"/>
      </w:divBdr>
    </w:div>
    <w:div w:id="105393928">
      <w:bodyDiv w:val="1"/>
      <w:marLeft w:val="0"/>
      <w:marRight w:val="0"/>
      <w:marTop w:val="0"/>
      <w:marBottom w:val="0"/>
      <w:divBdr>
        <w:top w:val="none" w:sz="0" w:space="0" w:color="auto"/>
        <w:left w:val="none" w:sz="0" w:space="0" w:color="auto"/>
        <w:bottom w:val="none" w:sz="0" w:space="0" w:color="auto"/>
        <w:right w:val="none" w:sz="0" w:space="0" w:color="auto"/>
      </w:divBdr>
    </w:div>
    <w:div w:id="123743845">
      <w:bodyDiv w:val="1"/>
      <w:marLeft w:val="0"/>
      <w:marRight w:val="0"/>
      <w:marTop w:val="0"/>
      <w:marBottom w:val="0"/>
      <w:divBdr>
        <w:top w:val="none" w:sz="0" w:space="0" w:color="auto"/>
        <w:left w:val="none" w:sz="0" w:space="0" w:color="auto"/>
        <w:bottom w:val="none" w:sz="0" w:space="0" w:color="auto"/>
        <w:right w:val="none" w:sz="0" w:space="0" w:color="auto"/>
      </w:divBdr>
    </w:div>
    <w:div w:id="158084666">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68918798">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68282669">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925529909">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980234721">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37586254">
      <w:bodyDiv w:val="1"/>
      <w:marLeft w:val="0"/>
      <w:marRight w:val="0"/>
      <w:marTop w:val="0"/>
      <w:marBottom w:val="0"/>
      <w:divBdr>
        <w:top w:val="none" w:sz="0" w:space="0" w:color="auto"/>
        <w:left w:val="none" w:sz="0" w:space="0" w:color="auto"/>
        <w:bottom w:val="none" w:sz="0" w:space="0" w:color="auto"/>
        <w:right w:val="none" w:sz="0" w:space="0" w:color="auto"/>
      </w:divBdr>
    </w:div>
    <w:div w:id="1044060291">
      <w:bodyDiv w:val="1"/>
      <w:marLeft w:val="0"/>
      <w:marRight w:val="0"/>
      <w:marTop w:val="0"/>
      <w:marBottom w:val="0"/>
      <w:divBdr>
        <w:top w:val="none" w:sz="0" w:space="0" w:color="auto"/>
        <w:left w:val="none" w:sz="0" w:space="0" w:color="auto"/>
        <w:bottom w:val="none" w:sz="0" w:space="0" w:color="auto"/>
        <w:right w:val="none" w:sz="0" w:space="0" w:color="auto"/>
      </w:divBdr>
    </w:div>
    <w:div w:id="1054154886">
      <w:bodyDiv w:val="1"/>
      <w:marLeft w:val="0"/>
      <w:marRight w:val="0"/>
      <w:marTop w:val="0"/>
      <w:marBottom w:val="0"/>
      <w:divBdr>
        <w:top w:val="none" w:sz="0" w:space="0" w:color="auto"/>
        <w:left w:val="none" w:sz="0" w:space="0" w:color="auto"/>
        <w:bottom w:val="none" w:sz="0" w:space="0" w:color="auto"/>
        <w:right w:val="none" w:sz="0" w:space="0" w:color="auto"/>
      </w:divBdr>
    </w:div>
    <w:div w:id="1350639756">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498304195">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815754563">
      <w:bodyDiv w:val="1"/>
      <w:marLeft w:val="0"/>
      <w:marRight w:val="0"/>
      <w:marTop w:val="0"/>
      <w:marBottom w:val="0"/>
      <w:divBdr>
        <w:top w:val="none" w:sz="0" w:space="0" w:color="auto"/>
        <w:left w:val="none" w:sz="0" w:space="0" w:color="auto"/>
        <w:bottom w:val="none" w:sz="0" w:space="0" w:color="auto"/>
        <w:right w:val="none" w:sz="0" w:space="0" w:color="auto"/>
      </w:divBdr>
    </w:div>
    <w:div w:id="1895000028">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53391600">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27558000">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_ip_UnifiedCompliancePolicyProperties xmlns="http://schemas.microsoft.com/sharepoint/v3" xsi:nil="true"/>
    <TaxCatchAll xmlns="1365388d-8e0b-4df5-a0a3-cd102b49988e" xsi:nil="true"/>
    <Comments xmlns="f6a82410-35a1-48d9-a432-e298e5b95e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18" ma:contentTypeDescription="Create a new document." ma:contentTypeScope="" ma:versionID="d78dcc516d9d0b8c742806fdab7285b1">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6bb9151ac21032116a52c569213d6963"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453A60-B544-4BC1-9182-F2A47243DCBC}">
  <ds:schemaRefs>
    <ds:schemaRef ds:uri="http://schemas.openxmlformats.org/officeDocument/2006/bibliography"/>
  </ds:schemaRefs>
</ds:datastoreItem>
</file>

<file path=customXml/itemProps2.xml><?xml version="1.0" encoding="utf-8"?>
<ds:datastoreItem xmlns:ds="http://schemas.openxmlformats.org/officeDocument/2006/customXml" ds:itemID="{23763037-B374-4E91-8EE6-BB39F8C96688}">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customXml/itemProps3.xml><?xml version="1.0" encoding="utf-8"?>
<ds:datastoreItem xmlns:ds="http://schemas.openxmlformats.org/officeDocument/2006/customXml" ds:itemID="{061DA949-B127-41BD-B7F7-DFC352955A49}">
  <ds:schemaRefs>
    <ds:schemaRef ds:uri="http://schemas.microsoft.com/sharepoint/v3/contenttype/forms"/>
  </ds:schemaRefs>
</ds:datastoreItem>
</file>

<file path=customXml/itemProps4.xml><?xml version="1.0" encoding="utf-8"?>
<ds:datastoreItem xmlns:ds="http://schemas.openxmlformats.org/officeDocument/2006/customXml" ds:itemID="{44AEE223-3043-4547-99A2-9190AF282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2024</Words>
  <Characters>11540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smorley</dc:creator>
  <cp:lastModifiedBy>SENCIER, Sasha (NHS HUMBER AND NORTH YORKSHIRE ICB - 42D)</cp:lastModifiedBy>
  <cp:revision>3</cp:revision>
  <cp:lastPrinted>2017-09-01T14:28:00Z</cp:lastPrinted>
  <dcterms:created xsi:type="dcterms:W3CDTF">2024-11-04T15:08:00Z</dcterms:created>
  <dcterms:modified xsi:type="dcterms:W3CDTF">2024-11-06T11:38:00Z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