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71B2D516" w:rsidR="00B23603" w:rsidRPr="00F31E0E" w:rsidRDefault="00955C5A" w:rsidP="007B0DD7">
            <w:pPr>
              <w:spacing w:after="0" w:line="240" w:lineRule="auto"/>
              <w:rPr>
                <w:color w:val="auto"/>
                <w:sz w:val="24"/>
                <w:szCs w:val="24"/>
              </w:rPr>
            </w:pPr>
            <w:r>
              <w:rPr>
                <w:color w:val="auto"/>
                <w:sz w:val="24"/>
                <w:szCs w:val="24"/>
              </w:rPr>
              <w:t>H</w:t>
            </w:r>
            <w:r w:rsidR="00EC2F99">
              <w:rPr>
                <w:color w:val="auto"/>
                <w:sz w:val="24"/>
                <w:szCs w:val="24"/>
              </w:rPr>
              <w:t>umber and North Yorkshire Integrated Care</w:t>
            </w:r>
            <w:r w:rsidR="0075500E">
              <w:rPr>
                <w:color w:val="auto"/>
                <w:sz w:val="24"/>
                <w:szCs w:val="24"/>
              </w:rPr>
              <w:t xml:space="preserve"> </w:t>
            </w:r>
            <w:r w:rsidR="00F45496">
              <w:rPr>
                <w:color w:val="auto"/>
                <w:sz w:val="24"/>
                <w:szCs w:val="24"/>
              </w:rPr>
              <w:t>Board</w:t>
            </w:r>
          </w:p>
        </w:tc>
      </w:tr>
      <w:tr w:rsidR="00044BA1"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044BA1" w:rsidRPr="00524FEE" w:rsidRDefault="00044BA1" w:rsidP="00044BA1">
            <w:pPr>
              <w:spacing w:after="0" w:line="240" w:lineRule="auto"/>
              <w:rPr>
                <w:b/>
                <w:color w:val="auto"/>
              </w:rPr>
            </w:pPr>
            <w:r w:rsidRPr="00524FEE">
              <w:rPr>
                <w:b/>
                <w:color w:val="auto"/>
              </w:rPr>
              <w:t>Date of Meeting:</w:t>
            </w:r>
          </w:p>
          <w:p w14:paraId="6E5C6A31" w14:textId="77777777" w:rsidR="00044BA1" w:rsidRPr="00524FEE" w:rsidRDefault="00044BA1" w:rsidP="00044BA1">
            <w:pPr>
              <w:spacing w:after="0" w:line="240" w:lineRule="auto"/>
              <w:rPr>
                <w:b/>
                <w:color w:val="auto"/>
              </w:rPr>
            </w:pPr>
          </w:p>
        </w:tc>
        <w:tc>
          <w:tcPr>
            <w:tcW w:w="7516" w:type="dxa"/>
            <w:tcBorders>
              <w:right w:val="double" w:sz="4" w:space="0" w:color="auto"/>
            </w:tcBorders>
          </w:tcPr>
          <w:p w14:paraId="6A62B942" w14:textId="13680389" w:rsidR="00044BA1" w:rsidRPr="00F31E0E" w:rsidRDefault="00F45496" w:rsidP="00044BA1">
            <w:pPr>
              <w:spacing w:after="0" w:line="240" w:lineRule="auto"/>
              <w:rPr>
                <w:color w:val="auto"/>
                <w:sz w:val="24"/>
                <w:szCs w:val="24"/>
              </w:rPr>
            </w:pPr>
            <w:r>
              <w:rPr>
                <w:color w:val="auto"/>
                <w:sz w:val="24"/>
                <w:szCs w:val="24"/>
              </w:rPr>
              <w:t>11 December 2024</w:t>
            </w:r>
          </w:p>
        </w:tc>
      </w:tr>
      <w:tr w:rsidR="00044BA1"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044BA1" w:rsidRPr="00524FEE" w:rsidRDefault="00044BA1" w:rsidP="00044BA1">
            <w:pPr>
              <w:spacing w:after="0" w:line="240" w:lineRule="auto"/>
              <w:rPr>
                <w:b/>
                <w:color w:val="auto"/>
              </w:rPr>
            </w:pPr>
            <w:r w:rsidRPr="00524FEE">
              <w:rPr>
                <w:b/>
                <w:color w:val="auto"/>
              </w:rPr>
              <w:t>Subject:</w:t>
            </w:r>
          </w:p>
          <w:p w14:paraId="1A8730CB" w14:textId="77777777" w:rsidR="00044BA1" w:rsidRPr="00524FEE" w:rsidRDefault="00044BA1" w:rsidP="00044BA1">
            <w:pPr>
              <w:spacing w:after="0" w:line="240" w:lineRule="auto"/>
              <w:rPr>
                <w:b/>
                <w:color w:val="auto"/>
              </w:rPr>
            </w:pPr>
          </w:p>
        </w:tc>
        <w:tc>
          <w:tcPr>
            <w:tcW w:w="7516" w:type="dxa"/>
            <w:tcBorders>
              <w:right w:val="double" w:sz="4" w:space="0" w:color="auto"/>
            </w:tcBorders>
          </w:tcPr>
          <w:p w14:paraId="4F67ACAB" w14:textId="2C6651B5" w:rsidR="00044BA1" w:rsidRPr="0063726D" w:rsidRDefault="004768C6" w:rsidP="00044BA1">
            <w:pPr>
              <w:spacing w:after="0" w:line="240" w:lineRule="auto"/>
              <w:rPr>
                <w:b/>
                <w:bCs/>
                <w:color w:val="auto"/>
                <w:sz w:val="32"/>
                <w:szCs w:val="32"/>
              </w:rPr>
            </w:pPr>
            <w:r>
              <w:rPr>
                <w:b/>
                <w:bCs/>
                <w:color w:val="auto"/>
                <w:sz w:val="32"/>
                <w:szCs w:val="32"/>
              </w:rPr>
              <w:t xml:space="preserve">HNYICB </w:t>
            </w:r>
            <w:r w:rsidR="00C82616">
              <w:rPr>
                <w:b/>
                <w:bCs/>
                <w:color w:val="auto"/>
                <w:sz w:val="32"/>
                <w:szCs w:val="32"/>
              </w:rPr>
              <w:t>Annual EPRR Report</w:t>
            </w:r>
            <w:r w:rsidR="006D5A82">
              <w:rPr>
                <w:b/>
                <w:bCs/>
                <w:color w:val="auto"/>
                <w:sz w:val="32"/>
                <w:szCs w:val="32"/>
              </w:rPr>
              <w:t xml:space="preserve"> </w:t>
            </w:r>
          </w:p>
        </w:tc>
      </w:tr>
      <w:tr w:rsidR="00044BA1"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044BA1" w:rsidRPr="00524FEE" w:rsidRDefault="00044BA1" w:rsidP="00044BA1">
            <w:pPr>
              <w:spacing w:after="0" w:line="240" w:lineRule="auto"/>
              <w:rPr>
                <w:b/>
                <w:color w:val="auto"/>
              </w:rPr>
            </w:pPr>
            <w:r>
              <w:rPr>
                <w:b/>
                <w:color w:val="auto"/>
              </w:rPr>
              <w:t>Director Sponsor</w:t>
            </w:r>
            <w:r w:rsidRPr="00524FEE">
              <w:rPr>
                <w:b/>
                <w:color w:val="auto"/>
              </w:rPr>
              <w:t>:</w:t>
            </w:r>
          </w:p>
          <w:p w14:paraId="1339AF67" w14:textId="77777777" w:rsidR="00044BA1" w:rsidRPr="00524FEE" w:rsidRDefault="00044BA1" w:rsidP="00044BA1">
            <w:pPr>
              <w:spacing w:after="0" w:line="240" w:lineRule="auto"/>
              <w:rPr>
                <w:b/>
                <w:color w:val="auto"/>
              </w:rPr>
            </w:pPr>
          </w:p>
        </w:tc>
        <w:tc>
          <w:tcPr>
            <w:tcW w:w="7516" w:type="dxa"/>
            <w:tcBorders>
              <w:right w:val="double" w:sz="4" w:space="0" w:color="auto"/>
            </w:tcBorders>
          </w:tcPr>
          <w:p w14:paraId="270ACB40" w14:textId="2FD6BF4F" w:rsidR="00044BA1" w:rsidRPr="00F31E0E" w:rsidRDefault="00044BA1" w:rsidP="00044BA1">
            <w:pPr>
              <w:spacing w:after="0" w:line="240" w:lineRule="auto"/>
              <w:rPr>
                <w:color w:val="auto"/>
                <w:sz w:val="24"/>
                <w:szCs w:val="24"/>
              </w:rPr>
            </w:pPr>
            <w:r>
              <w:rPr>
                <w:color w:val="auto"/>
                <w:sz w:val="24"/>
                <w:szCs w:val="24"/>
              </w:rPr>
              <w:t>Jane Hazelgrave</w:t>
            </w:r>
            <w:r w:rsidR="00F45496">
              <w:rPr>
                <w:color w:val="auto"/>
                <w:sz w:val="24"/>
                <w:szCs w:val="24"/>
              </w:rPr>
              <w:t xml:space="preserve"> – Acting </w:t>
            </w:r>
            <w:r w:rsidR="00C82616">
              <w:rPr>
                <w:color w:val="auto"/>
                <w:sz w:val="24"/>
                <w:szCs w:val="24"/>
              </w:rPr>
              <w:t>Deputy Chief Executive/Chief Operating Officer and Accountable Emergency Officer</w:t>
            </w:r>
          </w:p>
        </w:tc>
      </w:tr>
      <w:tr w:rsidR="00044BA1" w:rsidRPr="00566BDC" w14:paraId="40590258" w14:textId="77777777" w:rsidTr="00EF3216">
        <w:tc>
          <w:tcPr>
            <w:tcW w:w="2092" w:type="dxa"/>
            <w:tcBorders>
              <w:left w:val="double" w:sz="4" w:space="0" w:color="auto"/>
            </w:tcBorders>
            <w:shd w:val="clear" w:color="auto" w:fill="D9D9D9" w:themeFill="background1" w:themeFillShade="D9"/>
          </w:tcPr>
          <w:p w14:paraId="58C65183" w14:textId="77777777" w:rsidR="00044BA1" w:rsidRPr="00524FEE" w:rsidRDefault="00044BA1" w:rsidP="00044BA1">
            <w:pPr>
              <w:spacing w:after="0" w:line="240" w:lineRule="auto"/>
              <w:rPr>
                <w:b/>
                <w:color w:val="auto"/>
              </w:rPr>
            </w:pPr>
            <w:r w:rsidRPr="00524FEE">
              <w:rPr>
                <w:b/>
                <w:color w:val="auto"/>
              </w:rPr>
              <w:t>Author:</w:t>
            </w:r>
          </w:p>
          <w:p w14:paraId="4B31FADC" w14:textId="77777777" w:rsidR="00044BA1" w:rsidRPr="00524FEE" w:rsidRDefault="00044BA1" w:rsidP="00044BA1">
            <w:pPr>
              <w:spacing w:after="0" w:line="240" w:lineRule="auto"/>
              <w:rPr>
                <w:b/>
                <w:color w:val="auto"/>
              </w:rPr>
            </w:pPr>
          </w:p>
        </w:tc>
        <w:tc>
          <w:tcPr>
            <w:tcW w:w="7516" w:type="dxa"/>
            <w:tcBorders>
              <w:right w:val="double" w:sz="4" w:space="0" w:color="auto"/>
            </w:tcBorders>
          </w:tcPr>
          <w:p w14:paraId="5771B5D1" w14:textId="1B97AFDD" w:rsidR="00044BA1" w:rsidRPr="00F31E0E" w:rsidRDefault="00044BA1" w:rsidP="00044BA1">
            <w:pPr>
              <w:spacing w:after="0" w:line="240" w:lineRule="auto"/>
              <w:rPr>
                <w:color w:val="auto"/>
                <w:sz w:val="24"/>
                <w:szCs w:val="24"/>
              </w:rPr>
            </w:pPr>
            <w:r>
              <w:rPr>
                <w:color w:val="auto"/>
                <w:sz w:val="24"/>
                <w:szCs w:val="24"/>
              </w:rPr>
              <w:t xml:space="preserve">Levi </w:t>
            </w:r>
            <w:proofErr w:type="spellStart"/>
            <w:r>
              <w:rPr>
                <w:color w:val="auto"/>
                <w:sz w:val="24"/>
                <w:szCs w:val="24"/>
              </w:rPr>
              <w:t>Clements-Pearce</w:t>
            </w:r>
            <w:proofErr w:type="spellEnd"/>
            <w:r w:rsidR="00C82616">
              <w:rPr>
                <w:color w:val="auto"/>
                <w:sz w:val="24"/>
                <w:szCs w:val="24"/>
              </w:rPr>
              <w:t xml:space="preserve"> – Head of Resilience and Operations</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06A6C125" w:rsidR="00BB5B75" w:rsidRPr="00EC2F99" w:rsidRDefault="00EC2F99" w:rsidP="007C7835">
            <w:pPr>
              <w:jc w:val="center"/>
              <w:rPr>
                <w:b/>
                <w:bCs/>
                <w:color w:val="auto"/>
                <w:sz w:val="32"/>
                <w:szCs w:val="32"/>
              </w:rPr>
            </w:pPr>
            <w:r>
              <w:rPr>
                <w:b/>
                <w:bCs/>
                <w:color w:val="auto"/>
                <w:sz w:val="32"/>
                <w:szCs w:val="32"/>
              </w:rPr>
              <w:t>14</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310BAFAE">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01AB0B74"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5C08B26E" w14:textId="2DDDCA1C" w:rsidR="00C96C54"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1"/>
                  <w14:checkedState w14:val="2612" w14:font="MS Gothic"/>
                  <w14:uncheckedState w14:val="2610" w14:font="MS Gothic"/>
                </w14:checkbox>
              </w:sdtPr>
              <w:sdtEndPr/>
              <w:sdtContent>
                <w:r w:rsidR="00643F72">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CA774E">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643F72">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1"/>
                  <w14:checkedState w14:val="2612" w14:font="MS Gothic"/>
                  <w14:uncheckedState w14:val="2610" w14:font="MS Gothic"/>
                </w14:checkbox>
              </w:sdtPr>
              <w:sdtEndPr/>
              <w:sdtContent>
                <w:r w:rsidR="00CA774E">
                  <w:rPr>
                    <w:rFonts w:ascii="MS Gothic" w:eastAsia="MS Gothic" w:hAnsi="MS Gothic" w:hint="eastAsia"/>
                    <w:color w:val="auto"/>
                    <w:sz w:val="40"/>
                    <w:szCs w:val="44"/>
                  </w:rPr>
                  <w:t>☒</w:t>
                </w:r>
              </w:sdtContent>
            </w:sdt>
          </w:p>
          <w:p w14:paraId="61D25B83" w14:textId="3D683030" w:rsidR="00C96C54" w:rsidRPr="00C96C54" w:rsidRDefault="00C96C54" w:rsidP="00E42977">
            <w:pPr>
              <w:spacing w:after="0" w:line="240" w:lineRule="auto"/>
              <w:rPr>
                <w:color w:val="auto"/>
                <w:sz w:val="16"/>
                <w:szCs w:val="16"/>
              </w:rPr>
            </w:pPr>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38C5B5A0" w14:textId="77777777" w:rsidR="00EC2F99" w:rsidRDefault="00EC2F99" w:rsidP="00643F72">
            <w:pPr>
              <w:spacing w:after="0" w:line="240" w:lineRule="auto"/>
              <w:jc w:val="both"/>
              <w:rPr>
                <w:b/>
                <w:bCs/>
                <w:color w:val="000000" w:themeColor="text1"/>
              </w:rPr>
            </w:pPr>
          </w:p>
          <w:p w14:paraId="52C7AAF4" w14:textId="19E31C69" w:rsidR="00832352" w:rsidRPr="00832352" w:rsidRDefault="00832352" w:rsidP="00643F72">
            <w:pPr>
              <w:spacing w:after="0" w:line="240" w:lineRule="auto"/>
              <w:jc w:val="both"/>
              <w:rPr>
                <w:b/>
                <w:bCs/>
                <w:color w:val="000000" w:themeColor="text1"/>
              </w:rPr>
            </w:pPr>
            <w:r w:rsidRPr="00832352">
              <w:rPr>
                <w:b/>
                <w:bCs/>
                <w:color w:val="000000" w:themeColor="text1"/>
              </w:rPr>
              <w:t>SUMMARY</w:t>
            </w:r>
          </w:p>
          <w:p w14:paraId="15127D56" w14:textId="77777777" w:rsidR="00832352" w:rsidRDefault="00832352" w:rsidP="00643F72">
            <w:pPr>
              <w:spacing w:after="0" w:line="240" w:lineRule="auto"/>
              <w:jc w:val="both"/>
              <w:rPr>
                <w:color w:val="000000" w:themeColor="text1"/>
              </w:rPr>
            </w:pPr>
          </w:p>
          <w:p w14:paraId="0993F68C" w14:textId="2A56D106" w:rsidR="00643F72" w:rsidRDefault="00643F72" w:rsidP="00643F72">
            <w:pPr>
              <w:spacing w:after="0" w:line="240" w:lineRule="auto"/>
              <w:jc w:val="both"/>
              <w:rPr>
                <w:b/>
                <w:color w:val="auto"/>
              </w:rPr>
            </w:pPr>
            <w:r w:rsidRPr="00643F72">
              <w:rPr>
                <w:color w:val="000000" w:themeColor="text1"/>
              </w:rPr>
              <w:t xml:space="preserve">The Civil Contingencies Act 2004 identifies ICBs as Category 1 responders, giving them a legal responsibility to plan for and respond to emergencies, working in co-operation with other responders and communicating with the public. </w:t>
            </w:r>
          </w:p>
          <w:p w14:paraId="61F9AACD" w14:textId="77777777" w:rsidR="00643F72" w:rsidRPr="008D6631" w:rsidRDefault="00643F72" w:rsidP="006C6CAA">
            <w:pPr>
              <w:spacing w:after="0" w:line="240" w:lineRule="auto"/>
              <w:rPr>
                <w:b/>
                <w:color w:val="auto"/>
              </w:rPr>
            </w:pPr>
          </w:p>
          <w:p w14:paraId="78DA5FE9" w14:textId="77777777" w:rsidR="00D64BCB" w:rsidRDefault="00D64BCB" w:rsidP="00D64BCB">
            <w:pPr>
              <w:spacing w:after="0" w:line="240" w:lineRule="auto"/>
              <w:jc w:val="both"/>
              <w:rPr>
                <w:color w:val="000000" w:themeColor="text1"/>
              </w:rPr>
            </w:pPr>
            <w:r w:rsidRPr="00D64BCB">
              <w:rPr>
                <w:color w:val="000000" w:themeColor="text1"/>
              </w:rPr>
              <w:t>This report updates the ICB Board on the range of actions undertaken this year as part of the Emergency Preparedness, Resilience and Response (“EPRR”) agenda by the ICB. ICBs are identified as Category 1 (Cat 1) responders which are those organisations deemed to be at the core of emergency response. This puts them on equal response footing with acute trusts, ambulance services and local authorities, as well as Police and Fire and Rescue Services. The ICB has a prime role under EPRR directives to lead, coordinate and support the health response to incidents as well as maintaining the organisational ability to continue to function (Business Continuity).</w:t>
            </w:r>
          </w:p>
          <w:p w14:paraId="7464D8AC" w14:textId="77777777" w:rsidR="00643F72" w:rsidRDefault="00643F72" w:rsidP="00643F72">
            <w:pPr>
              <w:spacing w:after="0" w:line="240" w:lineRule="auto"/>
              <w:jc w:val="both"/>
              <w:rPr>
                <w:color w:val="000000" w:themeColor="text1"/>
              </w:rPr>
            </w:pPr>
          </w:p>
          <w:p w14:paraId="7F0730FC" w14:textId="22D8DB61" w:rsidR="00643F72" w:rsidRPr="00643F72" w:rsidRDefault="00643F72" w:rsidP="00643F72">
            <w:pPr>
              <w:spacing w:after="0" w:line="240" w:lineRule="auto"/>
              <w:jc w:val="both"/>
              <w:rPr>
                <w:b/>
                <w:bCs/>
                <w:color w:val="000000" w:themeColor="text1"/>
              </w:rPr>
            </w:pPr>
            <w:r w:rsidRPr="00643F72">
              <w:rPr>
                <w:color w:val="000000" w:themeColor="text1"/>
              </w:rPr>
              <w:t>The NHS England EPRR Framework, identifies that ICBs, and their NHS funded services, must show they can effectively respond to major, critical, and business continuity incidents whilst maintaining services to patients. It also provides a set of core standards for all NHS funded organisations in England to help with meeting the legislative requirements.</w:t>
            </w:r>
          </w:p>
          <w:p w14:paraId="6C9E58CA" w14:textId="77777777" w:rsidR="00D64BCB" w:rsidRPr="000C3FB1" w:rsidRDefault="00D64BCB" w:rsidP="00D64BCB">
            <w:pPr>
              <w:pStyle w:val="ListParagraph"/>
              <w:spacing w:after="0" w:line="240" w:lineRule="auto"/>
              <w:ind w:left="567"/>
              <w:jc w:val="both"/>
              <w:rPr>
                <w:color w:val="000000" w:themeColor="text1"/>
              </w:rPr>
            </w:pPr>
          </w:p>
          <w:p w14:paraId="11C133FF" w14:textId="77777777" w:rsidR="00D64BCB" w:rsidRPr="00D64BCB" w:rsidRDefault="00D64BCB" w:rsidP="00D64BCB">
            <w:pPr>
              <w:spacing w:after="0" w:line="240" w:lineRule="auto"/>
              <w:jc w:val="both"/>
              <w:rPr>
                <w:b/>
                <w:bCs/>
                <w:color w:val="000000" w:themeColor="text1"/>
              </w:rPr>
            </w:pPr>
            <w:r w:rsidRPr="00D64BCB">
              <w:rPr>
                <w:color w:val="000000" w:themeColor="text1"/>
              </w:rPr>
              <w:t xml:space="preserve">The report outlines key activities undertaken since the last report in December 2023 by the ICB’s EPRR Team and the wider health emergency planning community in Humber and North Yorkshire. </w:t>
            </w:r>
          </w:p>
          <w:p w14:paraId="1B39BF2F" w14:textId="77777777" w:rsidR="00450065" w:rsidRPr="00643F72" w:rsidRDefault="00450065" w:rsidP="00450065">
            <w:pPr>
              <w:spacing w:after="0" w:line="240" w:lineRule="auto"/>
              <w:rPr>
                <w:b/>
                <w:color w:val="000000" w:themeColor="text1"/>
              </w:rPr>
            </w:pPr>
          </w:p>
          <w:p w14:paraId="116827EC" w14:textId="77777777" w:rsidR="00450065" w:rsidRPr="00643F72" w:rsidRDefault="00450065" w:rsidP="00450065">
            <w:pPr>
              <w:spacing w:after="0" w:line="240" w:lineRule="auto"/>
              <w:rPr>
                <w:color w:val="000000" w:themeColor="text1"/>
              </w:rPr>
            </w:pPr>
            <w:r w:rsidRPr="00643F72">
              <w:rPr>
                <w:b/>
                <w:color w:val="000000" w:themeColor="text1"/>
              </w:rPr>
              <w:t>RECOMMENDATIONS:</w:t>
            </w:r>
            <w:r w:rsidRPr="00643F72">
              <w:rPr>
                <w:color w:val="000000" w:themeColor="text1"/>
              </w:rPr>
              <w:t xml:space="preserve"> </w:t>
            </w:r>
          </w:p>
          <w:p w14:paraId="63D044E6" w14:textId="77777777" w:rsidR="00450065" w:rsidRPr="008708A3" w:rsidRDefault="00450065" w:rsidP="00450065">
            <w:pPr>
              <w:spacing w:after="0" w:line="240" w:lineRule="auto"/>
            </w:pPr>
          </w:p>
          <w:p w14:paraId="2F72C880" w14:textId="77777777" w:rsidR="00643F72" w:rsidRPr="00643F72" w:rsidRDefault="00643F72" w:rsidP="00643F72">
            <w:pPr>
              <w:spacing w:after="0" w:line="240" w:lineRule="auto"/>
              <w:jc w:val="both"/>
              <w:rPr>
                <w:color w:val="auto"/>
              </w:rPr>
            </w:pPr>
            <w:r w:rsidRPr="00643F72">
              <w:rPr>
                <w:color w:val="auto"/>
              </w:rPr>
              <w:t>Members are asked to:</w:t>
            </w:r>
          </w:p>
          <w:p w14:paraId="61829630" w14:textId="77777777" w:rsidR="00643F72" w:rsidRPr="004768C6" w:rsidRDefault="00643F72" w:rsidP="00643F72">
            <w:pPr>
              <w:pStyle w:val="ListParagraph"/>
              <w:spacing w:after="0" w:line="240" w:lineRule="auto"/>
              <w:ind w:left="567"/>
              <w:jc w:val="both"/>
              <w:rPr>
                <w:color w:val="auto"/>
              </w:rPr>
            </w:pPr>
          </w:p>
          <w:p w14:paraId="69C89869" w14:textId="77777777" w:rsidR="00643F72" w:rsidRDefault="00643F72" w:rsidP="00643F72">
            <w:pPr>
              <w:pStyle w:val="ListParagraph"/>
              <w:numPr>
                <w:ilvl w:val="0"/>
                <w:numId w:val="9"/>
              </w:numPr>
              <w:spacing w:after="0" w:line="240" w:lineRule="auto"/>
              <w:ind w:left="1134" w:hanging="425"/>
              <w:rPr>
                <w:color w:val="auto"/>
              </w:rPr>
            </w:pPr>
            <w:r w:rsidRPr="004768C6">
              <w:rPr>
                <w:color w:val="auto"/>
              </w:rPr>
              <w:t xml:space="preserve">Note the contents of this report and the ICB’s self-assessment against the EPRR Core Standards </w:t>
            </w:r>
          </w:p>
          <w:p w14:paraId="4F8BE057" w14:textId="77777777" w:rsidR="00643F72" w:rsidRPr="0090223E" w:rsidRDefault="00643F72" w:rsidP="00643F72">
            <w:pPr>
              <w:pStyle w:val="ListParagraph"/>
              <w:numPr>
                <w:ilvl w:val="0"/>
                <w:numId w:val="9"/>
              </w:numPr>
              <w:spacing w:after="0" w:line="240" w:lineRule="auto"/>
              <w:ind w:left="1134" w:hanging="425"/>
              <w:rPr>
                <w:color w:val="auto"/>
              </w:rPr>
            </w:pPr>
            <w:r>
              <w:rPr>
                <w:color w:val="auto"/>
              </w:rPr>
              <w:t xml:space="preserve">Formally approve the self-assessment and resulting action plan that has been agreed by the organisations EPRR Team and Accountable Emergency Officer. </w:t>
            </w:r>
          </w:p>
          <w:p w14:paraId="6B5F6E24" w14:textId="77777777" w:rsidR="00EB1B1A" w:rsidRPr="00772F4C" w:rsidRDefault="00EB1B1A" w:rsidP="00E70C1C">
            <w:pPr>
              <w:spacing w:after="0" w:line="240" w:lineRule="auto"/>
              <w:rPr>
                <w:color w:val="auto"/>
              </w:rPr>
            </w:pPr>
          </w:p>
          <w:p w14:paraId="6A1793D8" w14:textId="77777777" w:rsidR="00F554A8" w:rsidRPr="00772F4C" w:rsidRDefault="00F554A8" w:rsidP="00F554A8">
            <w:pPr>
              <w:pStyle w:val="ListParagraph"/>
              <w:spacing w:after="0" w:line="240" w:lineRule="auto"/>
              <w:ind w:left="567"/>
              <w:jc w:val="both"/>
              <w:rPr>
                <w:color w:val="auto"/>
              </w:rPr>
            </w:pPr>
          </w:p>
          <w:p w14:paraId="5DD056FB" w14:textId="254415DE" w:rsidR="000B2507" w:rsidRPr="006C6CAA" w:rsidRDefault="000B2507" w:rsidP="00E64026">
            <w:pPr>
              <w:pStyle w:val="ListParagraph"/>
              <w:spacing w:after="0" w:line="240" w:lineRule="auto"/>
              <w:ind w:left="1134"/>
              <w:rPr>
                <w:color w:val="auto"/>
                <w:sz w:val="16"/>
                <w:szCs w:val="16"/>
              </w:rPr>
            </w:pPr>
          </w:p>
        </w:tc>
      </w:tr>
    </w:tbl>
    <w:p w14:paraId="019D6696" w14:textId="0E753FDE" w:rsidR="00381FC0" w:rsidRDefault="00381FC0"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52F89B77" w:rsidR="006C1E7A" w:rsidRPr="00524FEE" w:rsidRDefault="006C1E7A" w:rsidP="00B44320">
            <w:pPr>
              <w:spacing w:after="0"/>
              <w:rPr>
                <w:color w:val="auto"/>
              </w:rPr>
            </w:pPr>
            <w:bookmarkStart w:id="2" w:name="_Hlk138950819"/>
            <w:r>
              <w:rPr>
                <w:b/>
                <w:color w:val="auto"/>
                <w:sz w:val="24"/>
                <w:szCs w:val="24"/>
              </w:rPr>
              <w:lastRenderedPageBreak/>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EF3216">
        <w:trPr>
          <w:trHeight w:val="389"/>
        </w:trPr>
        <w:tc>
          <w:tcPr>
            <w:tcW w:w="9608" w:type="dxa"/>
            <w:tcBorders>
              <w:top w:val="nil"/>
            </w:tcBorders>
            <w:shd w:val="clear" w:color="auto" w:fill="D9D9D9" w:themeFill="background1" w:themeFillShade="D9"/>
          </w:tcPr>
          <w:p w14:paraId="40ED083B" w14:textId="164BE792" w:rsidR="00EF3216" w:rsidRPr="00BD03D7" w:rsidRDefault="00EF3216" w:rsidP="00B44320">
            <w:pPr>
              <w:spacing w:after="0"/>
              <w:rPr>
                <w:b/>
                <w:color w:val="auto"/>
              </w:rPr>
            </w:pPr>
          </w:p>
        </w:tc>
      </w:tr>
      <w:bookmarkEnd w:id="2"/>
    </w:tbl>
    <w:p w14:paraId="4A0E2310" w14:textId="77777777" w:rsidR="001D657A" w:rsidRDefault="001D657A" w:rsidP="00D05ADC">
      <w:pPr>
        <w:spacing w:after="0" w:line="120" w:lineRule="auto"/>
        <w:rPr>
          <w:color w:val="auto"/>
        </w:rPr>
      </w:pPr>
    </w:p>
    <w:tbl>
      <w:tblPr>
        <w:tblStyle w:val="TableGrid"/>
        <w:tblpPr w:leftFromText="180" w:rightFromText="180" w:vertAnchor="text" w:horzAnchor="margin" w:tblpY="-6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CE23E4" w:rsidRPr="00566BDC" w14:paraId="184C4369" w14:textId="77777777" w:rsidTr="00EC2F99">
        <w:trPr>
          <w:trHeight w:val="546"/>
        </w:trPr>
        <w:tc>
          <w:tcPr>
            <w:tcW w:w="7653" w:type="dxa"/>
          </w:tcPr>
          <w:p w14:paraId="100DB891" w14:textId="472302D2" w:rsidR="006C1E7A" w:rsidRPr="00524FEE" w:rsidRDefault="000175AB" w:rsidP="00CE23E4">
            <w:pPr>
              <w:spacing w:after="0" w:line="240" w:lineRule="auto"/>
              <w:rPr>
                <w:b/>
                <w:color w:val="auto"/>
              </w:rPr>
            </w:pPr>
            <w:r>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71" w:type="dxa"/>
              </w:tcPr>
              <w:p w14:paraId="796E51FD" w14:textId="06998137" w:rsidR="006C1E7A" w:rsidRPr="00F31E0E" w:rsidRDefault="00044BA1"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EC2F99">
        <w:trPr>
          <w:trHeight w:val="528"/>
        </w:trPr>
        <w:tc>
          <w:tcPr>
            <w:tcW w:w="7653" w:type="dxa"/>
          </w:tcPr>
          <w:p w14:paraId="40C2C738" w14:textId="0BC5D756" w:rsidR="006C1E7A" w:rsidRDefault="000175AB" w:rsidP="006C1E7A">
            <w:pPr>
              <w:spacing w:after="0" w:line="240" w:lineRule="auto"/>
              <w:rPr>
                <w:color w:val="auto"/>
              </w:rPr>
            </w:pPr>
            <w:r>
              <w:rPr>
                <w:color w:val="auto"/>
              </w:rPr>
              <w:t>Leading for Prevention</w:t>
            </w:r>
          </w:p>
          <w:p w14:paraId="0B619267" w14:textId="77777777" w:rsidR="006C1E7A" w:rsidRPr="00524FEE" w:rsidRDefault="006C1E7A" w:rsidP="006C1E7A">
            <w:pPr>
              <w:spacing w:after="0" w:line="240" w:lineRule="auto"/>
              <w:rPr>
                <w:b/>
                <w:color w:val="auto"/>
              </w:rPr>
            </w:pPr>
          </w:p>
        </w:tc>
        <w:sdt>
          <w:sdtPr>
            <w:rPr>
              <w:color w:val="auto"/>
              <w:sz w:val="40"/>
              <w:szCs w:val="40"/>
            </w:rPr>
            <w:id w:val="1263573161"/>
            <w14:checkbox>
              <w14:checked w14:val="1"/>
              <w14:checkedState w14:val="2612" w14:font="MS Gothic"/>
              <w14:uncheckedState w14:val="2610" w14:font="MS Gothic"/>
            </w14:checkbox>
          </w:sdtPr>
          <w:sdtEndPr/>
          <w:sdtContent>
            <w:tc>
              <w:tcPr>
                <w:tcW w:w="1971" w:type="dxa"/>
              </w:tcPr>
              <w:p w14:paraId="393A31D7" w14:textId="4D4420EC" w:rsidR="006C1E7A" w:rsidRPr="00F31E0E" w:rsidRDefault="00044BA1"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EC2F99">
        <w:trPr>
          <w:trHeight w:val="528"/>
        </w:trPr>
        <w:tc>
          <w:tcPr>
            <w:tcW w:w="7653" w:type="dxa"/>
          </w:tcPr>
          <w:p w14:paraId="1DA92A76" w14:textId="0D4A5218" w:rsidR="006C1E7A" w:rsidRDefault="000175AB" w:rsidP="006C1E7A">
            <w:pPr>
              <w:spacing w:after="0" w:line="240" w:lineRule="auto"/>
              <w:jc w:val="both"/>
              <w:rPr>
                <w:color w:val="auto"/>
              </w:rPr>
            </w:pPr>
            <w:r>
              <w:rPr>
                <w:color w:val="auto"/>
              </w:rPr>
              <w:t>Leading for Sustainability</w:t>
            </w:r>
          </w:p>
          <w:p w14:paraId="7DCEB174" w14:textId="77777777" w:rsidR="006C1E7A" w:rsidRPr="00524FEE" w:rsidRDefault="006C1E7A" w:rsidP="006C1E7A">
            <w:pPr>
              <w:spacing w:after="0" w:line="240" w:lineRule="auto"/>
              <w:rPr>
                <w:b/>
                <w:color w:val="auto"/>
              </w:rPr>
            </w:pPr>
          </w:p>
        </w:tc>
        <w:sdt>
          <w:sdtPr>
            <w:rPr>
              <w:color w:val="auto"/>
              <w:sz w:val="40"/>
              <w:szCs w:val="40"/>
            </w:rPr>
            <w:id w:val="-1638247711"/>
            <w14:checkbox>
              <w14:checked w14:val="1"/>
              <w14:checkedState w14:val="2612" w14:font="MS Gothic"/>
              <w14:uncheckedState w14:val="2610" w14:font="MS Gothic"/>
            </w14:checkbox>
          </w:sdtPr>
          <w:sdtEndPr/>
          <w:sdtContent>
            <w:tc>
              <w:tcPr>
                <w:tcW w:w="1971" w:type="dxa"/>
              </w:tcPr>
              <w:p w14:paraId="7D7A9F01" w14:textId="7D4C4D46" w:rsidR="006C1E7A" w:rsidRPr="00F31E0E" w:rsidRDefault="00044BA1"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EC2F99">
        <w:trPr>
          <w:trHeight w:val="528"/>
        </w:trPr>
        <w:tc>
          <w:tcPr>
            <w:tcW w:w="7653" w:type="dxa"/>
          </w:tcPr>
          <w:p w14:paraId="2A8F27B0" w14:textId="609EB0E1" w:rsidR="007B2220" w:rsidRDefault="000175AB" w:rsidP="006C1E7A">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Pr>
              <w:p w14:paraId="50F24202" w14:textId="06D017F3" w:rsidR="007B2220" w:rsidRDefault="000175AB" w:rsidP="006C1E7A">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p w14:paraId="537435CC" w14:textId="77777777" w:rsidR="001D657A" w:rsidRDefault="001D657A" w:rsidP="0010586B">
      <w:pPr>
        <w:spacing w:after="0" w:line="120" w:lineRule="auto"/>
        <w:rPr>
          <w:color w:val="auto"/>
        </w:rPr>
      </w:pPr>
    </w:p>
    <w:tbl>
      <w:tblPr>
        <w:tblStyle w:val="TableGrid"/>
        <w:tblpPr w:leftFromText="180" w:rightFromText="180" w:vertAnchor="page" w:horzAnchor="margin" w:tblpY="4501"/>
        <w:tblOverlap w:val="neve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4"/>
      </w:tblGrid>
      <w:tr w:rsidR="00EC2F99" w:rsidRPr="00524FEE" w14:paraId="5BD3AF2D" w14:textId="77777777" w:rsidTr="00EC2F99">
        <w:trPr>
          <w:trHeight w:val="480"/>
        </w:trPr>
        <w:tc>
          <w:tcPr>
            <w:tcW w:w="9624" w:type="dxa"/>
            <w:shd w:val="clear" w:color="auto" w:fill="D9D9D9" w:themeFill="background1" w:themeFillShade="D9"/>
          </w:tcPr>
          <w:p w14:paraId="5D14263A" w14:textId="77777777" w:rsidR="00EC2F99" w:rsidRDefault="00EC2F99" w:rsidP="00EC2F99">
            <w:pPr>
              <w:spacing w:after="0"/>
              <w:rPr>
                <w:b/>
                <w:color w:val="auto"/>
                <w:sz w:val="24"/>
                <w:szCs w:val="24"/>
              </w:rPr>
            </w:pPr>
            <w:r>
              <w:rPr>
                <w:b/>
                <w:color w:val="auto"/>
                <w:sz w:val="24"/>
                <w:szCs w:val="24"/>
              </w:rPr>
              <w:t xml:space="preserve">IMPLICATIONS </w:t>
            </w:r>
          </w:p>
          <w:p w14:paraId="139BD1FE" w14:textId="7D21AACB" w:rsidR="00EC2F99" w:rsidRPr="00524FEE" w:rsidRDefault="00EC2F99" w:rsidP="00EC2F99">
            <w:pPr>
              <w:spacing w:after="0"/>
              <w:rPr>
                <w:color w:val="auto"/>
              </w:rPr>
            </w:pPr>
          </w:p>
        </w:tc>
      </w:tr>
    </w:tbl>
    <w:p w14:paraId="7C959B09" w14:textId="77777777" w:rsidR="00EC2F99" w:rsidRDefault="00EC2F99"/>
    <w:tbl>
      <w:tblPr>
        <w:tblStyle w:val="TableGrid"/>
        <w:tblpPr w:leftFromText="180" w:rightFromText="180" w:vertAnchor="page" w:horzAnchor="margin" w:tblpY="5161"/>
        <w:tblOverlap w:val="never"/>
        <w:tblW w:w="962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08"/>
        <w:gridCol w:w="6716"/>
      </w:tblGrid>
      <w:tr w:rsidR="00EC2F99" w:rsidRPr="00566BDC" w14:paraId="66EBD542" w14:textId="77777777" w:rsidTr="00EC2F99">
        <w:trPr>
          <w:trHeight w:val="567"/>
        </w:trPr>
        <w:tc>
          <w:tcPr>
            <w:tcW w:w="2908" w:type="dxa"/>
          </w:tcPr>
          <w:p w14:paraId="50CBE9E8" w14:textId="77777777" w:rsidR="00EC2F99" w:rsidRPr="00566BDC" w:rsidRDefault="00EC2F99" w:rsidP="00EC2F99">
            <w:pPr>
              <w:spacing w:after="0" w:line="240" w:lineRule="auto"/>
              <w:rPr>
                <w:b/>
                <w:color w:val="auto"/>
              </w:rPr>
            </w:pPr>
            <w:r w:rsidRPr="00566BDC">
              <w:rPr>
                <w:color w:val="auto"/>
              </w:rPr>
              <w:t>Finance</w:t>
            </w:r>
          </w:p>
        </w:tc>
        <w:tc>
          <w:tcPr>
            <w:tcW w:w="6716" w:type="dxa"/>
          </w:tcPr>
          <w:p w14:paraId="39D94059" w14:textId="77777777" w:rsidR="00EC2F99" w:rsidRPr="00832352" w:rsidRDefault="00EC2F99" w:rsidP="00EC2F99">
            <w:pPr>
              <w:spacing w:after="0" w:line="240" w:lineRule="auto"/>
              <w:rPr>
                <w:bCs/>
                <w:color w:val="000000" w:themeColor="text1"/>
              </w:rPr>
            </w:pPr>
            <w:r w:rsidRPr="00832352">
              <w:rPr>
                <w:bCs/>
                <w:color w:val="000000" w:themeColor="text1"/>
              </w:rPr>
              <w:t>N/A</w:t>
            </w:r>
          </w:p>
          <w:p w14:paraId="5E8672B8" w14:textId="77777777" w:rsidR="00EC2F99" w:rsidRPr="00E96BE0" w:rsidRDefault="00EC2F99" w:rsidP="00EC2F99">
            <w:pPr>
              <w:spacing w:after="0" w:line="240" w:lineRule="auto"/>
              <w:rPr>
                <w:b/>
              </w:rPr>
            </w:pPr>
          </w:p>
        </w:tc>
      </w:tr>
      <w:tr w:rsidR="00EC2F99" w:rsidRPr="00566BDC" w14:paraId="0014312C" w14:textId="77777777" w:rsidTr="00EC2F99">
        <w:trPr>
          <w:trHeight w:val="1987"/>
        </w:trPr>
        <w:tc>
          <w:tcPr>
            <w:tcW w:w="2908" w:type="dxa"/>
          </w:tcPr>
          <w:p w14:paraId="00612BB5" w14:textId="77777777" w:rsidR="00EC2F99" w:rsidRPr="00566BDC" w:rsidRDefault="00EC2F99" w:rsidP="00EC2F99">
            <w:pPr>
              <w:spacing w:after="0" w:line="240" w:lineRule="auto"/>
              <w:rPr>
                <w:color w:val="auto"/>
              </w:rPr>
            </w:pPr>
            <w:r w:rsidRPr="00566BDC">
              <w:rPr>
                <w:color w:val="auto"/>
              </w:rPr>
              <w:t>Quality</w:t>
            </w:r>
          </w:p>
        </w:tc>
        <w:tc>
          <w:tcPr>
            <w:tcW w:w="6716" w:type="dxa"/>
          </w:tcPr>
          <w:p w14:paraId="2AD6735B" w14:textId="77777777" w:rsidR="00EC2F99" w:rsidRPr="00832352" w:rsidRDefault="00EC2F99" w:rsidP="00EC2F99">
            <w:pPr>
              <w:spacing w:after="0" w:line="240" w:lineRule="auto"/>
              <w:rPr>
                <w:bCs/>
              </w:rPr>
            </w:pPr>
            <w:r w:rsidRPr="00832352">
              <w:rPr>
                <w:bCs/>
                <w:color w:val="000000" w:themeColor="text1"/>
              </w:rPr>
              <w:t xml:space="preserve">By ensuring compliance with the core standards for EPRR NHS services and commissioners will ensure they are continuing to deliver safe services for patients during incidents and emergencies and preserving critical services. This robust confirm and challenge process provides a mechanism by which providers can provide assurance to the ICB, and from the ICB to NHS England. </w:t>
            </w:r>
            <w:r>
              <w:rPr>
                <w:bCs/>
                <w:color w:val="000000" w:themeColor="text1"/>
              </w:rPr>
              <w:t xml:space="preserve">The EPRR work programme supports to development of plans and policies to support the safe delivery of care during emergencies. </w:t>
            </w:r>
          </w:p>
        </w:tc>
      </w:tr>
      <w:tr w:rsidR="00EC2F99" w:rsidRPr="00566BDC" w14:paraId="09233147" w14:textId="77777777" w:rsidTr="00EC2F99">
        <w:trPr>
          <w:trHeight w:val="567"/>
        </w:trPr>
        <w:tc>
          <w:tcPr>
            <w:tcW w:w="2908" w:type="dxa"/>
          </w:tcPr>
          <w:p w14:paraId="21AF0EF2" w14:textId="77777777" w:rsidR="00EC2F99" w:rsidRDefault="00EC2F99" w:rsidP="00EC2F99">
            <w:pPr>
              <w:spacing w:after="0" w:line="240" w:lineRule="auto"/>
              <w:rPr>
                <w:color w:val="auto"/>
              </w:rPr>
            </w:pPr>
            <w:r w:rsidRPr="00566BDC">
              <w:rPr>
                <w:color w:val="auto"/>
              </w:rPr>
              <w:t>HR</w:t>
            </w:r>
          </w:p>
          <w:p w14:paraId="53DD28F7" w14:textId="77777777" w:rsidR="00EC2F99" w:rsidRPr="00566BDC" w:rsidRDefault="00EC2F99" w:rsidP="00EC2F99">
            <w:pPr>
              <w:spacing w:after="0" w:line="240" w:lineRule="auto"/>
              <w:rPr>
                <w:b/>
                <w:color w:val="auto"/>
              </w:rPr>
            </w:pPr>
          </w:p>
        </w:tc>
        <w:tc>
          <w:tcPr>
            <w:tcW w:w="6716" w:type="dxa"/>
          </w:tcPr>
          <w:p w14:paraId="6679650B" w14:textId="77777777" w:rsidR="00EC2F99" w:rsidRPr="00832352" w:rsidRDefault="00EC2F99" w:rsidP="00EC2F99">
            <w:pPr>
              <w:spacing w:after="0" w:line="240" w:lineRule="auto"/>
              <w:rPr>
                <w:bCs/>
                <w:color w:val="000000" w:themeColor="text1"/>
              </w:rPr>
            </w:pPr>
            <w:r w:rsidRPr="00832352">
              <w:rPr>
                <w:bCs/>
                <w:color w:val="000000" w:themeColor="text1"/>
              </w:rPr>
              <w:t>N/A</w:t>
            </w:r>
          </w:p>
          <w:p w14:paraId="5A26449D" w14:textId="77777777" w:rsidR="00EC2F99" w:rsidRPr="00E96BE0" w:rsidRDefault="00EC2F99" w:rsidP="00EC2F99">
            <w:pPr>
              <w:spacing w:after="0" w:line="240" w:lineRule="auto"/>
              <w:rPr>
                <w:b/>
              </w:rPr>
            </w:pPr>
          </w:p>
        </w:tc>
      </w:tr>
      <w:tr w:rsidR="00EC2F99" w:rsidRPr="00566BDC" w14:paraId="0F7D526D" w14:textId="77777777" w:rsidTr="00EC2F99">
        <w:trPr>
          <w:trHeight w:val="1748"/>
        </w:trPr>
        <w:tc>
          <w:tcPr>
            <w:tcW w:w="2908" w:type="dxa"/>
          </w:tcPr>
          <w:p w14:paraId="26261609" w14:textId="77777777" w:rsidR="00EC2F99" w:rsidRDefault="00EC2F99" w:rsidP="00EC2F99">
            <w:pPr>
              <w:spacing w:after="0" w:line="240" w:lineRule="auto"/>
              <w:rPr>
                <w:color w:val="auto"/>
              </w:rPr>
            </w:pPr>
            <w:r>
              <w:rPr>
                <w:color w:val="auto"/>
              </w:rPr>
              <w:t>Legal / Regulatory</w:t>
            </w:r>
          </w:p>
        </w:tc>
        <w:tc>
          <w:tcPr>
            <w:tcW w:w="6716" w:type="dxa"/>
          </w:tcPr>
          <w:p w14:paraId="02C660D4" w14:textId="6077032A" w:rsidR="00EC2F99" w:rsidRPr="00EC2F99" w:rsidRDefault="00EC2F99" w:rsidP="00EC2F99">
            <w:pPr>
              <w:spacing w:after="0" w:line="240" w:lineRule="auto"/>
              <w:rPr>
                <w:bCs/>
                <w:color w:val="000000" w:themeColor="text1"/>
              </w:rPr>
            </w:pPr>
            <w:r w:rsidRPr="00832352">
              <w:rPr>
                <w:bCs/>
                <w:color w:val="000000" w:themeColor="text1"/>
              </w:rPr>
              <w:t xml:space="preserve">The ICB is required to comply with its legal obligations under the Civil Contingencies Act 2004, the Civil Contingencies Act 2004 (Contingency Planning) Regulations 2005 and the NHS Act 2006 which are the foundations on which the Core Standards self-assessment is built. In addition, the ICB needs to comply with the NHS England EPRR Framework including Section 17 on Assurance which outlines the Core Standards Process.  </w:t>
            </w:r>
          </w:p>
        </w:tc>
      </w:tr>
      <w:tr w:rsidR="00EC2F99" w:rsidRPr="00566BDC" w14:paraId="7891171B" w14:textId="77777777" w:rsidTr="00EC2F99">
        <w:trPr>
          <w:trHeight w:val="567"/>
        </w:trPr>
        <w:tc>
          <w:tcPr>
            <w:tcW w:w="2908" w:type="dxa"/>
          </w:tcPr>
          <w:p w14:paraId="55CFD5EC" w14:textId="77777777" w:rsidR="00EC2F99" w:rsidRDefault="00EC2F99" w:rsidP="00EC2F99">
            <w:pPr>
              <w:spacing w:after="0" w:line="240" w:lineRule="auto"/>
              <w:rPr>
                <w:color w:val="auto"/>
              </w:rPr>
            </w:pPr>
            <w:r>
              <w:rPr>
                <w:color w:val="auto"/>
              </w:rPr>
              <w:t>Data Protection / IG</w:t>
            </w:r>
          </w:p>
          <w:p w14:paraId="214EA3AA" w14:textId="77777777" w:rsidR="00EC2F99" w:rsidRPr="00566BDC" w:rsidRDefault="00EC2F99" w:rsidP="00EC2F99">
            <w:pPr>
              <w:spacing w:after="0" w:line="240" w:lineRule="auto"/>
              <w:rPr>
                <w:color w:val="auto"/>
              </w:rPr>
            </w:pPr>
          </w:p>
        </w:tc>
        <w:tc>
          <w:tcPr>
            <w:tcW w:w="6716" w:type="dxa"/>
          </w:tcPr>
          <w:p w14:paraId="60E97DEF" w14:textId="77777777" w:rsidR="00EC2F99" w:rsidRPr="00832352" w:rsidRDefault="00EC2F99" w:rsidP="00EC2F99">
            <w:pPr>
              <w:spacing w:after="0" w:line="240" w:lineRule="auto"/>
              <w:rPr>
                <w:bCs/>
                <w:color w:val="000000" w:themeColor="text1"/>
              </w:rPr>
            </w:pPr>
            <w:r w:rsidRPr="00832352">
              <w:rPr>
                <w:bCs/>
                <w:color w:val="000000" w:themeColor="text1"/>
              </w:rPr>
              <w:t xml:space="preserve">N/A </w:t>
            </w:r>
          </w:p>
        </w:tc>
      </w:tr>
      <w:tr w:rsidR="00EC2F99" w:rsidRPr="00566BDC" w14:paraId="4D33D752" w14:textId="77777777" w:rsidTr="00EC2F99">
        <w:trPr>
          <w:trHeight w:val="851"/>
        </w:trPr>
        <w:tc>
          <w:tcPr>
            <w:tcW w:w="2908" w:type="dxa"/>
          </w:tcPr>
          <w:p w14:paraId="71306C7A" w14:textId="77777777" w:rsidR="00EC2F99" w:rsidRPr="00566BDC" w:rsidRDefault="00EC2F99" w:rsidP="00EC2F99">
            <w:pPr>
              <w:spacing w:after="0" w:line="240" w:lineRule="auto"/>
              <w:rPr>
                <w:b/>
                <w:color w:val="auto"/>
              </w:rPr>
            </w:pPr>
            <w:r>
              <w:rPr>
                <w:color w:val="auto"/>
              </w:rPr>
              <w:t>Health inequality / equality</w:t>
            </w:r>
          </w:p>
        </w:tc>
        <w:tc>
          <w:tcPr>
            <w:tcW w:w="6716" w:type="dxa"/>
          </w:tcPr>
          <w:p w14:paraId="69BE8652" w14:textId="77777777" w:rsidR="00EC2F99" w:rsidRPr="00832352" w:rsidRDefault="00EC2F99" w:rsidP="00EC2F99">
            <w:pPr>
              <w:spacing w:after="0" w:line="240" w:lineRule="auto"/>
              <w:rPr>
                <w:bCs/>
                <w:color w:val="000000" w:themeColor="text1"/>
              </w:rPr>
            </w:pPr>
            <w:r w:rsidRPr="00832352">
              <w:rPr>
                <w:bCs/>
                <w:color w:val="000000" w:themeColor="text1"/>
              </w:rPr>
              <w:t>Various Core Standards refer to health inequalities/equality e.g. Evacuation and Shelter requirement for P</w:t>
            </w:r>
            <w:r>
              <w:rPr>
                <w:bCs/>
                <w:color w:val="000000" w:themeColor="text1"/>
              </w:rPr>
              <w:t>ersonal Emergency Evacuation Plan (PEEPs)</w:t>
            </w:r>
            <w:r w:rsidRPr="00832352">
              <w:rPr>
                <w:bCs/>
                <w:color w:val="000000" w:themeColor="text1"/>
              </w:rPr>
              <w:t xml:space="preserve">, plans required  to consider EDI and health inequalities. </w:t>
            </w:r>
          </w:p>
        </w:tc>
      </w:tr>
      <w:tr w:rsidR="00EC2F99" w:rsidRPr="00566BDC" w14:paraId="155A2A30" w14:textId="77777777" w:rsidTr="00EC2F99">
        <w:trPr>
          <w:trHeight w:val="567"/>
        </w:trPr>
        <w:tc>
          <w:tcPr>
            <w:tcW w:w="2908" w:type="dxa"/>
          </w:tcPr>
          <w:p w14:paraId="58D85555" w14:textId="77777777" w:rsidR="00EC2F99" w:rsidRDefault="00EC2F99" w:rsidP="00EC2F99">
            <w:pPr>
              <w:spacing w:after="0" w:line="240" w:lineRule="auto"/>
              <w:rPr>
                <w:color w:val="auto"/>
              </w:rPr>
            </w:pPr>
            <w:r>
              <w:rPr>
                <w:color w:val="auto"/>
              </w:rPr>
              <w:t>Conflict of Interest Aspects</w:t>
            </w:r>
          </w:p>
          <w:p w14:paraId="7E4E70F9" w14:textId="77777777" w:rsidR="00EC2F99" w:rsidRDefault="00EC2F99" w:rsidP="00EC2F99">
            <w:pPr>
              <w:spacing w:after="0" w:line="240" w:lineRule="auto"/>
              <w:rPr>
                <w:color w:val="auto"/>
              </w:rPr>
            </w:pPr>
          </w:p>
        </w:tc>
        <w:tc>
          <w:tcPr>
            <w:tcW w:w="6716" w:type="dxa"/>
          </w:tcPr>
          <w:p w14:paraId="2250EB28" w14:textId="77777777" w:rsidR="00EC2F99" w:rsidRPr="00832352" w:rsidRDefault="00EC2F99" w:rsidP="00EC2F99">
            <w:pPr>
              <w:spacing w:after="0" w:line="240" w:lineRule="auto"/>
              <w:rPr>
                <w:bCs/>
                <w:color w:val="000000" w:themeColor="text1"/>
              </w:rPr>
            </w:pPr>
            <w:r w:rsidRPr="00832352">
              <w:rPr>
                <w:bCs/>
                <w:color w:val="000000" w:themeColor="text1"/>
              </w:rPr>
              <w:t>N/A</w:t>
            </w:r>
          </w:p>
        </w:tc>
      </w:tr>
      <w:tr w:rsidR="00EC2F99" w:rsidRPr="00566BDC" w14:paraId="5DCEFC6B" w14:textId="77777777" w:rsidTr="00EC2F99">
        <w:trPr>
          <w:trHeight w:val="754"/>
        </w:trPr>
        <w:tc>
          <w:tcPr>
            <w:tcW w:w="2908" w:type="dxa"/>
          </w:tcPr>
          <w:p w14:paraId="3F111FF2" w14:textId="77777777" w:rsidR="00EC2F99" w:rsidRDefault="00EC2F99" w:rsidP="00EC2F99">
            <w:pPr>
              <w:spacing w:after="0" w:line="240" w:lineRule="auto"/>
              <w:rPr>
                <w:color w:val="auto"/>
              </w:rPr>
            </w:pPr>
            <w:r>
              <w:rPr>
                <w:color w:val="auto"/>
              </w:rPr>
              <w:t>Sustainability</w:t>
            </w:r>
          </w:p>
          <w:p w14:paraId="0F035CB6" w14:textId="77777777" w:rsidR="00EC2F99" w:rsidRPr="00566BDC" w:rsidRDefault="00EC2F99" w:rsidP="00EC2F99">
            <w:pPr>
              <w:spacing w:after="0" w:line="240" w:lineRule="auto"/>
              <w:rPr>
                <w:b/>
                <w:color w:val="auto"/>
              </w:rPr>
            </w:pPr>
          </w:p>
        </w:tc>
        <w:tc>
          <w:tcPr>
            <w:tcW w:w="6716" w:type="dxa"/>
          </w:tcPr>
          <w:p w14:paraId="74FAE6C9" w14:textId="77777777" w:rsidR="00EC2F99" w:rsidRDefault="00EC2F99" w:rsidP="00EC2F99">
            <w:pPr>
              <w:spacing w:after="0" w:line="240" w:lineRule="auto"/>
              <w:rPr>
                <w:bCs/>
                <w:color w:val="000000" w:themeColor="text1"/>
              </w:rPr>
            </w:pPr>
            <w:r w:rsidRPr="00832352">
              <w:rPr>
                <w:bCs/>
                <w:color w:val="000000" w:themeColor="text1"/>
              </w:rPr>
              <w:t>EPRR must consider Climate Adaptation Planning as an aligned topic, ensuring that self-assessment and plans demonstrate links to the Greener NHS Programme</w:t>
            </w:r>
          </w:p>
          <w:p w14:paraId="500EAB50" w14:textId="4DE76269" w:rsidR="00EC2F99" w:rsidRPr="00EC2F99" w:rsidRDefault="00EC2F99" w:rsidP="00EC2F99">
            <w:pPr>
              <w:spacing w:after="0" w:line="240" w:lineRule="auto"/>
              <w:rPr>
                <w:bCs/>
                <w:color w:val="000000" w:themeColor="text1"/>
                <w:sz w:val="16"/>
                <w:szCs w:val="16"/>
              </w:rPr>
            </w:pPr>
          </w:p>
        </w:tc>
      </w:tr>
    </w:tbl>
    <w:p w14:paraId="2027790B" w14:textId="77777777" w:rsidR="000175AB" w:rsidRDefault="000175AB" w:rsidP="0010586B">
      <w:pPr>
        <w:spacing w:after="0" w:line="120" w:lineRule="auto"/>
        <w:rPr>
          <w:color w:val="auto"/>
        </w:rPr>
      </w:pPr>
    </w:p>
    <w:tbl>
      <w:tblPr>
        <w:tblStyle w:val="TableGrid"/>
        <w:tblpPr w:leftFromText="180" w:rightFromText="180" w:vertAnchor="text" w:horzAnchor="margin" w:tblpY="-60"/>
        <w:tblW w:w="9624" w:type="dxa"/>
        <w:tblLook w:val="04A0" w:firstRow="1" w:lastRow="0" w:firstColumn="1" w:lastColumn="0" w:noHBand="0" w:noVBand="1"/>
      </w:tblPr>
      <w:tblGrid>
        <w:gridCol w:w="9624"/>
      </w:tblGrid>
      <w:tr w:rsidR="00925A3D" w:rsidRPr="00566BDC" w14:paraId="250DDC57" w14:textId="77777777" w:rsidTr="00EC2F99">
        <w:trPr>
          <w:trHeight w:val="2238"/>
        </w:trPr>
        <w:tc>
          <w:tcPr>
            <w:tcW w:w="9624" w:type="dxa"/>
            <w:tcBorders>
              <w:top w:val="double" w:sz="4" w:space="0" w:color="auto"/>
              <w:left w:val="double" w:sz="4" w:space="0" w:color="auto"/>
              <w:bottom w:val="double" w:sz="4" w:space="0" w:color="auto"/>
              <w:right w:val="double" w:sz="4" w:space="0" w:color="auto"/>
            </w:tcBorders>
          </w:tcPr>
          <w:p w14:paraId="59D84DE2" w14:textId="77777777" w:rsidR="00925A3D" w:rsidRPr="00566BDC" w:rsidRDefault="00925A3D" w:rsidP="00925A3D">
            <w:pPr>
              <w:spacing w:after="0" w:line="240" w:lineRule="auto"/>
              <w:rPr>
                <w:b/>
                <w:color w:val="auto"/>
              </w:rPr>
            </w:pPr>
            <w:bookmarkStart w:id="3" w:name="_Hlk106134678"/>
          </w:p>
          <w:p w14:paraId="7684A69F" w14:textId="77777777" w:rsidR="00EC2F99" w:rsidRDefault="00925A3D" w:rsidP="00925A3D">
            <w:pPr>
              <w:spacing w:after="0" w:line="240" w:lineRule="auto"/>
              <w:rPr>
                <w:color w:val="auto"/>
              </w:rPr>
            </w:pPr>
            <w:r>
              <w:rPr>
                <w:b/>
                <w:color w:val="auto"/>
              </w:rPr>
              <w:t>ASSESSED RISK</w:t>
            </w:r>
            <w:r w:rsidRPr="00566BDC">
              <w:rPr>
                <w:b/>
                <w:color w:val="auto"/>
              </w:rPr>
              <w:t>:</w:t>
            </w:r>
            <w:r w:rsidRPr="00566BDC">
              <w:rPr>
                <w:color w:val="auto"/>
              </w:rPr>
              <w:t xml:space="preserve"> </w:t>
            </w:r>
            <w:r w:rsidR="00E96BE0">
              <w:rPr>
                <w:color w:val="auto"/>
              </w:rPr>
              <w:t xml:space="preserve"> </w:t>
            </w:r>
          </w:p>
          <w:p w14:paraId="44D83B11" w14:textId="77777777" w:rsidR="00EC2F99" w:rsidRDefault="00EC2F99" w:rsidP="00925A3D">
            <w:pPr>
              <w:spacing w:after="0" w:line="240" w:lineRule="auto"/>
              <w:rPr>
                <w:color w:val="000000" w:themeColor="text1"/>
              </w:rPr>
            </w:pPr>
          </w:p>
          <w:p w14:paraId="1F6053F5" w14:textId="77777777" w:rsidR="00EC2F99" w:rsidRDefault="00643F72" w:rsidP="00925A3D">
            <w:pPr>
              <w:spacing w:after="0" w:line="240" w:lineRule="auto"/>
              <w:rPr>
                <w:color w:val="000000" w:themeColor="text1"/>
              </w:rPr>
            </w:pPr>
            <w:r>
              <w:rPr>
                <w:color w:val="000000" w:themeColor="text1"/>
              </w:rPr>
              <w:t xml:space="preserve">The </w:t>
            </w:r>
            <w:r w:rsidR="00C02C90">
              <w:rPr>
                <w:color w:val="000000" w:themeColor="text1"/>
              </w:rPr>
              <w:t xml:space="preserve">high threshold to move out of the EPRR Core Standards domain “non-compliance” and the terminology used can infer that the ICB is not prepared to respond to emergencies. This is not the case, and the ICB and its commissioned providers are in a </w:t>
            </w:r>
            <w:r w:rsidR="0048605A">
              <w:rPr>
                <w:color w:val="000000" w:themeColor="text1"/>
              </w:rPr>
              <w:t xml:space="preserve">stronger position to respond now than they were at the ICB’s inception in 2022. </w:t>
            </w:r>
            <w:r w:rsidR="00877537">
              <w:rPr>
                <w:color w:val="000000" w:themeColor="text1"/>
              </w:rPr>
              <w:t xml:space="preserve">Feedback continues to be provided to NHS England on the thresholds and use of the term “non-compliant” where an organisation is less than 76% compliant. </w:t>
            </w:r>
            <w:r w:rsidR="005E692E">
              <w:rPr>
                <w:color w:val="000000" w:themeColor="text1"/>
              </w:rPr>
              <w:t xml:space="preserve">The ICB and its providers have produced robust action plans which are followed through and reported on monthly. </w:t>
            </w:r>
          </w:p>
          <w:p w14:paraId="4EEE3FAE" w14:textId="39BB4FE9" w:rsidR="00EC2F99" w:rsidRPr="00EC2F99" w:rsidRDefault="00EC2F99" w:rsidP="00925A3D">
            <w:pPr>
              <w:spacing w:after="0" w:line="240" w:lineRule="auto"/>
              <w:rPr>
                <w:color w:val="000000" w:themeColor="text1"/>
                <w:sz w:val="16"/>
                <w:szCs w:val="16"/>
              </w:rPr>
            </w:pPr>
          </w:p>
        </w:tc>
      </w:tr>
      <w:bookmarkEnd w:id="3"/>
    </w:tbl>
    <w:p w14:paraId="6EE8BD8A" w14:textId="77777777" w:rsidR="000175AB" w:rsidRDefault="000175AB" w:rsidP="0010586B">
      <w:pPr>
        <w:spacing w:after="0" w:line="120" w:lineRule="auto"/>
        <w:rPr>
          <w:color w:val="auto"/>
        </w:rPr>
      </w:pPr>
    </w:p>
    <w:p w14:paraId="74564F51" w14:textId="77777777" w:rsidR="00B55B0A" w:rsidRDefault="00B55B0A" w:rsidP="0010586B">
      <w:pPr>
        <w:spacing w:after="0" w:line="120" w:lineRule="auto"/>
        <w:rPr>
          <w:color w:val="auto"/>
        </w:rPr>
      </w:pPr>
    </w:p>
    <w:tbl>
      <w:tblPr>
        <w:tblStyle w:val="TableGrid"/>
        <w:tblpPr w:leftFromText="180" w:rightFromText="180" w:vertAnchor="text" w:horzAnchor="margin" w:tblpY="-23"/>
        <w:tblW w:w="0" w:type="auto"/>
        <w:tblLook w:val="04A0" w:firstRow="1" w:lastRow="0" w:firstColumn="1" w:lastColumn="0" w:noHBand="0" w:noVBand="1"/>
      </w:tblPr>
      <w:tblGrid>
        <w:gridCol w:w="9608"/>
      </w:tblGrid>
      <w:tr w:rsidR="00EC2F99" w:rsidRPr="00566BDC" w14:paraId="20A7D8DF" w14:textId="77777777" w:rsidTr="00EC2F99">
        <w:tc>
          <w:tcPr>
            <w:tcW w:w="9608" w:type="dxa"/>
            <w:tcBorders>
              <w:top w:val="double" w:sz="4" w:space="0" w:color="auto"/>
              <w:left w:val="double" w:sz="4" w:space="0" w:color="auto"/>
              <w:bottom w:val="double" w:sz="4" w:space="0" w:color="auto"/>
              <w:right w:val="double" w:sz="4" w:space="0" w:color="auto"/>
            </w:tcBorders>
          </w:tcPr>
          <w:p w14:paraId="6C8CF8AE" w14:textId="77777777" w:rsidR="00EC2F99" w:rsidRPr="00566BDC" w:rsidRDefault="00EC2F99" w:rsidP="00EC2F99">
            <w:pPr>
              <w:spacing w:after="0" w:line="240" w:lineRule="auto"/>
              <w:rPr>
                <w:b/>
                <w:color w:val="auto"/>
              </w:rPr>
            </w:pPr>
          </w:p>
          <w:p w14:paraId="772D27D0" w14:textId="77777777" w:rsidR="00EC2F99" w:rsidRDefault="00EC2F99" w:rsidP="00EC2F99">
            <w:pPr>
              <w:spacing w:after="0" w:line="240" w:lineRule="auto"/>
              <w:rPr>
                <w:b/>
                <w:color w:val="auto"/>
              </w:rPr>
            </w:pPr>
            <w:r>
              <w:rPr>
                <w:b/>
                <w:color w:val="auto"/>
              </w:rPr>
              <w:t>MONITORING AND ASSURANCE</w:t>
            </w:r>
            <w:r w:rsidRPr="00566BDC">
              <w:rPr>
                <w:b/>
                <w:color w:val="auto"/>
              </w:rPr>
              <w:t>:</w:t>
            </w:r>
            <w:r>
              <w:rPr>
                <w:b/>
                <w:color w:val="auto"/>
              </w:rPr>
              <w:t xml:space="preserve"> </w:t>
            </w:r>
          </w:p>
          <w:p w14:paraId="1A5D5977" w14:textId="77777777" w:rsidR="00EC2F99" w:rsidRPr="00EC2F99" w:rsidRDefault="00EC2F99" w:rsidP="00EC2F99">
            <w:pPr>
              <w:spacing w:after="0" w:line="240" w:lineRule="auto"/>
              <w:rPr>
                <w:color w:val="auto"/>
                <w:sz w:val="16"/>
                <w:szCs w:val="16"/>
              </w:rPr>
            </w:pPr>
          </w:p>
          <w:p w14:paraId="0A3DEA4C" w14:textId="77777777" w:rsidR="00EC2F99" w:rsidRPr="00536B0E" w:rsidRDefault="00EC2F99" w:rsidP="00EC2F99">
            <w:pPr>
              <w:spacing w:after="0" w:line="240" w:lineRule="auto"/>
              <w:rPr>
                <w:color w:val="000000" w:themeColor="text1"/>
              </w:rPr>
            </w:pPr>
            <w:r w:rsidRPr="00536B0E">
              <w:rPr>
                <w:color w:val="000000" w:themeColor="text1"/>
              </w:rPr>
              <w:t xml:space="preserve">The assurance process detailed in Appendix A has been followed and the ICB will be required to follow up on provider action plans on a monthly basis, which was done last year through a series of Core Standard Domain themed meetings. </w:t>
            </w:r>
          </w:p>
          <w:p w14:paraId="045224B4" w14:textId="77777777" w:rsidR="00EC2F99" w:rsidRPr="00536B0E" w:rsidRDefault="00EC2F99" w:rsidP="00EC2F99">
            <w:pPr>
              <w:spacing w:after="0" w:line="240" w:lineRule="auto"/>
              <w:rPr>
                <w:color w:val="000000" w:themeColor="text1"/>
              </w:rPr>
            </w:pPr>
          </w:p>
          <w:p w14:paraId="5E56BE9E" w14:textId="77777777" w:rsidR="00EC2F99" w:rsidRPr="00536B0E" w:rsidRDefault="00EC2F99" w:rsidP="00EC2F99">
            <w:pPr>
              <w:spacing w:after="0" w:line="240" w:lineRule="auto"/>
              <w:rPr>
                <w:color w:val="000000" w:themeColor="text1"/>
              </w:rPr>
            </w:pPr>
            <w:r w:rsidRPr="00536B0E">
              <w:rPr>
                <w:color w:val="000000" w:themeColor="text1"/>
              </w:rPr>
              <w:t>Training compliance is monitored quarterly through the L</w:t>
            </w:r>
            <w:r>
              <w:rPr>
                <w:color w:val="000000" w:themeColor="text1"/>
              </w:rPr>
              <w:t xml:space="preserve">ocal Health Resilience Partnership (LHRP) </w:t>
            </w:r>
            <w:r w:rsidRPr="00536B0E">
              <w:rPr>
                <w:color w:val="000000" w:themeColor="text1"/>
              </w:rPr>
              <w:t>and R</w:t>
            </w:r>
            <w:r>
              <w:rPr>
                <w:color w:val="000000" w:themeColor="text1"/>
              </w:rPr>
              <w:t>egional Health Resilience Partnership (RHRP).</w:t>
            </w:r>
          </w:p>
          <w:p w14:paraId="40DB9A33" w14:textId="77777777" w:rsidR="00EC2F99" w:rsidRPr="00536B0E" w:rsidRDefault="00EC2F99" w:rsidP="00EC2F99">
            <w:pPr>
              <w:spacing w:after="0" w:line="240" w:lineRule="auto"/>
              <w:rPr>
                <w:color w:val="000000" w:themeColor="text1"/>
              </w:rPr>
            </w:pPr>
          </w:p>
          <w:p w14:paraId="43B77875" w14:textId="77777777" w:rsidR="00EC2F99" w:rsidRPr="00536B0E" w:rsidRDefault="00EC2F99" w:rsidP="00EC2F99">
            <w:pPr>
              <w:spacing w:after="0" w:line="240" w:lineRule="auto"/>
              <w:rPr>
                <w:color w:val="000000" w:themeColor="text1"/>
              </w:rPr>
            </w:pPr>
            <w:r w:rsidRPr="00536B0E">
              <w:rPr>
                <w:color w:val="000000" w:themeColor="text1"/>
              </w:rPr>
              <w:t xml:space="preserve">Updates on the ICB’s Action Plan will be provided to the AEO on a Quarterly Basis.  </w:t>
            </w:r>
          </w:p>
          <w:p w14:paraId="709509DA" w14:textId="77777777" w:rsidR="00EC2F99" w:rsidRPr="00566BDC" w:rsidRDefault="00EC2F99" w:rsidP="00EC2F99">
            <w:pPr>
              <w:spacing w:after="0" w:line="240" w:lineRule="auto"/>
              <w:rPr>
                <w:color w:val="auto"/>
              </w:rPr>
            </w:pPr>
          </w:p>
        </w:tc>
      </w:tr>
    </w:tbl>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566BDC" w:rsidRDefault="00566BDC" w:rsidP="00566BDC">
            <w:pPr>
              <w:spacing w:after="0" w:line="240" w:lineRule="auto"/>
              <w:rPr>
                <w:b/>
                <w:color w:val="auto"/>
              </w:rPr>
            </w:pPr>
            <w:bookmarkStart w:id="4" w:name="_Hlk106098484"/>
          </w:p>
          <w:p w14:paraId="3D580E86" w14:textId="77777777" w:rsidR="00EC2F99" w:rsidRDefault="00880E9F" w:rsidP="002B4676">
            <w:pPr>
              <w:spacing w:after="0" w:line="240" w:lineRule="auto"/>
              <w:rPr>
                <w:rFonts w:asciiTheme="minorHAnsi" w:hAnsiTheme="minorHAnsi" w:cstheme="minorHAnsi"/>
                <w:i/>
                <w:iCs/>
                <w:color w:val="auto"/>
              </w:rPr>
            </w:pPr>
            <w:r w:rsidRPr="00566BDC">
              <w:rPr>
                <w:b/>
                <w:color w:val="auto"/>
              </w:rPr>
              <w:t>ENGAGEMENT:</w:t>
            </w:r>
            <w:r w:rsidRPr="00566BDC">
              <w:rPr>
                <w:color w:val="auto"/>
              </w:rPr>
              <w:t xml:space="preserve"> </w:t>
            </w:r>
            <w:r w:rsidR="00C54E47" w:rsidRPr="005E60D3">
              <w:rPr>
                <w:rFonts w:asciiTheme="minorHAnsi" w:hAnsiTheme="minorHAnsi" w:cstheme="minorHAnsi"/>
                <w:i/>
                <w:iCs/>
                <w:color w:val="auto"/>
              </w:rPr>
              <w:t xml:space="preserve"> </w:t>
            </w:r>
          </w:p>
          <w:p w14:paraId="7834B05D" w14:textId="77777777" w:rsidR="00EC2F99" w:rsidRPr="00EC2F99" w:rsidRDefault="00EC2F99" w:rsidP="002B4676">
            <w:pPr>
              <w:spacing w:after="0" w:line="240" w:lineRule="auto"/>
              <w:rPr>
                <w:rFonts w:asciiTheme="minorHAnsi" w:hAnsiTheme="minorHAnsi" w:cstheme="minorHAnsi"/>
                <w:i/>
                <w:iCs/>
                <w:color w:val="auto"/>
                <w:sz w:val="16"/>
                <w:szCs w:val="16"/>
              </w:rPr>
            </w:pPr>
          </w:p>
          <w:p w14:paraId="4734DBB0" w14:textId="7632069D" w:rsidR="00880E9F" w:rsidRDefault="00931B49" w:rsidP="002B4676">
            <w:pPr>
              <w:spacing w:after="0" w:line="240" w:lineRule="auto"/>
              <w:rPr>
                <w:sz w:val="20"/>
                <w:szCs w:val="20"/>
              </w:rPr>
            </w:pPr>
            <w:r w:rsidRPr="00536B0E">
              <w:rPr>
                <w:color w:val="000000" w:themeColor="text1"/>
              </w:rPr>
              <w:t>The core standards self-assessment process</w:t>
            </w:r>
            <w:r w:rsidR="002B2284">
              <w:rPr>
                <w:color w:val="000000" w:themeColor="text1"/>
              </w:rPr>
              <w:t xml:space="preserve"> (Appendix A)</w:t>
            </w:r>
            <w:r w:rsidRPr="00536B0E">
              <w:rPr>
                <w:color w:val="000000" w:themeColor="text1"/>
              </w:rPr>
              <w:t xml:space="preserve"> was socialised with providers in summer </w:t>
            </w:r>
            <w:r w:rsidR="00547403" w:rsidRPr="00536B0E">
              <w:rPr>
                <w:color w:val="000000" w:themeColor="text1"/>
              </w:rPr>
              <w:t>2024 and</w:t>
            </w:r>
            <w:r w:rsidRPr="00536B0E">
              <w:rPr>
                <w:color w:val="000000" w:themeColor="text1"/>
              </w:rPr>
              <w:t xml:space="preserve"> signed off at the HNY LHRP. </w:t>
            </w:r>
            <w:r w:rsidR="00EB1B1A" w:rsidRPr="00536B0E">
              <w:rPr>
                <w:color w:val="000000" w:themeColor="text1"/>
              </w:rPr>
              <w:t xml:space="preserve">It was also signed off by the ICB’s Board. </w:t>
            </w:r>
            <w:r w:rsidRPr="00536B0E">
              <w:rPr>
                <w:color w:val="000000" w:themeColor="text1"/>
              </w:rPr>
              <w:t>Providers have attended monthly meetings on</w:t>
            </w:r>
            <w:r w:rsidR="00EB1B1A" w:rsidRPr="00536B0E">
              <w:rPr>
                <w:color w:val="000000" w:themeColor="text1"/>
              </w:rPr>
              <w:t xml:space="preserve"> core standards assurance following last year’s process. </w:t>
            </w:r>
            <w:r w:rsidR="00547403">
              <w:rPr>
                <w:color w:val="000000" w:themeColor="text1"/>
              </w:rPr>
              <w:t>The ICB chairs LHRP on a quarterly basis and also runs various meetings with providers to engage and collaborate on EPRR including an operational group and 3 task specific focus cells.</w:t>
            </w:r>
            <w:r w:rsidR="002B2284">
              <w:rPr>
                <w:color w:val="000000" w:themeColor="text1"/>
              </w:rPr>
              <w:t xml:space="preserve"> The Core Standards self-assessment has been agreed by the organisation’s Accountable Emergency Officer and Executive Team prior to submission to Board.</w:t>
            </w:r>
            <w:r w:rsidR="00AB3FD0" w:rsidRPr="000D05D5">
              <w:rPr>
                <w:sz w:val="20"/>
                <w:szCs w:val="20"/>
              </w:rPr>
              <w:t xml:space="preserve"> </w:t>
            </w:r>
          </w:p>
          <w:p w14:paraId="0AACBFB2" w14:textId="77777777" w:rsidR="00EC2F99" w:rsidRPr="00EC2F99" w:rsidRDefault="00EC2F99" w:rsidP="002B4676">
            <w:pPr>
              <w:spacing w:after="0" w:line="240" w:lineRule="auto"/>
              <w:rPr>
                <w:sz w:val="16"/>
                <w:szCs w:val="16"/>
              </w:rPr>
            </w:pPr>
          </w:p>
          <w:p w14:paraId="02D6A569" w14:textId="625C926B" w:rsidR="00880E9F" w:rsidRPr="00EC2F99" w:rsidRDefault="00880E9F" w:rsidP="00566BDC">
            <w:pPr>
              <w:spacing w:after="0" w:line="240" w:lineRule="auto"/>
              <w:rPr>
                <w:color w:val="auto"/>
                <w:sz w:val="16"/>
                <w:szCs w:val="16"/>
              </w:rPr>
            </w:pPr>
          </w:p>
        </w:tc>
      </w:tr>
      <w:bookmarkEnd w:id="4"/>
    </w:tbl>
    <w:p w14:paraId="784EBC53" w14:textId="464D2516" w:rsidR="00880E9F" w:rsidRPr="00566BDC" w:rsidRDefault="00880E9F"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00CD20A8">
        <w:trPr>
          <w:trHeight w:val="427"/>
        </w:trPr>
        <w:tc>
          <w:tcPr>
            <w:tcW w:w="9608" w:type="dxa"/>
            <w:tcBorders>
              <w:bottom w:val="nil"/>
            </w:tcBorders>
          </w:tcPr>
          <w:p w14:paraId="39D3DDC7" w14:textId="21E3F878" w:rsidR="00CD20A8" w:rsidRPr="00524FEE" w:rsidRDefault="00CD20A8" w:rsidP="00CD20A8">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98705F">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0098705F">
                  <w:rPr>
                    <w:rFonts w:ascii="MS Gothic" w:eastAsia="MS Gothic" w:hAnsi="MS Gothic" w:hint="eastAsia"/>
                    <w:color w:val="auto"/>
                    <w:sz w:val="40"/>
                    <w:szCs w:val="40"/>
                  </w:rPr>
                  <w:t>☐</w:t>
                </w:r>
              </w:sdtContent>
            </w:sdt>
          </w:p>
        </w:tc>
      </w:tr>
      <w:tr w:rsidR="004F190C" w14:paraId="4C3F0319" w14:textId="77777777" w:rsidTr="0086751B">
        <w:tc>
          <w:tcPr>
            <w:tcW w:w="9608" w:type="dxa"/>
            <w:tcBorders>
              <w:top w:val="nil"/>
            </w:tcBorders>
          </w:tcPr>
          <w:p w14:paraId="3CB6CF64" w14:textId="7AC7865A" w:rsidR="004F190C" w:rsidRPr="004768C6" w:rsidRDefault="004F190C" w:rsidP="00C54E47">
            <w:pPr>
              <w:spacing w:after="0"/>
              <w:rPr>
                <w:bCs/>
                <w:i/>
                <w:iCs/>
                <w:color w:val="auto"/>
              </w:rPr>
            </w:pPr>
          </w:p>
        </w:tc>
      </w:tr>
    </w:tbl>
    <w:p w14:paraId="21642BAF" w14:textId="77777777" w:rsidR="00880E9F" w:rsidRPr="00566BDC" w:rsidRDefault="00880E9F" w:rsidP="0010586B">
      <w:pPr>
        <w:spacing w:after="0" w:line="120" w:lineRule="auto"/>
        <w:rPr>
          <w:color w:val="auto"/>
        </w:rPr>
      </w:pPr>
    </w:p>
    <w:p w14:paraId="504D3973" w14:textId="77777777" w:rsidR="003728AB" w:rsidRDefault="003728AB" w:rsidP="0010586B">
      <w:pPr>
        <w:spacing w:after="0" w:line="120" w:lineRule="auto"/>
        <w:rPr>
          <w:color w:val="auto"/>
        </w:rPr>
      </w:pPr>
    </w:p>
    <w:p w14:paraId="07B97C91" w14:textId="77777777" w:rsidR="008951B4" w:rsidRDefault="008951B4" w:rsidP="00953DC4">
      <w:pPr>
        <w:spacing w:after="0" w:line="240" w:lineRule="auto"/>
        <w:ind w:left="-142" w:firstLine="862"/>
        <w:jc w:val="center"/>
        <w:rPr>
          <w:b/>
          <w:bCs/>
          <w:color w:val="auto"/>
          <w:sz w:val="24"/>
          <w:szCs w:val="24"/>
        </w:rPr>
      </w:pPr>
    </w:p>
    <w:p w14:paraId="7D5DDC5D" w14:textId="77777777" w:rsidR="008142EE" w:rsidRDefault="008142EE" w:rsidP="00497DAE">
      <w:pPr>
        <w:spacing w:after="0" w:line="240" w:lineRule="auto"/>
        <w:rPr>
          <w:b/>
          <w:bCs/>
          <w:color w:val="auto"/>
          <w:sz w:val="24"/>
          <w:szCs w:val="24"/>
        </w:rPr>
      </w:pPr>
    </w:p>
    <w:p w14:paraId="50C7EA2B" w14:textId="77777777" w:rsidR="007109D4" w:rsidRDefault="007109D4" w:rsidP="00E735DB">
      <w:pPr>
        <w:jc w:val="center"/>
        <w:rPr>
          <w:b/>
          <w:bCs/>
          <w:color w:val="auto"/>
          <w:sz w:val="24"/>
          <w:szCs w:val="24"/>
        </w:rPr>
      </w:pPr>
    </w:p>
    <w:p w14:paraId="67606C08" w14:textId="77777777" w:rsidR="007109D4" w:rsidRDefault="007109D4" w:rsidP="00E735DB">
      <w:pPr>
        <w:jc w:val="center"/>
        <w:rPr>
          <w:b/>
          <w:bCs/>
          <w:color w:val="auto"/>
          <w:sz w:val="24"/>
          <w:szCs w:val="24"/>
        </w:rPr>
      </w:pPr>
    </w:p>
    <w:p w14:paraId="053FD6D0" w14:textId="132DA00F" w:rsidR="00A958CA" w:rsidRPr="0012663C" w:rsidRDefault="006C6CAA" w:rsidP="00A958CA">
      <w:pPr>
        <w:jc w:val="center"/>
        <w:rPr>
          <w:b/>
          <w:bCs/>
          <w:color w:val="auto"/>
          <w:sz w:val="28"/>
          <w:szCs w:val="28"/>
        </w:rPr>
      </w:pPr>
      <w:r>
        <w:rPr>
          <w:b/>
          <w:bCs/>
          <w:color w:val="auto"/>
          <w:sz w:val="24"/>
          <w:szCs w:val="24"/>
        </w:rPr>
        <w:br w:type="page"/>
      </w:r>
      <w:r w:rsidR="00AE3564" w:rsidRPr="0012663C">
        <w:rPr>
          <w:b/>
          <w:bCs/>
          <w:color w:val="auto"/>
          <w:sz w:val="28"/>
          <w:szCs w:val="28"/>
        </w:rPr>
        <w:lastRenderedPageBreak/>
        <w:t>HNY</w:t>
      </w:r>
      <w:r w:rsidR="0098705F" w:rsidRPr="0012663C">
        <w:rPr>
          <w:b/>
          <w:bCs/>
          <w:color w:val="auto"/>
          <w:sz w:val="28"/>
          <w:szCs w:val="28"/>
        </w:rPr>
        <w:t xml:space="preserve"> </w:t>
      </w:r>
      <w:r w:rsidR="00AE3564" w:rsidRPr="0012663C">
        <w:rPr>
          <w:b/>
          <w:bCs/>
          <w:color w:val="auto"/>
          <w:sz w:val="28"/>
          <w:szCs w:val="28"/>
        </w:rPr>
        <w:t>I</w:t>
      </w:r>
      <w:r w:rsidR="0098705F" w:rsidRPr="0012663C">
        <w:rPr>
          <w:b/>
          <w:bCs/>
          <w:color w:val="auto"/>
          <w:sz w:val="28"/>
          <w:szCs w:val="28"/>
        </w:rPr>
        <w:t>CB</w:t>
      </w:r>
      <w:r w:rsidR="00AE3564" w:rsidRPr="0012663C">
        <w:rPr>
          <w:b/>
          <w:bCs/>
          <w:color w:val="auto"/>
          <w:sz w:val="28"/>
          <w:szCs w:val="28"/>
        </w:rPr>
        <w:t xml:space="preserve"> </w:t>
      </w:r>
      <w:r w:rsidR="009A7A81" w:rsidRPr="0012663C">
        <w:rPr>
          <w:b/>
          <w:bCs/>
          <w:color w:val="auto"/>
          <w:sz w:val="28"/>
          <w:szCs w:val="28"/>
        </w:rPr>
        <w:t xml:space="preserve">ANNUAL EPRR </w:t>
      </w:r>
      <w:r w:rsidR="0012663C">
        <w:rPr>
          <w:b/>
          <w:bCs/>
          <w:color w:val="auto"/>
          <w:sz w:val="28"/>
          <w:szCs w:val="28"/>
        </w:rPr>
        <w:t xml:space="preserve">CORE STANDARDS </w:t>
      </w:r>
      <w:r w:rsidR="009A7A81" w:rsidRPr="0012663C">
        <w:rPr>
          <w:b/>
          <w:bCs/>
          <w:color w:val="auto"/>
          <w:sz w:val="28"/>
          <w:szCs w:val="28"/>
        </w:rPr>
        <w:t>REPORT 2024/25</w:t>
      </w:r>
    </w:p>
    <w:p w14:paraId="7D2093E5" w14:textId="77777777" w:rsidR="00A958CA" w:rsidRPr="00A958CA" w:rsidRDefault="00A958CA" w:rsidP="00A958CA">
      <w:pPr>
        <w:spacing w:after="0" w:line="240" w:lineRule="auto"/>
        <w:jc w:val="center"/>
        <w:rPr>
          <w:b/>
          <w:bCs/>
          <w:color w:val="auto"/>
          <w:sz w:val="24"/>
          <w:szCs w:val="24"/>
        </w:rPr>
      </w:pPr>
    </w:p>
    <w:p w14:paraId="65D6AA15" w14:textId="77777777" w:rsidR="00A958CA" w:rsidRPr="00A958CA" w:rsidRDefault="00A958CA" w:rsidP="00A958CA">
      <w:pPr>
        <w:pStyle w:val="ListParagraph"/>
        <w:numPr>
          <w:ilvl w:val="0"/>
          <w:numId w:val="1"/>
        </w:numPr>
        <w:spacing w:after="0" w:line="240" w:lineRule="auto"/>
        <w:ind w:left="567" w:hanging="567"/>
        <w:jc w:val="both"/>
        <w:rPr>
          <w:b/>
          <w:bCs/>
          <w:color w:val="auto"/>
          <w:sz w:val="24"/>
          <w:szCs w:val="24"/>
        </w:rPr>
      </w:pPr>
      <w:r w:rsidRPr="00A958CA">
        <w:rPr>
          <w:b/>
          <w:bCs/>
          <w:color w:val="auto"/>
          <w:sz w:val="24"/>
          <w:szCs w:val="24"/>
        </w:rPr>
        <w:t>INTRODUCTION</w:t>
      </w:r>
    </w:p>
    <w:p w14:paraId="7747C510" w14:textId="77777777" w:rsidR="00A958CA" w:rsidRPr="00A958CA" w:rsidRDefault="00A958CA" w:rsidP="00A958CA">
      <w:pPr>
        <w:pStyle w:val="ListParagraph"/>
        <w:spacing w:after="0" w:line="240" w:lineRule="auto"/>
        <w:ind w:left="360"/>
        <w:jc w:val="both"/>
        <w:rPr>
          <w:b/>
          <w:bCs/>
          <w:color w:val="auto"/>
          <w:sz w:val="24"/>
          <w:szCs w:val="24"/>
        </w:rPr>
      </w:pPr>
    </w:p>
    <w:p w14:paraId="61E874BD" w14:textId="35D43E80" w:rsidR="00B52770" w:rsidRPr="000C3FB1" w:rsidRDefault="00B52770" w:rsidP="00B52770">
      <w:pPr>
        <w:pStyle w:val="ListParagraph"/>
        <w:numPr>
          <w:ilvl w:val="1"/>
          <w:numId w:val="1"/>
        </w:numPr>
        <w:spacing w:after="0" w:line="240" w:lineRule="auto"/>
        <w:ind w:left="567" w:hanging="567"/>
        <w:jc w:val="both"/>
        <w:rPr>
          <w:color w:val="000000" w:themeColor="text1"/>
        </w:rPr>
      </w:pPr>
      <w:r w:rsidRPr="000C3FB1">
        <w:rPr>
          <w:color w:val="000000" w:themeColor="text1"/>
        </w:rPr>
        <w:t>This report updates the ICB Board on the range of actions undertaken</w:t>
      </w:r>
      <w:r w:rsidR="00810573" w:rsidRPr="000C3FB1">
        <w:rPr>
          <w:color w:val="000000" w:themeColor="text1"/>
        </w:rPr>
        <w:t xml:space="preserve"> this year</w:t>
      </w:r>
      <w:r w:rsidRPr="000C3FB1">
        <w:rPr>
          <w:color w:val="000000" w:themeColor="text1"/>
        </w:rPr>
        <w:t xml:space="preserve"> as part of the </w:t>
      </w:r>
      <w:r w:rsidR="00810573" w:rsidRPr="000C3FB1">
        <w:rPr>
          <w:color w:val="000000" w:themeColor="text1"/>
        </w:rPr>
        <w:t>Emergency Preparedness, Resilience and Response (“EPRR”)</w:t>
      </w:r>
      <w:r w:rsidRPr="000C3FB1">
        <w:rPr>
          <w:color w:val="000000" w:themeColor="text1"/>
        </w:rPr>
        <w:t xml:space="preserve"> agenda by the ICB. ICBs are identified as Category 1 (Cat 1) responders which are those organisations deemed to be at the core of emergency response. This puts them on equal response footing with acute trusts, ambulance services and local authorities, as well as Police and Fire and Rescue Services. The ICB has a prime role under EPRR directives to lead, coordinate and support the health response to incidents as well as maintaining the organisational ability to continue to function (Business Continuity).</w:t>
      </w:r>
    </w:p>
    <w:p w14:paraId="2DD35718" w14:textId="77777777" w:rsidR="00B52770" w:rsidRPr="000C3FB1" w:rsidRDefault="00B52770" w:rsidP="00B52770">
      <w:pPr>
        <w:pStyle w:val="ListParagraph"/>
        <w:spacing w:after="0" w:line="240" w:lineRule="auto"/>
        <w:ind w:left="567"/>
        <w:jc w:val="both"/>
        <w:rPr>
          <w:color w:val="000000" w:themeColor="text1"/>
        </w:rPr>
      </w:pPr>
    </w:p>
    <w:p w14:paraId="1FC104CB" w14:textId="20773C99" w:rsidR="00B52770" w:rsidRPr="000C3FB1" w:rsidRDefault="00B52770" w:rsidP="00B52770">
      <w:pPr>
        <w:pStyle w:val="ListParagraph"/>
        <w:numPr>
          <w:ilvl w:val="1"/>
          <w:numId w:val="1"/>
        </w:numPr>
        <w:spacing w:after="0" w:line="240" w:lineRule="auto"/>
        <w:ind w:left="567" w:hanging="567"/>
        <w:jc w:val="both"/>
        <w:rPr>
          <w:b/>
          <w:bCs/>
          <w:color w:val="000000" w:themeColor="text1"/>
        </w:rPr>
      </w:pPr>
      <w:r w:rsidRPr="000C3FB1">
        <w:rPr>
          <w:color w:val="000000" w:themeColor="text1"/>
        </w:rPr>
        <w:t xml:space="preserve">The report outlines key activities undertaken </w:t>
      </w:r>
      <w:r w:rsidR="00810573" w:rsidRPr="000C3FB1">
        <w:rPr>
          <w:color w:val="000000" w:themeColor="text1"/>
        </w:rPr>
        <w:t>since the last report in December 2023</w:t>
      </w:r>
      <w:r w:rsidRPr="000C3FB1">
        <w:rPr>
          <w:color w:val="000000" w:themeColor="text1"/>
        </w:rPr>
        <w:t xml:space="preserve"> by the </w:t>
      </w:r>
      <w:r w:rsidR="000C3FB1" w:rsidRPr="000C3FB1">
        <w:rPr>
          <w:color w:val="000000" w:themeColor="text1"/>
        </w:rPr>
        <w:t xml:space="preserve">ICB’s EPRR Team and the wider health emergency planning community in Humber and North Yorkshire. </w:t>
      </w:r>
    </w:p>
    <w:p w14:paraId="1B8C3377" w14:textId="77777777" w:rsidR="007233FE" w:rsidRDefault="007233FE" w:rsidP="00C13969">
      <w:pPr>
        <w:pStyle w:val="ListParagraph"/>
        <w:spacing w:after="0" w:line="240" w:lineRule="auto"/>
        <w:ind w:left="567"/>
        <w:jc w:val="both"/>
        <w:rPr>
          <w:color w:val="auto"/>
          <w:sz w:val="24"/>
          <w:szCs w:val="24"/>
        </w:rPr>
      </w:pPr>
    </w:p>
    <w:p w14:paraId="2675BF29" w14:textId="77777777" w:rsidR="00A958CA" w:rsidRPr="00A958CA" w:rsidRDefault="00A958CA" w:rsidP="00A958CA">
      <w:pPr>
        <w:pStyle w:val="ListParagraph"/>
        <w:numPr>
          <w:ilvl w:val="0"/>
          <w:numId w:val="1"/>
        </w:numPr>
        <w:spacing w:after="0" w:line="240" w:lineRule="auto"/>
        <w:ind w:left="567" w:hanging="567"/>
        <w:jc w:val="both"/>
        <w:rPr>
          <w:b/>
          <w:bCs/>
          <w:color w:val="auto"/>
          <w:sz w:val="24"/>
          <w:szCs w:val="24"/>
        </w:rPr>
      </w:pPr>
      <w:r w:rsidRPr="00A958CA">
        <w:rPr>
          <w:b/>
          <w:bCs/>
          <w:color w:val="auto"/>
          <w:sz w:val="24"/>
          <w:szCs w:val="24"/>
        </w:rPr>
        <w:t xml:space="preserve">BACKGROUND </w:t>
      </w:r>
    </w:p>
    <w:p w14:paraId="4D8A7043" w14:textId="35495C15" w:rsidR="00A958CA" w:rsidRPr="00A958CA" w:rsidRDefault="00A958CA" w:rsidP="00201D73">
      <w:pPr>
        <w:pStyle w:val="ListParagraph"/>
        <w:spacing w:after="0" w:line="240" w:lineRule="auto"/>
        <w:ind w:left="360"/>
        <w:jc w:val="both"/>
        <w:rPr>
          <w:b/>
          <w:bCs/>
          <w:color w:val="auto"/>
          <w:sz w:val="24"/>
          <w:szCs w:val="24"/>
        </w:rPr>
      </w:pPr>
      <w:r w:rsidRPr="00A958CA">
        <w:rPr>
          <w:i/>
          <w:iCs/>
          <w:color w:val="auto"/>
          <w:sz w:val="24"/>
          <w:szCs w:val="24"/>
        </w:rPr>
        <w:t xml:space="preserve">   </w:t>
      </w:r>
    </w:p>
    <w:p w14:paraId="778A10C1" w14:textId="7FEDE5BF" w:rsidR="00183A21" w:rsidRPr="00A1731D" w:rsidRDefault="00183A21" w:rsidP="00B05E81">
      <w:pPr>
        <w:pStyle w:val="ListParagraph"/>
        <w:numPr>
          <w:ilvl w:val="1"/>
          <w:numId w:val="1"/>
        </w:numPr>
        <w:spacing w:after="0" w:line="240" w:lineRule="auto"/>
        <w:ind w:left="567" w:hanging="567"/>
        <w:jc w:val="both"/>
        <w:rPr>
          <w:b/>
          <w:bCs/>
          <w:color w:val="000000" w:themeColor="text1"/>
        </w:rPr>
      </w:pPr>
      <w:r w:rsidRPr="00A1731D">
        <w:rPr>
          <w:color w:val="000000" w:themeColor="text1"/>
        </w:rPr>
        <w:t>The Civil Contingencies Act 2004 identifies ICBs as Category 1 responders, as described above</w:t>
      </w:r>
      <w:r w:rsidR="00DF308D" w:rsidRPr="00A1731D">
        <w:rPr>
          <w:color w:val="000000" w:themeColor="text1"/>
        </w:rPr>
        <w:t>, giving them a legal responsibility to plan for and respond to emergencies</w:t>
      </w:r>
      <w:r w:rsidR="003509A9">
        <w:rPr>
          <w:color w:val="000000" w:themeColor="text1"/>
        </w:rPr>
        <w:t>,</w:t>
      </w:r>
      <w:r w:rsidR="00DF308D" w:rsidRPr="00A1731D">
        <w:rPr>
          <w:color w:val="000000" w:themeColor="text1"/>
        </w:rPr>
        <w:t xml:space="preserve"> working in co-operation with other responders and communicating with the public. </w:t>
      </w:r>
      <w:r w:rsidR="00A1731D" w:rsidRPr="00A1731D">
        <w:rPr>
          <w:color w:val="000000" w:themeColor="text1"/>
        </w:rPr>
        <w:t xml:space="preserve">Clinical Commissioning Groups were Category 2 responders, who have a lesser set of responsibilities under the act which </w:t>
      </w:r>
      <w:r w:rsidR="003509A9">
        <w:rPr>
          <w:color w:val="000000" w:themeColor="text1"/>
        </w:rPr>
        <w:t>are</w:t>
      </w:r>
      <w:r w:rsidR="00A1731D" w:rsidRPr="00A1731D">
        <w:rPr>
          <w:color w:val="000000" w:themeColor="text1"/>
        </w:rPr>
        <w:t xml:space="preserve"> essentially to assist Category 1 responders. </w:t>
      </w:r>
      <w:r w:rsidR="00DF308D" w:rsidRPr="00A1731D">
        <w:rPr>
          <w:color w:val="000000" w:themeColor="text1"/>
        </w:rPr>
        <w:t xml:space="preserve"> </w:t>
      </w:r>
    </w:p>
    <w:p w14:paraId="5A7EC43F" w14:textId="77777777" w:rsidR="00DF308D" w:rsidRPr="00A1731D" w:rsidRDefault="00DF308D" w:rsidP="00DF308D">
      <w:pPr>
        <w:pStyle w:val="ListParagraph"/>
        <w:spacing w:after="0" w:line="240" w:lineRule="auto"/>
        <w:ind w:left="567"/>
        <w:jc w:val="both"/>
        <w:rPr>
          <w:b/>
          <w:bCs/>
          <w:color w:val="000000" w:themeColor="text1"/>
        </w:rPr>
      </w:pPr>
    </w:p>
    <w:p w14:paraId="0FD8ECA8" w14:textId="4735D71B" w:rsidR="00B05E81" w:rsidRPr="00A1731D" w:rsidRDefault="00B05E81" w:rsidP="00B05E81">
      <w:pPr>
        <w:pStyle w:val="ListParagraph"/>
        <w:numPr>
          <w:ilvl w:val="1"/>
          <w:numId w:val="1"/>
        </w:numPr>
        <w:spacing w:after="0" w:line="240" w:lineRule="auto"/>
        <w:ind w:left="567" w:hanging="567"/>
        <w:jc w:val="both"/>
        <w:rPr>
          <w:b/>
          <w:bCs/>
          <w:color w:val="000000" w:themeColor="text1"/>
        </w:rPr>
      </w:pPr>
      <w:r w:rsidRPr="00A1731D">
        <w:rPr>
          <w:color w:val="000000" w:themeColor="text1"/>
        </w:rPr>
        <w:t xml:space="preserve">The NHS England </w:t>
      </w:r>
      <w:r w:rsidR="000C3FB1" w:rsidRPr="00A1731D">
        <w:rPr>
          <w:color w:val="000000" w:themeColor="text1"/>
        </w:rPr>
        <w:t>EPRR</w:t>
      </w:r>
      <w:r w:rsidRPr="00A1731D">
        <w:rPr>
          <w:color w:val="000000" w:themeColor="text1"/>
        </w:rPr>
        <w:t xml:space="preserve"> Framework, identifies that ICBs, and their NHS funded services, must show they can effectively respond to major, critical, and business continuity incidents whilst maintaining services to patients. It also provides a set of </w:t>
      </w:r>
      <w:r w:rsidR="000C3FB1" w:rsidRPr="00A1731D">
        <w:rPr>
          <w:color w:val="000000" w:themeColor="text1"/>
        </w:rPr>
        <w:t>core standards</w:t>
      </w:r>
      <w:r w:rsidRPr="00A1731D">
        <w:rPr>
          <w:color w:val="000000" w:themeColor="text1"/>
        </w:rPr>
        <w:t xml:space="preserve"> for all NHS funded organisations in England to help with meeting the legislative requirements.</w:t>
      </w:r>
    </w:p>
    <w:p w14:paraId="0FFB9325" w14:textId="77777777" w:rsidR="00B05E81" w:rsidRPr="00A1731D" w:rsidRDefault="00B05E81" w:rsidP="00B05E81">
      <w:pPr>
        <w:pStyle w:val="ListParagraph"/>
        <w:spacing w:after="0" w:line="240" w:lineRule="auto"/>
        <w:ind w:left="567"/>
        <w:jc w:val="both"/>
        <w:rPr>
          <w:b/>
          <w:bCs/>
          <w:color w:val="000000" w:themeColor="text1"/>
        </w:rPr>
      </w:pPr>
    </w:p>
    <w:p w14:paraId="77ADD976" w14:textId="00A8E179" w:rsidR="000F6AD0" w:rsidRPr="00563182" w:rsidRDefault="000F6AD0" w:rsidP="00B05E81">
      <w:pPr>
        <w:pStyle w:val="ListParagraph"/>
        <w:numPr>
          <w:ilvl w:val="1"/>
          <w:numId w:val="1"/>
        </w:numPr>
        <w:spacing w:after="0" w:line="240" w:lineRule="auto"/>
        <w:ind w:left="567" w:hanging="567"/>
        <w:jc w:val="both"/>
        <w:rPr>
          <w:color w:val="000000" w:themeColor="text1"/>
        </w:rPr>
      </w:pPr>
      <w:r w:rsidRPr="00563182">
        <w:rPr>
          <w:color w:val="000000" w:themeColor="text1"/>
        </w:rPr>
        <w:t>One of the requirements of the EPRR Core Standards is that organisations report annually to their board on the result of their annua</w:t>
      </w:r>
      <w:r w:rsidR="00AA75E5" w:rsidRPr="00563182">
        <w:rPr>
          <w:color w:val="000000" w:themeColor="text1"/>
        </w:rPr>
        <w:t xml:space="preserve">l self-assessment against the standards but also report on </w:t>
      </w:r>
      <w:r w:rsidR="00563182">
        <w:rPr>
          <w:color w:val="000000" w:themeColor="text1"/>
        </w:rPr>
        <w:t>any incidents responded to</w:t>
      </w:r>
      <w:r w:rsidR="00166E38">
        <w:rPr>
          <w:color w:val="000000" w:themeColor="text1"/>
        </w:rPr>
        <w:t xml:space="preserve">, outputs of training and exercising and lessons identified. </w:t>
      </w:r>
    </w:p>
    <w:p w14:paraId="637C826B" w14:textId="77777777" w:rsidR="000F6AD0" w:rsidRPr="000F6AD0" w:rsidRDefault="000F6AD0" w:rsidP="000F6AD0">
      <w:pPr>
        <w:pStyle w:val="ListParagraph"/>
        <w:rPr>
          <w:color w:val="000000" w:themeColor="text1"/>
        </w:rPr>
      </w:pPr>
    </w:p>
    <w:p w14:paraId="4148A910" w14:textId="1ED184AD" w:rsidR="00B05E81" w:rsidRPr="004A6991" w:rsidRDefault="00B05E81" w:rsidP="00B05E81">
      <w:pPr>
        <w:pStyle w:val="ListParagraph"/>
        <w:numPr>
          <w:ilvl w:val="1"/>
          <w:numId w:val="1"/>
        </w:numPr>
        <w:spacing w:after="0" w:line="240" w:lineRule="auto"/>
        <w:ind w:left="567" w:hanging="567"/>
        <w:jc w:val="both"/>
        <w:rPr>
          <w:b/>
          <w:bCs/>
          <w:color w:val="000000" w:themeColor="text1"/>
        </w:rPr>
      </w:pPr>
      <w:r w:rsidRPr="00A1731D">
        <w:rPr>
          <w:color w:val="000000" w:themeColor="text1"/>
        </w:rPr>
        <w:t>The ICB’s</w:t>
      </w:r>
      <w:r w:rsidR="00166E38">
        <w:rPr>
          <w:color w:val="000000" w:themeColor="text1"/>
        </w:rPr>
        <w:t xml:space="preserve"> EPRR agenda is delivered by the EPRR Team</w:t>
      </w:r>
      <w:r w:rsidR="004A6991">
        <w:rPr>
          <w:color w:val="000000" w:themeColor="text1"/>
        </w:rPr>
        <w:t xml:space="preserve"> (currently made up of two subject matter experts) and the Accountable Emergency Officer (the ICB’s </w:t>
      </w:r>
      <w:r w:rsidRPr="00A1731D">
        <w:rPr>
          <w:color w:val="000000" w:themeColor="text1"/>
        </w:rPr>
        <w:t>Deputy Chief Executive and Chief Operating Officer</w:t>
      </w:r>
      <w:r w:rsidR="004A6991">
        <w:rPr>
          <w:color w:val="000000" w:themeColor="text1"/>
        </w:rPr>
        <w:t>) who are supported in the execution of these duties by a</w:t>
      </w:r>
      <w:r w:rsidRPr="00A1731D">
        <w:rPr>
          <w:color w:val="000000" w:themeColor="text1"/>
        </w:rPr>
        <w:t xml:space="preserve"> nominated Senior Responsible Officer (SRO) for EPRR, the Director of </w:t>
      </w:r>
      <w:r w:rsidR="000C3FB1" w:rsidRPr="00A1731D">
        <w:rPr>
          <w:color w:val="000000" w:themeColor="text1"/>
        </w:rPr>
        <w:t>Planning and Performance</w:t>
      </w:r>
      <w:r w:rsidRPr="00A1731D">
        <w:rPr>
          <w:color w:val="000000" w:themeColor="text1"/>
        </w:rPr>
        <w:t xml:space="preserve">. </w:t>
      </w:r>
    </w:p>
    <w:p w14:paraId="1C75E163" w14:textId="77777777" w:rsidR="004A6991" w:rsidRPr="004A6991" w:rsidRDefault="004A6991" w:rsidP="004A6991">
      <w:pPr>
        <w:pStyle w:val="ListParagraph"/>
        <w:rPr>
          <w:b/>
          <w:bCs/>
          <w:color w:val="000000" w:themeColor="text1"/>
        </w:rPr>
      </w:pPr>
    </w:p>
    <w:p w14:paraId="151D348E" w14:textId="704EEBE3" w:rsidR="004A6991" w:rsidRPr="004A6991" w:rsidRDefault="004A6991" w:rsidP="00B05E81">
      <w:pPr>
        <w:pStyle w:val="ListParagraph"/>
        <w:numPr>
          <w:ilvl w:val="1"/>
          <w:numId w:val="1"/>
        </w:numPr>
        <w:spacing w:after="0" w:line="240" w:lineRule="auto"/>
        <w:ind w:left="567" w:hanging="567"/>
        <w:jc w:val="both"/>
        <w:rPr>
          <w:color w:val="000000" w:themeColor="text1"/>
        </w:rPr>
      </w:pPr>
      <w:r w:rsidRPr="004A6991">
        <w:rPr>
          <w:color w:val="000000" w:themeColor="text1"/>
        </w:rPr>
        <w:t xml:space="preserve">The ICB’s on-call rota ensures that a Tactical Commander and Strategic Commander are available to support in responding to incidents and emergencies at all times. </w:t>
      </w:r>
    </w:p>
    <w:p w14:paraId="7F25944D" w14:textId="77777777" w:rsidR="00A958CA" w:rsidRPr="00A958CA" w:rsidRDefault="00A958CA" w:rsidP="00A958CA">
      <w:pPr>
        <w:pStyle w:val="ListParagraph"/>
        <w:spacing w:after="0" w:line="240" w:lineRule="auto"/>
        <w:ind w:left="567"/>
        <w:jc w:val="both"/>
        <w:rPr>
          <w:b/>
          <w:bCs/>
          <w:color w:val="auto"/>
          <w:sz w:val="24"/>
          <w:szCs w:val="24"/>
        </w:rPr>
      </w:pPr>
    </w:p>
    <w:p w14:paraId="15E5CA08" w14:textId="77777777" w:rsidR="00A958CA" w:rsidRPr="00A958CA" w:rsidRDefault="00A958CA" w:rsidP="00A958CA">
      <w:pPr>
        <w:pStyle w:val="Heading4"/>
        <w:numPr>
          <w:ilvl w:val="0"/>
          <w:numId w:val="1"/>
        </w:numPr>
        <w:ind w:left="567" w:hanging="567"/>
        <w:rPr>
          <w:rFonts w:ascii="Arial" w:hAnsi="Arial" w:cs="Arial"/>
        </w:rPr>
      </w:pPr>
      <w:r w:rsidRPr="00A958CA">
        <w:rPr>
          <w:rFonts w:ascii="Arial" w:hAnsi="Arial" w:cs="Arial"/>
        </w:rPr>
        <w:t>ASSESSMENT</w:t>
      </w:r>
    </w:p>
    <w:p w14:paraId="64C1192F" w14:textId="77777777" w:rsidR="00823C8C" w:rsidRPr="0038786F" w:rsidRDefault="00823C8C" w:rsidP="00823C8C">
      <w:pPr>
        <w:pStyle w:val="Heading4"/>
        <w:tabs>
          <w:tab w:val="left" w:pos="630"/>
        </w:tabs>
        <w:ind w:left="0"/>
        <w:rPr>
          <w:rFonts w:ascii="Arial" w:hAnsi="Arial" w:cs="Arial"/>
          <w:b w:val="0"/>
          <w:bCs w:val="0"/>
          <w:color w:val="000000" w:themeColor="text1"/>
        </w:rPr>
      </w:pPr>
    </w:p>
    <w:p w14:paraId="652AFE3B" w14:textId="77777777" w:rsidR="004B70BC" w:rsidRPr="0025584B" w:rsidRDefault="004B70BC" w:rsidP="004B70BC">
      <w:pPr>
        <w:pStyle w:val="Heading4"/>
        <w:tabs>
          <w:tab w:val="left" w:pos="630"/>
        </w:tabs>
        <w:ind w:left="567"/>
        <w:rPr>
          <w:rFonts w:ascii="Arial" w:hAnsi="Arial" w:cs="Arial"/>
          <w:b w:val="0"/>
          <w:bCs w:val="0"/>
          <w:color w:val="FF0000"/>
          <w:sz w:val="22"/>
          <w:szCs w:val="22"/>
        </w:rPr>
      </w:pPr>
      <w:r w:rsidRPr="0025584B">
        <w:rPr>
          <w:rFonts w:ascii="Arial" w:hAnsi="Arial" w:cs="Arial"/>
          <w:b w:val="0"/>
          <w:bCs w:val="0"/>
          <w:color w:val="000000" w:themeColor="text1"/>
          <w:sz w:val="22"/>
          <w:szCs w:val="22"/>
        </w:rPr>
        <w:t>As part of preparing for incidents the ICB, with its commissioned providers have undertaken the following</w:t>
      </w:r>
      <w:r w:rsidRPr="0025584B">
        <w:rPr>
          <w:rFonts w:ascii="Arial" w:hAnsi="Arial" w:cs="Arial"/>
          <w:b w:val="0"/>
          <w:bCs w:val="0"/>
          <w:color w:val="FF0000"/>
          <w:sz w:val="22"/>
          <w:szCs w:val="22"/>
        </w:rPr>
        <w:t>:</w:t>
      </w:r>
    </w:p>
    <w:p w14:paraId="3D68194A" w14:textId="77777777" w:rsidR="004B70BC" w:rsidRPr="00A958CA" w:rsidRDefault="004B70BC" w:rsidP="004B70BC">
      <w:pPr>
        <w:pStyle w:val="Heading4"/>
        <w:ind w:left="0" w:firstLine="360"/>
        <w:rPr>
          <w:rFonts w:ascii="Arial" w:hAnsi="Arial" w:cs="Arial"/>
          <w:b w:val="0"/>
          <w:bCs w:val="0"/>
        </w:rPr>
      </w:pPr>
    </w:p>
    <w:p w14:paraId="5D9F0F63" w14:textId="77777777" w:rsidR="004B70BC" w:rsidRDefault="004B70BC" w:rsidP="004B70BC">
      <w:pPr>
        <w:pStyle w:val="ListParagraph"/>
        <w:numPr>
          <w:ilvl w:val="1"/>
          <w:numId w:val="1"/>
        </w:numPr>
        <w:spacing w:after="0" w:line="240" w:lineRule="auto"/>
        <w:ind w:left="567" w:hanging="567"/>
        <w:jc w:val="both"/>
        <w:rPr>
          <w:b/>
          <w:bCs/>
          <w:color w:val="auto"/>
          <w:sz w:val="24"/>
          <w:szCs w:val="24"/>
        </w:rPr>
      </w:pPr>
      <w:r w:rsidRPr="003604C6">
        <w:rPr>
          <w:b/>
          <w:bCs/>
          <w:color w:val="auto"/>
          <w:sz w:val="24"/>
          <w:szCs w:val="24"/>
        </w:rPr>
        <w:t>Risk Assessment</w:t>
      </w:r>
    </w:p>
    <w:p w14:paraId="73CF5BAF" w14:textId="77777777" w:rsidR="005B374A" w:rsidRPr="003604C6" w:rsidRDefault="005B374A" w:rsidP="005B374A">
      <w:pPr>
        <w:pStyle w:val="ListParagraph"/>
        <w:spacing w:after="0" w:line="240" w:lineRule="auto"/>
        <w:ind w:left="567"/>
        <w:jc w:val="both"/>
        <w:rPr>
          <w:b/>
          <w:bCs/>
          <w:color w:val="auto"/>
          <w:sz w:val="24"/>
          <w:szCs w:val="24"/>
        </w:rPr>
      </w:pPr>
    </w:p>
    <w:p w14:paraId="3A1E2B32" w14:textId="77777777" w:rsidR="004B70BC" w:rsidRPr="0025584B" w:rsidRDefault="004B70BC" w:rsidP="004B70BC">
      <w:pPr>
        <w:pStyle w:val="ListParagraph"/>
        <w:spacing w:after="0" w:line="240" w:lineRule="auto"/>
        <w:ind w:left="567"/>
        <w:jc w:val="both"/>
        <w:rPr>
          <w:color w:val="000000" w:themeColor="text1"/>
        </w:rPr>
      </w:pPr>
      <w:r w:rsidRPr="0025584B">
        <w:rPr>
          <w:color w:val="000000" w:themeColor="text1"/>
        </w:rPr>
        <w:t>The top six risks assessed by the Local Health Resilience Forum on behalf of the ICB/ICS are:</w:t>
      </w:r>
    </w:p>
    <w:p w14:paraId="31D86352" w14:textId="77777777" w:rsidR="005B374A" w:rsidRPr="0025584B" w:rsidRDefault="005B374A" w:rsidP="004B70BC">
      <w:pPr>
        <w:pStyle w:val="ListParagraph"/>
        <w:spacing w:after="0" w:line="240" w:lineRule="auto"/>
        <w:ind w:left="567"/>
        <w:jc w:val="both"/>
        <w:rPr>
          <w:color w:val="000000" w:themeColor="text1"/>
        </w:rPr>
      </w:pPr>
    </w:p>
    <w:p w14:paraId="326BFC06" w14:textId="77777777" w:rsidR="004B70BC" w:rsidRPr="0025584B" w:rsidRDefault="004B70BC" w:rsidP="004B70BC">
      <w:pPr>
        <w:pStyle w:val="ListParagraph"/>
        <w:numPr>
          <w:ilvl w:val="0"/>
          <w:numId w:val="14"/>
        </w:numPr>
        <w:spacing w:after="0" w:line="240" w:lineRule="auto"/>
        <w:ind w:left="851" w:hanging="284"/>
        <w:jc w:val="both"/>
        <w:rPr>
          <w:color w:val="000000" w:themeColor="text1"/>
        </w:rPr>
      </w:pPr>
      <w:r w:rsidRPr="0025584B">
        <w:rPr>
          <w:color w:val="000000" w:themeColor="text1"/>
        </w:rPr>
        <w:t>Flooding</w:t>
      </w:r>
    </w:p>
    <w:p w14:paraId="73B04A5E" w14:textId="77777777" w:rsidR="004B70BC" w:rsidRPr="0025584B" w:rsidRDefault="004B70BC" w:rsidP="004B70BC">
      <w:pPr>
        <w:pStyle w:val="ListParagraph"/>
        <w:numPr>
          <w:ilvl w:val="0"/>
          <w:numId w:val="14"/>
        </w:numPr>
        <w:spacing w:after="0" w:line="240" w:lineRule="auto"/>
        <w:ind w:left="851" w:hanging="284"/>
        <w:jc w:val="both"/>
        <w:rPr>
          <w:color w:val="000000" w:themeColor="text1"/>
        </w:rPr>
      </w:pPr>
      <w:r w:rsidRPr="0025584B">
        <w:rPr>
          <w:color w:val="000000" w:themeColor="text1"/>
        </w:rPr>
        <w:t>Industrial Action</w:t>
      </w:r>
    </w:p>
    <w:p w14:paraId="4D21F055" w14:textId="77777777" w:rsidR="004B70BC" w:rsidRPr="0025584B" w:rsidRDefault="004B70BC" w:rsidP="004B70BC">
      <w:pPr>
        <w:pStyle w:val="ListParagraph"/>
        <w:numPr>
          <w:ilvl w:val="0"/>
          <w:numId w:val="14"/>
        </w:numPr>
        <w:spacing w:after="0" w:line="240" w:lineRule="auto"/>
        <w:ind w:left="851" w:hanging="284"/>
        <w:jc w:val="both"/>
        <w:rPr>
          <w:color w:val="000000" w:themeColor="text1"/>
        </w:rPr>
      </w:pPr>
      <w:r w:rsidRPr="0025584B">
        <w:rPr>
          <w:color w:val="000000" w:themeColor="text1"/>
        </w:rPr>
        <w:t>Infectious Diseases</w:t>
      </w:r>
    </w:p>
    <w:p w14:paraId="2A0DD435" w14:textId="77777777" w:rsidR="004B70BC" w:rsidRPr="0025584B" w:rsidRDefault="004B70BC" w:rsidP="004B70BC">
      <w:pPr>
        <w:pStyle w:val="ListParagraph"/>
        <w:numPr>
          <w:ilvl w:val="0"/>
          <w:numId w:val="14"/>
        </w:numPr>
        <w:spacing w:after="0" w:line="240" w:lineRule="auto"/>
        <w:ind w:left="851" w:hanging="284"/>
        <w:jc w:val="both"/>
        <w:rPr>
          <w:color w:val="000000" w:themeColor="text1"/>
        </w:rPr>
      </w:pPr>
      <w:r w:rsidRPr="0025584B">
        <w:rPr>
          <w:color w:val="000000" w:themeColor="text1"/>
        </w:rPr>
        <w:lastRenderedPageBreak/>
        <w:t>Digital Technology Failure</w:t>
      </w:r>
    </w:p>
    <w:p w14:paraId="6F92BB3C" w14:textId="77777777" w:rsidR="004B70BC" w:rsidRPr="0025584B" w:rsidRDefault="004B70BC" w:rsidP="004B70BC">
      <w:pPr>
        <w:pStyle w:val="ListParagraph"/>
        <w:numPr>
          <w:ilvl w:val="0"/>
          <w:numId w:val="14"/>
        </w:numPr>
        <w:spacing w:after="0" w:line="240" w:lineRule="auto"/>
        <w:ind w:left="851" w:hanging="284"/>
        <w:jc w:val="both"/>
        <w:rPr>
          <w:color w:val="000000" w:themeColor="text1"/>
        </w:rPr>
      </w:pPr>
      <w:r w:rsidRPr="0025584B">
        <w:rPr>
          <w:color w:val="000000" w:themeColor="text1"/>
        </w:rPr>
        <w:t>Public Disorder / Mass Casualties events</w:t>
      </w:r>
    </w:p>
    <w:p w14:paraId="6B25DFA9" w14:textId="77777777" w:rsidR="004B70BC" w:rsidRPr="0025584B" w:rsidRDefault="004B70BC" w:rsidP="004B70BC">
      <w:pPr>
        <w:pStyle w:val="ListParagraph"/>
        <w:numPr>
          <w:ilvl w:val="0"/>
          <w:numId w:val="14"/>
        </w:numPr>
        <w:spacing w:after="0" w:line="240" w:lineRule="auto"/>
        <w:ind w:left="851" w:hanging="284"/>
        <w:jc w:val="both"/>
        <w:rPr>
          <w:color w:val="000000" w:themeColor="text1"/>
        </w:rPr>
      </w:pPr>
      <w:r w:rsidRPr="0025584B">
        <w:rPr>
          <w:color w:val="000000" w:themeColor="text1"/>
        </w:rPr>
        <w:t>Energy Supply Failure</w:t>
      </w:r>
    </w:p>
    <w:p w14:paraId="4F78C5AF" w14:textId="77777777" w:rsidR="00EC18BB" w:rsidRPr="0025584B" w:rsidRDefault="00EC18BB" w:rsidP="00EC18BB">
      <w:pPr>
        <w:pStyle w:val="ListParagraph"/>
        <w:spacing w:after="0" w:line="240" w:lineRule="auto"/>
        <w:ind w:left="851"/>
        <w:jc w:val="both"/>
        <w:rPr>
          <w:color w:val="000000" w:themeColor="text1"/>
        </w:rPr>
      </w:pPr>
    </w:p>
    <w:p w14:paraId="270241C5" w14:textId="3F4727CD" w:rsidR="004B70BC" w:rsidRPr="0025584B" w:rsidRDefault="00EC18BB" w:rsidP="004B70BC">
      <w:pPr>
        <w:spacing w:after="0" w:line="240" w:lineRule="auto"/>
        <w:ind w:left="567"/>
        <w:jc w:val="both"/>
        <w:rPr>
          <w:color w:val="000000" w:themeColor="text1"/>
        </w:rPr>
      </w:pPr>
      <w:r w:rsidRPr="0025584B">
        <w:rPr>
          <w:color w:val="000000" w:themeColor="text1"/>
        </w:rPr>
        <w:t>These risks were selected by the LHRP</w:t>
      </w:r>
      <w:r w:rsidR="003C1D81" w:rsidRPr="0025584B">
        <w:rPr>
          <w:color w:val="000000" w:themeColor="text1"/>
        </w:rPr>
        <w:t xml:space="preserve"> from the North East and Yorkshire NHS Risk Register (derived from the national and community risk registers)</w:t>
      </w:r>
      <w:r w:rsidRPr="0025584B">
        <w:rPr>
          <w:color w:val="000000" w:themeColor="text1"/>
        </w:rPr>
        <w:t xml:space="preserve"> as a priority for focus given local contextualisation</w:t>
      </w:r>
      <w:r w:rsidR="00EB25A0" w:rsidRPr="0025584B">
        <w:rPr>
          <w:color w:val="000000" w:themeColor="text1"/>
        </w:rPr>
        <w:t xml:space="preserve"> and geography.</w:t>
      </w:r>
    </w:p>
    <w:p w14:paraId="094C6246" w14:textId="77777777" w:rsidR="004B70BC" w:rsidRPr="00530D65" w:rsidRDefault="004B70BC" w:rsidP="004B70BC">
      <w:pPr>
        <w:spacing w:after="0" w:line="240" w:lineRule="auto"/>
        <w:ind w:left="567"/>
        <w:jc w:val="both"/>
        <w:rPr>
          <w:color w:val="auto"/>
          <w:sz w:val="24"/>
          <w:szCs w:val="24"/>
        </w:rPr>
      </w:pPr>
    </w:p>
    <w:p w14:paraId="5262C61C" w14:textId="77777777" w:rsidR="004B70BC" w:rsidRDefault="004B70BC" w:rsidP="004B70BC">
      <w:pPr>
        <w:pStyle w:val="ListParagraph"/>
        <w:numPr>
          <w:ilvl w:val="1"/>
          <w:numId w:val="1"/>
        </w:numPr>
        <w:spacing w:after="0" w:line="240" w:lineRule="auto"/>
        <w:ind w:left="567" w:hanging="567"/>
        <w:jc w:val="both"/>
        <w:rPr>
          <w:b/>
          <w:bCs/>
          <w:color w:val="auto"/>
          <w:sz w:val="24"/>
          <w:szCs w:val="24"/>
        </w:rPr>
      </w:pPr>
      <w:r>
        <w:rPr>
          <w:b/>
          <w:bCs/>
          <w:color w:val="auto"/>
          <w:sz w:val="24"/>
          <w:szCs w:val="24"/>
        </w:rPr>
        <w:t>Response to Incidents</w:t>
      </w:r>
    </w:p>
    <w:p w14:paraId="3EC7F847" w14:textId="77777777" w:rsidR="003E3E36" w:rsidRDefault="003E3E36" w:rsidP="003E3E36">
      <w:pPr>
        <w:pStyle w:val="ListParagraph"/>
        <w:spacing w:after="0" w:line="240" w:lineRule="auto"/>
        <w:ind w:left="567"/>
        <w:jc w:val="both"/>
        <w:rPr>
          <w:b/>
          <w:bCs/>
          <w:color w:val="auto"/>
          <w:sz w:val="24"/>
          <w:szCs w:val="24"/>
        </w:rPr>
      </w:pPr>
    </w:p>
    <w:p w14:paraId="2E7AF7E7" w14:textId="52B85AE8" w:rsidR="004B70BC" w:rsidRPr="0025584B" w:rsidRDefault="003E3E36" w:rsidP="003E3E36">
      <w:pPr>
        <w:pStyle w:val="ListParagraph"/>
        <w:spacing w:after="0" w:line="240" w:lineRule="auto"/>
        <w:ind w:left="567"/>
        <w:jc w:val="both"/>
        <w:rPr>
          <w:color w:val="000000" w:themeColor="text1"/>
        </w:rPr>
      </w:pPr>
      <w:r w:rsidRPr="0025584B">
        <w:rPr>
          <w:color w:val="000000" w:themeColor="text1"/>
        </w:rPr>
        <w:t>Since the last report,</w:t>
      </w:r>
      <w:r w:rsidR="004B70BC" w:rsidRPr="0025584B">
        <w:rPr>
          <w:color w:val="000000" w:themeColor="text1"/>
        </w:rPr>
        <w:t xml:space="preserve"> </w:t>
      </w:r>
      <w:r w:rsidRPr="0025584B">
        <w:rPr>
          <w:color w:val="000000" w:themeColor="text1"/>
        </w:rPr>
        <w:t xml:space="preserve">the ICB has had to respond to a variety of incidents including: </w:t>
      </w:r>
    </w:p>
    <w:p w14:paraId="40B34F05" w14:textId="77777777" w:rsidR="003E3E36" w:rsidRPr="0025584B" w:rsidRDefault="003E3E36" w:rsidP="003E3E36">
      <w:pPr>
        <w:pStyle w:val="ListParagraph"/>
        <w:spacing w:after="0" w:line="240" w:lineRule="auto"/>
        <w:ind w:left="567"/>
        <w:jc w:val="both"/>
      </w:pPr>
    </w:p>
    <w:p w14:paraId="5FA46422" w14:textId="3B6B42E6" w:rsidR="003E3E36" w:rsidRPr="0025584B" w:rsidRDefault="004E2C3E" w:rsidP="00B23100">
      <w:pPr>
        <w:pStyle w:val="ListParagraph"/>
        <w:numPr>
          <w:ilvl w:val="0"/>
          <w:numId w:val="18"/>
        </w:numPr>
        <w:spacing w:after="0" w:line="240" w:lineRule="auto"/>
        <w:jc w:val="both"/>
        <w:rPr>
          <w:color w:val="000000" w:themeColor="text1"/>
        </w:rPr>
      </w:pPr>
      <w:r w:rsidRPr="0025584B">
        <w:rPr>
          <w:color w:val="000000" w:themeColor="text1"/>
        </w:rPr>
        <w:t>Health care industrial action</w:t>
      </w:r>
    </w:p>
    <w:p w14:paraId="164EB2D9" w14:textId="4D35064E" w:rsidR="004E2C3E" w:rsidRPr="0025584B" w:rsidRDefault="004E2C3E" w:rsidP="004E2C3E">
      <w:pPr>
        <w:pStyle w:val="ListParagraph"/>
        <w:numPr>
          <w:ilvl w:val="1"/>
          <w:numId w:val="18"/>
        </w:numPr>
        <w:spacing w:after="0" w:line="240" w:lineRule="auto"/>
        <w:jc w:val="both"/>
        <w:rPr>
          <w:color w:val="000000" w:themeColor="text1"/>
        </w:rPr>
      </w:pPr>
      <w:r w:rsidRPr="0025584B">
        <w:rPr>
          <w:color w:val="000000" w:themeColor="text1"/>
        </w:rPr>
        <w:t>C</w:t>
      </w:r>
      <w:r w:rsidR="00CA4B44" w:rsidRPr="0025584B">
        <w:rPr>
          <w:color w:val="000000" w:themeColor="text1"/>
        </w:rPr>
        <w:t xml:space="preserve">are Plus Group </w:t>
      </w:r>
      <w:r w:rsidR="00BD17D6" w:rsidRPr="0025584B">
        <w:rPr>
          <w:color w:val="000000" w:themeColor="text1"/>
        </w:rPr>
        <w:t>Nursing</w:t>
      </w:r>
    </w:p>
    <w:p w14:paraId="582FC97F" w14:textId="3F17CE88" w:rsidR="00BD17D6" w:rsidRPr="0025584B" w:rsidRDefault="00BD17D6" w:rsidP="004E2C3E">
      <w:pPr>
        <w:pStyle w:val="ListParagraph"/>
        <w:numPr>
          <w:ilvl w:val="1"/>
          <w:numId w:val="18"/>
        </w:numPr>
        <w:spacing w:after="0" w:line="240" w:lineRule="auto"/>
        <w:jc w:val="both"/>
        <w:rPr>
          <w:color w:val="000000" w:themeColor="text1"/>
        </w:rPr>
      </w:pPr>
      <w:r w:rsidRPr="0025584B">
        <w:rPr>
          <w:color w:val="000000" w:themeColor="text1"/>
        </w:rPr>
        <w:t>Grimsby Hospital Midwifery Support Workers</w:t>
      </w:r>
    </w:p>
    <w:p w14:paraId="33723268" w14:textId="4379346B" w:rsidR="00BD17D6" w:rsidRPr="0025584B" w:rsidRDefault="00BD17D6" w:rsidP="004E2C3E">
      <w:pPr>
        <w:pStyle w:val="ListParagraph"/>
        <w:numPr>
          <w:ilvl w:val="1"/>
          <w:numId w:val="18"/>
        </w:numPr>
        <w:spacing w:after="0" w:line="240" w:lineRule="auto"/>
        <w:jc w:val="both"/>
        <w:rPr>
          <w:color w:val="000000" w:themeColor="text1"/>
        </w:rPr>
      </w:pPr>
      <w:r w:rsidRPr="0025584B">
        <w:rPr>
          <w:color w:val="000000" w:themeColor="text1"/>
        </w:rPr>
        <w:t xml:space="preserve">Pathology Staff at Scarborough Hull </w:t>
      </w:r>
      <w:r w:rsidR="004F0F4F" w:rsidRPr="0025584B">
        <w:rPr>
          <w:color w:val="000000" w:themeColor="text1"/>
        </w:rPr>
        <w:t xml:space="preserve">and York Pathology Services. </w:t>
      </w:r>
    </w:p>
    <w:p w14:paraId="05F80C06" w14:textId="770C2C60" w:rsidR="006F133F" w:rsidRPr="0025584B" w:rsidRDefault="006F133F" w:rsidP="004E2C3E">
      <w:pPr>
        <w:pStyle w:val="ListParagraph"/>
        <w:numPr>
          <w:ilvl w:val="1"/>
          <w:numId w:val="18"/>
        </w:numPr>
        <w:spacing w:after="0" w:line="240" w:lineRule="auto"/>
        <w:jc w:val="both"/>
        <w:rPr>
          <w:color w:val="000000" w:themeColor="text1"/>
        </w:rPr>
      </w:pPr>
      <w:r w:rsidRPr="0025584B">
        <w:rPr>
          <w:color w:val="000000" w:themeColor="text1"/>
        </w:rPr>
        <w:t xml:space="preserve">BMA </w:t>
      </w:r>
      <w:r w:rsidR="00D32656" w:rsidRPr="0025584B">
        <w:rPr>
          <w:color w:val="000000" w:themeColor="text1"/>
        </w:rPr>
        <w:t>Resident Doctors</w:t>
      </w:r>
    </w:p>
    <w:p w14:paraId="7268AB01" w14:textId="1BDCB58E" w:rsidR="004E2C3E" w:rsidRPr="0025584B" w:rsidRDefault="004E2C3E" w:rsidP="004E2C3E">
      <w:pPr>
        <w:pStyle w:val="ListParagraph"/>
        <w:numPr>
          <w:ilvl w:val="0"/>
          <w:numId w:val="18"/>
        </w:numPr>
        <w:spacing w:after="0" w:line="240" w:lineRule="auto"/>
        <w:jc w:val="both"/>
        <w:rPr>
          <w:color w:val="000000" w:themeColor="text1"/>
        </w:rPr>
      </w:pPr>
      <w:r w:rsidRPr="0025584B">
        <w:rPr>
          <w:color w:val="000000" w:themeColor="text1"/>
        </w:rPr>
        <w:t>Road traffic accident</w:t>
      </w:r>
      <w:r w:rsidR="004F0F4F" w:rsidRPr="0025584B">
        <w:rPr>
          <w:color w:val="000000" w:themeColor="text1"/>
        </w:rPr>
        <w:t>s</w:t>
      </w:r>
    </w:p>
    <w:p w14:paraId="0FE07DA0" w14:textId="39CD417C" w:rsidR="003E3E36" w:rsidRPr="0025584B" w:rsidRDefault="006F133F" w:rsidP="007D06B3">
      <w:pPr>
        <w:pStyle w:val="ListParagraph"/>
        <w:numPr>
          <w:ilvl w:val="0"/>
          <w:numId w:val="18"/>
        </w:numPr>
        <w:spacing w:after="0" w:line="240" w:lineRule="auto"/>
        <w:jc w:val="both"/>
        <w:rPr>
          <w:color w:val="000000" w:themeColor="text1"/>
        </w:rPr>
      </w:pPr>
      <w:r w:rsidRPr="0025584B">
        <w:rPr>
          <w:color w:val="000000" w:themeColor="text1"/>
        </w:rPr>
        <w:t>Outages of the 999 and 111 lines</w:t>
      </w:r>
    </w:p>
    <w:p w14:paraId="097762A7" w14:textId="12C19A9D" w:rsidR="007D06B3" w:rsidRPr="0025584B" w:rsidRDefault="007D06B3" w:rsidP="007D06B3">
      <w:pPr>
        <w:pStyle w:val="ListParagraph"/>
        <w:numPr>
          <w:ilvl w:val="0"/>
          <w:numId w:val="18"/>
        </w:numPr>
        <w:spacing w:after="0" w:line="240" w:lineRule="auto"/>
        <w:jc w:val="both"/>
        <w:rPr>
          <w:color w:val="000000" w:themeColor="text1"/>
        </w:rPr>
      </w:pPr>
      <w:r w:rsidRPr="0025584B">
        <w:rPr>
          <w:color w:val="000000" w:themeColor="text1"/>
        </w:rPr>
        <w:t>Adverse Weather – storms and flooding</w:t>
      </w:r>
    </w:p>
    <w:p w14:paraId="5CAD746F" w14:textId="5735CFD8" w:rsidR="003D481E" w:rsidRPr="0025584B" w:rsidRDefault="003D481E" w:rsidP="007D06B3">
      <w:pPr>
        <w:pStyle w:val="ListParagraph"/>
        <w:numPr>
          <w:ilvl w:val="0"/>
          <w:numId w:val="18"/>
        </w:numPr>
        <w:spacing w:after="0" w:line="240" w:lineRule="auto"/>
        <w:jc w:val="both"/>
        <w:rPr>
          <w:color w:val="000000" w:themeColor="text1"/>
        </w:rPr>
      </w:pPr>
      <w:r w:rsidRPr="0025584B">
        <w:rPr>
          <w:color w:val="000000" w:themeColor="text1"/>
        </w:rPr>
        <w:t>Outbreaks of Avian Influenza</w:t>
      </w:r>
    </w:p>
    <w:p w14:paraId="58F9188E" w14:textId="4293073D" w:rsidR="003D481E" w:rsidRPr="0025584B" w:rsidRDefault="003D481E" w:rsidP="007D06B3">
      <w:pPr>
        <w:pStyle w:val="ListParagraph"/>
        <w:numPr>
          <w:ilvl w:val="0"/>
          <w:numId w:val="18"/>
        </w:numPr>
        <w:spacing w:after="0" w:line="240" w:lineRule="auto"/>
        <w:jc w:val="both"/>
        <w:rPr>
          <w:color w:val="000000" w:themeColor="text1"/>
        </w:rPr>
      </w:pPr>
      <w:r w:rsidRPr="0025584B">
        <w:rPr>
          <w:color w:val="000000" w:themeColor="text1"/>
        </w:rPr>
        <w:t xml:space="preserve">Operation Seafoam - Legacy Funeral Directors Incident </w:t>
      </w:r>
    </w:p>
    <w:p w14:paraId="5C261D19" w14:textId="36B06899" w:rsidR="00487702" w:rsidRPr="0025584B" w:rsidRDefault="00487702" w:rsidP="007D06B3">
      <w:pPr>
        <w:pStyle w:val="ListParagraph"/>
        <w:numPr>
          <w:ilvl w:val="0"/>
          <w:numId w:val="18"/>
        </w:numPr>
        <w:spacing w:after="0" w:line="240" w:lineRule="auto"/>
        <w:jc w:val="both"/>
        <w:rPr>
          <w:color w:val="000000" w:themeColor="text1"/>
        </w:rPr>
      </w:pPr>
      <w:r w:rsidRPr="0025584B">
        <w:rPr>
          <w:color w:val="000000" w:themeColor="text1"/>
        </w:rPr>
        <w:t xml:space="preserve">Operation </w:t>
      </w:r>
      <w:proofErr w:type="spellStart"/>
      <w:r w:rsidRPr="0025584B">
        <w:rPr>
          <w:color w:val="000000" w:themeColor="text1"/>
        </w:rPr>
        <w:t>Maysong</w:t>
      </w:r>
      <w:proofErr w:type="spellEnd"/>
      <w:r w:rsidRPr="0025584B">
        <w:rPr>
          <w:color w:val="000000" w:themeColor="text1"/>
        </w:rPr>
        <w:t xml:space="preserve"> – Incident at Grimsby Hospital</w:t>
      </w:r>
    </w:p>
    <w:p w14:paraId="0B1B3D7B" w14:textId="5D3DA31E" w:rsidR="00487702" w:rsidRPr="0025584B" w:rsidRDefault="00AB48C8" w:rsidP="007D06B3">
      <w:pPr>
        <w:pStyle w:val="ListParagraph"/>
        <w:numPr>
          <w:ilvl w:val="0"/>
          <w:numId w:val="18"/>
        </w:numPr>
        <w:spacing w:after="0" w:line="240" w:lineRule="auto"/>
        <w:jc w:val="both"/>
        <w:rPr>
          <w:color w:val="000000" w:themeColor="text1"/>
        </w:rPr>
      </w:pPr>
      <w:r w:rsidRPr="0025584B">
        <w:rPr>
          <w:color w:val="000000" w:themeColor="text1"/>
        </w:rPr>
        <w:t>IT security incidents</w:t>
      </w:r>
    </w:p>
    <w:p w14:paraId="43692C6E" w14:textId="33B6B89C" w:rsidR="00C8745D" w:rsidRPr="0025584B" w:rsidRDefault="00C8745D" w:rsidP="007D06B3">
      <w:pPr>
        <w:pStyle w:val="ListParagraph"/>
        <w:numPr>
          <w:ilvl w:val="0"/>
          <w:numId w:val="18"/>
        </w:numPr>
        <w:spacing w:after="0" w:line="240" w:lineRule="auto"/>
        <w:jc w:val="both"/>
        <w:rPr>
          <w:color w:val="000000" w:themeColor="text1"/>
        </w:rPr>
      </w:pPr>
      <w:proofErr w:type="spellStart"/>
      <w:r w:rsidRPr="0025584B">
        <w:rPr>
          <w:color w:val="000000" w:themeColor="text1"/>
        </w:rPr>
        <w:t>Crowdstrike</w:t>
      </w:r>
      <w:proofErr w:type="spellEnd"/>
      <w:r w:rsidRPr="0025584B">
        <w:rPr>
          <w:color w:val="000000" w:themeColor="text1"/>
        </w:rPr>
        <w:t xml:space="preserve"> IT Outage</w:t>
      </w:r>
    </w:p>
    <w:p w14:paraId="1C6B48D9" w14:textId="6114C9E1" w:rsidR="00C8745D" w:rsidRPr="0025584B" w:rsidRDefault="00C8745D" w:rsidP="007D06B3">
      <w:pPr>
        <w:pStyle w:val="ListParagraph"/>
        <w:numPr>
          <w:ilvl w:val="0"/>
          <w:numId w:val="18"/>
        </w:numPr>
        <w:spacing w:after="0" w:line="240" w:lineRule="auto"/>
        <w:jc w:val="both"/>
        <w:rPr>
          <w:color w:val="000000" w:themeColor="text1"/>
        </w:rPr>
      </w:pPr>
      <w:r w:rsidRPr="0025584B">
        <w:rPr>
          <w:color w:val="000000" w:themeColor="text1"/>
        </w:rPr>
        <w:t>Widespread Civil Unrest</w:t>
      </w:r>
    </w:p>
    <w:p w14:paraId="4C45B44D" w14:textId="2E6E03B5" w:rsidR="00073F8F" w:rsidRPr="0025584B" w:rsidRDefault="00073F8F" w:rsidP="007D06B3">
      <w:pPr>
        <w:pStyle w:val="ListParagraph"/>
        <w:numPr>
          <w:ilvl w:val="0"/>
          <w:numId w:val="18"/>
        </w:numPr>
        <w:spacing w:after="0" w:line="240" w:lineRule="auto"/>
        <w:jc w:val="both"/>
        <w:rPr>
          <w:color w:val="000000" w:themeColor="text1"/>
        </w:rPr>
      </w:pPr>
      <w:r w:rsidRPr="0025584B">
        <w:rPr>
          <w:color w:val="000000" w:themeColor="text1"/>
        </w:rPr>
        <w:t>Water outage</w:t>
      </w:r>
    </w:p>
    <w:p w14:paraId="35CB01B5" w14:textId="58DBA130" w:rsidR="00073F8F" w:rsidRPr="0025584B" w:rsidRDefault="00073F8F" w:rsidP="007D06B3">
      <w:pPr>
        <w:pStyle w:val="ListParagraph"/>
        <w:numPr>
          <w:ilvl w:val="0"/>
          <w:numId w:val="18"/>
        </w:numPr>
        <w:spacing w:after="0" w:line="240" w:lineRule="auto"/>
        <w:jc w:val="both"/>
        <w:rPr>
          <w:color w:val="000000" w:themeColor="text1"/>
        </w:rPr>
      </w:pPr>
      <w:r w:rsidRPr="0025584B">
        <w:rPr>
          <w:color w:val="000000" w:themeColor="text1"/>
        </w:rPr>
        <w:t>Suspected infectious diseases including M-Pox</w:t>
      </w:r>
      <w:r w:rsidR="00C236A7">
        <w:rPr>
          <w:color w:val="000000" w:themeColor="text1"/>
        </w:rPr>
        <w:t>,</w:t>
      </w:r>
      <w:r w:rsidR="0096218D">
        <w:rPr>
          <w:color w:val="000000" w:themeColor="text1"/>
        </w:rPr>
        <w:t xml:space="preserve"> the first case of H1N2 in a human in the UK</w:t>
      </w:r>
      <w:r w:rsidR="00C236A7">
        <w:rPr>
          <w:color w:val="000000" w:themeColor="text1"/>
        </w:rPr>
        <w:t xml:space="preserve">, and Middle East Respiratory Syndrome. </w:t>
      </w:r>
    </w:p>
    <w:p w14:paraId="5E1CDBAA" w14:textId="7A29C44E" w:rsidR="00CA4B44" w:rsidRPr="0025584B" w:rsidRDefault="00CA4B44" w:rsidP="007D06B3">
      <w:pPr>
        <w:pStyle w:val="ListParagraph"/>
        <w:numPr>
          <w:ilvl w:val="0"/>
          <w:numId w:val="18"/>
        </w:numPr>
        <w:spacing w:after="0" w:line="240" w:lineRule="auto"/>
        <w:jc w:val="both"/>
        <w:rPr>
          <w:color w:val="000000" w:themeColor="text1"/>
        </w:rPr>
      </w:pPr>
      <w:r w:rsidRPr="0025584B">
        <w:rPr>
          <w:color w:val="000000" w:themeColor="text1"/>
        </w:rPr>
        <w:t>Evacuation of Selby Hospital</w:t>
      </w:r>
    </w:p>
    <w:p w14:paraId="3E8536CE" w14:textId="77777777" w:rsidR="004B70BC" w:rsidRPr="00EF3A47" w:rsidRDefault="004B70BC" w:rsidP="004B70BC">
      <w:pPr>
        <w:pStyle w:val="ListParagraph"/>
        <w:spacing w:after="0" w:line="240" w:lineRule="auto"/>
        <w:ind w:left="567"/>
        <w:jc w:val="both"/>
        <w:rPr>
          <w:color w:val="auto"/>
          <w:sz w:val="24"/>
          <w:szCs w:val="24"/>
        </w:rPr>
      </w:pPr>
    </w:p>
    <w:p w14:paraId="2E7AF74B" w14:textId="77777777" w:rsidR="004B70BC" w:rsidRDefault="004B70BC" w:rsidP="004B70BC">
      <w:pPr>
        <w:pStyle w:val="ListParagraph"/>
        <w:numPr>
          <w:ilvl w:val="1"/>
          <w:numId w:val="1"/>
        </w:numPr>
        <w:spacing w:after="0" w:line="240" w:lineRule="auto"/>
        <w:ind w:left="567" w:hanging="567"/>
        <w:jc w:val="both"/>
        <w:rPr>
          <w:b/>
          <w:bCs/>
          <w:color w:val="auto"/>
          <w:sz w:val="24"/>
          <w:szCs w:val="24"/>
        </w:rPr>
      </w:pPr>
      <w:r>
        <w:rPr>
          <w:b/>
          <w:bCs/>
          <w:color w:val="auto"/>
          <w:sz w:val="24"/>
          <w:szCs w:val="24"/>
        </w:rPr>
        <w:t>Training and Exercising</w:t>
      </w:r>
    </w:p>
    <w:p w14:paraId="058EB2FB" w14:textId="77777777" w:rsidR="001E5E41" w:rsidRDefault="001E5E41" w:rsidP="001E5E41">
      <w:pPr>
        <w:pStyle w:val="ListParagraph"/>
        <w:spacing w:after="0" w:line="240" w:lineRule="auto"/>
        <w:ind w:left="567"/>
        <w:jc w:val="both"/>
        <w:rPr>
          <w:b/>
          <w:bCs/>
          <w:color w:val="auto"/>
          <w:sz w:val="24"/>
          <w:szCs w:val="24"/>
        </w:rPr>
      </w:pPr>
    </w:p>
    <w:p w14:paraId="280A4222" w14:textId="179DF8E2" w:rsidR="001E5E41" w:rsidRDefault="00D220BF" w:rsidP="001E5E41">
      <w:pPr>
        <w:pStyle w:val="ListParagraph"/>
        <w:numPr>
          <w:ilvl w:val="2"/>
          <w:numId w:val="1"/>
        </w:numPr>
        <w:spacing w:after="0" w:line="240" w:lineRule="auto"/>
        <w:jc w:val="both"/>
        <w:rPr>
          <w:b/>
          <w:bCs/>
          <w:color w:val="auto"/>
          <w:sz w:val="24"/>
          <w:szCs w:val="24"/>
        </w:rPr>
      </w:pPr>
      <w:r>
        <w:rPr>
          <w:b/>
          <w:bCs/>
          <w:color w:val="auto"/>
          <w:sz w:val="24"/>
          <w:szCs w:val="24"/>
        </w:rPr>
        <w:t>Training</w:t>
      </w:r>
    </w:p>
    <w:p w14:paraId="1909750D" w14:textId="77777777" w:rsidR="00D220BF" w:rsidRDefault="00D220BF" w:rsidP="00D220BF">
      <w:pPr>
        <w:spacing w:after="0" w:line="240" w:lineRule="auto"/>
        <w:jc w:val="both"/>
        <w:rPr>
          <w:b/>
          <w:bCs/>
          <w:color w:val="auto"/>
          <w:sz w:val="24"/>
          <w:szCs w:val="24"/>
        </w:rPr>
      </w:pPr>
    </w:p>
    <w:p w14:paraId="6F455788" w14:textId="292346E6" w:rsidR="00D220BF" w:rsidRDefault="0012663C" w:rsidP="0025584B">
      <w:pPr>
        <w:spacing w:after="0" w:line="240" w:lineRule="auto"/>
        <w:ind w:left="567"/>
        <w:jc w:val="both"/>
        <w:rPr>
          <w:color w:val="auto"/>
        </w:rPr>
      </w:pPr>
      <w:r w:rsidRPr="00C236A7">
        <w:rPr>
          <w:color w:val="000000" w:themeColor="text1"/>
        </w:rPr>
        <w:t>A significant range</w:t>
      </w:r>
      <w:r w:rsidR="00D220BF" w:rsidRPr="00C236A7">
        <w:rPr>
          <w:color w:val="000000" w:themeColor="text1"/>
        </w:rPr>
        <w:t xml:space="preserve"> of work has been undertaken this year to align the ICB’s EPRR training plan with the Minimum Occupational </w:t>
      </w:r>
      <w:r w:rsidR="00D220BF" w:rsidRPr="0025584B">
        <w:rPr>
          <w:color w:val="auto"/>
        </w:rPr>
        <w:t xml:space="preserve">Standards for EPRR. </w:t>
      </w:r>
      <w:r w:rsidR="009804BB" w:rsidRPr="0025584B">
        <w:rPr>
          <w:color w:val="auto"/>
        </w:rPr>
        <w:t xml:space="preserve">In April 2024, personal development portfolios were rolled out to all ICB commanders and EPRR advisors, with supportive sessions hosted by the EPRR team in both the Spring and Autumn teaching commanders how to use the portfolios, and access training. </w:t>
      </w:r>
    </w:p>
    <w:p w14:paraId="28534331" w14:textId="77777777" w:rsidR="0025584B" w:rsidRDefault="0025584B" w:rsidP="0025584B">
      <w:pPr>
        <w:spacing w:after="0" w:line="240" w:lineRule="auto"/>
        <w:ind w:left="567"/>
        <w:jc w:val="both"/>
        <w:rPr>
          <w:color w:val="auto"/>
        </w:rPr>
      </w:pPr>
    </w:p>
    <w:p w14:paraId="0AC6A4BC" w14:textId="636D654C" w:rsidR="0025584B" w:rsidRDefault="0025584B" w:rsidP="0025584B">
      <w:pPr>
        <w:spacing w:after="0" w:line="240" w:lineRule="auto"/>
        <w:ind w:left="567"/>
        <w:jc w:val="both"/>
        <w:rPr>
          <w:color w:val="auto"/>
        </w:rPr>
      </w:pPr>
      <w:r>
        <w:rPr>
          <w:color w:val="auto"/>
        </w:rPr>
        <w:t xml:space="preserve">The </w:t>
      </w:r>
      <w:r w:rsidR="00990F51">
        <w:rPr>
          <w:color w:val="auto"/>
        </w:rPr>
        <w:t>On-call SharePoint Site has been further expanded to include a learning and development section, with a training needs analysis and training log</w:t>
      </w:r>
      <w:r w:rsidR="00076503">
        <w:rPr>
          <w:color w:val="auto"/>
        </w:rPr>
        <w:t>. Commanders have their own portfolios to log training attendance but also complete reflective practice</w:t>
      </w:r>
      <w:r w:rsidR="00266F76">
        <w:rPr>
          <w:color w:val="auto"/>
        </w:rPr>
        <w:t xml:space="preserve"> on their experiences. Portfolios need to b</w:t>
      </w:r>
      <w:r w:rsidR="00DB0699">
        <w:rPr>
          <w:color w:val="auto"/>
        </w:rPr>
        <w:t xml:space="preserve">e reviewed once in a 3 year cycle, and the EPRR team are working through the practicalities and governance surrounding this. </w:t>
      </w:r>
    </w:p>
    <w:p w14:paraId="3BAEC09B" w14:textId="77777777" w:rsidR="00DB0699" w:rsidRDefault="00DB0699" w:rsidP="0025584B">
      <w:pPr>
        <w:spacing w:after="0" w:line="240" w:lineRule="auto"/>
        <w:ind w:left="567"/>
        <w:jc w:val="both"/>
        <w:rPr>
          <w:color w:val="auto"/>
        </w:rPr>
      </w:pPr>
    </w:p>
    <w:p w14:paraId="6FF2A04E" w14:textId="14C01AFA" w:rsidR="00DB0699" w:rsidRDefault="00DB0699" w:rsidP="0025584B">
      <w:pPr>
        <w:spacing w:after="0" w:line="240" w:lineRule="auto"/>
        <w:ind w:left="567"/>
        <w:jc w:val="both"/>
        <w:rPr>
          <w:color w:val="auto"/>
        </w:rPr>
      </w:pPr>
      <w:r>
        <w:rPr>
          <w:color w:val="auto"/>
        </w:rPr>
        <w:t>All health organisations that are members of the LHRP are also using the same portfolios and system, to allow portability of the portfolios</w:t>
      </w:r>
      <w:r w:rsidR="00EB016E">
        <w:rPr>
          <w:color w:val="auto"/>
        </w:rPr>
        <w:t xml:space="preserve">, and collaborative delivery and design. </w:t>
      </w:r>
      <w:r w:rsidR="001D39CC">
        <w:rPr>
          <w:color w:val="auto"/>
        </w:rPr>
        <w:t xml:space="preserve">Compliance with the courses listed in the portfolios is reported quarterly through LHRP and up to the Regional Health Resilience Partnership. </w:t>
      </w:r>
      <w:r w:rsidR="003758BF">
        <w:rPr>
          <w:color w:val="auto"/>
        </w:rPr>
        <w:t>Training compliance against the courses currently available is listed below</w:t>
      </w:r>
      <w:r w:rsidR="0012663C">
        <w:rPr>
          <w:color w:val="auto"/>
        </w:rPr>
        <w:t>:</w:t>
      </w:r>
    </w:p>
    <w:p w14:paraId="7473EBAE" w14:textId="77777777" w:rsidR="00EC2F99" w:rsidRDefault="00EC2F99" w:rsidP="0025584B">
      <w:pPr>
        <w:spacing w:after="0" w:line="240" w:lineRule="auto"/>
        <w:ind w:left="567"/>
        <w:jc w:val="both"/>
        <w:rPr>
          <w:color w:val="auto"/>
        </w:rPr>
      </w:pPr>
    </w:p>
    <w:tbl>
      <w:tblPr>
        <w:tblStyle w:val="GridTable2-Accent5"/>
        <w:tblW w:w="9061" w:type="dxa"/>
        <w:tblInd w:w="704" w:type="dxa"/>
        <w:tblLook w:val="04A0" w:firstRow="1" w:lastRow="0" w:firstColumn="1" w:lastColumn="0" w:noHBand="0" w:noVBand="1"/>
      </w:tblPr>
      <w:tblGrid>
        <w:gridCol w:w="2215"/>
        <w:gridCol w:w="2432"/>
        <w:gridCol w:w="2433"/>
        <w:gridCol w:w="1981"/>
      </w:tblGrid>
      <w:tr w:rsidR="003758BF" w14:paraId="68758A9C" w14:textId="7BECE928" w:rsidTr="00540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Borders>
              <w:top w:val="single" w:sz="4" w:space="0" w:color="auto"/>
              <w:left w:val="single" w:sz="4" w:space="0" w:color="auto"/>
            </w:tcBorders>
          </w:tcPr>
          <w:p w14:paraId="1F0DEE52" w14:textId="09380959" w:rsidR="003758BF" w:rsidRDefault="003758BF" w:rsidP="0025584B">
            <w:pPr>
              <w:spacing w:after="0" w:line="240" w:lineRule="auto"/>
              <w:jc w:val="both"/>
              <w:rPr>
                <w:color w:val="auto"/>
              </w:rPr>
            </w:pPr>
            <w:r>
              <w:rPr>
                <w:color w:val="auto"/>
              </w:rPr>
              <w:t>Course Title</w:t>
            </w:r>
          </w:p>
        </w:tc>
        <w:tc>
          <w:tcPr>
            <w:tcW w:w="2432" w:type="dxa"/>
            <w:tcBorders>
              <w:top w:val="single" w:sz="4" w:space="0" w:color="auto"/>
            </w:tcBorders>
          </w:tcPr>
          <w:p w14:paraId="747C7EBA" w14:textId="55C0BC69" w:rsidR="003758BF" w:rsidRDefault="003758BF" w:rsidP="0025584B">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Strategic Health Commander Compliance</w:t>
            </w:r>
          </w:p>
        </w:tc>
        <w:tc>
          <w:tcPr>
            <w:tcW w:w="2433" w:type="dxa"/>
            <w:tcBorders>
              <w:top w:val="single" w:sz="4" w:space="0" w:color="auto"/>
            </w:tcBorders>
          </w:tcPr>
          <w:p w14:paraId="67169596" w14:textId="2FD0443A" w:rsidR="003758BF" w:rsidRDefault="003758BF" w:rsidP="0025584B">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Tactical Health Commander Compliance</w:t>
            </w:r>
          </w:p>
        </w:tc>
        <w:tc>
          <w:tcPr>
            <w:tcW w:w="1981" w:type="dxa"/>
            <w:tcBorders>
              <w:top w:val="single" w:sz="4" w:space="0" w:color="auto"/>
              <w:right w:val="single" w:sz="4" w:space="0" w:color="auto"/>
            </w:tcBorders>
          </w:tcPr>
          <w:p w14:paraId="4AB9AD66" w14:textId="222E91C7" w:rsidR="003758BF" w:rsidRDefault="003758BF" w:rsidP="0025584B">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EPRR Subject Matter Expert Compliance</w:t>
            </w:r>
          </w:p>
        </w:tc>
      </w:tr>
      <w:tr w:rsidR="003758BF" w14:paraId="51FD4746" w14:textId="5B5DEAFD" w:rsidTr="005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Borders>
              <w:left w:val="single" w:sz="4" w:space="0" w:color="auto"/>
            </w:tcBorders>
          </w:tcPr>
          <w:p w14:paraId="00536AD4" w14:textId="05353F9E" w:rsidR="003758BF" w:rsidRDefault="003758BF" w:rsidP="0025584B">
            <w:pPr>
              <w:spacing w:after="0" w:line="240" w:lineRule="auto"/>
              <w:jc w:val="both"/>
              <w:rPr>
                <w:color w:val="auto"/>
              </w:rPr>
            </w:pPr>
            <w:r>
              <w:rPr>
                <w:color w:val="auto"/>
              </w:rPr>
              <w:lastRenderedPageBreak/>
              <w:t>Principles of Health Command</w:t>
            </w:r>
          </w:p>
        </w:tc>
        <w:tc>
          <w:tcPr>
            <w:tcW w:w="2432" w:type="dxa"/>
          </w:tcPr>
          <w:p w14:paraId="1B35E690" w14:textId="0F863780" w:rsidR="003758BF" w:rsidRDefault="00C74CA9" w:rsidP="0025584B">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8</w:t>
            </w:r>
            <w:r w:rsidR="00AF6601">
              <w:rPr>
                <w:color w:val="auto"/>
              </w:rPr>
              <w:t>7%</w:t>
            </w:r>
          </w:p>
        </w:tc>
        <w:tc>
          <w:tcPr>
            <w:tcW w:w="2433" w:type="dxa"/>
          </w:tcPr>
          <w:p w14:paraId="7DDAE7D8" w14:textId="6AE9825D" w:rsidR="003758BF" w:rsidRDefault="001C4B3D" w:rsidP="0025584B">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85%</w:t>
            </w:r>
          </w:p>
        </w:tc>
        <w:tc>
          <w:tcPr>
            <w:tcW w:w="1981" w:type="dxa"/>
            <w:tcBorders>
              <w:right w:val="single" w:sz="4" w:space="0" w:color="auto"/>
            </w:tcBorders>
          </w:tcPr>
          <w:p w14:paraId="3D0CD004" w14:textId="601128E6" w:rsidR="003758BF" w:rsidRDefault="001C4B3D" w:rsidP="0025584B">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100%</w:t>
            </w:r>
          </w:p>
        </w:tc>
      </w:tr>
      <w:tr w:rsidR="003758BF" w14:paraId="5378CC41" w14:textId="43020421" w:rsidTr="00540496">
        <w:tc>
          <w:tcPr>
            <w:cnfStyle w:val="001000000000" w:firstRow="0" w:lastRow="0" w:firstColumn="1" w:lastColumn="0" w:oddVBand="0" w:evenVBand="0" w:oddHBand="0" w:evenHBand="0" w:firstRowFirstColumn="0" w:firstRowLastColumn="0" w:lastRowFirstColumn="0" w:lastRowLastColumn="0"/>
            <w:tcW w:w="2215" w:type="dxa"/>
            <w:tcBorders>
              <w:left w:val="single" w:sz="4" w:space="0" w:color="auto"/>
            </w:tcBorders>
          </w:tcPr>
          <w:p w14:paraId="7CA4215E" w14:textId="01F4FBB9" w:rsidR="003758BF" w:rsidRDefault="00EB7F9B" w:rsidP="0025584B">
            <w:pPr>
              <w:spacing w:after="0" w:line="240" w:lineRule="auto"/>
              <w:jc w:val="both"/>
              <w:rPr>
                <w:color w:val="auto"/>
              </w:rPr>
            </w:pPr>
            <w:r>
              <w:rPr>
                <w:color w:val="auto"/>
              </w:rPr>
              <w:t>Defence Contribution to Resilience (</w:t>
            </w:r>
            <w:r w:rsidRPr="00F13F0C">
              <w:t>New</w:t>
            </w:r>
            <w:r>
              <w:rPr>
                <w:color w:val="auto"/>
              </w:rPr>
              <w:t>)</w:t>
            </w:r>
          </w:p>
        </w:tc>
        <w:tc>
          <w:tcPr>
            <w:tcW w:w="2432" w:type="dxa"/>
          </w:tcPr>
          <w:p w14:paraId="3FA1044A" w14:textId="139F2F85" w:rsidR="003758BF" w:rsidRDefault="00EC075C" w:rsidP="0025584B">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6%</w:t>
            </w:r>
          </w:p>
        </w:tc>
        <w:tc>
          <w:tcPr>
            <w:tcW w:w="2433" w:type="dxa"/>
          </w:tcPr>
          <w:p w14:paraId="1F2E6F84" w14:textId="1472260B" w:rsidR="003758BF" w:rsidRDefault="00AF6601" w:rsidP="0025584B">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Not applicable</w:t>
            </w:r>
          </w:p>
        </w:tc>
        <w:tc>
          <w:tcPr>
            <w:tcW w:w="1981" w:type="dxa"/>
            <w:tcBorders>
              <w:right w:val="single" w:sz="4" w:space="0" w:color="auto"/>
            </w:tcBorders>
          </w:tcPr>
          <w:p w14:paraId="3F654200" w14:textId="6762ED7D" w:rsidR="003758BF" w:rsidRDefault="00C77143" w:rsidP="0025584B">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100%</w:t>
            </w:r>
          </w:p>
        </w:tc>
      </w:tr>
      <w:tr w:rsidR="003758BF" w14:paraId="758AB2CC" w14:textId="007B79E6" w:rsidTr="005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Borders>
              <w:left w:val="single" w:sz="4" w:space="0" w:color="auto"/>
            </w:tcBorders>
          </w:tcPr>
          <w:p w14:paraId="5C40C762" w14:textId="6B3658E7" w:rsidR="003758BF" w:rsidRDefault="005901F4" w:rsidP="0025584B">
            <w:pPr>
              <w:spacing w:after="0" w:line="240" w:lineRule="auto"/>
              <w:jc w:val="both"/>
              <w:rPr>
                <w:color w:val="auto"/>
              </w:rPr>
            </w:pPr>
            <w:r>
              <w:rPr>
                <w:color w:val="auto"/>
              </w:rPr>
              <w:t xml:space="preserve">Working with your </w:t>
            </w:r>
            <w:proofErr w:type="spellStart"/>
            <w:r>
              <w:rPr>
                <w:color w:val="auto"/>
              </w:rPr>
              <w:t>loggist</w:t>
            </w:r>
            <w:proofErr w:type="spellEnd"/>
          </w:p>
        </w:tc>
        <w:tc>
          <w:tcPr>
            <w:tcW w:w="2432" w:type="dxa"/>
          </w:tcPr>
          <w:p w14:paraId="3C2DD86A" w14:textId="5085D448" w:rsidR="003758BF" w:rsidRDefault="00EC075C" w:rsidP="0025584B">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6%</w:t>
            </w:r>
          </w:p>
        </w:tc>
        <w:tc>
          <w:tcPr>
            <w:tcW w:w="2433" w:type="dxa"/>
          </w:tcPr>
          <w:p w14:paraId="45D41DDE" w14:textId="182FE285" w:rsidR="003758BF" w:rsidRDefault="00243716" w:rsidP="0025584B">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15%</w:t>
            </w:r>
          </w:p>
        </w:tc>
        <w:tc>
          <w:tcPr>
            <w:tcW w:w="1981" w:type="dxa"/>
            <w:tcBorders>
              <w:right w:val="single" w:sz="4" w:space="0" w:color="auto"/>
            </w:tcBorders>
          </w:tcPr>
          <w:p w14:paraId="1C000B81" w14:textId="4DE70B67" w:rsidR="003758BF" w:rsidRDefault="00184D84" w:rsidP="0025584B">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100%</w:t>
            </w:r>
          </w:p>
        </w:tc>
      </w:tr>
      <w:tr w:rsidR="003758BF" w14:paraId="1D2FC95C" w14:textId="3BD78063" w:rsidTr="00540496">
        <w:tc>
          <w:tcPr>
            <w:cnfStyle w:val="001000000000" w:firstRow="0" w:lastRow="0" w:firstColumn="1" w:lastColumn="0" w:oddVBand="0" w:evenVBand="0" w:oddHBand="0" w:evenHBand="0" w:firstRowFirstColumn="0" w:firstRowLastColumn="0" w:lastRowFirstColumn="0" w:lastRowLastColumn="0"/>
            <w:tcW w:w="2215" w:type="dxa"/>
            <w:tcBorders>
              <w:left w:val="single" w:sz="4" w:space="0" w:color="auto"/>
            </w:tcBorders>
          </w:tcPr>
          <w:p w14:paraId="64FA448D" w14:textId="1D32538A" w:rsidR="003758BF" w:rsidRDefault="003B36B4" w:rsidP="0025584B">
            <w:pPr>
              <w:spacing w:after="0" w:line="240" w:lineRule="auto"/>
              <w:jc w:val="both"/>
              <w:rPr>
                <w:color w:val="auto"/>
              </w:rPr>
            </w:pPr>
            <w:r>
              <w:rPr>
                <w:color w:val="auto"/>
              </w:rPr>
              <w:t>JESIP</w:t>
            </w:r>
            <w:r w:rsidR="00CA0265">
              <w:rPr>
                <w:color w:val="auto"/>
              </w:rPr>
              <w:t xml:space="preserve"> Training</w:t>
            </w:r>
          </w:p>
        </w:tc>
        <w:tc>
          <w:tcPr>
            <w:tcW w:w="2432" w:type="dxa"/>
          </w:tcPr>
          <w:p w14:paraId="7024CC95" w14:textId="570E112E" w:rsidR="003758BF" w:rsidRDefault="0057194B" w:rsidP="0025584B">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13%</w:t>
            </w:r>
          </w:p>
        </w:tc>
        <w:tc>
          <w:tcPr>
            <w:tcW w:w="2433" w:type="dxa"/>
          </w:tcPr>
          <w:p w14:paraId="4EC95788" w14:textId="04D801F9" w:rsidR="003758BF" w:rsidRDefault="00184D84" w:rsidP="0025584B">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10%</w:t>
            </w:r>
          </w:p>
        </w:tc>
        <w:tc>
          <w:tcPr>
            <w:tcW w:w="1981" w:type="dxa"/>
            <w:tcBorders>
              <w:right w:val="single" w:sz="4" w:space="0" w:color="auto"/>
            </w:tcBorders>
          </w:tcPr>
          <w:p w14:paraId="5565186D" w14:textId="0244FEA5" w:rsidR="003758BF" w:rsidRDefault="00184D84" w:rsidP="0025584B">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100%</w:t>
            </w:r>
          </w:p>
        </w:tc>
      </w:tr>
      <w:tr w:rsidR="003758BF" w14:paraId="0EE4DDAB" w14:textId="18485B5D" w:rsidTr="00540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Borders>
              <w:left w:val="single" w:sz="4" w:space="0" w:color="auto"/>
              <w:bottom w:val="single" w:sz="4" w:space="0" w:color="auto"/>
            </w:tcBorders>
          </w:tcPr>
          <w:p w14:paraId="4D4C96CD" w14:textId="16DCEDCF" w:rsidR="003758BF" w:rsidRDefault="00674F24" w:rsidP="0025584B">
            <w:pPr>
              <w:spacing w:after="0" w:line="240" w:lineRule="auto"/>
              <w:jc w:val="both"/>
              <w:rPr>
                <w:color w:val="auto"/>
              </w:rPr>
            </w:pPr>
            <w:r>
              <w:rPr>
                <w:color w:val="auto"/>
              </w:rPr>
              <w:t>Local Resilience Forum Awareness</w:t>
            </w:r>
          </w:p>
        </w:tc>
        <w:tc>
          <w:tcPr>
            <w:tcW w:w="2432" w:type="dxa"/>
            <w:tcBorders>
              <w:bottom w:val="single" w:sz="4" w:space="0" w:color="auto"/>
            </w:tcBorders>
          </w:tcPr>
          <w:p w14:paraId="0E422226" w14:textId="7B188DEB" w:rsidR="003758BF" w:rsidRDefault="00AF6601" w:rsidP="0025584B">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27%</w:t>
            </w:r>
          </w:p>
        </w:tc>
        <w:tc>
          <w:tcPr>
            <w:tcW w:w="2433" w:type="dxa"/>
            <w:tcBorders>
              <w:bottom w:val="single" w:sz="4" w:space="0" w:color="auto"/>
            </w:tcBorders>
          </w:tcPr>
          <w:p w14:paraId="1A24BFF5" w14:textId="280837A5" w:rsidR="003758BF" w:rsidRDefault="00CB30BA" w:rsidP="0025584B">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37.5%</w:t>
            </w:r>
          </w:p>
        </w:tc>
        <w:tc>
          <w:tcPr>
            <w:tcW w:w="1981" w:type="dxa"/>
            <w:tcBorders>
              <w:bottom w:val="single" w:sz="4" w:space="0" w:color="auto"/>
              <w:right w:val="single" w:sz="4" w:space="0" w:color="auto"/>
            </w:tcBorders>
          </w:tcPr>
          <w:p w14:paraId="2AE5BCC1" w14:textId="03ACBA5B" w:rsidR="003758BF" w:rsidRDefault="00184D84" w:rsidP="0025584B">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100%</w:t>
            </w:r>
          </w:p>
        </w:tc>
      </w:tr>
    </w:tbl>
    <w:p w14:paraId="3EF24DA1" w14:textId="77777777" w:rsidR="003758BF" w:rsidRDefault="003758BF" w:rsidP="0025584B">
      <w:pPr>
        <w:spacing w:after="0" w:line="240" w:lineRule="auto"/>
        <w:ind w:left="567"/>
        <w:jc w:val="both"/>
        <w:rPr>
          <w:color w:val="auto"/>
        </w:rPr>
      </w:pPr>
    </w:p>
    <w:p w14:paraId="3E41242E" w14:textId="2772CB6B" w:rsidR="00EB016E" w:rsidRDefault="00CB30BA" w:rsidP="0025584B">
      <w:pPr>
        <w:spacing w:after="0" w:line="240" w:lineRule="auto"/>
        <w:ind w:left="567"/>
        <w:jc w:val="both"/>
        <w:rPr>
          <w:color w:val="auto"/>
        </w:rPr>
      </w:pPr>
      <w:r>
        <w:rPr>
          <w:color w:val="auto"/>
        </w:rPr>
        <w:t xml:space="preserve">The main course referenced in the Core Standard for On-call Training is Principles of Health Command, </w:t>
      </w:r>
      <w:r w:rsidR="00590705">
        <w:rPr>
          <w:color w:val="auto"/>
        </w:rPr>
        <w:t>so it is encouraging that compliance is high with this specific course. There have been changes to the on-call rota which are still ongoing due to new starting staff and leaving staff</w:t>
      </w:r>
      <w:r w:rsidR="00D4587C">
        <w:rPr>
          <w:color w:val="auto"/>
        </w:rPr>
        <w:t xml:space="preserve">; </w:t>
      </w:r>
      <w:r w:rsidR="0099422D">
        <w:rPr>
          <w:color w:val="auto"/>
        </w:rPr>
        <w:t>so,</w:t>
      </w:r>
      <w:r w:rsidR="00D4587C">
        <w:rPr>
          <w:color w:val="auto"/>
        </w:rPr>
        <w:t xml:space="preserve"> this coupled with the fact that the training is new for this year has resulted in some low compliance across the other courses. </w:t>
      </w:r>
    </w:p>
    <w:p w14:paraId="4E7078D2" w14:textId="77777777" w:rsidR="00D4587C" w:rsidRDefault="00D4587C" w:rsidP="0025584B">
      <w:pPr>
        <w:spacing w:after="0" w:line="240" w:lineRule="auto"/>
        <w:ind w:left="567"/>
        <w:jc w:val="both"/>
        <w:rPr>
          <w:color w:val="auto"/>
        </w:rPr>
      </w:pPr>
    </w:p>
    <w:p w14:paraId="338BB930" w14:textId="41CA85E7" w:rsidR="00D4587C" w:rsidRDefault="00D4587C" w:rsidP="0025584B">
      <w:pPr>
        <w:spacing w:after="0" w:line="240" w:lineRule="auto"/>
        <w:ind w:left="567"/>
        <w:jc w:val="both"/>
        <w:rPr>
          <w:color w:val="auto"/>
        </w:rPr>
      </w:pPr>
      <w:r>
        <w:rPr>
          <w:color w:val="auto"/>
        </w:rPr>
        <w:t xml:space="preserve">PDP briefing sessions have been held throughout October </w:t>
      </w:r>
      <w:r w:rsidR="0012663C" w:rsidRPr="00F617A1">
        <w:rPr>
          <w:color w:val="000000" w:themeColor="text1"/>
        </w:rPr>
        <w:t xml:space="preserve">2024 </w:t>
      </w:r>
      <w:r w:rsidRPr="00F617A1">
        <w:rPr>
          <w:color w:val="000000" w:themeColor="text1"/>
        </w:rPr>
        <w:t xml:space="preserve">to </w:t>
      </w:r>
      <w:r>
        <w:rPr>
          <w:color w:val="auto"/>
        </w:rPr>
        <w:t xml:space="preserve">support staff to understand the requirements, </w:t>
      </w:r>
      <w:r w:rsidR="003B20E3">
        <w:rPr>
          <w:color w:val="auto"/>
        </w:rPr>
        <w:t xml:space="preserve">and further internal </w:t>
      </w:r>
      <w:r w:rsidR="00E52A70">
        <w:rPr>
          <w:color w:val="auto"/>
        </w:rPr>
        <w:t xml:space="preserve">EPRR </w:t>
      </w:r>
      <w:r w:rsidR="003B20E3">
        <w:rPr>
          <w:color w:val="auto"/>
        </w:rPr>
        <w:t>training will be developed in the new year to try and capture some other competencies for staff</w:t>
      </w:r>
      <w:r w:rsidR="00540496">
        <w:rPr>
          <w:color w:val="auto"/>
        </w:rPr>
        <w:t xml:space="preserve"> including incident response plan familiarisation and application. </w:t>
      </w:r>
    </w:p>
    <w:p w14:paraId="0C5806F5" w14:textId="77777777" w:rsidR="00EB0366" w:rsidRDefault="00EB0366" w:rsidP="0025584B">
      <w:pPr>
        <w:spacing w:after="0" w:line="240" w:lineRule="auto"/>
        <w:ind w:left="567"/>
        <w:jc w:val="both"/>
        <w:rPr>
          <w:color w:val="auto"/>
        </w:rPr>
      </w:pPr>
    </w:p>
    <w:p w14:paraId="7B36A2E2" w14:textId="4E992A79" w:rsidR="00EB0366" w:rsidRDefault="00EB0366" w:rsidP="0025584B">
      <w:pPr>
        <w:spacing w:after="0" w:line="240" w:lineRule="auto"/>
        <w:ind w:left="567"/>
        <w:jc w:val="both"/>
        <w:rPr>
          <w:color w:val="auto"/>
        </w:rPr>
      </w:pPr>
      <w:r>
        <w:rPr>
          <w:color w:val="auto"/>
        </w:rPr>
        <w:t xml:space="preserve">Collaborative work is also underway with the regional NHS England EPRR Team </w:t>
      </w:r>
      <w:r w:rsidR="00AC0420">
        <w:rPr>
          <w:color w:val="auto"/>
        </w:rPr>
        <w:t xml:space="preserve">to collectively develop </w:t>
      </w:r>
      <w:r w:rsidR="00664CA4">
        <w:rPr>
          <w:color w:val="auto"/>
        </w:rPr>
        <w:t xml:space="preserve">courses to improve access and relevance. The in person JESIP course, for example, can take up a full day but an hour long Teams session is being developed with NHS England to improve uptake. </w:t>
      </w:r>
    </w:p>
    <w:p w14:paraId="34EA9502" w14:textId="77777777" w:rsidR="00EB016E" w:rsidRPr="0025584B" w:rsidRDefault="00EB016E" w:rsidP="0025584B">
      <w:pPr>
        <w:spacing w:after="0" w:line="240" w:lineRule="auto"/>
        <w:ind w:left="567"/>
        <w:jc w:val="both"/>
        <w:rPr>
          <w:color w:val="auto"/>
        </w:rPr>
      </w:pPr>
    </w:p>
    <w:p w14:paraId="11AC3B02" w14:textId="3C97549F" w:rsidR="004B70BC" w:rsidRPr="00CA0265" w:rsidRDefault="00CA0265" w:rsidP="00CA0265">
      <w:pPr>
        <w:pStyle w:val="ListParagraph"/>
        <w:numPr>
          <w:ilvl w:val="2"/>
          <w:numId w:val="1"/>
        </w:numPr>
        <w:spacing w:after="0" w:line="240" w:lineRule="auto"/>
        <w:jc w:val="both"/>
        <w:rPr>
          <w:b/>
          <w:bCs/>
          <w:color w:val="auto"/>
          <w:sz w:val="24"/>
          <w:szCs w:val="24"/>
        </w:rPr>
      </w:pPr>
      <w:r w:rsidRPr="00CA0265">
        <w:rPr>
          <w:b/>
          <w:bCs/>
          <w:color w:val="auto"/>
          <w:sz w:val="24"/>
          <w:szCs w:val="24"/>
        </w:rPr>
        <w:t>Exercising</w:t>
      </w:r>
    </w:p>
    <w:p w14:paraId="273842A4" w14:textId="77777777" w:rsidR="001E5E41" w:rsidRPr="008708A3" w:rsidRDefault="001E5E41" w:rsidP="004B70BC">
      <w:pPr>
        <w:pStyle w:val="ListParagraph"/>
        <w:spacing w:after="0" w:line="240" w:lineRule="auto"/>
        <w:ind w:left="567"/>
        <w:jc w:val="both"/>
        <w:rPr>
          <w:sz w:val="24"/>
          <w:szCs w:val="24"/>
        </w:rPr>
      </w:pPr>
    </w:p>
    <w:p w14:paraId="1760878F" w14:textId="19B5730F" w:rsidR="004B70BC" w:rsidRDefault="00AE6752" w:rsidP="004B70BC">
      <w:pPr>
        <w:pStyle w:val="ListParagraph"/>
        <w:spacing w:after="0" w:line="240" w:lineRule="auto"/>
        <w:ind w:left="567"/>
        <w:jc w:val="both"/>
        <w:rPr>
          <w:color w:val="auto"/>
        </w:rPr>
      </w:pPr>
      <w:r>
        <w:rPr>
          <w:color w:val="auto"/>
        </w:rPr>
        <w:t xml:space="preserve">The ICB is required to complete a communications exercise every six months, a tabletop exercise annually, and command and post and live exercises every three years. Due to the ICB needing to respond to industrial action and other incidents, this has negated the need for a full live exercise. </w:t>
      </w:r>
      <w:r w:rsidR="004B70BC" w:rsidRPr="0065016C">
        <w:rPr>
          <w:color w:val="auto"/>
        </w:rPr>
        <w:t>The ICB has also participated in a range of training exercises during the year</w:t>
      </w:r>
      <w:r>
        <w:rPr>
          <w:color w:val="auto"/>
        </w:rPr>
        <w:t xml:space="preserve"> to fulfil these requirements</w:t>
      </w:r>
      <w:r w:rsidR="004B70BC" w:rsidRPr="0065016C">
        <w:rPr>
          <w:color w:val="auto"/>
        </w:rPr>
        <w:t xml:space="preserve"> including</w:t>
      </w:r>
      <w:r w:rsidR="001A7C4E">
        <w:rPr>
          <w:color w:val="auto"/>
        </w:rPr>
        <w:t xml:space="preserve"> the below. Those in red were hosted by the IC</w:t>
      </w:r>
      <w:r w:rsidR="002C4C9D">
        <w:rPr>
          <w:color w:val="auto"/>
        </w:rPr>
        <w:t xml:space="preserve">B. </w:t>
      </w:r>
    </w:p>
    <w:p w14:paraId="431D7DDD" w14:textId="77777777" w:rsidR="0065016C" w:rsidRDefault="0065016C" w:rsidP="004B70BC">
      <w:pPr>
        <w:pStyle w:val="ListParagraph"/>
        <w:spacing w:after="0" w:line="240" w:lineRule="auto"/>
        <w:ind w:left="567"/>
        <w:jc w:val="both"/>
        <w:rPr>
          <w:color w:val="auto"/>
        </w:rPr>
      </w:pPr>
    </w:p>
    <w:p w14:paraId="086C55A5" w14:textId="2E078F07" w:rsidR="0065016C" w:rsidRDefault="0065016C" w:rsidP="0065016C">
      <w:pPr>
        <w:pStyle w:val="ListParagraph"/>
        <w:numPr>
          <w:ilvl w:val="0"/>
          <w:numId w:val="19"/>
        </w:numPr>
        <w:spacing w:after="0" w:line="240" w:lineRule="auto"/>
        <w:jc w:val="both"/>
        <w:rPr>
          <w:color w:val="auto"/>
        </w:rPr>
      </w:pPr>
      <w:r>
        <w:rPr>
          <w:color w:val="auto"/>
        </w:rPr>
        <w:t xml:space="preserve">Live Exercise </w:t>
      </w:r>
      <w:proofErr w:type="spellStart"/>
      <w:r>
        <w:rPr>
          <w:color w:val="auto"/>
        </w:rPr>
        <w:t>Obtundity</w:t>
      </w:r>
      <w:proofErr w:type="spellEnd"/>
      <w:r>
        <w:rPr>
          <w:color w:val="auto"/>
        </w:rPr>
        <w:t xml:space="preserve"> – York Minster </w:t>
      </w:r>
      <w:r w:rsidR="000234AC">
        <w:rPr>
          <w:color w:val="auto"/>
        </w:rPr>
        <w:t>Counter Terrorism Exercise</w:t>
      </w:r>
    </w:p>
    <w:p w14:paraId="6991CD7A" w14:textId="27ACC936" w:rsidR="000234AC" w:rsidRDefault="000234AC" w:rsidP="0065016C">
      <w:pPr>
        <w:pStyle w:val="ListParagraph"/>
        <w:numPr>
          <w:ilvl w:val="0"/>
          <w:numId w:val="19"/>
        </w:numPr>
        <w:spacing w:after="0" w:line="240" w:lineRule="auto"/>
        <w:jc w:val="both"/>
        <w:rPr>
          <w:color w:val="auto"/>
        </w:rPr>
      </w:pPr>
      <w:r>
        <w:rPr>
          <w:color w:val="auto"/>
        </w:rPr>
        <w:t>Exercise Buckthorn – Hull University Teaching Hospitals Communications Exercise</w:t>
      </w:r>
    </w:p>
    <w:p w14:paraId="3B553AC3" w14:textId="6EA1ECB0" w:rsidR="000234AC" w:rsidRDefault="000234AC" w:rsidP="0065016C">
      <w:pPr>
        <w:pStyle w:val="ListParagraph"/>
        <w:numPr>
          <w:ilvl w:val="0"/>
          <w:numId w:val="19"/>
        </w:numPr>
        <w:spacing w:after="0" w:line="240" w:lineRule="auto"/>
        <w:jc w:val="both"/>
        <w:rPr>
          <w:color w:val="auto"/>
        </w:rPr>
      </w:pPr>
      <w:r>
        <w:rPr>
          <w:color w:val="auto"/>
        </w:rPr>
        <w:t xml:space="preserve">Exercise </w:t>
      </w:r>
      <w:proofErr w:type="spellStart"/>
      <w:r>
        <w:rPr>
          <w:color w:val="auto"/>
        </w:rPr>
        <w:t>Tussio</w:t>
      </w:r>
      <w:proofErr w:type="spellEnd"/>
      <w:r>
        <w:rPr>
          <w:color w:val="auto"/>
        </w:rPr>
        <w:t xml:space="preserve"> – North Yorkshire LRF Infectious Disease Exercise</w:t>
      </w:r>
      <w:r w:rsidR="001A7C4E">
        <w:rPr>
          <w:color w:val="auto"/>
        </w:rPr>
        <w:t xml:space="preserve">. The ICB facilitated at this exercise alongside the LRF. </w:t>
      </w:r>
    </w:p>
    <w:p w14:paraId="09125D69" w14:textId="0CD1C0F7" w:rsidR="000234AC" w:rsidRPr="001A7C4E" w:rsidRDefault="00F625DB" w:rsidP="0065016C">
      <w:pPr>
        <w:pStyle w:val="ListParagraph"/>
        <w:numPr>
          <w:ilvl w:val="0"/>
          <w:numId w:val="19"/>
        </w:numPr>
        <w:spacing w:after="0" w:line="240" w:lineRule="auto"/>
        <w:jc w:val="both"/>
      </w:pPr>
      <w:r w:rsidRPr="001A7C4E">
        <w:t xml:space="preserve">Two Cyber Attack Exercises – one internal to the ICB and the other hosted by the ICB for the system. </w:t>
      </w:r>
    </w:p>
    <w:p w14:paraId="08C444F2" w14:textId="1813E2A9" w:rsidR="000071F0" w:rsidRPr="001A7C4E" w:rsidRDefault="000071F0" w:rsidP="0065016C">
      <w:pPr>
        <w:pStyle w:val="ListParagraph"/>
        <w:numPr>
          <w:ilvl w:val="0"/>
          <w:numId w:val="19"/>
        </w:numPr>
        <w:spacing w:after="0" w:line="240" w:lineRule="auto"/>
        <w:jc w:val="both"/>
      </w:pPr>
      <w:r w:rsidRPr="001A7C4E">
        <w:t xml:space="preserve">Vulnerable Persons Data Pull Exercise </w:t>
      </w:r>
    </w:p>
    <w:p w14:paraId="52B48186" w14:textId="16024825" w:rsidR="000071F0" w:rsidRDefault="000071F0" w:rsidP="0065016C">
      <w:pPr>
        <w:pStyle w:val="ListParagraph"/>
        <w:numPr>
          <w:ilvl w:val="0"/>
          <w:numId w:val="19"/>
        </w:numPr>
        <w:spacing w:after="0" w:line="240" w:lineRule="auto"/>
        <w:jc w:val="both"/>
        <w:rPr>
          <w:color w:val="auto"/>
        </w:rPr>
      </w:pPr>
      <w:r>
        <w:rPr>
          <w:color w:val="auto"/>
        </w:rPr>
        <w:t>Scarborough Open Air Theatre Exercise</w:t>
      </w:r>
    </w:p>
    <w:p w14:paraId="56FF5FA2" w14:textId="572150E5" w:rsidR="000071F0" w:rsidRDefault="00D471E3" w:rsidP="0065016C">
      <w:pPr>
        <w:pStyle w:val="ListParagraph"/>
        <w:numPr>
          <w:ilvl w:val="0"/>
          <w:numId w:val="19"/>
        </w:numPr>
        <w:spacing w:after="0" w:line="240" w:lineRule="auto"/>
        <w:jc w:val="both"/>
        <w:rPr>
          <w:color w:val="auto"/>
        </w:rPr>
      </w:pPr>
      <w:r>
        <w:rPr>
          <w:color w:val="auto"/>
        </w:rPr>
        <w:t xml:space="preserve">Exercise Toucan – Communications Test </w:t>
      </w:r>
    </w:p>
    <w:p w14:paraId="2E87FF89" w14:textId="6AC64C3E" w:rsidR="00D471E3" w:rsidRDefault="00D471E3" w:rsidP="0065016C">
      <w:pPr>
        <w:pStyle w:val="ListParagraph"/>
        <w:numPr>
          <w:ilvl w:val="0"/>
          <w:numId w:val="19"/>
        </w:numPr>
        <w:spacing w:after="0" w:line="240" w:lineRule="auto"/>
        <w:jc w:val="both"/>
        <w:rPr>
          <w:color w:val="auto"/>
        </w:rPr>
      </w:pPr>
      <w:r>
        <w:rPr>
          <w:color w:val="auto"/>
        </w:rPr>
        <w:t xml:space="preserve">York Hospital Mass Casualty Tabletop – </w:t>
      </w:r>
      <w:proofErr w:type="spellStart"/>
      <w:r>
        <w:rPr>
          <w:color w:val="auto"/>
        </w:rPr>
        <w:t>Obtundity</w:t>
      </w:r>
      <w:proofErr w:type="spellEnd"/>
      <w:r>
        <w:rPr>
          <w:color w:val="auto"/>
        </w:rPr>
        <w:t xml:space="preserve"> Follow Up </w:t>
      </w:r>
    </w:p>
    <w:p w14:paraId="2BDE1B03" w14:textId="576ABC4C" w:rsidR="00D471E3" w:rsidRDefault="00D471E3" w:rsidP="0065016C">
      <w:pPr>
        <w:pStyle w:val="ListParagraph"/>
        <w:numPr>
          <w:ilvl w:val="0"/>
          <w:numId w:val="19"/>
        </w:numPr>
        <w:spacing w:after="0" w:line="240" w:lineRule="auto"/>
        <w:jc w:val="both"/>
        <w:rPr>
          <w:color w:val="auto"/>
        </w:rPr>
      </w:pPr>
      <w:r>
        <w:rPr>
          <w:color w:val="auto"/>
        </w:rPr>
        <w:t>Humberside Airport Port Health Exercise</w:t>
      </w:r>
    </w:p>
    <w:p w14:paraId="62D1BC3D" w14:textId="21B94A81" w:rsidR="00F04CC5" w:rsidRDefault="00F04CC5" w:rsidP="0065016C">
      <w:pPr>
        <w:pStyle w:val="ListParagraph"/>
        <w:numPr>
          <w:ilvl w:val="0"/>
          <w:numId w:val="19"/>
        </w:numPr>
        <w:spacing w:after="0" w:line="240" w:lineRule="auto"/>
        <w:jc w:val="both"/>
        <w:rPr>
          <w:color w:val="auto"/>
        </w:rPr>
      </w:pPr>
      <w:r>
        <w:rPr>
          <w:color w:val="auto"/>
        </w:rPr>
        <w:t>York Hospital Evacuation Operational Workshop</w:t>
      </w:r>
    </w:p>
    <w:p w14:paraId="41EF774A" w14:textId="1D58389A" w:rsidR="00D471E3" w:rsidRPr="001A7C4E" w:rsidRDefault="006D75CD" w:rsidP="0065016C">
      <w:pPr>
        <w:pStyle w:val="ListParagraph"/>
        <w:numPr>
          <w:ilvl w:val="0"/>
          <w:numId w:val="19"/>
        </w:numPr>
        <w:spacing w:after="0" w:line="240" w:lineRule="auto"/>
        <w:jc w:val="both"/>
      </w:pPr>
      <w:r w:rsidRPr="001A7C4E">
        <w:t xml:space="preserve">Exercise Bruma </w:t>
      </w:r>
    </w:p>
    <w:p w14:paraId="726E94A1" w14:textId="2A71573E" w:rsidR="008813F0" w:rsidRPr="001A7C4E" w:rsidRDefault="008813F0" w:rsidP="0065016C">
      <w:pPr>
        <w:pStyle w:val="ListParagraph"/>
        <w:numPr>
          <w:ilvl w:val="0"/>
          <w:numId w:val="19"/>
        </w:numPr>
        <w:spacing w:after="0" w:line="240" w:lineRule="auto"/>
        <w:jc w:val="both"/>
      </w:pPr>
      <w:r w:rsidRPr="001A7C4E">
        <w:t>Exercise Fawkes – Internal Communication Exercise</w:t>
      </w:r>
    </w:p>
    <w:p w14:paraId="62A3B8D3" w14:textId="77777777" w:rsidR="0065016C" w:rsidRDefault="0065016C" w:rsidP="004B70BC">
      <w:pPr>
        <w:spacing w:after="0" w:line="240" w:lineRule="auto"/>
        <w:jc w:val="both"/>
        <w:rPr>
          <w:sz w:val="24"/>
          <w:szCs w:val="24"/>
        </w:rPr>
      </w:pPr>
    </w:p>
    <w:p w14:paraId="4D528F6B" w14:textId="10491CF9" w:rsidR="004B70BC" w:rsidRDefault="00F1645D" w:rsidP="00EC2F99">
      <w:pPr>
        <w:pStyle w:val="ListParagraph"/>
        <w:numPr>
          <w:ilvl w:val="1"/>
          <w:numId w:val="1"/>
        </w:numPr>
        <w:spacing w:after="0" w:line="240" w:lineRule="auto"/>
        <w:ind w:left="567" w:hanging="567"/>
        <w:jc w:val="both"/>
        <w:rPr>
          <w:b/>
          <w:bCs/>
          <w:color w:val="auto"/>
          <w:sz w:val="24"/>
          <w:szCs w:val="24"/>
        </w:rPr>
      </w:pPr>
      <w:r>
        <w:rPr>
          <w:b/>
          <w:bCs/>
          <w:color w:val="auto"/>
          <w:sz w:val="24"/>
          <w:szCs w:val="24"/>
        </w:rPr>
        <w:t>Lessons Identified</w:t>
      </w:r>
    </w:p>
    <w:p w14:paraId="4A79EC4C" w14:textId="77777777" w:rsidR="00EC2F99" w:rsidRDefault="00EC2F99" w:rsidP="00EC2F99">
      <w:pPr>
        <w:spacing w:after="0" w:line="240" w:lineRule="auto"/>
        <w:ind w:left="567"/>
        <w:rPr>
          <w:color w:val="000000" w:themeColor="text1"/>
        </w:rPr>
      </w:pPr>
    </w:p>
    <w:p w14:paraId="3951141F" w14:textId="7A4BD6BC" w:rsidR="00E60C42" w:rsidRPr="00E60C42" w:rsidRDefault="00E60C42" w:rsidP="00EC2F99">
      <w:pPr>
        <w:spacing w:after="0" w:line="240" w:lineRule="auto"/>
        <w:ind w:left="567"/>
        <w:rPr>
          <w:color w:val="000000" w:themeColor="text1"/>
        </w:rPr>
      </w:pPr>
      <w:r w:rsidRPr="00E60C42">
        <w:rPr>
          <w:color w:val="000000" w:themeColor="text1"/>
        </w:rPr>
        <w:t>The ICB</w:t>
      </w:r>
      <w:r>
        <w:rPr>
          <w:color w:val="000000" w:themeColor="text1"/>
        </w:rPr>
        <w:t xml:space="preserve"> is required to ensure it applies a continuous cycle of learning and improvement as a result of </w:t>
      </w:r>
      <w:r w:rsidR="005C5EB5">
        <w:rPr>
          <w:color w:val="000000" w:themeColor="text1"/>
        </w:rPr>
        <w:t xml:space="preserve">any incidents, training sessions or exercises. The below table summarises some of the high level lessons identified since the last report; the actions for which are monitored </w:t>
      </w:r>
      <w:r w:rsidR="00A24E82">
        <w:rPr>
          <w:color w:val="000000" w:themeColor="text1"/>
        </w:rPr>
        <w:t xml:space="preserve">by the EPRR Team on the single Master Action Tracker. </w:t>
      </w:r>
    </w:p>
    <w:p w14:paraId="4BC66203" w14:textId="77777777" w:rsidR="00E60C42" w:rsidRDefault="00E60C42" w:rsidP="00E60C42">
      <w:pPr>
        <w:spacing w:after="0" w:line="240" w:lineRule="auto"/>
        <w:jc w:val="both"/>
        <w:rPr>
          <w:sz w:val="24"/>
          <w:szCs w:val="24"/>
        </w:rPr>
      </w:pPr>
    </w:p>
    <w:tbl>
      <w:tblPr>
        <w:tblStyle w:val="GridTable2-Accent5"/>
        <w:tblW w:w="9628" w:type="dxa"/>
        <w:tblLook w:val="04A0" w:firstRow="1" w:lastRow="0" w:firstColumn="1" w:lastColumn="0" w:noHBand="0" w:noVBand="1"/>
      </w:tblPr>
      <w:tblGrid>
        <w:gridCol w:w="3209"/>
        <w:gridCol w:w="3209"/>
        <w:gridCol w:w="3210"/>
      </w:tblGrid>
      <w:tr w:rsidR="00A24E82" w:rsidRPr="00A24E82" w14:paraId="515440B3" w14:textId="77777777" w:rsidTr="00F50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auto"/>
              <w:left w:val="single" w:sz="4" w:space="0" w:color="auto"/>
            </w:tcBorders>
          </w:tcPr>
          <w:p w14:paraId="629314BD" w14:textId="02F58C29" w:rsidR="00E60C42" w:rsidRPr="00A24E82" w:rsidRDefault="00A24E82" w:rsidP="00E60C42">
            <w:pPr>
              <w:spacing w:after="0" w:line="240" w:lineRule="auto"/>
              <w:jc w:val="both"/>
              <w:rPr>
                <w:color w:val="000000" w:themeColor="text1"/>
              </w:rPr>
            </w:pPr>
            <w:r w:rsidRPr="00A24E82">
              <w:rPr>
                <w:color w:val="000000" w:themeColor="text1"/>
              </w:rPr>
              <w:t>Exercise or Incident</w:t>
            </w:r>
          </w:p>
        </w:tc>
        <w:tc>
          <w:tcPr>
            <w:tcW w:w="3209" w:type="dxa"/>
            <w:tcBorders>
              <w:top w:val="single" w:sz="4" w:space="0" w:color="auto"/>
            </w:tcBorders>
          </w:tcPr>
          <w:p w14:paraId="3F8F8C5F" w14:textId="03B0D100" w:rsidR="00E60C42" w:rsidRPr="00A24E82" w:rsidRDefault="00A24E82" w:rsidP="00E60C42">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A24E82">
              <w:rPr>
                <w:color w:val="000000" w:themeColor="text1"/>
              </w:rPr>
              <w:t>Lessons Identified</w:t>
            </w:r>
          </w:p>
        </w:tc>
        <w:tc>
          <w:tcPr>
            <w:tcW w:w="3210" w:type="dxa"/>
            <w:tcBorders>
              <w:top w:val="single" w:sz="4" w:space="0" w:color="auto"/>
              <w:right w:val="single" w:sz="4" w:space="0" w:color="auto"/>
            </w:tcBorders>
          </w:tcPr>
          <w:p w14:paraId="01090011" w14:textId="28D0C477" w:rsidR="00E60C42" w:rsidRPr="00A24E82" w:rsidRDefault="00A24E82" w:rsidP="00E60C42">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A24E82">
              <w:rPr>
                <w:color w:val="000000" w:themeColor="text1"/>
              </w:rPr>
              <w:t>Resulting Actions</w:t>
            </w:r>
          </w:p>
        </w:tc>
      </w:tr>
      <w:tr w:rsidR="00A24E82" w:rsidRPr="00A24E82" w14:paraId="20F9877A" w14:textId="77777777" w:rsidTr="00F50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tcBorders>
          </w:tcPr>
          <w:p w14:paraId="2842F988" w14:textId="63136DBB" w:rsidR="00E60C42" w:rsidRPr="00A24E82" w:rsidRDefault="0029418F" w:rsidP="00E60C42">
            <w:pPr>
              <w:spacing w:after="0" w:line="240" w:lineRule="auto"/>
              <w:jc w:val="both"/>
              <w:rPr>
                <w:color w:val="000000" w:themeColor="text1"/>
              </w:rPr>
            </w:pPr>
            <w:r>
              <w:rPr>
                <w:color w:val="000000" w:themeColor="text1"/>
              </w:rPr>
              <w:t xml:space="preserve">Exercise </w:t>
            </w:r>
            <w:proofErr w:type="spellStart"/>
            <w:r>
              <w:rPr>
                <w:color w:val="000000" w:themeColor="text1"/>
              </w:rPr>
              <w:t>Tussio</w:t>
            </w:r>
            <w:proofErr w:type="spellEnd"/>
          </w:p>
        </w:tc>
        <w:tc>
          <w:tcPr>
            <w:tcW w:w="3209" w:type="dxa"/>
          </w:tcPr>
          <w:p w14:paraId="1638D4B1" w14:textId="77777777" w:rsidR="00E60C42" w:rsidRDefault="00374FF4"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 need to review operational plans associated with outbreak control pathways</w:t>
            </w:r>
            <w:r w:rsidR="00DA3456">
              <w:rPr>
                <w:color w:val="000000" w:themeColor="text1"/>
              </w:rPr>
              <w:t xml:space="preserve">. </w:t>
            </w:r>
          </w:p>
          <w:p w14:paraId="685A71B2" w14:textId="77777777" w:rsidR="00DA3456" w:rsidRDefault="00DA3456"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Consideration needs to be given to contact tracing surge and support that can be provided to UKHSA and/or local authorities. </w:t>
            </w:r>
          </w:p>
          <w:p w14:paraId="16CF6DD5" w14:textId="77777777" w:rsidR="00DA3456" w:rsidRDefault="00DA3456"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Communication plans should be robust and cover all elements of healthcare. </w:t>
            </w:r>
          </w:p>
          <w:p w14:paraId="2C6BA7EE" w14:textId="523B3905" w:rsidR="00DA3456" w:rsidRPr="00A24E82" w:rsidRDefault="00DA3456"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210" w:type="dxa"/>
            <w:tcBorders>
              <w:right w:val="single" w:sz="4" w:space="0" w:color="auto"/>
            </w:tcBorders>
          </w:tcPr>
          <w:p w14:paraId="2A11871D" w14:textId="77777777" w:rsidR="00E60C42" w:rsidRDefault="00EB6B22"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Establishment of LHRP Outbreak Task and Finish Group to map gaps and pathways, to ensure roles and responsibilities are clear from assessment through to prescription and administration. </w:t>
            </w:r>
          </w:p>
          <w:p w14:paraId="2C65BDE1" w14:textId="77777777" w:rsidR="00EB6B22" w:rsidRDefault="00EB6B22"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5392379F" w14:textId="77777777" w:rsidR="00EB6B22" w:rsidRDefault="00EB3BD1"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Communications and Media EPRR Plan required for the ICB that considers the whole health economy including primary care. </w:t>
            </w:r>
          </w:p>
          <w:p w14:paraId="0292AD5D" w14:textId="77777777" w:rsidR="00EB3BD1" w:rsidRDefault="00EB3BD1"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391620EA" w14:textId="5AC30E89" w:rsidR="00EB3BD1" w:rsidRPr="00A24E82" w:rsidRDefault="007C16AF"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Operational plans to be considered for all possible resources including contact tracing. </w:t>
            </w:r>
          </w:p>
        </w:tc>
      </w:tr>
      <w:tr w:rsidR="00A24E82" w:rsidRPr="00A24E82" w14:paraId="68461D40" w14:textId="77777777" w:rsidTr="00F50162">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tcBorders>
          </w:tcPr>
          <w:p w14:paraId="1FCF1E53" w14:textId="25F8FB27" w:rsidR="00E60C42" w:rsidRPr="00A24E82" w:rsidRDefault="0029418F" w:rsidP="00E60C42">
            <w:pPr>
              <w:spacing w:after="0" w:line="240" w:lineRule="auto"/>
              <w:jc w:val="both"/>
              <w:rPr>
                <w:color w:val="000000" w:themeColor="text1"/>
              </w:rPr>
            </w:pPr>
            <w:r>
              <w:rPr>
                <w:color w:val="000000" w:themeColor="text1"/>
              </w:rPr>
              <w:t>Cyber Exercise March 2024</w:t>
            </w:r>
          </w:p>
        </w:tc>
        <w:tc>
          <w:tcPr>
            <w:tcW w:w="3209" w:type="dxa"/>
          </w:tcPr>
          <w:p w14:paraId="1BA85074" w14:textId="77777777" w:rsidR="00E60C42" w:rsidRDefault="00893E55"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Cyber action cards were out of date. </w:t>
            </w:r>
          </w:p>
          <w:p w14:paraId="3589BAAC" w14:textId="77777777" w:rsidR="00D06580" w:rsidRDefault="00D06580"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056DEBC3" w14:textId="77777777" w:rsidR="00893E55" w:rsidRDefault="00893E55"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WhatsApp Groups required updating for digital. </w:t>
            </w:r>
          </w:p>
          <w:p w14:paraId="5DDA7DEE" w14:textId="77777777" w:rsidR="00D06580" w:rsidRDefault="00D06580"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44633A02" w14:textId="77777777" w:rsidR="00893E55" w:rsidRDefault="00CF290B"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Communications and Media plan unavailable from an EPRR perspective. </w:t>
            </w:r>
          </w:p>
          <w:p w14:paraId="71E32C1B" w14:textId="77777777" w:rsidR="00D06580" w:rsidRDefault="00D06580"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67CB292C" w14:textId="20376E97" w:rsidR="00CF290B" w:rsidRPr="00A24E82" w:rsidRDefault="00CF290B"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Resilience required around on-call packs and the production of physical paperwork. </w:t>
            </w:r>
          </w:p>
        </w:tc>
        <w:tc>
          <w:tcPr>
            <w:tcW w:w="3210" w:type="dxa"/>
            <w:tcBorders>
              <w:right w:val="single" w:sz="4" w:space="0" w:color="auto"/>
            </w:tcBorders>
          </w:tcPr>
          <w:p w14:paraId="0C7650C6" w14:textId="77777777" w:rsidR="00E60C42" w:rsidRDefault="00CF290B"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Action cards to be updated by the digital team. </w:t>
            </w:r>
          </w:p>
          <w:p w14:paraId="13B56FCB" w14:textId="77777777" w:rsidR="00CF290B" w:rsidRDefault="00CF290B"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76C200CB" w14:textId="77777777" w:rsidR="00CF290B" w:rsidRDefault="00CF290B"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Digital WhatsApp Groups to be updated to include North Yorkshire Colleagues</w:t>
            </w:r>
          </w:p>
          <w:p w14:paraId="62BB2B93" w14:textId="77777777" w:rsidR="00CF290B" w:rsidRDefault="00CF290B"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5D4EDB27" w14:textId="5994AE64" w:rsidR="00CF290B" w:rsidRDefault="00CF290B"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EPRR Communications and </w:t>
            </w:r>
            <w:r w:rsidR="00D06580">
              <w:rPr>
                <w:color w:val="000000" w:themeColor="text1"/>
              </w:rPr>
              <w:t xml:space="preserve">Media Plan to be developed including means of resilient communications </w:t>
            </w:r>
            <w:r w:rsidR="00033DFC">
              <w:rPr>
                <w:color w:val="000000" w:themeColor="text1"/>
              </w:rPr>
              <w:t>e.g. radio</w:t>
            </w:r>
          </w:p>
          <w:p w14:paraId="02491DBF" w14:textId="77777777" w:rsidR="00033DFC" w:rsidRDefault="00033DFC"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77F760B6" w14:textId="6DCE243C" w:rsidR="00D06580" w:rsidRPr="00A24E82" w:rsidRDefault="00033DFC" w:rsidP="00033DFC">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Production of physical copies of plans for Incident Command Centres and a physical “need to know” action card for commanders to have on their person. </w:t>
            </w:r>
          </w:p>
        </w:tc>
      </w:tr>
      <w:tr w:rsidR="00A24E82" w:rsidRPr="00A24E82" w14:paraId="02D76A67" w14:textId="77777777" w:rsidTr="00F50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tcBorders>
          </w:tcPr>
          <w:p w14:paraId="64DD1942" w14:textId="5BE59A80" w:rsidR="00E60C42" w:rsidRPr="00A24E82" w:rsidRDefault="003221F0" w:rsidP="00E60C42">
            <w:pPr>
              <w:spacing w:after="0" w:line="240" w:lineRule="auto"/>
              <w:jc w:val="both"/>
              <w:rPr>
                <w:color w:val="000000" w:themeColor="text1"/>
              </w:rPr>
            </w:pPr>
            <w:r>
              <w:rPr>
                <w:color w:val="000000" w:themeColor="text1"/>
              </w:rPr>
              <w:t xml:space="preserve">Vulnerable Persons Data Pull Exercise </w:t>
            </w:r>
          </w:p>
        </w:tc>
        <w:tc>
          <w:tcPr>
            <w:tcW w:w="3209" w:type="dxa"/>
          </w:tcPr>
          <w:p w14:paraId="111EE03B" w14:textId="25EF0E97" w:rsidR="00E60C42" w:rsidRPr="00A24E82" w:rsidRDefault="002D2006"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Organisations cannot usually facilitate data pulls out of hours or </w:t>
            </w:r>
            <w:r w:rsidR="005A77E8">
              <w:rPr>
                <w:color w:val="000000" w:themeColor="text1"/>
              </w:rPr>
              <w:t xml:space="preserve">in the event of a loss of power or internet. </w:t>
            </w:r>
          </w:p>
        </w:tc>
        <w:tc>
          <w:tcPr>
            <w:tcW w:w="3210" w:type="dxa"/>
            <w:tcBorders>
              <w:right w:val="single" w:sz="4" w:space="0" w:color="auto"/>
            </w:tcBorders>
          </w:tcPr>
          <w:p w14:paraId="688CF672" w14:textId="6BBEDD3F" w:rsidR="00E60C42" w:rsidRPr="00A24E82" w:rsidRDefault="005A77E8"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Proactive pulling of data is required, so Vulnerable Persons Protocol to be developed to outline triggers that when met merit the automatic pull of data by provider organisations that can be provided to on-call staff ahead of the weekend in the event of an incident. </w:t>
            </w:r>
          </w:p>
        </w:tc>
      </w:tr>
      <w:tr w:rsidR="00A24E82" w:rsidRPr="00A24E82" w14:paraId="08A9429B" w14:textId="77777777" w:rsidTr="00F50162">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tcBorders>
          </w:tcPr>
          <w:p w14:paraId="1D19B5FB" w14:textId="64A77BC6" w:rsidR="00E60C42" w:rsidRPr="00A24E82" w:rsidRDefault="00DA05B3" w:rsidP="00E60C42">
            <w:pPr>
              <w:spacing w:after="0" w:line="240" w:lineRule="auto"/>
              <w:jc w:val="both"/>
              <w:rPr>
                <w:color w:val="000000" w:themeColor="text1"/>
              </w:rPr>
            </w:pPr>
            <w:r>
              <w:rPr>
                <w:color w:val="000000" w:themeColor="text1"/>
              </w:rPr>
              <w:t>Humberside Airport Port Health Exercise</w:t>
            </w:r>
          </w:p>
        </w:tc>
        <w:tc>
          <w:tcPr>
            <w:tcW w:w="3209" w:type="dxa"/>
          </w:tcPr>
          <w:p w14:paraId="7E671960" w14:textId="4E7B284E" w:rsidR="00E60C42" w:rsidRPr="00A24E82" w:rsidRDefault="005A77E8"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EPRR Team and IPC Team require greater links to one another and a better understanding of capabilities and contact information</w:t>
            </w:r>
          </w:p>
        </w:tc>
        <w:tc>
          <w:tcPr>
            <w:tcW w:w="3210" w:type="dxa"/>
            <w:tcBorders>
              <w:right w:val="single" w:sz="4" w:space="0" w:color="auto"/>
            </w:tcBorders>
          </w:tcPr>
          <w:p w14:paraId="54457BBF" w14:textId="71D66A64" w:rsidR="00E60C42" w:rsidRPr="00A24E82" w:rsidRDefault="005A77E8"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EPRR Team to meet with the IPC team </w:t>
            </w:r>
            <w:r w:rsidR="001D7743">
              <w:rPr>
                <w:color w:val="000000" w:themeColor="text1"/>
              </w:rPr>
              <w:t xml:space="preserve">to discuss capabilities of the team and how they might be linked into the ICB’s Infectious Disease Plan. </w:t>
            </w:r>
          </w:p>
        </w:tc>
      </w:tr>
      <w:tr w:rsidR="00A24E82" w:rsidRPr="00A24E82" w14:paraId="73059DEF" w14:textId="77777777" w:rsidTr="00F50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tcBorders>
          </w:tcPr>
          <w:p w14:paraId="606CDD38" w14:textId="58CD705C" w:rsidR="00E60C42" w:rsidRPr="00A24E82" w:rsidRDefault="00DA05B3" w:rsidP="00E60C42">
            <w:pPr>
              <w:spacing w:after="0" w:line="240" w:lineRule="auto"/>
              <w:jc w:val="both"/>
              <w:rPr>
                <w:color w:val="000000" w:themeColor="text1"/>
              </w:rPr>
            </w:pPr>
            <w:r>
              <w:rPr>
                <w:color w:val="000000" w:themeColor="text1"/>
              </w:rPr>
              <w:lastRenderedPageBreak/>
              <w:t>Exercise Bruma</w:t>
            </w:r>
          </w:p>
        </w:tc>
        <w:tc>
          <w:tcPr>
            <w:tcW w:w="3209" w:type="dxa"/>
          </w:tcPr>
          <w:p w14:paraId="61D8B86C" w14:textId="77777777" w:rsidR="00E60C42" w:rsidRDefault="00C03888"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Staff were not always aware of how to contact the EPRR Team or on-call director. </w:t>
            </w:r>
          </w:p>
          <w:p w14:paraId="6073963E" w14:textId="77777777" w:rsidR="00C03888" w:rsidRDefault="00C03888"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1178B047" w14:textId="77777777" w:rsidR="00C03888" w:rsidRDefault="00D4308E"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Resilience is key in terms of monitoring central inboxes in the event of staff absence. </w:t>
            </w:r>
          </w:p>
          <w:p w14:paraId="0B5911CD" w14:textId="77777777" w:rsidR="00DB7283" w:rsidRDefault="00DB7283"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4453F27F" w14:textId="77777777" w:rsidR="00DB7283" w:rsidRDefault="00DB7283"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System Coordination Centre not always aware of business continuity incidents. </w:t>
            </w:r>
          </w:p>
          <w:p w14:paraId="5E6F8B1D" w14:textId="77777777" w:rsidR="00DB7283" w:rsidRDefault="00DB7283"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4B6F8DED" w14:textId="4C6DA861" w:rsidR="005358B0" w:rsidRPr="00A24E82" w:rsidRDefault="00DB7283"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Single Point of Contact into the organisation is amalgamated with the EPRR inbox which can cause issues when a response is activated due to the amount of traf</w:t>
            </w:r>
            <w:r w:rsidR="005358B0">
              <w:rPr>
                <w:color w:val="000000" w:themeColor="text1"/>
              </w:rPr>
              <w:t>fic</w:t>
            </w:r>
          </w:p>
        </w:tc>
        <w:tc>
          <w:tcPr>
            <w:tcW w:w="3210" w:type="dxa"/>
            <w:tcBorders>
              <w:right w:val="single" w:sz="4" w:space="0" w:color="auto"/>
            </w:tcBorders>
          </w:tcPr>
          <w:p w14:paraId="63D6FE2D" w14:textId="77777777" w:rsidR="00E60C42" w:rsidRDefault="005358B0"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EPRR Intranet page to be developed for staff including plans, key staff and contact information. </w:t>
            </w:r>
          </w:p>
          <w:p w14:paraId="7A7CF8F1" w14:textId="77777777" w:rsidR="005358B0" w:rsidRDefault="005358B0"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1632F8F4" w14:textId="77777777" w:rsidR="005358B0" w:rsidRDefault="00B07FE3"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Inbox monitoring cover to be more robust with strengthened rotas. </w:t>
            </w:r>
          </w:p>
          <w:p w14:paraId="633FDBAA" w14:textId="77777777" w:rsidR="00B07FE3" w:rsidRDefault="00B07FE3"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2C588B2B" w14:textId="77777777" w:rsidR="00B07FE3" w:rsidRDefault="00B07FE3"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Action cards to be updated to include informing of the SCC. </w:t>
            </w:r>
          </w:p>
          <w:p w14:paraId="32F107D8" w14:textId="77777777" w:rsidR="00B07FE3" w:rsidRDefault="00B07FE3"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11A49C1C" w14:textId="4569ACDE" w:rsidR="00B07FE3" w:rsidRPr="00A24E82" w:rsidRDefault="00B07FE3"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Single point of contact and EPRR Inbox to be separated so that the EPRR Inbox can have a greater degree of focus for responding to incidents. </w:t>
            </w:r>
          </w:p>
        </w:tc>
      </w:tr>
      <w:tr w:rsidR="00AA3A6A" w:rsidRPr="00A24E82" w14:paraId="7546C130" w14:textId="77777777" w:rsidTr="00F50162">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tcBorders>
          </w:tcPr>
          <w:p w14:paraId="4FCC64D4" w14:textId="3909D235" w:rsidR="00AA3A6A" w:rsidRDefault="00AA3A6A" w:rsidP="00E60C42">
            <w:pPr>
              <w:spacing w:after="0" w:line="240" w:lineRule="auto"/>
              <w:jc w:val="both"/>
              <w:rPr>
                <w:color w:val="000000" w:themeColor="text1"/>
              </w:rPr>
            </w:pPr>
            <w:r>
              <w:rPr>
                <w:color w:val="000000" w:themeColor="text1"/>
              </w:rPr>
              <w:t>Widespread Civil Unrest</w:t>
            </w:r>
          </w:p>
        </w:tc>
        <w:tc>
          <w:tcPr>
            <w:tcW w:w="3209" w:type="dxa"/>
          </w:tcPr>
          <w:p w14:paraId="6F44EC7C" w14:textId="7E080B9B" w:rsidR="00AA3A6A" w:rsidRPr="00A24E82" w:rsidRDefault="00DD4B16"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The ICB Command and Control Plan </w:t>
            </w:r>
            <w:r w:rsidR="007F5B63">
              <w:rPr>
                <w:color w:val="000000" w:themeColor="text1"/>
              </w:rPr>
              <w:t xml:space="preserve">does not make provision for the calling of a Health Co-ordinating Group even where an incident is not declared. </w:t>
            </w:r>
          </w:p>
        </w:tc>
        <w:tc>
          <w:tcPr>
            <w:tcW w:w="3210" w:type="dxa"/>
            <w:tcBorders>
              <w:right w:val="single" w:sz="4" w:space="0" w:color="auto"/>
            </w:tcBorders>
          </w:tcPr>
          <w:p w14:paraId="42313839" w14:textId="061B5B64" w:rsidR="00AA3A6A" w:rsidRPr="00A24E82" w:rsidRDefault="007F5B63"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Command and Control Framework to be strengthened to </w:t>
            </w:r>
            <w:r w:rsidR="001517F6">
              <w:rPr>
                <w:color w:val="000000" w:themeColor="text1"/>
              </w:rPr>
              <w:t xml:space="preserve">make it clear that HCG’s can be called even where an incident has not been declared where it felt </w:t>
            </w:r>
            <w:r w:rsidR="00161766">
              <w:rPr>
                <w:color w:val="000000" w:themeColor="text1"/>
              </w:rPr>
              <w:t xml:space="preserve">a shared view and conversation was merited. </w:t>
            </w:r>
          </w:p>
        </w:tc>
      </w:tr>
      <w:tr w:rsidR="00AA3A6A" w:rsidRPr="00A24E82" w14:paraId="52BCED44" w14:textId="77777777" w:rsidTr="00F50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tcBorders>
          </w:tcPr>
          <w:p w14:paraId="5DDC8D82" w14:textId="6E1B1BAE" w:rsidR="00AA3A6A" w:rsidRDefault="0096218D" w:rsidP="00E60C42">
            <w:pPr>
              <w:spacing w:after="0" w:line="240" w:lineRule="auto"/>
              <w:jc w:val="both"/>
              <w:rPr>
                <w:color w:val="000000" w:themeColor="text1"/>
              </w:rPr>
            </w:pPr>
            <w:r>
              <w:rPr>
                <w:color w:val="000000" w:themeColor="text1"/>
              </w:rPr>
              <w:t>H1N2 Incident</w:t>
            </w:r>
          </w:p>
        </w:tc>
        <w:tc>
          <w:tcPr>
            <w:tcW w:w="3209" w:type="dxa"/>
          </w:tcPr>
          <w:p w14:paraId="6EA38D57" w14:textId="77777777" w:rsidR="00AA3A6A" w:rsidRDefault="005333D7"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Resilience is needed for on-call managers who ought to be encouraged to take time back when they have a busy shift or are required to respond for long periods of time. </w:t>
            </w:r>
          </w:p>
          <w:p w14:paraId="1DD39B0E" w14:textId="77777777" w:rsidR="005333D7" w:rsidRDefault="005333D7"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1825C70F" w14:textId="77777777" w:rsidR="005333D7" w:rsidRDefault="006B0E2B"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On-call directories ought to include contact information for general practices. </w:t>
            </w:r>
          </w:p>
          <w:p w14:paraId="792FE980" w14:textId="77777777" w:rsidR="006B0E2B" w:rsidRDefault="006B0E2B"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013CE0DF" w14:textId="77777777" w:rsidR="006B0E2B" w:rsidRDefault="00031602"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Information sharing needs to be pre</w:t>
            </w:r>
            <w:r w:rsidR="00EE09FE">
              <w:rPr>
                <w:color w:val="000000" w:themeColor="text1"/>
              </w:rPr>
              <w:t xml:space="preserve">-agreed and platforms explored. </w:t>
            </w:r>
          </w:p>
          <w:p w14:paraId="5FF2F6E3" w14:textId="77777777" w:rsidR="00D03496" w:rsidRDefault="00D03496"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712DAC2F" w14:textId="1108B661" w:rsidR="00D03496" w:rsidRPr="00A24E82" w:rsidRDefault="00D03496" w:rsidP="00D03496">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Business continuity plans often do not take into account the possibility of isolation of staff as opposed to just sickness. </w:t>
            </w:r>
          </w:p>
        </w:tc>
        <w:tc>
          <w:tcPr>
            <w:tcW w:w="3210" w:type="dxa"/>
            <w:tcBorders>
              <w:right w:val="single" w:sz="4" w:space="0" w:color="auto"/>
            </w:tcBorders>
          </w:tcPr>
          <w:p w14:paraId="1687A749" w14:textId="77777777" w:rsidR="00AA3A6A" w:rsidRDefault="001541D4"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Rest and staff welfare encouraged and referenced directly in the new on-call policy.</w:t>
            </w:r>
          </w:p>
          <w:p w14:paraId="64B15F57" w14:textId="77777777" w:rsidR="001541D4" w:rsidRDefault="001541D4"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33833CB3" w14:textId="77777777" w:rsidR="001541D4" w:rsidRDefault="001541D4"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7655E43B" w14:textId="77777777" w:rsidR="001541D4" w:rsidRDefault="001541D4"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25FE357D" w14:textId="77777777" w:rsidR="001541D4" w:rsidRDefault="001541D4"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On-call Directory to be updated with primary care contact information</w:t>
            </w:r>
          </w:p>
          <w:p w14:paraId="321B6A49" w14:textId="77777777" w:rsidR="001541D4" w:rsidRDefault="001541D4"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4B8109CB" w14:textId="77777777" w:rsidR="001541D4" w:rsidRDefault="001541D4"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Information sharing agreements to be firmed up and </w:t>
            </w:r>
            <w:r w:rsidR="00476289">
              <w:rPr>
                <w:color w:val="000000" w:themeColor="text1"/>
              </w:rPr>
              <w:t>“Egress Workspace” to be discussed with UKHSA</w:t>
            </w:r>
          </w:p>
          <w:p w14:paraId="2805FA10" w14:textId="77777777" w:rsidR="00476289" w:rsidRDefault="00476289"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p w14:paraId="00337FDD" w14:textId="5D47A7A0" w:rsidR="00476289" w:rsidRPr="00A24E82" w:rsidRDefault="00476289" w:rsidP="00E60C42">
            <w:pPr>
              <w:spacing w:after="0"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Providers to consider, when drafting business continuity plans, the impact of 10 days isolation for staff that are contacts. </w:t>
            </w:r>
          </w:p>
        </w:tc>
      </w:tr>
      <w:tr w:rsidR="0096218D" w:rsidRPr="00A24E82" w14:paraId="087FE196" w14:textId="77777777" w:rsidTr="00F50162">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bottom w:val="single" w:sz="4" w:space="0" w:color="auto"/>
            </w:tcBorders>
          </w:tcPr>
          <w:p w14:paraId="4C68CFAE" w14:textId="05EC8010" w:rsidR="0096218D" w:rsidRDefault="0096218D" w:rsidP="00E60C42">
            <w:pPr>
              <w:spacing w:after="0" w:line="240" w:lineRule="auto"/>
              <w:jc w:val="both"/>
              <w:rPr>
                <w:color w:val="000000" w:themeColor="text1"/>
              </w:rPr>
            </w:pPr>
            <w:r>
              <w:rPr>
                <w:color w:val="000000" w:themeColor="text1"/>
              </w:rPr>
              <w:t>Suspected M-Pox Cases</w:t>
            </w:r>
          </w:p>
        </w:tc>
        <w:tc>
          <w:tcPr>
            <w:tcW w:w="3209" w:type="dxa"/>
            <w:tcBorders>
              <w:bottom w:val="single" w:sz="4" w:space="0" w:color="auto"/>
            </w:tcBorders>
          </w:tcPr>
          <w:p w14:paraId="537E76F6" w14:textId="77777777" w:rsidR="0096218D" w:rsidRDefault="00B1420C"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NHS England Regional Team should be contacted as soon as possible to support. </w:t>
            </w:r>
          </w:p>
          <w:p w14:paraId="519D3099" w14:textId="77777777" w:rsidR="00B1420C" w:rsidRDefault="00B1420C"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73320C94" w14:textId="77777777" w:rsidR="00B1420C" w:rsidRDefault="00B1420C"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Castle Hill Hospital </w:t>
            </w:r>
            <w:r w:rsidR="007F2318">
              <w:rPr>
                <w:color w:val="000000" w:themeColor="text1"/>
              </w:rPr>
              <w:t xml:space="preserve">should be contacted as soon as possible </w:t>
            </w:r>
            <w:r w:rsidR="002019EE">
              <w:rPr>
                <w:color w:val="000000" w:themeColor="text1"/>
              </w:rPr>
              <w:t xml:space="preserve">to remove the patient from A&amp;E if possible. </w:t>
            </w:r>
          </w:p>
          <w:p w14:paraId="075631B6" w14:textId="77777777" w:rsidR="002019EE" w:rsidRDefault="002019EE"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p>
          <w:p w14:paraId="6BF428AA" w14:textId="7429378D" w:rsidR="002019EE" w:rsidRPr="00A24E82" w:rsidRDefault="002019EE"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 xml:space="preserve">ICB on-call </w:t>
            </w:r>
            <w:r w:rsidR="0068013B">
              <w:rPr>
                <w:color w:val="000000" w:themeColor="text1"/>
              </w:rPr>
              <w:t>to be contacted as soon as possible to facilitate mutual aid</w:t>
            </w:r>
          </w:p>
        </w:tc>
        <w:tc>
          <w:tcPr>
            <w:tcW w:w="3210" w:type="dxa"/>
            <w:tcBorders>
              <w:bottom w:val="single" w:sz="4" w:space="0" w:color="auto"/>
              <w:right w:val="single" w:sz="4" w:space="0" w:color="auto"/>
            </w:tcBorders>
          </w:tcPr>
          <w:p w14:paraId="10C8F586" w14:textId="261084B6" w:rsidR="0096218D" w:rsidRPr="00A24E82" w:rsidRDefault="0068013B" w:rsidP="00E60C42">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lastRenderedPageBreak/>
              <w:t xml:space="preserve">M-Pox action card has been developed including identification of cases and </w:t>
            </w:r>
            <w:r w:rsidR="00F1645D">
              <w:rPr>
                <w:color w:val="000000" w:themeColor="text1"/>
              </w:rPr>
              <w:t xml:space="preserve">vaccination of contacts through the ICB M-Pox Technical Cell with these local considerations as well as the nationally developed pathway. Command and Control Framework updated to include contact of NHS England </w:t>
            </w:r>
            <w:r w:rsidR="00F1645D">
              <w:rPr>
                <w:color w:val="000000" w:themeColor="text1"/>
              </w:rPr>
              <w:lastRenderedPageBreak/>
              <w:t>Region for any possible high consequence infectious disease.</w:t>
            </w:r>
          </w:p>
        </w:tc>
      </w:tr>
    </w:tbl>
    <w:p w14:paraId="09EE9C16" w14:textId="77777777" w:rsidR="004B70BC" w:rsidRDefault="004B70BC" w:rsidP="004B70BC">
      <w:pPr>
        <w:pStyle w:val="ListParagraph"/>
        <w:spacing w:after="0" w:line="240" w:lineRule="auto"/>
        <w:ind w:left="851"/>
        <w:jc w:val="both"/>
        <w:rPr>
          <w:color w:val="auto"/>
          <w:sz w:val="24"/>
          <w:szCs w:val="24"/>
        </w:rPr>
      </w:pPr>
    </w:p>
    <w:p w14:paraId="75DAE6A5" w14:textId="77777777" w:rsidR="00BA07E7" w:rsidRPr="00F1645D" w:rsidRDefault="00BA07E7" w:rsidP="00BA07E7">
      <w:pPr>
        <w:pStyle w:val="ListParagraph"/>
        <w:numPr>
          <w:ilvl w:val="1"/>
          <w:numId w:val="1"/>
        </w:numPr>
        <w:spacing w:after="0" w:line="240" w:lineRule="auto"/>
        <w:ind w:left="567" w:hanging="567"/>
        <w:jc w:val="both"/>
        <w:rPr>
          <w:b/>
          <w:bCs/>
          <w:color w:val="auto"/>
          <w:sz w:val="24"/>
          <w:szCs w:val="24"/>
        </w:rPr>
      </w:pPr>
      <w:r w:rsidRPr="00F1645D">
        <w:rPr>
          <w:b/>
          <w:bCs/>
          <w:color w:val="auto"/>
          <w:sz w:val="24"/>
          <w:szCs w:val="24"/>
        </w:rPr>
        <w:t xml:space="preserve">Business Continuity </w:t>
      </w:r>
    </w:p>
    <w:p w14:paraId="69CF479E" w14:textId="77777777" w:rsidR="00BA07E7" w:rsidRPr="00F1645D" w:rsidRDefault="00BA07E7" w:rsidP="00BA07E7">
      <w:pPr>
        <w:pStyle w:val="ListParagraph"/>
        <w:spacing w:after="0" w:line="240" w:lineRule="auto"/>
        <w:ind w:left="567"/>
        <w:jc w:val="both"/>
        <w:rPr>
          <w:b/>
          <w:bCs/>
          <w:color w:val="auto"/>
          <w:sz w:val="24"/>
          <w:szCs w:val="24"/>
        </w:rPr>
      </w:pPr>
    </w:p>
    <w:p w14:paraId="7A859DB0" w14:textId="493CDF22" w:rsidR="00BA07E7" w:rsidRPr="00D82E6B" w:rsidRDefault="00F1645D" w:rsidP="00BA07E7">
      <w:pPr>
        <w:pStyle w:val="ListParagraph"/>
        <w:spacing w:after="0" w:line="240" w:lineRule="auto"/>
        <w:ind w:left="567"/>
        <w:jc w:val="both"/>
        <w:rPr>
          <w:color w:val="000000" w:themeColor="text1"/>
        </w:rPr>
      </w:pPr>
      <w:r w:rsidRPr="00D82E6B">
        <w:rPr>
          <w:color w:val="000000" w:themeColor="text1"/>
        </w:rPr>
        <w:t xml:space="preserve">The Corporate Affairs Team in the ICB holds the portfolio for Business Continuity, which is delivered in collaboration </w:t>
      </w:r>
      <w:r w:rsidR="005B7030" w:rsidRPr="00D82E6B">
        <w:rPr>
          <w:color w:val="000000" w:themeColor="text1"/>
        </w:rPr>
        <w:t>with the EPRR Team. The ICB has a Business Continuity Policy and Plan which outlines its Business Continuity Management System. The below key performance indicators have been developed for inclusion in the board report every year, to provide assurance to the board on effectiveness of the business continuity management system.</w:t>
      </w:r>
    </w:p>
    <w:p w14:paraId="60DC2646" w14:textId="77777777" w:rsidR="00C51D88" w:rsidRPr="00F1645D" w:rsidRDefault="00C51D88" w:rsidP="00BA07E7">
      <w:pPr>
        <w:pStyle w:val="ListParagraph"/>
        <w:spacing w:after="0" w:line="240" w:lineRule="auto"/>
        <w:ind w:left="567"/>
        <w:jc w:val="both"/>
        <w:rPr>
          <w:sz w:val="24"/>
          <w:szCs w:val="24"/>
        </w:rPr>
      </w:pPr>
    </w:p>
    <w:tbl>
      <w:tblPr>
        <w:tblW w:w="9072" w:type="dxa"/>
        <w:tblInd w:w="557" w:type="dxa"/>
        <w:tblCellMar>
          <w:left w:w="0" w:type="dxa"/>
          <w:right w:w="0" w:type="dxa"/>
        </w:tblCellMar>
        <w:tblLook w:val="04A0" w:firstRow="1" w:lastRow="0" w:firstColumn="1" w:lastColumn="0" w:noHBand="0" w:noVBand="1"/>
      </w:tblPr>
      <w:tblGrid>
        <w:gridCol w:w="4298"/>
        <w:gridCol w:w="4774"/>
      </w:tblGrid>
      <w:tr w:rsidR="00BA07E7" w:rsidRPr="00F1645D" w14:paraId="7E99F6DB" w14:textId="77777777" w:rsidTr="00C51D88">
        <w:tc>
          <w:tcPr>
            <w:tcW w:w="4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5AE7" w14:textId="77777777" w:rsidR="00BA07E7" w:rsidRPr="00C51D88" w:rsidRDefault="00BA07E7"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All directorates/collaboratives to have completed a BIA</w:t>
            </w:r>
          </w:p>
        </w:tc>
        <w:tc>
          <w:tcPr>
            <w:tcW w:w="4774"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494F3466" w14:textId="30014A56" w:rsidR="00BA07E7" w:rsidRPr="00C51D88" w:rsidRDefault="005B7030"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Yes – completed Q1 24/25</w:t>
            </w:r>
          </w:p>
        </w:tc>
      </w:tr>
      <w:tr w:rsidR="00BA07E7" w:rsidRPr="00F1645D" w14:paraId="4D863AC1" w14:textId="77777777" w:rsidTr="00C51D88">
        <w:tc>
          <w:tcPr>
            <w:tcW w:w="42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A02C89" w14:textId="77777777" w:rsidR="00BA07E7" w:rsidRPr="00C51D88" w:rsidRDefault="00BA07E7"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Strategic BIA has been reviewed</w:t>
            </w:r>
          </w:p>
        </w:tc>
        <w:tc>
          <w:tcPr>
            <w:tcW w:w="4774"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62D98312" w14:textId="7ECD1F34" w:rsidR="00BA07E7" w:rsidRPr="00C51D88" w:rsidRDefault="005B7030"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Yes – completed Q1 24/25</w:t>
            </w:r>
          </w:p>
        </w:tc>
      </w:tr>
      <w:tr w:rsidR="00BA07E7" w:rsidRPr="00F1645D" w14:paraId="5F6473C2" w14:textId="77777777" w:rsidTr="00C51D88">
        <w:tc>
          <w:tcPr>
            <w:tcW w:w="4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E990" w14:textId="77777777" w:rsidR="00BA07E7" w:rsidRPr="00C51D88" w:rsidRDefault="00BA07E7"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 xml:space="preserve">Exercise(s) have been completed to test all aspects business continuity arrangements. </w:t>
            </w:r>
          </w:p>
        </w:tc>
        <w:tc>
          <w:tcPr>
            <w:tcW w:w="4774"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6C74FEEB" w14:textId="1DCA9B4B" w:rsidR="00BA07E7" w:rsidRPr="00C51D88" w:rsidRDefault="005B7030"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Yes – Exercise Bruma completed in July 2024 for premises, persons and suppliers. Digital Exercise explored loss of technical solutions in March 2024</w:t>
            </w:r>
          </w:p>
        </w:tc>
      </w:tr>
      <w:tr w:rsidR="00BA07E7" w:rsidRPr="00F1645D" w14:paraId="695A7CE8" w14:textId="77777777" w:rsidTr="00C51D88">
        <w:tc>
          <w:tcPr>
            <w:tcW w:w="42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B9B304" w14:textId="77777777" w:rsidR="00BA07E7" w:rsidRPr="00C51D88" w:rsidRDefault="00BA07E7"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 xml:space="preserve">Any business continuity incidents have been entered onto the EPRR Team Incident Log </w:t>
            </w:r>
          </w:p>
        </w:tc>
        <w:tc>
          <w:tcPr>
            <w:tcW w:w="4774"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0E157C9E" w14:textId="0A4DB9BA" w:rsidR="00BA07E7" w:rsidRPr="00C51D88" w:rsidRDefault="002754DE"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Yes</w:t>
            </w:r>
          </w:p>
        </w:tc>
      </w:tr>
      <w:tr w:rsidR="00BA07E7" w:rsidRPr="00F1645D" w14:paraId="086B675F" w14:textId="77777777" w:rsidTr="00C51D88">
        <w:tc>
          <w:tcPr>
            <w:tcW w:w="42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76C35F" w14:textId="77777777" w:rsidR="00BA07E7" w:rsidRPr="00C51D88" w:rsidRDefault="00BA07E7"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Any business continuity exercises have been entered onto the EPRR Team Exercise Log</w:t>
            </w:r>
          </w:p>
        </w:tc>
        <w:tc>
          <w:tcPr>
            <w:tcW w:w="4774"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1A31ED5A" w14:textId="64E43B81" w:rsidR="00BA07E7" w:rsidRPr="00C51D88" w:rsidRDefault="002754DE"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Yes</w:t>
            </w:r>
          </w:p>
        </w:tc>
      </w:tr>
      <w:tr w:rsidR="00BA07E7" w:rsidRPr="00F1645D" w14:paraId="61D64B2C" w14:textId="77777777" w:rsidTr="00C51D88">
        <w:tc>
          <w:tcPr>
            <w:tcW w:w="4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95A8A" w14:textId="77777777" w:rsidR="00BA07E7" w:rsidRPr="00C51D88" w:rsidRDefault="00BA07E7"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Any lessons identified from incidents and exercises and their resultant actions have been captured on the Master Action Tracker</w:t>
            </w:r>
          </w:p>
        </w:tc>
        <w:tc>
          <w:tcPr>
            <w:tcW w:w="4774"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33C32E5C" w14:textId="72DF3BFD" w:rsidR="00BA07E7" w:rsidRPr="00C51D88" w:rsidRDefault="002754DE"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 xml:space="preserve">Yes </w:t>
            </w:r>
          </w:p>
        </w:tc>
      </w:tr>
      <w:tr w:rsidR="00BA07E7" w14:paraId="7F476BDC" w14:textId="77777777" w:rsidTr="00C51D88">
        <w:tc>
          <w:tcPr>
            <w:tcW w:w="4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EC952" w14:textId="77777777" w:rsidR="00BA07E7" w:rsidRPr="00C51D88" w:rsidRDefault="00BA07E7"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Business continuity plan has been reviewed, incorporating any changes to BIAs and/or changes due to lessons identified through incidents or exercising</w:t>
            </w:r>
          </w:p>
        </w:tc>
        <w:tc>
          <w:tcPr>
            <w:tcW w:w="4774"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14:paraId="534E5609" w14:textId="306B21AA" w:rsidR="00BA07E7" w:rsidRPr="00C51D88" w:rsidRDefault="002754DE" w:rsidP="00885A98">
            <w:pPr>
              <w:pStyle w:val="Heading2"/>
              <w:rPr>
                <w:rFonts w:ascii="Arial" w:eastAsia="Times New Roman" w:hAnsi="Arial" w:cs="Arial"/>
                <w:color w:val="auto"/>
                <w:sz w:val="22"/>
                <w:szCs w:val="22"/>
                <w:lang w:val="en-US"/>
              </w:rPr>
            </w:pPr>
            <w:r w:rsidRPr="00C51D88">
              <w:rPr>
                <w:rFonts w:ascii="Arial" w:eastAsia="Times New Roman" w:hAnsi="Arial" w:cs="Arial"/>
                <w:color w:val="auto"/>
                <w:sz w:val="22"/>
                <w:szCs w:val="22"/>
                <w:lang w:val="en-US"/>
              </w:rPr>
              <w:t xml:space="preserve">Yes. </w:t>
            </w:r>
            <w:r w:rsidR="00C51D88" w:rsidRPr="00C51D88">
              <w:rPr>
                <w:rFonts w:ascii="Arial" w:eastAsia="Times New Roman" w:hAnsi="Arial" w:cs="Arial"/>
                <w:color w:val="auto"/>
                <w:sz w:val="22"/>
                <w:szCs w:val="22"/>
                <w:lang w:val="en-US"/>
              </w:rPr>
              <w:t>Small changes to the plan required as a result of the exercises and revised BIAs which were signed off by the Executive Director for Corporate Affairs in October 2024.</w:t>
            </w:r>
          </w:p>
        </w:tc>
      </w:tr>
    </w:tbl>
    <w:p w14:paraId="7201D9E5" w14:textId="77777777" w:rsidR="00BA07E7" w:rsidRDefault="00BA07E7" w:rsidP="00BA07E7">
      <w:pPr>
        <w:pStyle w:val="ListParagraph"/>
        <w:spacing w:after="0" w:line="240" w:lineRule="auto"/>
        <w:ind w:left="567"/>
        <w:jc w:val="both"/>
        <w:rPr>
          <w:b/>
          <w:bCs/>
          <w:color w:val="auto"/>
          <w:sz w:val="24"/>
          <w:szCs w:val="24"/>
        </w:rPr>
      </w:pPr>
    </w:p>
    <w:p w14:paraId="46266307" w14:textId="41A9B2E3" w:rsidR="00BA07E7" w:rsidRDefault="00BA07E7" w:rsidP="00BA07E7">
      <w:pPr>
        <w:pStyle w:val="ListParagraph"/>
        <w:numPr>
          <w:ilvl w:val="1"/>
          <w:numId w:val="1"/>
        </w:numPr>
        <w:spacing w:after="0" w:line="240" w:lineRule="auto"/>
        <w:ind w:left="567" w:hanging="567"/>
        <w:jc w:val="both"/>
        <w:rPr>
          <w:b/>
          <w:bCs/>
          <w:color w:val="auto"/>
          <w:sz w:val="24"/>
          <w:szCs w:val="24"/>
        </w:rPr>
      </w:pPr>
      <w:r>
        <w:rPr>
          <w:b/>
          <w:bCs/>
          <w:color w:val="auto"/>
          <w:sz w:val="24"/>
          <w:szCs w:val="24"/>
        </w:rPr>
        <w:t xml:space="preserve">Core Standards </w:t>
      </w:r>
      <w:r w:rsidR="00C150B2">
        <w:rPr>
          <w:b/>
          <w:bCs/>
          <w:color w:val="auto"/>
          <w:sz w:val="24"/>
          <w:szCs w:val="24"/>
        </w:rPr>
        <w:t>Self-Assessment 2024/25</w:t>
      </w:r>
    </w:p>
    <w:p w14:paraId="5BDD4EDD" w14:textId="77777777" w:rsidR="00D425B2" w:rsidRDefault="00D425B2" w:rsidP="00D425B2">
      <w:pPr>
        <w:pStyle w:val="ListParagraph"/>
        <w:spacing w:after="0" w:line="240" w:lineRule="auto"/>
        <w:ind w:left="567"/>
        <w:jc w:val="both"/>
        <w:rPr>
          <w:b/>
          <w:bCs/>
          <w:color w:val="auto"/>
          <w:sz w:val="24"/>
          <w:szCs w:val="24"/>
        </w:rPr>
      </w:pPr>
    </w:p>
    <w:p w14:paraId="6972CB83" w14:textId="6DF1DD21" w:rsidR="00D425B2" w:rsidRDefault="00D425B2" w:rsidP="00D425B2">
      <w:pPr>
        <w:pStyle w:val="ListParagraph"/>
        <w:numPr>
          <w:ilvl w:val="2"/>
          <w:numId w:val="1"/>
        </w:numPr>
        <w:spacing w:after="0" w:line="240" w:lineRule="auto"/>
        <w:jc w:val="both"/>
        <w:rPr>
          <w:b/>
          <w:bCs/>
          <w:color w:val="auto"/>
          <w:sz w:val="24"/>
          <w:szCs w:val="24"/>
        </w:rPr>
      </w:pPr>
      <w:r>
        <w:rPr>
          <w:b/>
          <w:bCs/>
          <w:color w:val="auto"/>
          <w:sz w:val="24"/>
          <w:szCs w:val="24"/>
        </w:rPr>
        <w:t>The Self-Assessment Process for 2024/25</w:t>
      </w:r>
    </w:p>
    <w:p w14:paraId="13191CC3" w14:textId="77777777" w:rsidR="00C150B2" w:rsidRDefault="00C150B2" w:rsidP="00C150B2">
      <w:pPr>
        <w:pStyle w:val="ListParagraph"/>
        <w:spacing w:after="0" w:line="240" w:lineRule="auto"/>
        <w:ind w:left="567"/>
        <w:jc w:val="both"/>
        <w:rPr>
          <w:b/>
          <w:bCs/>
          <w:color w:val="auto"/>
          <w:sz w:val="24"/>
          <w:szCs w:val="24"/>
        </w:rPr>
      </w:pPr>
    </w:p>
    <w:p w14:paraId="080120A1" w14:textId="77777777" w:rsidR="00AC3D51" w:rsidRPr="00AC3D51" w:rsidRDefault="00AC3D51" w:rsidP="00093569">
      <w:pPr>
        <w:spacing w:after="0" w:line="240" w:lineRule="auto"/>
        <w:ind w:left="567"/>
        <w:jc w:val="both"/>
        <w:rPr>
          <w:color w:val="auto"/>
        </w:rPr>
      </w:pPr>
      <w:r w:rsidRPr="00AC3D51">
        <w:rPr>
          <w:color w:val="auto"/>
        </w:rPr>
        <w:t>The self-assessment process for 2023/24 was revised by NHS England; adopting a more rigorous system applied by the Midlands Region. This involved organisations submitting the normal self-assessment spreadsheet, but also supplying evidence against every standard to be reviewed by the NHS England Regional EPRR Team.</w:t>
      </w:r>
    </w:p>
    <w:p w14:paraId="2E4D7637" w14:textId="77777777" w:rsidR="00AC3D51" w:rsidRPr="00AC3D51" w:rsidRDefault="00AC3D51" w:rsidP="00093569">
      <w:pPr>
        <w:spacing w:after="0" w:line="240" w:lineRule="auto"/>
        <w:ind w:left="567"/>
        <w:jc w:val="both"/>
        <w:rPr>
          <w:color w:val="auto"/>
        </w:rPr>
      </w:pPr>
    </w:p>
    <w:p w14:paraId="40B47201" w14:textId="117FCC82" w:rsidR="00093569" w:rsidRDefault="00AC3D51" w:rsidP="00093569">
      <w:pPr>
        <w:ind w:left="567"/>
        <w:jc w:val="both"/>
        <w:rPr>
          <w:color w:val="auto"/>
        </w:rPr>
      </w:pPr>
      <w:r w:rsidRPr="00AC3D51">
        <w:rPr>
          <w:color w:val="auto"/>
        </w:rPr>
        <w:t>In the Midlands this process resulted in a significant drop in compliance for organisations and the same happened in all organisations across North East and Yorkshire for 23/24. This was referred to by NHS England as a “hard reset</w:t>
      </w:r>
      <w:r w:rsidR="0012663C">
        <w:rPr>
          <w:color w:val="auto"/>
        </w:rPr>
        <w:t>"</w:t>
      </w:r>
      <w:r w:rsidRPr="00AC3D51">
        <w:rPr>
          <w:color w:val="auto"/>
        </w:rPr>
        <w:t xml:space="preserve"> of our readiness following protracted periods of response and in order to identify greater opportunities for collaboration and system improvement”.</w:t>
      </w:r>
      <w:r w:rsidR="00093569">
        <w:rPr>
          <w:color w:val="auto"/>
        </w:rPr>
        <w:t xml:space="preserve"> </w:t>
      </w:r>
    </w:p>
    <w:p w14:paraId="7417776E" w14:textId="42A6350C" w:rsidR="00BA07E7" w:rsidRPr="00AC3D51" w:rsidRDefault="00093569" w:rsidP="00093569">
      <w:pPr>
        <w:ind w:left="567"/>
        <w:jc w:val="both"/>
        <w:rPr>
          <w:color w:val="000000" w:themeColor="text1"/>
        </w:rPr>
      </w:pPr>
      <w:r w:rsidRPr="004768C6">
        <w:rPr>
          <w:color w:val="auto"/>
        </w:rPr>
        <w:t>For 2024/25, the responsibility of co-ordinating the process pivoted to ICB’s. The process followed can be found at Appendix A of this paper</w:t>
      </w:r>
      <w:r w:rsidR="00E3220D">
        <w:rPr>
          <w:color w:val="auto"/>
        </w:rPr>
        <w:t xml:space="preserve"> which culminates in this report being </w:t>
      </w:r>
      <w:r w:rsidR="00E3220D">
        <w:rPr>
          <w:color w:val="auto"/>
        </w:rPr>
        <w:lastRenderedPageBreak/>
        <w:t xml:space="preserve">provided to the ICB’s Board. The process followed was robust including peer review, evidence </w:t>
      </w:r>
      <w:r w:rsidR="00F51290">
        <w:rPr>
          <w:color w:val="auto"/>
        </w:rPr>
        <w:t xml:space="preserve">checks, individual provider meetings and finally a confirm and challenge session at LHRP. </w:t>
      </w:r>
    </w:p>
    <w:p w14:paraId="45F5E2AC" w14:textId="11579081" w:rsidR="007F7B63" w:rsidRDefault="00D82E6B" w:rsidP="00D82E6B">
      <w:pPr>
        <w:pStyle w:val="ListParagraph"/>
        <w:numPr>
          <w:ilvl w:val="2"/>
          <w:numId w:val="1"/>
        </w:numPr>
        <w:spacing w:after="0" w:line="240" w:lineRule="auto"/>
        <w:jc w:val="both"/>
        <w:rPr>
          <w:b/>
          <w:bCs/>
          <w:color w:val="auto"/>
          <w:sz w:val="24"/>
          <w:szCs w:val="24"/>
        </w:rPr>
      </w:pPr>
      <w:r w:rsidRPr="00D82E6B">
        <w:rPr>
          <w:b/>
          <w:bCs/>
          <w:color w:val="auto"/>
          <w:sz w:val="24"/>
          <w:szCs w:val="24"/>
        </w:rPr>
        <w:t>Results of the ICB’s self-assessment</w:t>
      </w:r>
    </w:p>
    <w:p w14:paraId="61C2CCC0" w14:textId="77777777" w:rsidR="00D82E6B" w:rsidRPr="00D82E6B" w:rsidRDefault="00D82E6B" w:rsidP="00D82E6B">
      <w:pPr>
        <w:pStyle w:val="ListParagraph"/>
        <w:spacing w:after="0" w:line="240" w:lineRule="auto"/>
        <w:ind w:left="1224"/>
        <w:jc w:val="both"/>
        <w:rPr>
          <w:b/>
          <w:bCs/>
          <w:color w:val="auto"/>
          <w:sz w:val="24"/>
          <w:szCs w:val="24"/>
        </w:rPr>
      </w:pPr>
    </w:p>
    <w:p w14:paraId="5DCB207C" w14:textId="298FE5DA" w:rsidR="00D82E6B" w:rsidRPr="004768C6" w:rsidRDefault="00322758" w:rsidP="00D82E6B">
      <w:pPr>
        <w:ind w:left="567"/>
        <w:rPr>
          <w:color w:val="000000" w:themeColor="text1"/>
        </w:rPr>
      </w:pPr>
      <w:r>
        <w:rPr>
          <w:color w:val="000000" w:themeColor="text1"/>
        </w:rPr>
        <w:t xml:space="preserve">An executive summary of the ICB’s self-assessment changes and main priorities are included at Appendix B. </w:t>
      </w:r>
      <w:r w:rsidR="00D82E6B" w:rsidRPr="004768C6">
        <w:rPr>
          <w:color w:val="000000" w:themeColor="text1"/>
        </w:rPr>
        <w:t xml:space="preserve">A </w:t>
      </w:r>
      <w:r>
        <w:rPr>
          <w:color w:val="000000" w:themeColor="text1"/>
        </w:rPr>
        <w:t xml:space="preserve">full </w:t>
      </w:r>
      <w:r w:rsidR="00D82E6B" w:rsidRPr="004768C6">
        <w:rPr>
          <w:color w:val="000000" w:themeColor="text1"/>
        </w:rPr>
        <w:t xml:space="preserve">copy of the ICB’s self-assessment </w:t>
      </w:r>
      <w:r w:rsidR="00AC2884">
        <w:rPr>
          <w:color w:val="000000" w:themeColor="text1"/>
        </w:rPr>
        <w:t xml:space="preserve">and accompanying action plan </w:t>
      </w:r>
      <w:r w:rsidR="00D82E6B" w:rsidRPr="004768C6">
        <w:rPr>
          <w:color w:val="000000" w:themeColor="text1"/>
        </w:rPr>
        <w:t xml:space="preserve">can be found at Appendix </w:t>
      </w:r>
      <w:r w:rsidR="00AC2884">
        <w:rPr>
          <w:color w:val="000000" w:themeColor="text1"/>
        </w:rPr>
        <w:t>C</w:t>
      </w:r>
      <w:r>
        <w:rPr>
          <w:color w:val="000000" w:themeColor="text1"/>
        </w:rPr>
        <w:t xml:space="preserve">. </w:t>
      </w:r>
      <w:r w:rsidR="00D82E6B" w:rsidRPr="004768C6">
        <w:rPr>
          <w:color w:val="000000" w:themeColor="text1"/>
        </w:rPr>
        <w:t>Each standard must be rated as either</w:t>
      </w:r>
      <w:r w:rsidR="0012663C">
        <w:rPr>
          <w:color w:val="000000" w:themeColor="text1"/>
        </w:rPr>
        <w:t>:-</w:t>
      </w:r>
    </w:p>
    <w:p w14:paraId="54AA2477" w14:textId="77777777" w:rsidR="00D82E6B" w:rsidRPr="004768C6" w:rsidRDefault="00D82E6B" w:rsidP="00D82E6B">
      <w:pPr>
        <w:pStyle w:val="ListParagraph"/>
        <w:numPr>
          <w:ilvl w:val="0"/>
          <w:numId w:val="11"/>
        </w:numPr>
        <w:rPr>
          <w:color w:val="000000" w:themeColor="text1"/>
        </w:rPr>
      </w:pPr>
      <w:r w:rsidRPr="004768C6">
        <w:rPr>
          <w:color w:val="00B050"/>
        </w:rPr>
        <w:t xml:space="preserve">Fully compliant </w:t>
      </w:r>
      <w:r w:rsidRPr="004768C6">
        <w:rPr>
          <w:color w:val="000000" w:themeColor="text1"/>
        </w:rPr>
        <w:t>(no action is required)</w:t>
      </w:r>
    </w:p>
    <w:p w14:paraId="1E45C6E5" w14:textId="77777777" w:rsidR="00D82E6B" w:rsidRPr="004768C6" w:rsidRDefault="00D82E6B" w:rsidP="00D82E6B">
      <w:pPr>
        <w:pStyle w:val="ListParagraph"/>
        <w:numPr>
          <w:ilvl w:val="0"/>
          <w:numId w:val="11"/>
        </w:numPr>
        <w:rPr>
          <w:color w:val="000000" w:themeColor="text1"/>
        </w:rPr>
      </w:pPr>
      <w:r w:rsidRPr="004768C6">
        <w:rPr>
          <w:color w:val="F79646" w:themeColor="accent6"/>
        </w:rPr>
        <w:t xml:space="preserve">Partially compliant </w:t>
      </w:r>
      <w:r w:rsidRPr="004768C6">
        <w:rPr>
          <w:color w:val="000000" w:themeColor="text1"/>
        </w:rPr>
        <w:t>(the organisation is not fully compliant with the standard but has a plan in place to ensure compliance within 12 months)</w:t>
      </w:r>
    </w:p>
    <w:p w14:paraId="75EBF49D" w14:textId="77777777" w:rsidR="00D82E6B" w:rsidRPr="004768C6" w:rsidRDefault="00D82E6B" w:rsidP="00D82E6B">
      <w:pPr>
        <w:pStyle w:val="ListParagraph"/>
        <w:numPr>
          <w:ilvl w:val="0"/>
          <w:numId w:val="11"/>
        </w:numPr>
        <w:rPr>
          <w:color w:val="000000" w:themeColor="text1"/>
        </w:rPr>
      </w:pPr>
      <w:r w:rsidRPr="004768C6">
        <w:t xml:space="preserve">Non-compliant </w:t>
      </w:r>
      <w:r w:rsidRPr="004768C6">
        <w:rPr>
          <w:color w:val="000000" w:themeColor="text1"/>
        </w:rPr>
        <w:t>(the organisation is not fully compliant with the standard and cannot achieve compliance within 12 months)</w:t>
      </w:r>
    </w:p>
    <w:p w14:paraId="7814186D" w14:textId="45971F61" w:rsidR="00D82E6B" w:rsidRDefault="00D314A0" w:rsidP="00D82E6B">
      <w:pPr>
        <w:ind w:left="567"/>
        <w:rPr>
          <w:color w:val="000000" w:themeColor="text1"/>
        </w:rPr>
      </w:pPr>
      <w:r>
        <w:rPr>
          <w:noProof/>
        </w:rPr>
        <mc:AlternateContent>
          <mc:Choice Requires="wps">
            <w:drawing>
              <wp:anchor distT="0" distB="0" distL="114300" distR="114300" simplePos="0" relativeHeight="251689984" behindDoc="0" locked="0" layoutInCell="1" allowOverlap="1" wp14:anchorId="31151223" wp14:editId="5D0B0A3E">
                <wp:simplePos x="0" y="0"/>
                <wp:positionH relativeFrom="column">
                  <wp:posOffset>323850</wp:posOffset>
                </wp:positionH>
                <wp:positionV relativeFrom="paragraph">
                  <wp:posOffset>471170</wp:posOffset>
                </wp:positionV>
                <wp:extent cx="4221480" cy="1729740"/>
                <wp:effectExtent l="0" t="0" r="26670" b="22860"/>
                <wp:wrapSquare wrapText="bothSides"/>
                <wp:docPr id="4" name="TextBox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4221480" cy="1729740"/>
                        </a:xfrm>
                        <a:prstGeom prst="roundRect">
                          <a:avLst>
                            <a:gd name="adj" fmla="val 0"/>
                          </a:avLst>
                        </a:prstGeom>
                        <a:solidFill>
                          <a:schemeClr val="accent5">
                            <a:lumMod val="75000"/>
                          </a:schemeClr>
                        </a:solidFill>
                        <a:ln/>
                      </wps:spPr>
                      <wps:style>
                        <a:lnRef idx="2">
                          <a:schemeClr val="accent5"/>
                        </a:lnRef>
                        <a:fillRef idx="1">
                          <a:schemeClr val="lt1"/>
                        </a:fillRef>
                        <a:effectRef idx="0">
                          <a:schemeClr val="accent5"/>
                        </a:effectRef>
                        <a:fontRef idx="minor">
                          <a:schemeClr val="dk1"/>
                        </a:fontRef>
                      </wps:style>
                      <wps:txbx>
                        <w:txbxContent>
                          <w:p w14:paraId="22A748C0" w14:textId="77777777" w:rsidR="00D314A0" w:rsidRDefault="00D314A0" w:rsidP="00D314A0">
                            <w:pPr>
                              <w:rPr>
                                <w:rFonts w:ascii="Gill Sans Nova" w:hAnsi="Gill Sans Nova" w:cstheme="minorBidi"/>
                                <w:b/>
                                <w:bCs/>
                                <w:color w:val="FFFFFF" w:themeColor="light1"/>
                              </w:rPr>
                            </w:pPr>
                            <w:r>
                              <w:rPr>
                                <w:rFonts w:ascii="Gill Sans Nova" w:hAnsi="Gill Sans Nova" w:cstheme="minorBidi"/>
                                <w:b/>
                                <w:bCs/>
                                <w:color w:val="FFFFFF" w:themeColor="light1"/>
                              </w:rPr>
                              <w:t xml:space="preserve">Assurance Rating Thresholds </w:t>
                            </w:r>
                          </w:p>
                          <w:p w14:paraId="069EA9EC" w14:textId="77777777" w:rsidR="00D314A0" w:rsidRDefault="00D314A0" w:rsidP="00D314A0">
                            <w:pPr>
                              <w:textAlignment w:val="baseline"/>
                              <w:rPr>
                                <w:rFonts w:asciiTheme="minorHAnsi" w:hAnsi="Calibri" w:cstheme="minorBidi"/>
                                <w:color w:val="FFFFFF" w:themeColor="light1"/>
                              </w:rPr>
                            </w:pPr>
                            <w:r>
                              <w:rPr>
                                <w:rFonts w:asciiTheme="minorHAnsi" w:hAnsi="Calibri" w:cstheme="minorBidi"/>
                                <w:color w:val="FFFFFF" w:themeColor="light1"/>
                              </w:rPr>
                              <w:t xml:space="preserve">• </w:t>
                            </w:r>
                            <w:r>
                              <w:rPr>
                                <w:rFonts w:ascii="Gill Sans Nova" w:hAnsi="Gill Sans Nova" w:cstheme="minorBidi"/>
                                <w:color w:val="FFFFFF" w:themeColor="light1"/>
                              </w:rPr>
                              <w:t xml:space="preserve">Fully Compliant = 100% </w:t>
                            </w:r>
                          </w:p>
                          <w:p w14:paraId="0FE970BE" w14:textId="77777777" w:rsidR="00D314A0" w:rsidRDefault="00D314A0" w:rsidP="00D314A0">
                            <w:pPr>
                              <w:textAlignment w:val="baseline"/>
                              <w:rPr>
                                <w:rFonts w:asciiTheme="minorHAnsi" w:hAnsi="Calibri" w:cstheme="minorBidi"/>
                                <w:color w:val="FFFFFF" w:themeColor="light1"/>
                              </w:rPr>
                            </w:pPr>
                            <w:r>
                              <w:rPr>
                                <w:rFonts w:asciiTheme="minorHAnsi" w:hAnsi="Calibri" w:cstheme="minorBidi"/>
                                <w:color w:val="FFFFFF" w:themeColor="light1"/>
                              </w:rPr>
                              <w:t xml:space="preserve">• </w:t>
                            </w:r>
                            <w:r>
                              <w:rPr>
                                <w:rFonts w:ascii="Gill Sans Nova" w:hAnsi="Gill Sans Nova" w:cstheme="minorBidi"/>
                                <w:color w:val="FFFFFF" w:themeColor="light1"/>
                              </w:rPr>
                              <w:t>Substantially Compliant =99-89%</w:t>
                            </w:r>
                          </w:p>
                          <w:p w14:paraId="0996F0BC" w14:textId="77777777" w:rsidR="00D314A0" w:rsidRDefault="00D314A0" w:rsidP="00D314A0">
                            <w:pPr>
                              <w:textAlignment w:val="baseline"/>
                              <w:rPr>
                                <w:rFonts w:asciiTheme="minorHAnsi" w:hAnsi="Calibri" w:cstheme="minorBidi"/>
                                <w:color w:val="FFFFFF" w:themeColor="light1"/>
                              </w:rPr>
                            </w:pPr>
                            <w:r>
                              <w:rPr>
                                <w:rFonts w:asciiTheme="minorHAnsi" w:hAnsi="Calibri" w:cstheme="minorBidi"/>
                                <w:color w:val="FFFFFF" w:themeColor="light1"/>
                              </w:rPr>
                              <w:t xml:space="preserve">• </w:t>
                            </w:r>
                            <w:r>
                              <w:rPr>
                                <w:rFonts w:ascii="Gill Sans Nova" w:hAnsi="Gill Sans Nova" w:cstheme="minorBidi"/>
                                <w:color w:val="FFFFFF" w:themeColor="light1"/>
                              </w:rPr>
                              <w:t>Partially Compliant = 88-77%</w:t>
                            </w:r>
                          </w:p>
                          <w:p w14:paraId="7E9E0940" w14:textId="77777777" w:rsidR="00D314A0" w:rsidRDefault="00D314A0" w:rsidP="00D314A0">
                            <w:pPr>
                              <w:textAlignment w:val="baseline"/>
                              <w:rPr>
                                <w:rFonts w:asciiTheme="minorHAnsi" w:hAnsi="Calibri" w:cstheme="minorBidi"/>
                                <w:color w:val="FFFFFF" w:themeColor="light1"/>
                              </w:rPr>
                            </w:pPr>
                            <w:r>
                              <w:rPr>
                                <w:rFonts w:asciiTheme="minorHAnsi" w:hAnsi="Calibri" w:cstheme="minorBidi"/>
                                <w:color w:val="FFFFFF" w:themeColor="light1"/>
                              </w:rPr>
                              <w:t xml:space="preserve">• </w:t>
                            </w:r>
                            <w:r>
                              <w:rPr>
                                <w:rFonts w:ascii="Gill Sans Nova" w:hAnsi="Gill Sans Nova" w:cstheme="minorBidi"/>
                                <w:color w:val="FFFFFF" w:themeColor="light1"/>
                              </w:rPr>
                              <w:t xml:space="preserve">Non-Compliant = 76% or less </w:t>
                            </w:r>
                          </w:p>
                          <w:p w14:paraId="0FD5DBDB" w14:textId="77777777" w:rsidR="00D314A0" w:rsidRDefault="00D314A0" w:rsidP="00D314A0">
                            <w:pPr>
                              <w:textAlignment w:val="baseline"/>
                              <w:rPr>
                                <w:rFonts w:ascii="Gill Sans Nova" w:hAnsi="Gill Sans Nova" w:cstheme="minorBidi"/>
                                <w:color w:val="FFFFFF" w:themeColor="light1"/>
                              </w:rPr>
                            </w:pPr>
                            <w:r>
                              <w:rPr>
                                <w:rFonts w:ascii="Gill Sans Nova" w:hAnsi="Gill Sans Nova" w:cstheme="minorBidi"/>
                                <w:color w:val="FFFFFF" w:themeColor="light1"/>
                              </w:rPr>
                              <w:t xml:space="preserve">Calculated using the number of FULLY COMPLIANT EPRR Core Standards.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1151223" id="TextBox 3" o:spid="_x0000_s1026" style="position:absolute;left:0;text-align:left;margin-left:25.5pt;margin-top:37.1pt;width:332.4pt;height:13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" fillcolor="#31849b [2408]" strokecolor="#4bacc6 [3208]" strokeweight="2pt">
                <v:textbox>
                  <w:txbxContent>
                    <w:p w14:paraId="22A748C0" w14:textId="77777777" w:rsidR="00D314A0" w:rsidRDefault="00D314A0" w:rsidP="00D314A0">
                      <w:pPr>
                        <w:rPr>
                          <w:rFonts w:ascii="Gill Sans Nova" w:hAnsi="Gill Sans Nova" w:cstheme="minorBidi"/>
                          <w:b/>
                          <w:bCs/>
                          <w:color w:val="FFFFFF" w:themeColor="light1"/>
                        </w:rPr>
                      </w:pPr>
                      <w:r>
                        <w:rPr>
                          <w:rFonts w:ascii="Gill Sans Nova" w:hAnsi="Gill Sans Nova" w:cstheme="minorBidi"/>
                          <w:b/>
                          <w:bCs/>
                          <w:color w:val="FFFFFF" w:themeColor="light1"/>
                        </w:rPr>
                        <w:t xml:space="preserve">Assurance Rating Thresholds </w:t>
                      </w:r>
                    </w:p>
                    <w:p w14:paraId="069EA9EC" w14:textId="77777777" w:rsidR="00D314A0" w:rsidRDefault="00D314A0" w:rsidP="00D314A0">
                      <w:pPr>
                        <w:textAlignment w:val="baseline"/>
                        <w:rPr>
                          <w:rFonts w:asciiTheme="minorHAnsi" w:hAnsi="Calibri" w:cstheme="minorBidi"/>
                          <w:color w:val="FFFFFF" w:themeColor="light1"/>
                        </w:rPr>
                      </w:pPr>
                      <w:r>
                        <w:rPr>
                          <w:rFonts w:asciiTheme="minorHAnsi" w:hAnsi="Calibri" w:cstheme="minorBidi"/>
                          <w:color w:val="FFFFFF" w:themeColor="light1"/>
                        </w:rPr>
                        <w:t xml:space="preserve">• </w:t>
                      </w:r>
                      <w:r>
                        <w:rPr>
                          <w:rFonts w:ascii="Gill Sans Nova" w:hAnsi="Gill Sans Nova" w:cstheme="minorBidi"/>
                          <w:color w:val="FFFFFF" w:themeColor="light1"/>
                        </w:rPr>
                        <w:t xml:space="preserve">Fully Compliant = 100% </w:t>
                      </w:r>
                    </w:p>
                    <w:p w14:paraId="0FE970BE" w14:textId="77777777" w:rsidR="00D314A0" w:rsidRDefault="00D314A0" w:rsidP="00D314A0">
                      <w:pPr>
                        <w:textAlignment w:val="baseline"/>
                        <w:rPr>
                          <w:rFonts w:asciiTheme="minorHAnsi" w:hAnsi="Calibri" w:cstheme="minorBidi"/>
                          <w:color w:val="FFFFFF" w:themeColor="light1"/>
                        </w:rPr>
                      </w:pPr>
                      <w:r>
                        <w:rPr>
                          <w:rFonts w:asciiTheme="minorHAnsi" w:hAnsi="Calibri" w:cstheme="minorBidi"/>
                          <w:color w:val="FFFFFF" w:themeColor="light1"/>
                        </w:rPr>
                        <w:t xml:space="preserve">• </w:t>
                      </w:r>
                      <w:r>
                        <w:rPr>
                          <w:rFonts w:ascii="Gill Sans Nova" w:hAnsi="Gill Sans Nova" w:cstheme="minorBidi"/>
                          <w:color w:val="FFFFFF" w:themeColor="light1"/>
                        </w:rPr>
                        <w:t>Substantially Compliant =99-89%</w:t>
                      </w:r>
                    </w:p>
                    <w:p w14:paraId="0996F0BC" w14:textId="77777777" w:rsidR="00D314A0" w:rsidRDefault="00D314A0" w:rsidP="00D314A0">
                      <w:pPr>
                        <w:textAlignment w:val="baseline"/>
                        <w:rPr>
                          <w:rFonts w:asciiTheme="minorHAnsi" w:hAnsi="Calibri" w:cstheme="minorBidi"/>
                          <w:color w:val="FFFFFF" w:themeColor="light1"/>
                        </w:rPr>
                      </w:pPr>
                      <w:r>
                        <w:rPr>
                          <w:rFonts w:asciiTheme="minorHAnsi" w:hAnsi="Calibri" w:cstheme="minorBidi"/>
                          <w:color w:val="FFFFFF" w:themeColor="light1"/>
                        </w:rPr>
                        <w:t xml:space="preserve">• </w:t>
                      </w:r>
                      <w:r>
                        <w:rPr>
                          <w:rFonts w:ascii="Gill Sans Nova" w:hAnsi="Gill Sans Nova" w:cstheme="minorBidi"/>
                          <w:color w:val="FFFFFF" w:themeColor="light1"/>
                        </w:rPr>
                        <w:t>Partially Compliant = 88-77%</w:t>
                      </w:r>
                    </w:p>
                    <w:p w14:paraId="7E9E0940" w14:textId="77777777" w:rsidR="00D314A0" w:rsidRDefault="00D314A0" w:rsidP="00D314A0">
                      <w:pPr>
                        <w:textAlignment w:val="baseline"/>
                        <w:rPr>
                          <w:rFonts w:asciiTheme="minorHAnsi" w:hAnsi="Calibri" w:cstheme="minorBidi"/>
                          <w:color w:val="FFFFFF" w:themeColor="light1"/>
                        </w:rPr>
                      </w:pPr>
                      <w:r>
                        <w:rPr>
                          <w:rFonts w:asciiTheme="minorHAnsi" w:hAnsi="Calibri" w:cstheme="minorBidi"/>
                          <w:color w:val="FFFFFF" w:themeColor="light1"/>
                        </w:rPr>
                        <w:t xml:space="preserve">• </w:t>
                      </w:r>
                      <w:r>
                        <w:rPr>
                          <w:rFonts w:ascii="Gill Sans Nova" w:hAnsi="Gill Sans Nova" w:cstheme="minorBidi"/>
                          <w:color w:val="FFFFFF" w:themeColor="light1"/>
                        </w:rPr>
                        <w:t xml:space="preserve">Non-Compliant = 76% or less </w:t>
                      </w:r>
                    </w:p>
                    <w:p w14:paraId="0FD5DBDB" w14:textId="77777777" w:rsidR="00D314A0" w:rsidRDefault="00D314A0" w:rsidP="00D314A0">
                      <w:pPr>
                        <w:textAlignment w:val="baseline"/>
                        <w:rPr>
                          <w:rFonts w:ascii="Gill Sans Nova" w:hAnsi="Gill Sans Nova" w:cstheme="minorBidi"/>
                          <w:color w:val="FFFFFF" w:themeColor="light1"/>
                        </w:rPr>
                      </w:pPr>
                      <w:r>
                        <w:rPr>
                          <w:rFonts w:ascii="Gill Sans Nova" w:hAnsi="Gill Sans Nova" w:cstheme="minorBidi"/>
                          <w:color w:val="FFFFFF" w:themeColor="light1"/>
                        </w:rPr>
                        <w:t xml:space="preserve">Calculated using the number of FULLY COMPLIANT EPRR Core Standards.  </w:t>
                      </w:r>
                    </w:p>
                  </w:txbxContent>
                </v:textbox>
                <w10:wrap type="square"/>
              </v:roundrect>
            </w:pict>
          </mc:Fallback>
        </mc:AlternateContent>
      </w:r>
      <w:r w:rsidR="00D82E6B" w:rsidRPr="004768C6">
        <w:rPr>
          <w:color w:val="000000" w:themeColor="text1"/>
        </w:rPr>
        <w:t xml:space="preserve">Only the number of fully compliant standards will count towards the overall compliance rating, the thresholds of which are detailed below: </w:t>
      </w:r>
    </w:p>
    <w:p w14:paraId="53D52091" w14:textId="63B8DA2F" w:rsidR="00D314A0" w:rsidRPr="004768C6" w:rsidRDefault="00D314A0" w:rsidP="00D82E6B">
      <w:pPr>
        <w:ind w:left="567"/>
        <w:rPr>
          <w:color w:val="000000" w:themeColor="text1"/>
        </w:rPr>
      </w:pPr>
    </w:p>
    <w:p w14:paraId="6ADFE90F" w14:textId="388A7387" w:rsidR="00D82E6B" w:rsidRDefault="00D82E6B" w:rsidP="00D82E6B">
      <w:pPr>
        <w:rPr>
          <w:color w:val="000000" w:themeColor="text1"/>
        </w:rPr>
      </w:pPr>
    </w:p>
    <w:p w14:paraId="2DBA190D" w14:textId="77777777" w:rsidR="00D314A0" w:rsidRDefault="00D314A0" w:rsidP="00D82E6B">
      <w:pPr>
        <w:rPr>
          <w:color w:val="000000" w:themeColor="text1"/>
        </w:rPr>
      </w:pPr>
    </w:p>
    <w:p w14:paraId="543BCD25" w14:textId="77777777" w:rsidR="00D314A0" w:rsidRDefault="00D314A0" w:rsidP="00D82E6B">
      <w:pPr>
        <w:rPr>
          <w:color w:val="000000" w:themeColor="text1"/>
        </w:rPr>
      </w:pPr>
    </w:p>
    <w:p w14:paraId="6B27BE43" w14:textId="77777777" w:rsidR="00D314A0" w:rsidRDefault="00D314A0" w:rsidP="00D82E6B">
      <w:pPr>
        <w:rPr>
          <w:color w:val="000000" w:themeColor="text1"/>
        </w:rPr>
      </w:pPr>
    </w:p>
    <w:p w14:paraId="1648FAC5" w14:textId="77777777" w:rsidR="00D314A0" w:rsidRDefault="00D314A0" w:rsidP="00D82E6B">
      <w:pPr>
        <w:rPr>
          <w:color w:val="000000" w:themeColor="text1"/>
        </w:rPr>
      </w:pPr>
    </w:p>
    <w:p w14:paraId="20598FB8" w14:textId="2B4AC51A" w:rsidR="004D28CD" w:rsidRPr="0012663C" w:rsidRDefault="004D28CD" w:rsidP="004D28CD">
      <w:pPr>
        <w:ind w:left="567"/>
      </w:pPr>
      <w:r w:rsidRPr="00744029">
        <w:rPr>
          <w:color w:val="000000" w:themeColor="text1"/>
        </w:rPr>
        <w:t>The ICB</w:t>
      </w:r>
      <w:r>
        <w:rPr>
          <w:color w:val="000000" w:themeColor="text1"/>
        </w:rPr>
        <w:t xml:space="preserve"> was rated as “Non-Compliant” in 2023/24, and will remain Non-Compliant for 2024/25. It should be noted that the threshold to move out of non-compliance is high, at 76%. The ICB has, however, almost doubled its compliance percentage this year, going from 34% compliance to 60%</w:t>
      </w:r>
      <w:r w:rsidR="00870A8A">
        <w:rPr>
          <w:color w:val="000000" w:themeColor="text1"/>
        </w:rPr>
        <w:t xml:space="preserve">. </w:t>
      </w:r>
      <w:r w:rsidR="0012663C" w:rsidRPr="00F617A1">
        <w:rPr>
          <w:color w:val="000000" w:themeColor="text1"/>
        </w:rPr>
        <w:t xml:space="preserve">This represents a significant improvement </w:t>
      </w:r>
      <w:r w:rsidR="009C230A" w:rsidRPr="00F617A1">
        <w:rPr>
          <w:color w:val="000000" w:themeColor="text1"/>
        </w:rPr>
        <w:t>based on the previous year, despite multiple challenges and limited staffing capacity.</w:t>
      </w:r>
    </w:p>
    <w:p w14:paraId="625D3A61" w14:textId="32081F49" w:rsidR="00DD245E" w:rsidRDefault="00DD245E" w:rsidP="004D28CD">
      <w:pPr>
        <w:ind w:left="567"/>
        <w:rPr>
          <w:color w:val="000000" w:themeColor="text1"/>
        </w:rPr>
      </w:pPr>
      <w:r>
        <w:rPr>
          <w:color w:val="000000" w:themeColor="text1"/>
        </w:rPr>
        <w:t>The self-assessment at Appendix C includes an action plan tab</w:t>
      </w:r>
      <w:r w:rsidR="008D57B2">
        <w:rPr>
          <w:color w:val="000000" w:themeColor="text1"/>
        </w:rPr>
        <w:t xml:space="preserve"> to address the gaps identified.</w:t>
      </w:r>
    </w:p>
    <w:p w14:paraId="60F60B80" w14:textId="3D2BDEC2" w:rsidR="008D57B2" w:rsidRPr="008D57B2" w:rsidRDefault="008D57B2" w:rsidP="008D57B2">
      <w:pPr>
        <w:pStyle w:val="ListParagraph"/>
        <w:numPr>
          <w:ilvl w:val="2"/>
          <w:numId w:val="1"/>
        </w:numPr>
        <w:spacing w:after="0" w:line="240" w:lineRule="auto"/>
        <w:jc w:val="both"/>
        <w:rPr>
          <w:b/>
          <w:bCs/>
          <w:color w:val="auto"/>
          <w:sz w:val="24"/>
          <w:szCs w:val="24"/>
        </w:rPr>
      </w:pPr>
      <w:r w:rsidRPr="008D57B2">
        <w:rPr>
          <w:b/>
          <w:bCs/>
          <w:color w:val="auto"/>
          <w:sz w:val="24"/>
          <w:szCs w:val="24"/>
        </w:rPr>
        <w:t>The compliance levels of the HNY system</w:t>
      </w:r>
    </w:p>
    <w:p w14:paraId="0782846C" w14:textId="77777777" w:rsidR="00EC2F99" w:rsidRDefault="00EC2F99" w:rsidP="008D57B2">
      <w:pPr>
        <w:ind w:left="567"/>
        <w:rPr>
          <w:color w:val="000000" w:themeColor="text1"/>
        </w:rPr>
      </w:pPr>
    </w:p>
    <w:p w14:paraId="4614292A" w14:textId="40A14FE3" w:rsidR="008D57B2" w:rsidRDefault="00BC7DE0" w:rsidP="008D57B2">
      <w:pPr>
        <w:ind w:left="567"/>
        <w:rPr>
          <w:color w:val="000000" w:themeColor="text1"/>
        </w:rPr>
      </w:pPr>
      <w:r>
        <w:rPr>
          <w:color w:val="000000" w:themeColor="text1"/>
        </w:rPr>
        <w:t>Core standards are submitted to the ICB by the following organisations</w:t>
      </w:r>
    </w:p>
    <w:p w14:paraId="01564B20" w14:textId="43F1EC88" w:rsidR="00BC7DE0" w:rsidRDefault="00BC7DE0" w:rsidP="00BC7DE0">
      <w:pPr>
        <w:pStyle w:val="ListParagraph"/>
        <w:numPr>
          <w:ilvl w:val="0"/>
          <w:numId w:val="11"/>
        </w:numPr>
        <w:rPr>
          <w:color w:val="000000" w:themeColor="text1"/>
        </w:rPr>
      </w:pPr>
      <w:r>
        <w:rPr>
          <w:color w:val="000000" w:themeColor="text1"/>
        </w:rPr>
        <w:t>Northern Lincolnshire and Goole FT</w:t>
      </w:r>
    </w:p>
    <w:p w14:paraId="6D583AB6" w14:textId="3391882D" w:rsidR="00BC7DE0" w:rsidRDefault="00BC7DE0" w:rsidP="00BC7DE0">
      <w:pPr>
        <w:pStyle w:val="ListParagraph"/>
        <w:numPr>
          <w:ilvl w:val="0"/>
          <w:numId w:val="11"/>
        </w:numPr>
        <w:rPr>
          <w:color w:val="000000" w:themeColor="text1"/>
        </w:rPr>
      </w:pPr>
      <w:r>
        <w:rPr>
          <w:color w:val="000000" w:themeColor="text1"/>
        </w:rPr>
        <w:t>Harrogate and District FT</w:t>
      </w:r>
    </w:p>
    <w:p w14:paraId="4111DBBD" w14:textId="44E22A13" w:rsidR="00BC7DE0" w:rsidRDefault="00BC7DE0" w:rsidP="00BC7DE0">
      <w:pPr>
        <w:pStyle w:val="ListParagraph"/>
        <w:numPr>
          <w:ilvl w:val="0"/>
          <w:numId w:val="11"/>
        </w:numPr>
        <w:rPr>
          <w:color w:val="000000" w:themeColor="text1"/>
        </w:rPr>
      </w:pPr>
      <w:r>
        <w:rPr>
          <w:color w:val="000000" w:themeColor="text1"/>
        </w:rPr>
        <w:t>Hull University Teaching Hospitals FT</w:t>
      </w:r>
    </w:p>
    <w:p w14:paraId="26BBC745" w14:textId="440897F1" w:rsidR="00BC7DE0" w:rsidRDefault="00BC7DE0" w:rsidP="00BC7DE0">
      <w:pPr>
        <w:pStyle w:val="ListParagraph"/>
        <w:numPr>
          <w:ilvl w:val="0"/>
          <w:numId w:val="11"/>
        </w:numPr>
        <w:rPr>
          <w:color w:val="000000" w:themeColor="text1"/>
        </w:rPr>
      </w:pPr>
      <w:r>
        <w:rPr>
          <w:color w:val="000000" w:themeColor="text1"/>
        </w:rPr>
        <w:t xml:space="preserve">York and Scarborough Teaching Hospitals </w:t>
      </w:r>
      <w:r w:rsidR="00D75AE9">
        <w:rPr>
          <w:color w:val="000000" w:themeColor="text1"/>
        </w:rPr>
        <w:t>FT</w:t>
      </w:r>
    </w:p>
    <w:p w14:paraId="297332E7" w14:textId="64265044" w:rsidR="00D75AE9" w:rsidRDefault="00D75AE9" w:rsidP="00BC7DE0">
      <w:pPr>
        <w:pStyle w:val="ListParagraph"/>
        <w:numPr>
          <w:ilvl w:val="0"/>
          <w:numId w:val="11"/>
        </w:numPr>
        <w:rPr>
          <w:color w:val="000000" w:themeColor="text1"/>
        </w:rPr>
      </w:pPr>
      <w:r>
        <w:rPr>
          <w:color w:val="000000" w:themeColor="text1"/>
        </w:rPr>
        <w:t>Care Plus Group</w:t>
      </w:r>
    </w:p>
    <w:p w14:paraId="7B5A3E8F" w14:textId="6EACD7C5" w:rsidR="00D75AE9" w:rsidRDefault="00D75AE9" w:rsidP="00BC7DE0">
      <w:pPr>
        <w:pStyle w:val="ListParagraph"/>
        <w:numPr>
          <w:ilvl w:val="0"/>
          <w:numId w:val="11"/>
        </w:numPr>
        <w:rPr>
          <w:color w:val="000000" w:themeColor="text1"/>
        </w:rPr>
      </w:pPr>
      <w:r>
        <w:rPr>
          <w:color w:val="000000" w:themeColor="text1"/>
        </w:rPr>
        <w:t>City Health Care Partnership</w:t>
      </w:r>
    </w:p>
    <w:p w14:paraId="3303F4BA" w14:textId="1597795B" w:rsidR="00D75AE9" w:rsidRDefault="00D75AE9" w:rsidP="00BC7DE0">
      <w:pPr>
        <w:pStyle w:val="ListParagraph"/>
        <w:numPr>
          <w:ilvl w:val="0"/>
          <w:numId w:val="11"/>
        </w:numPr>
        <w:rPr>
          <w:color w:val="000000" w:themeColor="text1"/>
        </w:rPr>
      </w:pPr>
      <w:r>
        <w:rPr>
          <w:color w:val="000000" w:themeColor="text1"/>
        </w:rPr>
        <w:t xml:space="preserve">NAVIGO </w:t>
      </w:r>
    </w:p>
    <w:p w14:paraId="6DC4C0E7" w14:textId="23192AB5" w:rsidR="00D75AE9" w:rsidRPr="00BC7DE0" w:rsidRDefault="00D75AE9" w:rsidP="00BC7DE0">
      <w:pPr>
        <w:pStyle w:val="ListParagraph"/>
        <w:numPr>
          <w:ilvl w:val="0"/>
          <w:numId w:val="11"/>
        </w:numPr>
        <w:rPr>
          <w:color w:val="000000" w:themeColor="text1"/>
        </w:rPr>
      </w:pPr>
      <w:r>
        <w:rPr>
          <w:color w:val="000000" w:themeColor="text1"/>
        </w:rPr>
        <w:t xml:space="preserve">Humber Teaching Foundation Trust </w:t>
      </w:r>
    </w:p>
    <w:p w14:paraId="25F85CCE" w14:textId="1AC0B556" w:rsidR="00D314A0" w:rsidRPr="00D82E6B" w:rsidRDefault="00D75AE9" w:rsidP="00D75AE9">
      <w:pPr>
        <w:ind w:left="567"/>
        <w:rPr>
          <w:color w:val="000000" w:themeColor="text1"/>
        </w:rPr>
      </w:pPr>
      <w:r>
        <w:rPr>
          <w:color w:val="000000" w:themeColor="text1"/>
        </w:rPr>
        <w:t>The results of the final self-assessments were presented at LHRP on 19</w:t>
      </w:r>
      <w:r w:rsidRPr="00D75AE9">
        <w:rPr>
          <w:color w:val="000000" w:themeColor="text1"/>
          <w:vertAlign w:val="superscript"/>
        </w:rPr>
        <w:t>th</w:t>
      </w:r>
      <w:r>
        <w:rPr>
          <w:color w:val="000000" w:themeColor="text1"/>
        </w:rPr>
        <w:t xml:space="preserve"> November, and all organisations in Humber and North Yorkshire have increased their percentage compliance, </w:t>
      </w:r>
      <w:r>
        <w:rPr>
          <w:color w:val="000000" w:themeColor="text1"/>
        </w:rPr>
        <w:lastRenderedPageBreak/>
        <w:t>most</w:t>
      </w:r>
      <w:r w:rsidR="00322758">
        <w:rPr>
          <w:color w:val="000000" w:themeColor="text1"/>
        </w:rPr>
        <w:t xml:space="preserve"> quite </w:t>
      </w:r>
      <w:r>
        <w:rPr>
          <w:color w:val="000000" w:themeColor="text1"/>
        </w:rPr>
        <w:t xml:space="preserve">significantly, over the course of 24/25. </w:t>
      </w:r>
      <w:r w:rsidR="00AF0845">
        <w:rPr>
          <w:color w:val="000000" w:themeColor="text1"/>
        </w:rPr>
        <w:t xml:space="preserve">One organisation has moved from non-compliant to substantially compliant (NLAG); however the rest of the organisations remain in the same position as the ICB albeit having shown </w:t>
      </w:r>
      <w:r w:rsidR="00C51ECE">
        <w:rPr>
          <w:color w:val="000000" w:themeColor="text1"/>
        </w:rPr>
        <w:t>a considerable amount of</w:t>
      </w:r>
      <w:r w:rsidR="00AF0845">
        <w:rPr>
          <w:color w:val="000000" w:themeColor="text1"/>
        </w:rPr>
        <w:t xml:space="preserve"> improvement. </w:t>
      </w:r>
    </w:p>
    <w:p w14:paraId="3FAA185A" w14:textId="77777777" w:rsidR="0090223E" w:rsidRPr="00A958CA" w:rsidRDefault="0090223E" w:rsidP="0090223E">
      <w:pPr>
        <w:pStyle w:val="Heading5"/>
        <w:numPr>
          <w:ilvl w:val="0"/>
          <w:numId w:val="1"/>
        </w:numPr>
        <w:ind w:left="567" w:hanging="567"/>
      </w:pPr>
      <w:r w:rsidRPr="00A958CA">
        <w:t xml:space="preserve">CONCLUSION </w:t>
      </w:r>
    </w:p>
    <w:p w14:paraId="7B750517" w14:textId="77777777" w:rsidR="0090223E" w:rsidRPr="009D452F" w:rsidRDefault="0090223E" w:rsidP="0090223E">
      <w:pPr>
        <w:pStyle w:val="Heading4"/>
        <w:tabs>
          <w:tab w:val="left" w:pos="630"/>
        </w:tabs>
        <w:ind w:left="567"/>
        <w:rPr>
          <w:rFonts w:ascii="Arial" w:hAnsi="Arial" w:cs="Arial"/>
          <w:b w:val="0"/>
          <w:bCs w:val="0"/>
        </w:rPr>
      </w:pPr>
    </w:p>
    <w:p w14:paraId="53513FBC" w14:textId="3A465D4F" w:rsidR="0090223E" w:rsidRPr="004768C6" w:rsidRDefault="0090223E" w:rsidP="0090223E">
      <w:pPr>
        <w:pStyle w:val="Heading4"/>
        <w:tabs>
          <w:tab w:val="left" w:pos="630"/>
        </w:tabs>
        <w:ind w:left="567"/>
        <w:rPr>
          <w:rFonts w:ascii="Arial" w:hAnsi="Arial" w:cs="Arial"/>
          <w:b w:val="0"/>
          <w:bCs w:val="0"/>
          <w:sz w:val="22"/>
          <w:szCs w:val="22"/>
        </w:rPr>
      </w:pPr>
      <w:r w:rsidRPr="004768C6">
        <w:rPr>
          <w:rFonts w:ascii="Arial" w:hAnsi="Arial" w:cs="Arial"/>
          <w:b w:val="0"/>
          <w:bCs w:val="0"/>
          <w:sz w:val="22"/>
          <w:szCs w:val="22"/>
        </w:rPr>
        <w:t xml:space="preserve">The ICB will be submitting an overall rating of “Non-Compliance” against the EPRR Core Standards in 24/25, but the compliance rating of the organisation has increased by 28%. This has been achieved despite various incidents occurring which have required a response and capacity challenges in the EPRR Team. </w:t>
      </w:r>
      <w:r>
        <w:rPr>
          <w:rFonts w:ascii="Arial" w:hAnsi="Arial" w:cs="Arial"/>
          <w:b w:val="0"/>
          <w:bCs w:val="0"/>
          <w:sz w:val="22"/>
          <w:szCs w:val="22"/>
        </w:rPr>
        <w:t>All</w:t>
      </w:r>
      <w:r w:rsidRPr="004768C6">
        <w:rPr>
          <w:rFonts w:ascii="Arial" w:hAnsi="Arial" w:cs="Arial"/>
          <w:b w:val="0"/>
          <w:bCs w:val="0"/>
          <w:sz w:val="22"/>
          <w:szCs w:val="22"/>
        </w:rPr>
        <w:t xml:space="preserve"> organisations in Humber and North Yorkshire</w:t>
      </w:r>
      <w:r>
        <w:rPr>
          <w:rFonts w:ascii="Arial" w:hAnsi="Arial" w:cs="Arial"/>
          <w:b w:val="0"/>
          <w:bCs w:val="0"/>
          <w:sz w:val="22"/>
          <w:szCs w:val="22"/>
        </w:rPr>
        <w:t xml:space="preserve"> have </w:t>
      </w:r>
      <w:r w:rsidRPr="004768C6">
        <w:rPr>
          <w:rFonts w:ascii="Arial" w:hAnsi="Arial" w:cs="Arial"/>
          <w:b w:val="0"/>
          <w:bCs w:val="0"/>
          <w:sz w:val="22"/>
          <w:szCs w:val="22"/>
        </w:rPr>
        <w:t>also see</w:t>
      </w:r>
      <w:r>
        <w:rPr>
          <w:rFonts w:ascii="Arial" w:hAnsi="Arial" w:cs="Arial"/>
          <w:b w:val="0"/>
          <w:bCs w:val="0"/>
          <w:sz w:val="22"/>
          <w:szCs w:val="22"/>
        </w:rPr>
        <w:t>n</w:t>
      </w:r>
      <w:r w:rsidRPr="004768C6">
        <w:rPr>
          <w:rFonts w:ascii="Arial" w:hAnsi="Arial" w:cs="Arial"/>
          <w:b w:val="0"/>
          <w:bCs w:val="0"/>
          <w:sz w:val="22"/>
          <w:szCs w:val="22"/>
        </w:rPr>
        <w:t xml:space="preserve"> uplifts in their compliance percentages. </w:t>
      </w:r>
    </w:p>
    <w:p w14:paraId="6F06FD37" w14:textId="77777777" w:rsidR="0090223E" w:rsidRPr="004768C6" w:rsidRDefault="0090223E" w:rsidP="0090223E">
      <w:pPr>
        <w:pStyle w:val="Heading4"/>
        <w:tabs>
          <w:tab w:val="left" w:pos="630"/>
        </w:tabs>
        <w:ind w:left="567"/>
        <w:rPr>
          <w:rFonts w:ascii="Arial" w:hAnsi="Arial" w:cs="Arial"/>
          <w:b w:val="0"/>
          <w:bCs w:val="0"/>
          <w:sz w:val="22"/>
          <w:szCs w:val="22"/>
        </w:rPr>
      </w:pPr>
    </w:p>
    <w:p w14:paraId="14078EBC" w14:textId="1071B12B" w:rsidR="00AE3564" w:rsidRDefault="0090223E" w:rsidP="00F617A1">
      <w:pPr>
        <w:pStyle w:val="Heading4"/>
        <w:tabs>
          <w:tab w:val="left" w:pos="630"/>
        </w:tabs>
        <w:ind w:left="567"/>
      </w:pPr>
      <w:r w:rsidRPr="004768C6">
        <w:rPr>
          <w:rFonts w:ascii="Arial" w:hAnsi="Arial" w:cs="Arial"/>
          <w:b w:val="0"/>
          <w:bCs w:val="0"/>
          <w:sz w:val="22"/>
          <w:szCs w:val="22"/>
        </w:rPr>
        <w:t xml:space="preserve">An action plan has been created for the coming year to move the ICB out of the non-compliant bracket, which should be easier to achieve with a much needed increase in capacity in the EPRR team.  </w:t>
      </w:r>
    </w:p>
    <w:p w14:paraId="2E344B34" w14:textId="77777777" w:rsidR="0090223E" w:rsidRPr="00A958CA" w:rsidRDefault="0090223E" w:rsidP="0090223E">
      <w:pPr>
        <w:spacing w:after="0" w:line="240" w:lineRule="auto"/>
        <w:rPr>
          <w:sz w:val="24"/>
          <w:szCs w:val="24"/>
        </w:rPr>
      </w:pPr>
    </w:p>
    <w:p w14:paraId="2735D771" w14:textId="77777777" w:rsidR="0090223E" w:rsidRPr="00A958CA" w:rsidRDefault="0090223E" w:rsidP="0090223E">
      <w:pPr>
        <w:pStyle w:val="ListParagraph"/>
        <w:numPr>
          <w:ilvl w:val="0"/>
          <w:numId w:val="1"/>
        </w:numPr>
        <w:spacing w:after="0" w:line="240" w:lineRule="auto"/>
        <w:ind w:left="567" w:hanging="567"/>
        <w:rPr>
          <w:b/>
          <w:bCs/>
          <w:sz w:val="24"/>
          <w:szCs w:val="24"/>
        </w:rPr>
      </w:pPr>
      <w:r w:rsidRPr="00A958CA">
        <w:rPr>
          <w:b/>
          <w:bCs/>
          <w:color w:val="auto"/>
          <w:sz w:val="24"/>
          <w:szCs w:val="24"/>
        </w:rPr>
        <w:t>RECOMMENDATIONS</w:t>
      </w:r>
    </w:p>
    <w:p w14:paraId="5796E3D0" w14:textId="77777777" w:rsidR="0090223E" w:rsidRPr="00A958CA" w:rsidRDefault="0090223E" w:rsidP="0090223E">
      <w:pPr>
        <w:pStyle w:val="ListParagraph"/>
        <w:spacing w:after="0" w:line="240" w:lineRule="auto"/>
        <w:ind w:left="567"/>
        <w:rPr>
          <w:b/>
          <w:bCs/>
          <w:sz w:val="24"/>
          <w:szCs w:val="24"/>
        </w:rPr>
      </w:pPr>
    </w:p>
    <w:p w14:paraId="52AE93A1" w14:textId="77777777" w:rsidR="0090223E" w:rsidRPr="004768C6" w:rsidRDefault="0090223E" w:rsidP="0090223E">
      <w:pPr>
        <w:pStyle w:val="ListParagraph"/>
        <w:numPr>
          <w:ilvl w:val="1"/>
          <w:numId w:val="1"/>
        </w:numPr>
        <w:spacing w:after="0" w:line="240" w:lineRule="auto"/>
        <w:ind w:left="567" w:hanging="567"/>
        <w:jc w:val="both"/>
        <w:rPr>
          <w:color w:val="auto"/>
        </w:rPr>
      </w:pPr>
      <w:r w:rsidRPr="004768C6">
        <w:rPr>
          <w:color w:val="auto"/>
        </w:rPr>
        <w:t>Members are asked to:</w:t>
      </w:r>
    </w:p>
    <w:p w14:paraId="0E626501" w14:textId="77777777" w:rsidR="0090223E" w:rsidRPr="004768C6" w:rsidRDefault="0090223E" w:rsidP="0090223E">
      <w:pPr>
        <w:pStyle w:val="ListParagraph"/>
        <w:spacing w:after="0" w:line="240" w:lineRule="auto"/>
        <w:ind w:left="567"/>
        <w:jc w:val="both"/>
        <w:rPr>
          <w:color w:val="auto"/>
        </w:rPr>
      </w:pPr>
    </w:p>
    <w:p w14:paraId="14E003DF" w14:textId="53AF246E" w:rsidR="0090223E" w:rsidRDefault="0090223E" w:rsidP="0090223E">
      <w:pPr>
        <w:pStyle w:val="ListParagraph"/>
        <w:numPr>
          <w:ilvl w:val="0"/>
          <w:numId w:val="9"/>
        </w:numPr>
        <w:spacing w:after="0" w:line="240" w:lineRule="auto"/>
        <w:ind w:left="1134" w:hanging="425"/>
        <w:rPr>
          <w:color w:val="auto"/>
        </w:rPr>
      </w:pPr>
      <w:r w:rsidRPr="004768C6">
        <w:rPr>
          <w:color w:val="auto"/>
        </w:rPr>
        <w:t xml:space="preserve">Note the contents of this report and the ICB’s self-assessment against the EPRR Core Standards </w:t>
      </w:r>
    </w:p>
    <w:p w14:paraId="2C74BB90" w14:textId="51E8F392" w:rsidR="0090223E" w:rsidRPr="0090223E" w:rsidRDefault="0090223E" w:rsidP="0090223E">
      <w:pPr>
        <w:pStyle w:val="ListParagraph"/>
        <w:numPr>
          <w:ilvl w:val="0"/>
          <w:numId w:val="9"/>
        </w:numPr>
        <w:spacing w:after="0" w:line="240" w:lineRule="auto"/>
        <w:ind w:left="1134" w:hanging="425"/>
        <w:rPr>
          <w:color w:val="auto"/>
        </w:rPr>
      </w:pPr>
      <w:r>
        <w:rPr>
          <w:color w:val="auto"/>
        </w:rPr>
        <w:t xml:space="preserve">Formally approve the self-assessment and resulting action plan that has been agreed by the organisations EPRR Team and Accountable Emergency Officer. </w:t>
      </w:r>
    </w:p>
    <w:p w14:paraId="20144079" w14:textId="77777777" w:rsidR="0090223E" w:rsidRDefault="0090223E" w:rsidP="0090223E">
      <w:pPr>
        <w:spacing w:after="0" w:line="240" w:lineRule="auto"/>
        <w:rPr>
          <w:color w:val="auto"/>
          <w:sz w:val="24"/>
          <w:szCs w:val="24"/>
        </w:rPr>
      </w:pPr>
    </w:p>
    <w:p w14:paraId="43FA1C54" w14:textId="77777777" w:rsidR="0090223E" w:rsidRPr="00F85C65" w:rsidRDefault="0090223E" w:rsidP="0090223E">
      <w:pPr>
        <w:pStyle w:val="ListParagraph"/>
        <w:numPr>
          <w:ilvl w:val="0"/>
          <w:numId w:val="1"/>
        </w:numPr>
        <w:spacing w:after="0" w:line="240" w:lineRule="auto"/>
        <w:rPr>
          <w:b/>
          <w:bCs/>
          <w:color w:val="auto"/>
          <w:sz w:val="24"/>
          <w:szCs w:val="24"/>
        </w:rPr>
      </w:pPr>
      <w:r w:rsidRPr="00F85C65">
        <w:rPr>
          <w:b/>
          <w:bCs/>
          <w:color w:val="auto"/>
          <w:sz w:val="24"/>
          <w:szCs w:val="24"/>
        </w:rPr>
        <w:t>APPENDICES</w:t>
      </w:r>
    </w:p>
    <w:p w14:paraId="6D1D8918" w14:textId="77777777" w:rsidR="0090223E" w:rsidRPr="004768C6" w:rsidRDefault="0090223E" w:rsidP="0090223E">
      <w:pPr>
        <w:pStyle w:val="ListParagraph"/>
        <w:spacing w:after="0" w:line="240" w:lineRule="auto"/>
        <w:ind w:left="360"/>
        <w:rPr>
          <w:color w:val="auto"/>
        </w:rPr>
      </w:pPr>
    </w:p>
    <w:p w14:paraId="212161F8" w14:textId="77777777" w:rsidR="0090223E" w:rsidRPr="004768C6" w:rsidRDefault="0090223E" w:rsidP="0090223E">
      <w:pPr>
        <w:pStyle w:val="ListParagraph"/>
        <w:numPr>
          <w:ilvl w:val="0"/>
          <w:numId w:val="12"/>
        </w:numPr>
        <w:spacing w:after="0" w:line="240" w:lineRule="auto"/>
        <w:jc w:val="both"/>
        <w:rPr>
          <w:color w:val="auto"/>
        </w:rPr>
      </w:pPr>
      <w:r w:rsidRPr="004768C6">
        <w:rPr>
          <w:color w:val="auto"/>
        </w:rPr>
        <w:t>Appendix A: Core Standards Self-Assessment Process HNY 2024/25</w:t>
      </w:r>
    </w:p>
    <w:p w14:paraId="406008F7" w14:textId="047B7369" w:rsidR="003162C9" w:rsidRDefault="003162C9" w:rsidP="003162C9">
      <w:pPr>
        <w:pStyle w:val="ListParagraph"/>
        <w:numPr>
          <w:ilvl w:val="0"/>
          <w:numId w:val="12"/>
        </w:numPr>
        <w:spacing w:after="0" w:line="240" w:lineRule="auto"/>
        <w:jc w:val="both"/>
        <w:rPr>
          <w:color w:val="auto"/>
        </w:rPr>
      </w:pPr>
      <w:r>
        <w:rPr>
          <w:color w:val="auto"/>
        </w:rPr>
        <w:t>Appendix B: EPRR Core Standards Summary HNYICB 2024/25</w:t>
      </w:r>
    </w:p>
    <w:p w14:paraId="0F22E7B7" w14:textId="10C518C5" w:rsidR="003162C9" w:rsidRDefault="0090223E" w:rsidP="00AD427B">
      <w:pPr>
        <w:pStyle w:val="ListParagraph"/>
        <w:numPr>
          <w:ilvl w:val="0"/>
          <w:numId w:val="12"/>
        </w:numPr>
        <w:spacing w:after="0" w:line="240" w:lineRule="auto"/>
        <w:jc w:val="both"/>
        <w:rPr>
          <w:color w:val="auto"/>
        </w:rPr>
      </w:pPr>
      <w:r w:rsidRPr="00D64BCB">
        <w:rPr>
          <w:color w:val="auto"/>
        </w:rPr>
        <w:t xml:space="preserve">Appendix </w:t>
      </w:r>
      <w:r w:rsidR="003162C9" w:rsidRPr="00D64BCB">
        <w:rPr>
          <w:color w:val="auto"/>
        </w:rPr>
        <w:t>C</w:t>
      </w:r>
      <w:r w:rsidRPr="00D64BCB">
        <w:rPr>
          <w:color w:val="auto"/>
        </w:rPr>
        <w:t xml:space="preserve">: </w:t>
      </w:r>
      <w:r w:rsidR="003162C9" w:rsidRPr="00D64BCB">
        <w:rPr>
          <w:color w:val="auto"/>
        </w:rPr>
        <w:t xml:space="preserve">Full HNYICB Self-Assessment document and action plan </w:t>
      </w:r>
    </w:p>
    <w:p w14:paraId="4BA56813" w14:textId="74539A4E" w:rsidR="007E676F" w:rsidRDefault="007E676F" w:rsidP="00AD427B">
      <w:pPr>
        <w:pStyle w:val="ListParagraph"/>
        <w:numPr>
          <w:ilvl w:val="0"/>
          <w:numId w:val="12"/>
        </w:numPr>
        <w:spacing w:after="0" w:line="240" w:lineRule="auto"/>
        <w:jc w:val="both"/>
        <w:rPr>
          <w:color w:val="auto"/>
        </w:rPr>
      </w:pPr>
      <w:r>
        <w:rPr>
          <w:color w:val="auto"/>
        </w:rPr>
        <w:t>Appendix D: Statement of Compliance 24/25</w:t>
      </w:r>
    </w:p>
    <w:sectPr w:rsidR="007E676F" w:rsidSect="00082B9B">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B036" w14:textId="77777777" w:rsidR="005A5F61" w:rsidRDefault="005A5F61" w:rsidP="00206B76">
      <w:pPr>
        <w:spacing w:after="0" w:line="240" w:lineRule="auto"/>
      </w:pPr>
      <w:r>
        <w:separator/>
      </w:r>
    </w:p>
  </w:endnote>
  <w:endnote w:type="continuationSeparator" w:id="0">
    <w:p w14:paraId="24E80165" w14:textId="77777777" w:rsidR="005A5F61" w:rsidRDefault="005A5F61"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59A63B3C" w14:textId="5A17AB29" w:rsidR="007139BC" w:rsidRPr="00EC2F99" w:rsidRDefault="006C6CAA" w:rsidP="00EC2F99">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0CCE1" w14:textId="77777777" w:rsidR="005A5F61" w:rsidRDefault="005A5F61" w:rsidP="00206B76">
      <w:pPr>
        <w:spacing w:after="0" w:line="240" w:lineRule="auto"/>
      </w:pPr>
      <w:r>
        <w:separator/>
      </w:r>
    </w:p>
  </w:footnote>
  <w:footnote w:type="continuationSeparator" w:id="0">
    <w:p w14:paraId="4BBAFAC0" w14:textId="77777777" w:rsidR="005A5F61" w:rsidRDefault="005A5F61"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35E82"/>
    <w:multiLevelType w:val="hybridMultilevel"/>
    <w:tmpl w:val="E3ACC6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2E76DFE"/>
    <w:multiLevelType w:val="hybridMultilevel"/>
    <w:tmpl w:val="3DE61D3E"/>
    <w:lvl w:ilvl="0" w:tplc="D87A8170">
      <w:start w:val="14"/>
      <w:numFmt w:val="bullet"/>
      <w:lvlText w:val="-"/>
      <w:lvlJc w:val="left"/>
      <w:pPr>
        <w:ind w:left="927" w:hanging="360"/>
      </w:pPr>
      <w:rPr>
        <w:rFonts w:ascii="Arial" w:eastAsia="Calibri" w:hAnsi="Arial" w:cs="Aria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AA55D9C"/>
    <w:multiLevelType w:val="hybridMultilevel"/>
    <w:tmpl w:val="0E66B5AC"/>
    <w:lvl w:ilvl="0" w:tplc="4036B8A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F44EB"/>
    <w:multiLevelType w:val="hybridMultilevel"/>
    <w:tmpl w:val="1668ED46"/>
    <w:lvl w:ilvl="0" w:tplc="E140EFAA">
      <w:numFmt w:val="bullet"/>
      <w:lvlText w:val="-"/>
      <w:lvlJc w:val="left"/>
      <w:pPr>
        <w:ind w:left="927" w:hanging="360"/>
      </w:pPr>
      <w:rPr>
        <w:rFonts w:ascii="Arial" w:eastAsia="Calibr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518E7"/>
    <w:multiLevelType w:val="hybridMultilevel"/>
    <w:tmpl w:val="3C4821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FE51A2D"/>
    <w:multiLevelType w:val="hybridMultilevel"/>
    <w:tmpl w:val="B4DC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86B7D"/>
    <w:multiLevelType w:val="hybridMultilevel"/>
    <w:tmpl w:val="AB66F5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7344C5"/>
    <w:multiLevelType w:val="hybridMultilevel"/>
    <w:tmpl w:val="11900624"/>
    <w:lvl w:ilvl="0" w:tplc="FB7ECB92">
      <w:start w:val="13"/>
      <w:numFmt w:val="bullet"/>
      <w:lvlText w:val="-"/>
      <w:lvlJc w:val="left"/>
      <w:pPr>
        <w:ind w:left="927" w:hanging="360"/>
      </w:pPr>
      <w:rPr>
        <w:rFonts w:ascii="Arial" w:eastAsia="Calibri" w:hAnsi="Arial" w:cs="Arial" w:hint="default"/>
        <w:color w:val="000000" w:themeColor="text1"/>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0875B8"/>
    <w:multiLevelType w:val="hybridMultilevel"/>
    <w:tmpl w:val="619AB89C"/>
    <w:lvl w:ilvl="0" w:tplc="EFE4880A">
      <w:start w:val="2"/>
      <w:numFmt w:val="bullet"/>
      <w:lvlText w:val="-"/>
      <w:lvlJc w:val="left"/>
      <w:pPr>
        <w:ind w:left="927" w:hanging="360"/>
      </w:pPr>
      <w:rPr>
        <w:rFonts w:ascii="Arial" w:eastAsia="Calibr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9003717"/>
    <w:multiLevelType w:val="hybridMultilevel"/>
    <w:tmpl w:val="6B84470C"/>
    <w:lvl w:ilvl="0" w:tplc="D87A8170">
      <w:start w:val="14"/>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BB6445"/>
    <w:multiLevelType w:val="hybridMultilevel"/>
    <w:tmpl w:val="D3B42A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44591"/>
    <w:multiLevelType w:val="hybridMultilevel"/>
    <w:tmpl w:val="DBF84B3A"/>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87F0F68"/>
    <w:multiLevelType w:val="hybridMultilevel"/>
    <w:tmpl w:val="F820AB92"/>
    <w:lvl w:ilvl="0" w:tplc="BC1065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666477">
    <w:abstractNumId w:val="12"/>
  </w:num>
  <w:num w:numId="2" w16cid:durableId="882718920">
    <w:abstractNumId w:val="1"/>
  </w:num>
  <w:num w:numId="3" w16cid:durableId="69666238">
    <w:abstractNumId w:val="0"/>
  </w:num>
  <w:num w:numId="4" w16cid:durableId="86193173">
    <w:abstractNumId w:val="6"/>
  </w:num>
  <w:num w:numId="5" w16cid:durableId="1161777815">
    <w:abstractNumId w:val="10"/>
  </w:num>
  <w:num w:numId="6" w16cid:durableId="711077932">
    <w:abstractNumId w:val="16"/>
  </w:num>
  <w:num w:numId="7" w16cid:durableId="1902280527">
    <w:abstractNumId w:val="18"/>
  </w:num>
  <w:num w:numId="8" w16cid:durableId="2023316722">
    <w:abstractNumId w:val="13"/>
  </w:num>
  <w:num w:numId="9" w16cid:durableId="778254440">
    <w:abstractNumId w:val="4"/>
  </w:num>
  <w:num w:numId="10" w16cid:durableId="1007825772">
    <w:abstractNumId w:val="5"/>
  </w:num>
  <w:num w:numId="11" w16cid:durableId="898516248">
    <w:abstractNumId w:val="3"/>
  </w:num>
  <w:num w:numId="12" w16cid:durableId="923881879">
    <w:abstractNumId w:val="14"/>
  </w:num>
  <w:num w:numId="13" w16cid:durableId="1349287458">
    <w:abstractNumId w:val="8"/>
  </w:num>
  <w:num w:numId="14" w16cid:durableId="1367675937">
    <w:abstractNumId w:val="15"/>
  </w:num>
  <w:num w:numId="15" w16cid:durableId="108864426">
    <w:abstractNumId w:val="17"/>
  </w:num>
  <w:num w:numId="16" w16cid:durableId="1813936092">
    <w:abstractNumId w:val="2"/>
  </w:num>
  <w:num w:numId="17" w16cid:durableId="1510632182">
    <w:abstractNumId w:val="9"/>
  </w:num>
  <w:num w:numId="18" w16cid:durableId="2118522541">
    <w:abstractNumId w:val="11"/>
  </w:num>
  <w:num w:numId="19" w16cid:durableId="59605930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6366"/>
    <w:rsid w:val="000071F0"/>
    <w:rsid w:val="00007950"/>
    <w:rsid w:val="000102CB"/>
    <w:rsid w:val="000126CA"/>
    <w:rsid w:val="00013633"/>
    <w:rsid w:val="000175AB"/>
    <w:rsid w:val="0002024F"/>
    <w:rsid w:val="000207A4"/>
    <w:rsid w:val="000234AC"/>
    <w:rsid w:val="00026704"/>
    <w:rsid w:val="00031602"/>
    <w:rsid w:val="0003258E"/>
    <w:rsid w:val="00033DFC"/>
    <w:rsid w:val="00043155"/>
    <w:rsid w:val="00043AFA"/>
    <w:rsid w:val="00044BA1"/>
    <w:rsid w:val="00045447"/>
    <w:rsid w:val="000601A8"/>
    <w:rsid w:val="0006137D"/>
    <w:rsid w:val="00073EFF"/>
    <w:rsid w:val="00073F8F"/>
    <w:rsid w:val="00076503"/>
    <w:rsid w:val="00077C47"/>
    <w:rsid w:val="00080753"/>
    <w:rsid w:val="00082B9B"/>
    <w:rsid w:val="00084E7D"/>
    <w:rsid w:val="00085A81"/>
    <w:rsid w:val="00093569"/>
    <w:rsid w:val="00095494"/>
    <w:rsid w:val="000A24F2"/>
    <w:rsid w:val="000A2C91"/>
    <w:rsid w:val="000A6313"/>
    <w:rsid w:val="000B082B"/>
    <w:rsid w:val="000B1B44"/>
    <w:rsid w:val="000B2507"/>
    <w:rsid w:val="000B458A"/>
    <w:rsid w:val="000B6058"/>
    <w:rsid w:val="000B7B78"/>
    <w:rsid w:val="000C28F5"/>
    <w:rsid w:val="000C3DF7"/>
    <w:rsid w:val="000C3FB1"/>
    <w:rsid w:val="000D05D5"/>
    <w:rsid w:val="000D2F25"/>
    <w:rsid w:val="000D3F7B"/>
    <w:rsid w:val="000D5927"/>
    <w:rsid w:val="000E4B82"/>
    <w:rsid w:val="000E54A7"/>
    <w:rsid w:val="000E6CE5"/>
    <w:rsid w:val="000F00F0"/>
    <w:rsid w:val="000F681C"/>
    <w:rsid w:val="000F6AD0"/>
    <w:rsid w:val="000F7C02"/>
    <w:rsid w:val="001049D6"/>
    <w:rsid w:val="0010586B"/>
    <w:rsid w:val="0010672E"/>
    <w:rsid w:val="00116D79"/>
    <w:rsid w:val="00117908"/>
    <w:rsid w:val="00120C2F"/>
    <w:rsid w:val="0012129A"/>
    <w:rsid w:val="00122DFC"/>
    <w:rsid w:val="00124D1D"/>
    <w:rsid w:val="00125E5C"/>
    <w:rsid w:val="0012663C"/>
    <w:rsid w:val="00133A04"/>
    <w:rsid w:val="00136257"/>
    <w:rsid w:val="00137DBB"/>
    <w:rsid w:val="0014053E"/>
    <w:rsid w:val="001517F6"/>
    <w:rsid w:val="00153409"/>
    <w:rsid w:val="001541D4"/>
    <w:rsid w:val="00161766"/>
    <w:rsid w:val="00164936"/>
    <w:rsid w:val="00165FAE"/>
    <w:rsid w:val="00166E38"/>
    <w:rsid w:val="00167407"/>
    <w:rsid w:val="001740BB"/>
    <w:rsid w:val="00175788"/>
    <w:rsid w:val="001774D9"/>
    <w:rsid w:val="00181855"/>
    <w:rsid w:val="00183A21"/>
    <w:rsid w:val="00184D84"/>
    <w:rsid w:val="00186878"/>
    <w:rsid w:val="00196845"/>
    <w:rsid w:val="001A441A"/>
    <w:rsid w:val="001A7C4E"/>
    <w:rsid w:val="001B0BDC"/>
    <w:rsid w:val="001B1EF2"/>
    <w:rsid w:val="001B25C2"/>
    <w:rsid w:val="001C09DB"/>
    <w:rsid w:val="001C2543"/>
    <w:rsid w:val="001C4434"/>
    <w:rsid w:val="001C4B3D"/>
    <w:rsid w:val="001C6F52"/>
    <w:rsid w:val="001C786C"/>
    <w:rsid w:val="001D39CC"/>
    <w:rsid w:val="001D5645"/>
    <w:rsid w:val="001D657A"/>
    <w:rsid w:val="001D7743"/>
    <w:rsid w:val="001D7949"/>
    <w:rsid w:val="001E5E41"/>
    <w:rsid w:val="001E6526"/>
    <w:rsid w:val="001E780C"/>
    <w:rsid w:val="002001E7"/>
    <w:rsid w:val="0020141F"/>
    <w:rsid w:val="002019EE"/>
    <w:rsid w:val="00201D73"/>
    <w:rsid w:val="00202518"/>
    <w:rsid w:val="00204AC7"/>
    <w:rsid w:val="00204C74"/>
    <w:rsid w:val="00205027"/>
    <w:rsid w:val="00206B76"/>
    <w:rsid w:val="00211B1F"/>
    <w:rsid w:val="0021269C"/>
    <w:rsid w:val="00213DF2"/>
    <w:rsid w:val="00214BBD"/>
    <w:rsid w:val="0021698E"/>
    <w:rsid w:val="002170BA"/>
    <w:rsid w:val="00221680"/>
    <w:rsid w:val="00222DC5"/>
    <w:rsid w:val="002258B0"/>
    <w:rsid w:val="002407C7"/>
    <w:rsid w:val="002415F0"/>
    <w:rsid w:val="00243716"/>
    <w:rsid w:val="0025572F"/>
    <w:rsid w:val="0025584B"/>
    <w:rsid w:val="00255925"/>
    <w:rsid w:val="00266DDC"/>
    <w:rsid w:val="00266F76"/>
    <w:rsid w:val="00270E1F"/>
    <w:rsid w:val="00273C37"/>
    <w:rsid w:val="002754DE"/>
    <w:rsid w:val="0027695E"/>
    <w:rsid w:val="0029418F"/>
    <w:rsid w:val="0029694C"/>
    <w:rsid w:val="002A13D9"/>
    <w:rsid w:val="002A182B"/>
    <w:rsid w:val="002A33AE"/>
    <w:rsid w:val="002A5816"/>
    <w:rsid w:val="002A7A62"/>
    <w:rsid w:val="002A7ED2"/>
    <w:rsid w:val="002B0F1C"/>
    <w:rsid w:val="002B2284"/>
    <w:rsid w:val="002B4676"/>
    <w:rsid w:val="002B6F55"/>
    <w:rsid w:val="002B7229"/>
    <w:rsid w:val="002C4818"/>
    <w:rsid w:val="002C4C9D"/>
    <w:rsid w:val="002D2006"/>
    <w:rsid w:val="002D223A"/>
    <w:rsid w:val="002D22F3"/>
    <w:rsid w:val="002D2FBC"/>
    <w:rsid w:val="002D3E0E"/>
    <w:rsid w:val="002D4BC5"/>
    <w:rsid w:val="002D769C"/>
    <w:rsid w:val="002D7FCB"/>
    <w:rsid w:val="002E50F3"/>
    <w:rsid w:val="002F2771"/>
    <w:rsid w:val="00302063"/>
    <w:rsid w:val="00303057"/>
    <w:rsid w:val="00310A09"/>
    <w:rsid w:val="003129DD"/>
    <w:rsid w:val="003162C9"/>
    <w:rsid w:val="003221F0"/>
    <w:rsid w:val="00322758"/>
    <w:rsid w:val="00326FBF"/>
    <w:rsid w:val="003312D3"/>
    <w:rsid w:val="003315EE"/>
    <w:rsid w:val="00331688"/>
    <w:rsid w:val="003342E9"/>
    <w:rsid w:val="00337E99"/>
    <w:rsid w:val="00340567"/>
    <w:rsid w:val="0034324D"/>
    <w:rsid w:val="00346F70"/>
    <w:rsid w:val="003509A9"/>
    <w:rsid w:val="0035151F"/>
    <w:rsid w:val="00353D4B"/>
    <w:rsid w:val="003543D2"/>
    <w:rsid w:val="00357EB9"/>
    <w:rsid w:val="0036341F"/>
    <w:rsid w:val="003728AB"/>
    <w:rsid w:val="003734A1"/>
    <w:rsid w:val="00373698"/>
    <w:rsid w:val="0037462C"/>
    <w:rsid w:val="00374FF4"/>
    <w:rsid w:val="003758BF"/>
    <w:rsid w:val="0037732B"/>
    <w:rsid w:val="00381FC0"/>
    <w:rsid w:val="00386180"/>
    <w:rsid w:val="00387746"/>
    <w:rsid w:val="0038786F"/>
    <w:rsid w:val="00390986"/>
    <w:rsid w:val="00390F40"/>
    <w:rsid w:val="003A14A9"/>
    <w:rsid w:val="003A1818"/>
    <w:rsid w:val="003A4308"/>
    <w:rsid w:val="003B20E3"/>
    <w:rsid w:val="003B2F18"/>
    <w:rsid w:val="003B36B4"/>
    <w:rsid w:val="003B6637"/>
    <w:rsid w:val="003C10DD"/>
    <w:rsid w:val="003C1D6F"/>
    <w:rsid w:val="003C1D81"/>
    <w:rsid w:val="003C5143"/>
    <w:rsid w:val="003C5AB0"/>
    <w:rsid w:val="003D11C8"/>
    <w:rsid w:val="003D47EE"/>
    <w:rsid w:val="003D481E"/>
    <w:rsid w:val="003E0C58"/>
    <w:rsid w:val="003E2167"/>
    <w:rsid w:val="003E3E36"/>
    <w:rsid w:val="003E4F39"/>
    <w:rsid w:val="003E5B87"/>
    <w:rsid w:val="003F22BD"/>
    <w:rsid w:val="003F6485"/>
    <w:rsid w:val="003F7FBC"/>
    <w:rsid w:val="00404BD5"/>
    <w:rsid w:val="004159D1"/>
    <w:rsid w:val="0041692A"/>
    <w:rsid w:val="004307C4"/>
    <w:rsid w:val="00431C03"/>
    <w:rsid w:val="00434567"/>
    <w:rsid w:val="00440957"/>
    <w:rsid w:val="00440CA7"/>
    <w:rsid w:val="00440CFB"/>
    <w:rsid w:val="0044152E"/>
    <w:rsid w:val="00445AFD"/>
    <w:rsid w:val="00450065"/>
    <w:rsid w:val="004535CD"/>
    <w:rsid w:val="0046152F"/>
    <w:rsid w:val="00466779"/>
    <w:rsid w:val="0046779B"/>
    <w:rsid w:val="00472EB9"/>
    <w:rsid w:val="00476289"/>
    <w:rsid w:val="004765EA"/>
    <w:rsid w:val="004768C6"/>
    <w:rsid w:val="00476E2A"/>
    <w:rsid w:val="00481604"/>
    <w:rsid w:val="00485613"/>
    <w:rsid w:val="0048605A"/>
    <w:rsid w:val="00487702"/>
    <w:rsid w:val="0049270B"/>
    <w:rsid w:val="0049375E"/>
    <w:rsid w:val="00496429"/>
    <w:rsid w:val="0049688A"/>
    <w:rsid w:val="00497DAE"/>
    <w:rsid w:val="00497FA3"/>
    <w:rsid w:val="004A4AF8"/>
    <w:rsid w:val="004A4FEF"/>
    <w:rsid w:val="004A6991"/>
    <w:rsid w:val="004A6F2B"/>
    <w:rsid w:val="004B0CCF"/>
    <w:rsid w:val="004B3564"/>
    <w:rsid w:val="004B6A05"/>
    <w:rsid w:val="004B70BC"/>
    <w:rsid w:val="004C16F5"/>
    <w:rsid w:val="004C2764"/>
    <w:rsid w:val="004C2915"/>
    <w:rsid w:val="004C3435"/>
    <w:rsid w:val="004D060E"/>
    <w:rsid w:val="004D28CD"/>
    <w:rsid w:val="004D5769"/>
    <w:rsid w:val="004D7ACB"/>
    <w:rsid w:val="004E1AD0"/>
    <w:rsid w:val="004E2C3E"/>
    <w:rsid w:val="004E3363"/>
    <w:rsid w:val="004E7B53"/>
    <w:rsid w:val="004F0F4F"/>
    <w:rsid w:val="004F1273"/>
    <w:rsid w:val="004F190C"/>
    <w:rsid w:val="004F3385"/>
    <w:rsid w:val="00505381"/>
    <w:rsid w:val="00505C01"/>
    <w:rsid w:val="00521467"/>
    <w:rsid w:val="00524FEE"/>
    <w:rsid w:val="0052611C"/>
    <w:rsid w:val="00526C34"/>
    <w:rsid w:val="00527D14"/>
    <w:rsid w:val="005333D7"/>
    <w:rsid w:val="005358B0"/>
    <w:rsid w:val="00536B0E"/>
    <w:rsid w:val="00540496"/>
    <w:rsid w:val="00547403"/>
    <w:rsid w:val="00556818"/>
    <w:rsid w:val="00557234"/>
    <w:rsid w:val="00563182"/>
    <w:rsid w:val="00565330"/>
    <w:rsid w:val="00566BDC"/>
    <w:rsid w:val="0057194B"/>
    <w:rsid w:val="005726A2"/>
    <w:rsid w:val="00582740"/>
    <w:rsid w:val="005901F4"/>
    <w:rsid w:val="00590705"/>
    <w:rsid w:val="0059099C"/>
    <w:rsid w:val="0059566F"/>
    <w:rsid w:val="005A31DA"/>
    <w:rsid w:val="005A3F90"/>
    <w:rsid w:val="005A5F61"/>
    <w:rsid w:val="005A6513"/>
    <w:rsid w:val="005A6CEB"/>
    <w:rsid w:val="005A77E8"/>
    <w:rsid w:val="005B374A"/>
    <w:rsid w:val="005B7030"/>
    <w:rsid w:val="005C1974"/>
    <w:rsid w:val="005C39D5"/>
    <w:rsid w:val="005C4DDD"/>
    <w:rsid w:val="005C5EB5"/>
    <w:rsid w:val="005C6C78"/>
    <w:rsid w:val="005D12F2"/>
    <w:rsid w:val="005D233E"/>
    <w:rsid w:val="005D3300"/>
    <w:rsid w:val="005E2527"/>
    <w:rsid w:val="005E55BF"/>
    <w:rsid w:val="005E692E"/>
    <w:rsid w:val="005E6B68"/>
    <w:rsid w:val="005E7595"/>
    <w:rsid w:val="005F3077"/>
    <w:rsid w:val="005F6C7C"/>
    <w:rsid w:val="005F7443"/>
    <w:rsid w:val="0060015C"/>
    <w:rsid w:val="00604489"/>
    <w:rsid w:val="00606936"/>
    <w:rsid w:val="0060792D"/>
    <w:rsid w:val="0061348C"/>
    <w:rsid w:val="00620388"/>
    <w:rsid w:val="006219EE"/>
    <w:rsid w:val="00622204"/>
    <w:rsid w:val="0063018A"/>
    <w:rsid w:val="0063099F"/>
    <w:rsid w:val="00634CC3"/>
    <w:rsid w:val="006353ED"/>
    <w:rsid w:val="006362B9"/>
    <w:rsid w:val="0063726D"/>
    <w:rsid w:val="00643F72"/>
    <w:rsid w:val="00646584"/>
    <w:rsid w:val="006472F3"/>
    <w:rsid w:val="006500B1"/>
    <w:rsid w:val="0065016C"/>
    <w:rsid w:val="006552CE"/>
    <w:rsid w:val="00662CBF"/>
    <w:rsid w:val="00664CA4"/>
    <w:rsid w:val="00674F24"/>
    <w:rsid w:val="0068013B"/>
    <w:rsid w:val="00681A05"/>
    <w:rsid w:val="0068360C"/>
    <w:rsid w:val="00690976"/>
    <w:rsid w:val="00696CD9"/>
    <w:rsid w:val="006A1CC6"/>
    <w:rsid w:val="006A7070"/>
    <w:rsid w:val="006B0E2B"/>
    <w:rsid w:val="006B18AD"/>
    <w:rsid w:val="006C125A"/>
    <w:rsid w:val="006C1265"/>
    <w:rsid w:val="006C1E7A"/>
    <w:rsid w:val="006C31DB"/>
    <w:rsid w:val="006C3292"/>
    <w:rsid w:val="006C4C28"/>
    <w:rsid w:val="006C6CAA"/>
    <w:rsid w:val="006C7A4C"/>
    <w:rsid w:val="006D5A82"/>
    <w:rsid w:val="006D6777"/>
    <w:rsid w:val="006D75CD"/>
    <w:rsid w:val="006E1649"/>
    <w:rsid w:val="006F133F"/>
    <w:rsid w:val="006F51F1"/>
    <w:rsid w:val="006F7291"/>
    <w:rsid w:val="007025AD"/>
    <w:rsid w:val="007109D4"/>
    <w:rsid w:val="00711DBE"/>
    <w:rsid w:val="007139BC"/>
    <w:rsid w:val="00714138"/>
    <w:rsid w:val="00714227"/>
    <w:rsid w:val="0071605E"/>
    <w:rsid w:val="00722B9F"/>
    <w:rsid w:val="007233FE"/>
    <w:rsid w:val="00723683"/>
    <w:rsid w:val="00724A6C"/>
    <w:rsid w:val="00732337"/>
    <w:rsid w:val="00732F90"/>
    <w:rsid w:val="00741316"/>
    <w:rsid w:val="00744029"/>
    <w:rsid w:val="00746877"/>
    <w:rsid w:val="007503D3"/>
    <w:rsid w:val="00750FD9"/>
    <w:rsid w:val="00752FC4"/>
    <w:rsid w:val="00754F96"/>
    <w:rsid w:val="0075500E"/>
    <w:rsid w:val="007563DB"/>
    <w:rsid w:val="00764500"/>
    <w:rsid w:val="00764C56"/>
    <w:rsid w:val="007650BC"/>
    <w:rsid w:val="00772F4C"/>
    <w:rsid w:val="007736DB"/>
    <w:rsid w:val="00786E57"/>
    <w:rsid w:val="00795B71"/>
    <w:rsid w:val="007A3FFD"/>
    <w:rsid w:val="007B0DD7"/>
    <w:rsid w:val="007B2220"/>
    <w:rsid w:val="007B7316"/>
    <w:rsid w:val="007C16AF"/>
    <w:rsid w:val="007C42F1"/>
    <w:rsid w:val="007C6F0E"/>
    <w:rsid w:val="007C7835"/>
    <w:rsid w:val="007D06B3"/>
    <w:rsid w:val="007D5A7F"/>
    <w:rsid w:val="007E0F0A"/>
    <w:rsid w:val="007E630F"/>
    <w:rsid w:val="007E6464"/>
    <w:rsid w:val="007E676F"/>
    <w:rsid w:val="007E7D10"/>
    <w:rsid w:val="007F2318"/>
    <w:rsid w:val="007F2CA5"/>
    <w:rsid w:val="007F3AFA"/>
    <w:rsid w:val="007F5B63"/>
    <w:rsid w:val="007F7B63"/>
    <w:rsid w:val="00801D37"/>
    <w:rsid w:val="008104F6"/>
    <w:rsid w:val="00810573"/>
    <w:rsid w:val="008133A3"/>
    <w:rsid w:val="008142EE"/>
    <w:rsid w:val="008205C8"/>
    <w:rsid w:val="0082294F"/>
    <w:rsid w:val="00823C8C"/>
    <w:rsid w:val="00827498"/>
    <w:rsid w:val="00832316"/>
    <w:rsid w:val="00832352"/>
    <w:rsid w:val="00834402"/>
    <w:rsid w:val="00835C95"/>
    <w:rsid w:val="008502FC"/>
    <w:rsid w:val="00856A5A"/>
    <w:rsid w:val="00856D9A"/>
    <w:rsid w:val="00857751"/>
    <w:rsid w:val="008601C9"/>
    <w:rsid w:val="00862AFA"/>
    <w:rsid w:val="00864DEE"/>
    <w:rsid w:val="00870A8A"/>
    <w:rsid w:val="00871019"/>
    <w:rsid w:val="00877537"/>
    <w:rsid w:val="00880E9F"/>
    <w:rsid w:val="008813F0"/>
    <w:rsid w:val="00884D3A"/>
    <w:rsid w:val="00887A16"/>
    <w:rsid w:val="00893E55"/>
    <w:rsid w:val="008951B4"/>
    <w:rsid w:val="008B11BB"/>
    <w:rsid w:val="008B1783"/>
    <w:rsid w:val="008B518F"/>
    <w:rsid w:val="008C4A30"/>
    <w:rsid w:val="008C54B1"/>
    <w:rsid w:val="008D121F"/>
    <w:rsid w:val="008D4F11"/>
    <w:rsid w:val="008D57B2"/>
    <w:rsid w:val="008D6631"/>
    <w:rsid w:val="008E175D"/>
    <w:rsid w:val="008E64C6"/>
    <w:rsid w:val="008F2002"/>
    <w:rsid w:val="008F27FD"/>
    <w:rsid w:val="00901F6D"/>
    <w:rsid w:val="00901FDA"/>
    <w:rsid w:val="0090223E"/>
    <w:rsid w:val="0090276F"/>
    <w:rsid w:val="009061A5"/>
    <w:rsid w:val="00912FC7"/>
    <w:rsid w:val="00913A2F"/>
    <w:rsid w:val="00914923"/>
    <w:rsid w:val="00920E40"/>
    <w:rsid w:val="00922F3D"/>
    <w:rsid w:val="00925A3D"/>
    <w:rsid w:val="00927676"/>
    <w:rsid w:val="0093186A"/>
    <w:rsid w:val="00931B49"/>
    <w:rsid w:val="009369E8"/>
    <w:rsid w:val="00937B40"/>
    <w:rsid w:val="0094466E"/>
    <w:rsid w:val="00947224"/>
    <w:rsid w:val="009538C1"/>
    <w:rsid w:val="00953DC4"/>
    <w:rsid w:val="00955029"/>
    <w:rsid w:val="00955C5A"/>
    <w:rsid w:val="0096218D"/>
    <w:rsid w:val="00963148"/>
    <w:rsid w:val="00966D6B"/>
    <w:rsid w:val="009721E2"/>
    <w:rsid w:val="00972F2F"/>
    <w:rsid w:val="009804BB"/>
    <w:rsid w:val="00982F4A"/>
    <w:rsid w:val="0098705F"/>
    <w:rsid w:val="00990F51"/>
    <w:rsid w:val="0099422D"/>
    <w:rsid w:val="009A62B5"/>
    <w:rsid w:val="009A6569"/>
    <w:rsid w:val="009A7A81"/>
    <w:rsid w:val="009B0690"/>
    <w:rsid w:val="009B5960"/>
    <w:rsid w:val="009C230A"/>
    <w:rsid w:val="009C357F"/>
    <w:rsid w:val="009C5785"/>
    <w:rsid w:val="009D047E"/>
    <w:rsid w:val="009D119C"/>
    <w:rsid w:val="009D452F"/>
    <w:rsid w:val="009D776C"/>
    <w:rsid w:val="009D7CA5"/>
    <w:rsid w:val="009E1229"/>
    <w:rsid w:val="009E5E4D"/>
    <w:rsid w:val="009F0FF8"/>
    <w:rsid w:val="009F2568"/>
    <w:rsid w:val="009F44BF"/>
    <w:rsid w:val="00A05246"/>
    <w:rsid w:val="00A07564"/>
    <w:rsid w:val="00A07AA3"/>
    <w:rsid w:val="00A11200"/>
    <w:rsid w:val="00A11FFC"/>
    <w:rsid w:val="00A1731D"/>
    <w:rsid w:val="00A24C14"/>
    <w:rsid w:val="00A24E82"/>
    <w:rsid w:val="00A304AD"/>
    <w:rsid w:val="00A31302"/>
    <w:rsid w:val="00A35FB5"/>
    <w:rsid w:val="00A5045D"/>
    <w:rsid w:val="00A5390B"/>
    <w:rsid w:val="00A569F8"/>
    <w:rsid w:val="00A57960"/>
    <w:rsid w:val="00A67F40"/>
    <w:rsid w:val="00A713CE"/>
    <w:rsid w:val="00A72136"/>
    <w:rsid w:val="00A7411D"/>
    <w:rsid w:val="00A75C83"/>
    <w:rsid w:val="00A76A81"/>
    <w:rsid w:val="00A83562"/>
    <w:rsid w:val="00A87191"/>
    <w:rsid w:val="00A90438"/>
    <w:rsid w:val="00A90556"/>
    <w:rsid w:val="00A928F1"/>
    <w:rsid w:val="00A931BB"/>
    <w:rsid w:val="00A95265"/>
    <w:rsid w:val="00A958CA"/>
    <w:rsid w:val="00A95E61"/>
    <w:rsid w:val="00A962A9"/>
    <w:rsid w:val="00AA3A6A"/>
    <w:rsid w:val="00AA4D05"/>
    <w:rsid w:val="00AA75E5"/>
    <w:rsid w:val="00AB0758"/>
    <w:rsid w:val="00AB3FD0"/>
    <w:rsid w:val="00AB48C8"/>
    <w:rsid w:val="00AC0420"/>
    <w:rsid w:val="00AC22C8"/>
    <w:rsid w:val="00AC27D0"/>
    <w:rsid w:val="00AC2884"/>
    <w:rsid w:val="00AC3B1F"/>
    <w:rsid w:val="00AC3D51"/>
    <w:rsid w:val="00AC6206"/>
    <w:rsid w:val="00AD0594"/>
    <w:rsid w:val="00AD1969"/>
    <w:rsid w:val="00AD44BB"/>
    <w:rsid w:val="00AD4F6E"/>
    <w:rsid w:val="00AE0874"/>
    <w:rsid w:val="00AE1706"/>
    <w:rsid w:val="00AE1D23"/>
    <w:rsid w:val="00AE3564"/>
    <w:rsid w:val="00AE6752"/>
    <w:rsid w:val="00AF0845"/>
    <w:rsid w:val="00AF316A"/>
    <w:rsid w:val="00AF4C41"/>
    <w:rsid w:val="00AF6601"/>
    <w:rsid w:val="00B00486"/>
    <w:rsid w:val="00B00F64"/>
    <w:rsid w:val="00B01207"/>
    <w:rsid w:val="00B01360"/>
    <w:rsid w:val="00B0337D"/>
    <w:rsid w:val="00B05E81"/>
    <w:rsid w:val="00B07FE3"/>
    <w:rsid w:val="00B1044C"/>
    <w:rsid w:val="00B10E81"/>
    <w:rsid w:val="00B1420C"/>
    <w:rsid w:val="00B16B79"/>
    <w:rsid w:val="00B177EC"/>
    <w:rsid w:val="00B17BE3"/>
    <w:rsid w:val="00B230EF"/>
    <w:rsid w:val="00B23100"/>
    <w:rsid w:val="00B23603"/>
    <w:rsid w:val="00B23AD5"/>
    <w:rsid w:val="00B2634B"/>
    <w:rsid w:val="00B344E8"/>
    <w:rsid w:val="00B42479"/>
    <w:rsid w:val="00B44904"/>
    <w:rsid w:val="00B449FA"/>
    <w:rsid w:val="00B46195"/>
    <w:rsid w:val="00B52206"/>
    <w:rsid w:val="00B52770"/>
    <w:rsid w:val="00B528DA"/>
    <w:rsid w:val="00B55B0A"/>
    <w:rsid w:val="00B66956"/>
    <w:rsid w:val="00B849DD"/>
    <w:rsid w:val="00B85717"/>
    <w:rsid w:val="00B86AF2"/>
    <w:rsid w:val="00B87F8C"/>
    <w:rsid w:val="00B907B0"/>
    <w:rsid w:val="00B91EB9"/>
    <w:rsid w:val="00B93249"/>
    <w:rsid w:val="00B95786"/>
    <w:rsid w:val="00B9579C"/>
    <w:rsid w:val="00B97DD3"/>
    <w:rsid w:val="00BA07E7"/>
    <w:rsid w:val="00BA15B4"/>
    <w:rsid w:val="00BA2E3F"/>
    <w:rsid w:val="00BA31CD"/>
    <w:rsid w:val="00BB02F4"/>
    <w:rsid w:val="00BB5B75"/>
    <w:rsid w:val="00BC2195"/>
    <w:rsid w:val="00BC3A68"/>
    <w:rsid w:val="00BC7DE0"/>
    <w:rsid w:val="00BD03D7"/>
    <w:rsid w:val="00BD17D6"/>
    <w:rsid w:val="00BD4E1C"/>
    <w:rsid w:val="00BD6B55"/>
    <w:rsid w:val="00BD7A94"/>
    <w:rsid w:val="00BE0F31"/>
    <w:rsid w:val="00BE195D"/>
    <w:rsid w:val="00BE579C"/>
    <w:rsid w:val="00BE5D0C"/>
    <w:rsid w:val="00BE6F00"/>
    <w:rsid w:val="00C00E2C"/>
    <w:rsid w:val="00C02C90"/>
    <w:rsid w:val="00C02FB2"/>
    <w:rsid w:val="00C03888"/>
    <w:rsid w:val="00C04037"/>
    <w:rsid w:val="00C07B1A"/>
    <w:rsid w:val="00C13969"/>
    <w:rsid w:val="00C150B2"/>
    <w:rsid w:val="00C20147"/>
    <w:rsid w:val="00C236A7"/>
    <w:rsid w:val="00C24EB6"/>
    <w:rsid w:val="00C252C7"/>
    <w:rsid w:val="00C4131D"/>
    <w:rsid w:val="00C448EC"/>
    <w:rsid w:val="00C51D88"/>
    <w:rsid w:val="00C51ECE"/>
    <w:rsid w:val="00C52EC7"/>
    <w:rsid w:val="00C54E47"/>
    <w:rsid w:val="00C579D1"/>
    <w:rsid w:val="00C736DA"/>
    <w:rsid w:val="00C74CA9"/>
    <w:rsid w:val="00C760C9"/>
    <w:rsid w:val="00C76C66"/>
    <w:rsid w:val="00C77143"/>
    <w:rsid w:val="00C812BD"/>
    <w:rsid w:val="00C82616"/>
    <w:rsid w:val="00C8521E"/>
    <w:rsid w:val="00C8745D"/>
    <w:rsid w:val="00C9068F"/>
    <w:rsid w:val="00C92947"/>
    <w:rsid w:val="00C94B1C"/>
    <w:rsid w:val="00C96C54"/>
    <w:rsid w:val="00CA0265"/>
    <w:rsid w:val="00CA24E7"/>
    <w:rsid w:val="00CA3A9F"/>
    <w:rsid w:val="00CA4189"/>
    <w:rsid w:val="00CA4B44"/>
    <w:rsid w:val="00CA774E"/>
    <w:rsid w:val="00CB30BA"/>
    <w:rsid w:val="00CB3FB5"/>
    <w:rsid w:val="00CD003C"/>
    <w:rsid w:val="00CD20A8"/>
    <w:rsid w:val="00CD5926"/>
    <w:rsid w:val="00CD60BF"/>
    <w:rsid w:val="00CD6317"/>
    <w:rsid w:val="00CD6F70"/>
    <w:rsid w:val="00CD7034"/>
    <w:rsid w:val="00CE23E4"/>
    <w:rsid w:val="00CE5082"/>
    <w:rsid w:val="00CF290B"/>
    <w:rsid w:val="00CF4ABB"/>
    <w:rsid w:val="00CF5029"/>
    <w:rsid w:val="00CF5529"/>
    <w:rsid w:val="00D00EC7"/>
    <w:rsid w:val="00D03496"/>
    <w:rsid w:val="00D05ADC"/>
    <w:rsid w:val="00D06580"/>
    <w:rsid w:val="00D1289F"/>
    <w:rsid w:val="00D164AE"/>
    <w:rsid w:val="00D220BF"/>
    <w:rsid w:val="00D22820"/>
    <w:rsid w:val="00D24B48"/>
    <w:rsid w:val="00D30A22"/>
    <w:rsid w:val="00D314A0"/>
    <w:rsid w:val="00D32656"/>
    <w:rsid w:val="00D333D4"/>
    <w:rsid w:val="00D33689"/>
    <w:rsid w:val="00D34A80"/>
    <w:rsid w:val="00D411F0"/>
    <w:rsid w:val="00D425B2"/>
    <w:rsid w:val="00D4308E"/>
    <w:rsid w:val="00D431A0"/>
    <w:rsid w:val="00D4587C"/>
    <w:rsid w:val="00D471E3"/>
    <w:rsid w:val="00D5363C"/>
    <w:rsid w:val="00D55F81"/>
    <w:rsid w:val="00D619F8"/>
    <w:rsid w:val="00D64BCB"/>
    <w:rsid w:val="00D72226"/>
    <w:rsid w:val="00D72609"/>
    <w:rsid w:val="00D74118"/>
    <w:rsid w:val="00D75AE9"/>
    <w:rsid w:val="00D80231"/>
    <w:rsid w:val="00D82E6B"/>
    <w:rsid w:val="00D86D42"/>
    <w:rsid w:val="00D8795B"/>
    <w:rsid w:val="00D90441"/>
    <w:rsid w:val="00D904C1"/>
    <w:rsid w:val="00D90801"/>
    <w:rsid w:val="00DA05B3"/>
    <w:rsid w:val="00DA3456"/>
    <w:rsid w:val="00DA55E6"/>
    <w:rsid w:val="00DB0699"/>
    <w:rsid w:val="00DB7283"/>
    <w:rsid w:val="00DC01B6"/>
    <w:rsid w:val="00DC14B2"/>
    <w:rsid w:val="00DC3300"/>
    <w:rsid w:val="00DC53E7"/>
    <w:rsid w:val="00DC64AD"/>
    <w:rsid w:val="00DC7824"/>
    <w:rsid w:val="00DC7FA8"/>
    <w:rsid w:val="00DD0155"/>
    <w:rsid w:val="00DD245E"/>
    <w:rsid w:val="00DD2766"/>
    <w:rsid w:val="00DD3540"/>
    <w:rsid w:val="00DD3642"/>
    <w:rsid w:val="00DD4B16"/>
    <w:rsid w:val="00DD7F1F"/>
    <w:rsid w:val="00DF212B"/>
    <w:rsid w:val="00DF22AE"/>
    <w:rsid w:val="00DF308D"/>
    <w:rsid w:val="00E02119"/>
    <w:rsid w:val="00E16508"/>
    <w:rsid w:val="00E16E8E"/>
    <w:rsid w:val="00E213AA"/>
    <w:rsid w:val="00E22336"/>
    <w:rsid w:val="00E238FC"/>
    <w:rsid w:val="00E23F16"/>
    <w:rsid w:val="00E26982"/>
    <w:rsid w:val="00E3188D"/>
    <w:rsid w:val="00E3220D"/>
    <w:rsid w:val="00E3617B"/>
    <w:rsid w:val="00E36CAA"/>
    <w:rsid w:val="00E37AF0"/>
    <w:rsid w:val="00E428C9"/>
    <w:rsid w:val="00E42977"/>
    <w:rsid w:val="00E4346B"/>
    <w:rsid w:val="00E435A8"/>
    <w:rsid w:val="00E43B29"/>
    <w:rsid w:val="00E52A70"/>
    <w:rsid w:val="00E52EBB"/>
    <w:rsid w:val="00E5484E"/>
    <w:rsid w:val="00E54BB7"/>
    <w:rsid w:val="00E60C42"/>
    <w:rsid w:val="00E611EA"/>
    <w:rsid w:val="00E64026"/>
    <w:rsid w:val="00E65266"/>
    <w:rsid w:val="00E70C1C"/>
    <w:rsid w:val="00E735DB"/>
    <w:rsid w:val="00E750DE"/>
    <w:rsid w:val="00E758B9"/>
    <w:rsid w:val="00E76218"/>
    <w:rsid w:val="00E77806"/>
    <w:rsid w:val="00E84C5B"/>
    <w:rsid w:val="00E93107"/>
    <w:rsid w:val="00E967A8"/>
    <w:rsid w:val="00E96BE0"/>
    <w:rsid w:val="00EA1442"/>
    <w:rsid w:val="00EA1FFE"/>
    <w:rsid w:val="00EA5095"/>
    <w:rsid w:val="00EA5875"/>
    <w:rsid w:val="00EA7E82"/>
    <w:rsid w:val="00EB016E"/>
    <w:rsid w:val="00EB0366"/>
    <w:rsid w:val="00EB1B1A"/>
    <w:rsid w:val="00EB25A0"/>
    <w:rsid w:val="00EB3BD1"/>
    <w:rsid w:val="00EB6B22"/>
    <w:rsid w:val="00EB7F9B"/>
    <w:rsid w:val="00EC02C2"/>
    <w:rsid w:val="00EC075C"/>
    <w:rsid w:val="00EC11A1"/>
    <w:rsid w:val="00EC18BB"/>
    <w:rsid w:val="00EC2F99"/>
    <w:rsid w:val="00ED2242"/>
    <w:rsid w:val="00ED2507"/>
    <w:rsid w:val="00EE09FE"/>
    <w:rsid w:val="00EE0D9D"/>
    <w:rsid w:val="00EE3645"/>
    <w:rsid w:val="00EE4E15"/>
    <w:rsid w:val="00EF012F"/>
    <w:rsid w:val="00EF158C"/>
    <w:rsid w:val="00EF2519"/>
    <w:rsid w:val="00EF3216"/>
    <w:rsid w:val="00EF4BA3"/>
    <w:rsid w:val="00EF67E3"/>
    <w:rsid w:val="00F02345"/>
    <w:rsid w:val="00F04CC5"/>
    <w:rsid w:val="00F06485"/>
    <w:rsid w:val="00F07B5F"/>
    <w:rsid w:val="00F12D21"/>
    <w:rsid w:val="00F13F0C"/>
    <w:rsid w:val="00F13FAE"/>
    <w:rsid w:val="00F1645D"/>
    <w:rsid w:val="00F169E7"/>
    <w:rsid w:val="00F17DC9"/>
    <w:rsid w:val="00F265A6"/>
    <w:rsid w:val="00F32A5F"/>
    <w:rsid w:val="00F43149"/>
    <w:rsid w:val="00F43DAC"/>
    <w:rsid w:val="00F45496"/>
    <w:rsid w:val="00F4644B"/>
    <w:rsid w:val="00F50162"/>
    <w:rsid w:val="00F50234"/>
    <w:rsid w:val="00F51176"/>
    <w:rsid w:val="00F51290"/>
    <w:rsid w:val="00F51B74"/>
    <w:rsid w:val="00F554A8"/>
    <w:rsid w:val="00F60A32"/>
    <w:rsid w:val="00F617A1"/>
    <w:rsid w:val="00F623A5"/>
    <w:rsid w:val="00F625DB"/>
    <w:rsid w:val="00F637DB"/>
    <w:rsid w:val="00F76790"/>
    <w:rsid w:val="00F85C65"/>
    <w:rsid w:val="00F86952"/>
    <w:rsid w:val="00F87E85"/>
    <w:rsid w:val="00F96AEC"/>
    <w:rsid w:val="00FA5C25"/>
    <w:rsid w:val="00FA6456"/>
    <w:rsid w:val="00FB76C8"/>
    <w:rsid w:val="00FC40F8"/>
    <w:rsid w:val="00FC48C5"/>
    <w:rsid w:val="00FC6A4D"/>
    <w:rsid w:val="00FD21D2"/>
    <w:rsid w:val="00FD3A54"/>
    <w:rsid w:val="00FE1045"/>
    <w:rsid w:val="00FE375F"/>
    <w:rsid w:val="00FE4442"/>
    <w:rsid w:val="00FF3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1">
    <w:name w:val="heading 1"/>
    <w:basedOn w:val="Normal"/>
    <w:next w:val="Normal"/>
    <w:link w:val="Heading1Char"/>
    <w:uiPriority w:val="9"/>
    <w:qFormat/>
    <w:rsid w:val="00F85C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85C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5C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Heading1Char">
    <w:name w:val="Heading 1 Char"/>
    <w:basedOn w:val="DefaultParagraphFont"/>
    <w:link w:val="Heading1"/>
    <w:uiPriority w:val="9"/>
    <w:rsid w:val="00F85C6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F85C6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F85C65"/>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unhideWhenUsed/>
    <w:rsid w:val="004A6991"/>
    <w:rPr>
      <w:sz w:val="16"/>
      <w:szCs w:val="16"/>
    </w:rPr>
  </w:style>
  <w:style w:type="paragraph" w:styleId="CommentText">
    <w:name w:val="annotation text"/>
    <w:basedOn w:val="Normal"/>
    <w:link w:val="CommentTextChar"/>
    <w:uiPriority w:val="99"/>
    <w:unhideWhenUsed/>
    <w:rsid w:val="004A6991"/>
    <w:pPr>
      <w:spacing w:line="240" w:lineRule="auto"/>
    </w:pPr>
    <w:rPr>
      <w:sz w:val="20"/>
      <w:szCs w:val="20"/>
    </w:rPr>
  </w:style>
  <w:style w:type="character" w:customStyle="1" w:styleId="CommentTextChar">
    <w:name w:val="Comment Text Char"/>
    <w:basedOn w:val="DefaultParagraphFont"/>
    <w:link w:val="CommentText"/>
    <w:uiPriority w:val="99"/>
    <w:rsid w:val="004A6991"/>
    <w:rPr>
      <w:color w:val="FF0000"/>
      <w:lang w:eastAsia="en-US"/>
    </w:rPr>
  </w:style>
  <w:style w:type="paragraph" w:styleId="CommentSubject">
    <w:name w:val="annotation subject"/>
    <w:basedOn w:val="CommentText"/>
    <w:next w:val="CommentText"/>
    <w:link w:val="CommentSubjectChar"/>
    <w:uiPriority w:val="99"/>
    <w:semiHidden/>
    <w:unhideWhenUsed/>
    <w:rsid w:val="004A6991"/>
    <w:rPr>
      <w:b/>
      <w:bCs/>
    </w:rPr>
  </w:style>
  <w:style w:type="character" w:customStyle="1" w:styleId="CommentSubjectChar">
    <w:name w:val="Comment Subject Char"/>
    <w:basedOn w:val="CommentTextChar"/>
    <w:link w:val="CommentSubject"/>
    <w:uiPriority w:val="99"/>
    <w:semiHidden/>
    <w:rsid w:val="004A6991"/>
    <w:rPr>
      <w:b/>
      <w:bCs/>
      <w:color w:val="FF0000"/>
      <w:lang w:eastAsia="en-US"/>
    </w:rPr>
  </w:style>
  <w:style w:type="table" w:styleId="GridTable2-Accent6">
    <w:name w:val="Grid Table 2 Accent 6"/>
    <w:basedOn w:val="TableNormal"/>
    <w:uiPriority w:val="47"/>
    <w:rsid w:val="0054049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5">
    <w:name w:val="Grid Table 2 Accent 5"/>
    <w:basedOn w:val="TableNormal"/>
    <w:uiPriority w:val="47"/>
    <w:rsid w:val="0054049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2004079">
      <w:bodyDiv w:val="1"/>
      <w:marLeft w:val="0"/>
      <w:marRight w:val="0"/>
      <w:marTop w:val="0"/>
      <w:marBottom w:val="0"/>
      <w:divBdr>
        <w:top w:val="none" w:sz="0" w:space="0" w:color="auto"/>
        <w:left w:val="none" w:sz="0" w:space="0" w:color="auto"/>
        <w:bottom w:val="none" w:sz="0" w:space="0" w:color="auto"/>
        <w:right w:val="none" w:sz="0" w:space="0" w:color="auto"/>
      </w:divBdr>
    </w:div>
    <w:div w:id="21223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1B886320CED469149352895E96B7A" ma:contentTypeVersion="13" ma:contentTypeDescription="Create a new document." ma:contentTypeScope="" ma:versionID="6f7a7c2acd808ffd134e7bcacb33f646">
  <xsd:schema xmlns:xsd="http://www.w3.org/2001/XMLSchema" xmlns:xs="http://www.w3.org/2001/XMLSchema" xmlns:p="http://schemas.microsoft.com/office/2006/metadata/properties" xmlns:ns1="http://schemas.microsoft.com/sharepoint/v3" xmlns:ns2="5bf8066a-2f7f-4844-95ac-8e26c6d98b9d" xmlns:ns3="352116b4-fc79-4095-a67c-d9f2d6bb1f45" targetNamespace="http://schemas.microsoft.com/office/2006/metadata/properties" ma:root="true" ma:fieldsID="a46b0d140a496ef3cea2b608b59b095e" ns1:_="" ns2:_="" ns3:_="">
    <xsd:import namespace="http://schemas.microsoft.com/sharepoint/v3"/>
    <xsd:import namespace="5bf8066a-2f7f-4844-95ac-8e26c6d98b9d"/>
    <xsd:import namespace="352116b4-fc79-4095-a67c-d9f2d6bb1f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066a-2f7f-4844-95ac-8e26c6d98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116b4-fc79-4095-a67c-d9f2d6bb1f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4e9db4-2916-44aa-ad76-1f46917fda17}" ma:internalName="TaxCatchAll" ma:showField="CatchAllData" ma:web="352116b4-fc79-4095-a67c-d9f2d6bb1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52116b4-fc79-4095-a67c-d9f2d6bb1f45" xsi:nil="true"/>
    <lcf76f155ced4ddcb4097134ff3c332f xmlns="5bf8066a-2f7f-4844-95ac-8e26c6d98b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EB06E0C7-6B2E-4FBE-811F-CD26C13E5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f8066a-2f7f-4844-95ac-8e26c6d98b9d"/>
    <ds:schemaRef ds:uri="352116b4-fc79-4095-a67c-d9f2d6bb1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352116b4-fc79-4095-a67c-d9f2d6bb1f45"/>
    <ds:schemaRef ds:uri="5bf8066a-2f7f-4844-95ac-8e26c6d98b9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11</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3</cp:revision>
  <cp:lastPrinted>2017-09-01T14:28:00Z</cp:lastPrinted>
  <dcterms:created xsi:type="dcterms:W3CDTF">2024-12-03T16:09:00Z</dcterms:created>
  <dcterms:modified xsi:type="dcterms:W3CDTF">2024-12-03T16:16:00Z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0x01010061A1B886320CED469149352895E96B7A</vt:lpwstr>
  </property>
  <property fmtid="{D5CDD505-2E9C-101B-9397-08002B2CF9AE}" pid="3" name="MediaServiceImageTags">
    <vt:lpwstr/>
  </property>
</Properties>
</file>