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E514B" w14:textId="76F18DA4" w:rsidR="001315D6" w:rsidRPr="00402368" w:rsidRDefault="004953FD" w:rsidP="001315D6">
      <w:pPr>
        <w:rPr>
          <w:noProof/>
        </w:rPr>
      </w:pPr>
      <w:r>
        <w:rPr>
          <w:b/>
          <w:noProof/>
        </w:rPr>
        <w:drawing>
          <wp:anchor distT="0" distB="0" distL="114300" distR="114300" simplePos="0" relativeHeight="251658252" behindDoc="0" locked="0" layoutInCell="1" allowOverlap="1" wp14:anchorId="60613721" wp14:editId="7CDD1982">
            <wp:simplePos x="0" y="0"/>
            <wp:positionH relativeFrom="margin">
              <wp:posOffset>4495855</wp:posOffset>
            </wp:positionH>
            <wp:positionV relativeFrom="margin">
              <wp:posOffset>-199584</wp:posOffset>
            </wp:positionV>
            <wp:extent cx="1905000" cy="1028700"/>
            <wp:effectExtent l="0" t="0" r="0" b="0"/>
            <wp:wrapSquare wrapText="bothSides"/>
            <wp:docPr id="1"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white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028700"/>
                    </a:xfrm>
                    <a:prstGeom prst="rect">
                      <a:avLst/>
                    </a:prstGeom>
                    <a:noFill/>
                  </pic:spPr>
                </pic:pic>
              </a:graphicData>
            </a:graphic>
          </wp:anchor>
        </w:drawing>
      </w:r>
      <w:r w:rsidRPr="00A21D3C">
        <w:rPr>
          <w:noProof/>
        </w:rPr>
        <w:drawing>
          <wp:anchor distT="0" distB="0" distL="114300" distR="114300" simplePos="0" relativeHeight="251658253" behindDoc="0" locked="0" layoutInCell="1" allowOverlap="1" wp14:anchorId="3B2D61D1" wp14:editId="23AD1139">
            <wp:simplePos x="0" y="0"/>
            <wp:positionH relativeFrom="margin">
              <wp:posOffset>-367831</wp:posOffset>
            </wp:positionH>
            <wp:positionV relativeFrom="margin">
              <wp:posOffset>-227523</wp:posOffset>
            </wp:positionV>
            <wp:extent cx="3324225" cy="692150"/>
            <wp:effectExtent l="0" t="0" r="9525" b="0"/>
            <wp:wrapSquare wrapText="bothSides"/>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24225" cy="692150"/>
                    </a:xfrm>
                    <a:prstGeom prst="rect">
                      <a:avLst/>
                    </a:prstGeom>
                  </pic:spPr>
                </pic:pic>
              </a:graphicData>
            </a:graphic>
            <wp14:sizeRelH relativeFrom="margin">
              <wp14:pctWidth>0</wp14:pctWidth>
            </wp14:sizeRelH>
            <wp14:sizeRelV relativeFrom="margin">
              <wp14:pctHeight>0</wp14:pctHeight>
            </wp14:sizeRelV>
          </wp:anchor>
        </w:drawing>
      </w:r>
    </w:p>
    <w:p w14:paraId="7D31679C" w14:textId="77777777" w:rsidR="001315D6" w:rsidRPr="00402368" w:rsidRDefault="001315D6" w:rsidP="001315D6">
      <w:pPr>
        <w:rPr>
          <w:b/>
        </w:rPr>
      </w:pPr>
    </w:p>
    <w:p w14:paraId="6B60C2CE" w14:textId="77777777" w:rsidR="001315D6" w:rsidRPr="00402368" w:rsidRDefault="001315D6" w:rsidP="001315D6">
      <w:pPr>
        <w:rPr>
          <w:b/>
        </w:rPr>
      </w:pPr>
    </w:p>
    <w:p w14:paraId="7A1E51D8" w14:textId="77777777" w:rsidR="001315D6" w:rsidRPr="00402368" w:rsidRDefault="001315D6" w:rsidP="001315D6">
      <w:pPr>
        <w:rPr>
          <w:b/>
        </w:rPr>
      </w:pPr>
    </w:p>
    <w:p w14:paraId="7836B2CB" w14:textId="77777777" w:rsidR="001315D6" w:rsidRDefault="001315D6" w:rsidP="001315D6">
      <w:pPr>
        <w:rPr>
          <w:b/>
        </w:rPr>
      </w:pPr>
    </w:p>
    <w:p w14:paraId="2CE130BE" w14:textId="77777777" w:rsidR="00D221EA" w:rsidRDefault="00D221EA" w:rsidP="001315D6">
      <w:pPr>
        <w:rPr>
          <w:b/>
        </w:rPr>
      </w:pPr>
    </w:p>
    <w:p w14:paraId="6798B598" w14:textId="77777777" w:rsidR="00D221EA" w:rsidRDefault="00D221EA" w:rsidP="001315D6">
      <w:pPr>
        <w:rPr>
          <w:b/>
        </w:rPr>
      </w:pPr>
    </w:p>
    <w:p w14:paraId="64337FAA" w14:textId="77777777" w:rsidR="00D221EA" w:rsidRDefault="00D221EA" w:rsidP="001315D6">
      <w:pPr>
        <w:rPr>
          <w:b/>
        </w:rPr>
      </w:pPr>
    </w:p>
    <w:p w14:paraId="1FB82206" w14:textId="77777777" w:rsidR="00D221EA" w:rsidRPr="00402368" w:rsidRDefault="00D221EA" w:rsidP="001315D6">
      <w:pPr>
        <w:rPr>
          <w:b/>
        </w:rPr>
      </w:pPr>
    </w:p>
    <w:p w14:paraId="6576022A" w14:textId="77777777" w:rsidR="001315D6" w:rsidRDefault="001315D6" w:rsidP="001315D6">
      <w:pPr>
        <w:jc w:val="center"/>
        <w:rPr>
          <w:b/>
          <w:bCs/>
          <w:sz w:val="48"/>
          <w:szCs w:val="48"/>
        </w:rPr>
      </w:pPr>
    </w:p>
    <w:p w14:paraId="7B3DFF2A" w14:textId="77777777" w:rsidR="001315D6" w:rsidRPr="00BD6ABF" w:rsidRDefault="001315D6" w:rsidP="00BD6ABF">
      <w:pPr>
        <w:spacing w:line="360" w:lineRule="auto"/>
        <w:jc w:val="center"/>
        <w:rPr>
          <w:rFonts w:cs="Arial"/>
          <w:b/>
          <w:bCs/>
          <w:sz w:val="48"/>
          <w:szCs w:val="48"/>
        </w:rPr>
      </w:pPr>
      <w:r w:rsidRPr="00BD6ABF">
        <w:rPr>
          <w:rFonts w:cs="Arial"/>
          <w:b/>
          <w:bCs/>
          <w:sz w:val="48"/>
          <w:szCs w:val="48"/>
        </w:rPr>
        <w:t>Emergency Preparedness, Resilience and Response (EPRR) Policy</w:t>
      </w:r>
    </w:p>
    <w:p w14:paraId="4B05608A" w14:textId="77777777" w:rsidR="001315D6" w:rsidRDefault="001315D6" w:rsidP="001315D6">
      <w:pPr>
        <w:jc w:val="center"/>
        <w:rPr>
          <w:b/>
          <w:bCs/>
          <w:sz w:val="48"/>
          <w:szCs w:val="48"/>
        </w:rPr>
      </w:pPr>
    </w:p>
    <w:p w14:paraId="1472DC68" w14:textId="039C9DAD" w:rsidR="001315D6" w:rsidRDefault="009B1AC4" w:rsidP="001315D6">
      <w:pPr>
        <w:jc w:val="center"/>
        <w:rPr>
          <w:b/>
          <w:bCs/>
          <w:sz w:val="36"/>
          <w:szCs w:val="36"/>
        </w:rPr>
      </w:pPr>
      <w:r>
        <w:rPr>
          <w:b/>
          <w:bCs/>
          <w:sz w:val="36"/>
          <w:szCs w:val="36"/>
        </w:rPr>
        <w:t xml:space="preserve">Revised </w:t>
      </w:r>
      <w:r w:rsidR="00AC4ED1">
        <w:rPr>
          <w:b/>
          <w:bCs/>
          <w:sz w:val="36"/>
          <w:szCs w:val="36"/>
        </w:rPr>
        <w:t>September 2024</w:t>
      </w:r>
    </w:p>
    <w:p w14:paraId="715CD7CA" w14:textId="77777777" w:rsidR="001315D6" w:rsidRDefault="001315D6" w:rsidP="001315D6">
      <w:pPr>
        <w:jc w:val="center"/>
        <w:rPr>
          <w:b/>
          <w:bCs/>
          <w:sz w:val="36"/>
          <w:szCs w:val="36"/>
        </w:rPr>
      </w:pPr>
    </w:p>
    <w:p w14:paraId="577D7D12" w14:textId="77777777" w:rsidR="001315D6" w:rsidRPr="00AE286E" w:rsidRDefault="001315D6" w:rsidP="001315D6">
      <w:pPr>
        <w:jc w:val="center"/>
        <w:rPr>
          <w:b/>
          <w:bCs/>
          <w:sz w:val="36"/>
          <w:szCs w:val="36"/>
        </w:rPr>
      </w:pPr>
    </w:p>
    <w:p w14:paraId="157E35DC" w14:textId="77777777" w:rsidR="001315D6" w:rsidRPr="00402368" w:rsidRDefault="001315D6" w:rsidP="001315D6"/>
    <w:tbl>
      <w:tblPr>
        <w:tblStyle w:val="TableGrid"/>
        <w:tblpPr w:leftFromText="180" w:rightFromText="180" w:vertAnchor="text" w:tblpX="-356" w:tblpY="1"/>
        <w:tblOverlap w:val="never"/>
        <w:tblW w:w="10607" w:type="dxa"/>
        <w:tblLook w:val="04A0" w:firstRow="1" w:lastRow="0" w:firstColumn="1" w:lastColumn="0" w:noHBand="0" w:noVBand="1"/>
      </w:tblPr>
      <w:tblGrid>
        <w:gridCol w:w="4644"/>
        <w:gridCol w:w="5963"/>
      </w:tblGrid>
      <w:tr w:rsidR="001315D6" w:rsidRPr="00402368" w14:paraId="73085782" w14:textId="77777777" w:rsidTr="00D221EA">
        <w:tc>
          <w:tcPr>
            <w:tcW w:w="4644" w:type="dxa"/>
          </w:tcPr>
          <w:p w14:paraId="25E4F59E" w14:textId="77777777" w:rsidR="001315D6" w:rsidRPr="00DD560E" w:rsidRDefault="001315D6" w:rsidP="00D221EA">
            <w:pPr>
              <w:spacing w:line="360" w:lineRule="auto"/>
              <w:rPr>
                <w:rFonts w:cs="Arial"/>
                <w:b/>
              </w:rPr>
            </w:pPr>
            <w:r w:rsidRPr="00DD560E">
              <w:rPr>
                <w:rFonts w:cs="Arial"/>
                <w:b/>
              </w:rPr>
              <w:t>Authorship:</w:t>
            </w:r>
          </w:p>
        </w:tc>
        <w:tc>
          <w:tcPr>
            <w:tcW w:w="5963" w:type="dxa"/>
          </w:tcPr>
          <w:p w14:paraId="5BAF66D1" w14:textId="36CD946C" w:rsidR="001315D6" w:rsidRPr="00DD560E" w:rsidRDefault="00EE2DE6" w:rsidP="00D221EA">
            <w:pPr>
              <w:spacing w:line="360" w:lineRule="auto"/>
              <w:rPr>
                <w:rFonts w:cs="Arial"/>
                <w:b/>
              </w:rPr>
            </w:pPr>
            <w:r w:rsidRPr="00F868D4">
              <w:rPr>
                <w:rFonts w:cs="Arial"/>
                <w:b/>
                <w:color w:val="000000" w:themeColor="text1"/>
              </w:rPr>
              <w:t xml:space="preserve">Deputy Chief Executive and </w:t>
            </w:r>
            <w:r w:rsidR="001315D6" w:rsidRPr="00F868D4">
              <w:rPr>
                <w:rFonts w:cs="Arial"/>
                <w:b/>
                <w:color w:val="000000" w:themeColor="text1"/>
              </w:rPr>
              <w:t>Chief Operating Officer</w:t>
            </w:r>
          </w:p>
        </w:tc>
      </w:tr>
      <w:tr w:rsidR="001315D6" w:rsidRPr="00402368" w14:paraId="6C5EBCCB" w14:textId="77777777" w:rsidTr="00D221EA">
        <w:tc>
          <w:tcPr>
            <w:tcW w:w="4644" w:type="dxa"/>
          </w:tcPr>
          <w:p w14:paraId="22121289" w14:textId="77777777" w:rsidR="001315D6" w:rsidRPr="00DD560E" w:rsidRDefault="001315D6" w:rsidP="00D221EA">
            <w:pPr>
              <w:spacing w:line="360" w:lineRule="auto"/>
              <w:rPr>
                <w:rFonts w:cs="Arial"/>
                <w:b/>
              </w:rPr>
            </w:pPr>
            <w:r w:rsidRPr="00DD560E">
              <w:rPr>
                <w:rFonts w:cs="Arial"/>
                <w:b/>
              </w:rPr>
              <w:t>Committee Approved:</w:t>
            </w:r>
          </w:p>
        </w:tc>
        <w:tc>
          <w:tcPr>
            <w:tcW w:w="5963" w:type="dxa"/>
          </w:tcPr>
          <w:p w14:paraId="2A5DD26F" w14:textId="77777777" w:rsidR="001315D6" w:rsidRPr="00DD560E" w:rsidRDefault="001315D6" w:rsidP="00D221EA">
            <w:pPr>
              <w:spacing w:line="360" w:lineRule="auto"/>
              <w:rPr>
                <w:rFonts w:cs="Arial"/>
                <w:b/>
              </w:rPr>
            </w:pPr>
            <w:r w:rsidRPr="00DD560E">
              <w:rPr>
                <w:rFonts w:cs="Arial"/>
                <w:b/>
              </w:rPr>
              <w:t>ICB Board</w:t>
            </w:r>
          </w:p>
        </w:tc>
      </w:tr>
      <w:tr w:rsidR="001315D6" w:rsidRPr="00402368" w14:paraId="2F35A0F2" w14:textId="77777777" w:rsidTr="00D221EA">
        <w:tc>
          <w:tcPr>
            <w:tcW w:w="4644" w:type="dxa"/>
          </w:tcPr>
          <w:p w14:paraId="097DBB19" w14:textId="77777777" w:rsidR="001315D6" w:rsidRPr="00DD560E" w:rsidRDefault="001315D6" w:rsidP="00D221EA">
            <w:pPr>
              <w:spacing w:line="360" w:lineRule="auto"/>
              <w:rPr>
                <w:rFonts w:cs="Arial"/>
                <w:b/>
              </w:rPr>
            </w:pPr>
            <w:r w:rsidRPr="00DD560E">
              <w:rPr>
                <w:rFonts w:cs="Arial"/>
                <w:b/>
              </w:rPr>
              <w:t>Approved date:</w:t>
            </w:r>
          </w:p>
        </w:tc>
        <w:tc>
          <w:tcPr>
            <w:tcW w:w="5963" w:type="dxa"/>
          </w:tcPr>
          <w:p w14:paraId="377F7198" w14:textId="02D44022" w:rsidR="001315D6" w:rsidRPr="00DD560E" w:rsidRDefault="00572AFA" w:rsidP="00D221EA">
            <w:pPr>
              <w:spacing w:line="360" w:lineRule="auto"/>
              <w:rPr>
                <w:rFonts w:cs="Arial"/>
                <w:b/>
              </w:rPr>
            </w:pPr>
            <w:r>
              <w:rPr>
                <w:rFonts w:cs="Arial"/>
                <w:b/>
              </w:rPr>
              <w:t xml:space="preserve">Amendments approved </w:t>
            </w:r>
            <w:r w:rsidR="00F9061B">
              <w:rPr>
                <w:rFonts w:cs="Arial"/>
                <w:b/>
              </w:rPr>
              <w:t>9</w:t>
            </w:r>
            <w:r w:rsidR="00F9061B" w:rsidRPr="00F9061B">
              <w:rPr>
                <w:rFonts w:cs="Arial"/>
                <w:b/>
                <w:vertAlign w:val="superscript"/>
              </w:rPr>
              <w:t>th</w:t>
            </w:r>
            <w:r w:rsidR="00F9061B">
              <w:rPr>
                <w:rFonts w:cs="Arial"/>
                <w:b/>
              </w:rPr>
              <w:t xml:space="preserve"> October 2024</w:t>
            </w:r>
          </w:p>
        </w:tc>
      </w:tr>
      <w:tr w:rsidR="001315D6" w:rsidRPr="00402368" w14:paraId="1B678669" w14:textId="77777777" w:rsidTr="00D221EA">
        <w:tc>
          <w:tcPr>
            <w:tcW w:w="4644" w:type="dxa"/>
          </w:tcPr>
          <w:p w14:paraId="376C3DC1" w14:textId="77777777" w:rsidR="001315D6" w:rsidRPr="00DD560E" w:rsidRDefault="001315D6" w:rsidP="00D221EA">
            <w:pPr>
              <w:spacing w:line="360" w:lineRule="auto"/>
              <w:rPr>
                <w:rFonts w:cs="Arial"/>
                <w:b/>
              </w:rPr>
            </w:pPr>
            <w:r w:rsidRPr="00DD560E">
              <w:rPr>
                <w:rFonts w:cs="Arial"/>
                <w:b/>
              </w:rPr>
              <w:t>Equality Impact Assessment:</w:t>
            </w:r>
          </w:p>
        </w:tc>
        <w:tc>
          <w:tcPr>
            <w:tcW w:w="5963" w:type="dxa"/>
          </w:tcPr>
          <w:p w14:paraId="4E89E6C9" w14:textId="77777777" w:rsidR="001315D6" w:rsidRPr="00DD560E" w:rsidRDefault="001315D6" w:rsidP="00D221EA">
            <w:pPr>
              <w:spacing w:line="360" w:lineRule="auto"/>
              <w:rPr>
                <w:rFonts w:cs="Arial"/>
                <w:b/>
              </w:rPr>
            </w:pPr>
            <w:r w:rsidRPr="00DD560E">
              <w:rPr>
                <w:rFonts w:cs="Arial"/>
                <w:b/>
              </w:rPr>
              <w:t>Completed May 2023</w:t>
            </w:r>
          </w:p>
        </w:tc>
      </w:tr>
      <w:tr w:rsidR="001315D6" w:rsidRPr="00402368" w14:paraId="2418DCC2" w14:textId="77777777" w:rsidTr="00D221EA">
        <w:tc>
          <w:tcPr>
            <w:tcW w:w="4644" w:type="dxa"/>
          </w:tcPr>
          <w:p w14:paraId="6D9C385E" w14:textId="77777777" w:rsidR="001315D6" w:rsidRPr="00DD560E" w:rsidRDefault="001315D6" w:rsidP="00D221EA">
            <w:pPr>
              <w:spacing w:line="360" w:lineRule="auto"/>
              <w:rPr>
                <w:rFonts w:cs="Arial"/>
                <w:b/>
              </w:rPr>
            </w:pPr>
            <w:r w:rsidRPr="00DD560E">
              <w:rPr>
                <w:rFonts w:cs="Arial"/>
                <w:b/>
              </w:rPr>
              <w:t>Target Audience:</w:t>
            </w:r>
          </w:p>
        </w:tc>
        <w:tc>
          <w:tcPr>
            <w:tcW w:w="5963" w:type="dxa"/>
          </w:tcPr>
          <w:p w14:paraId="1D2B6044" w14:textId="77777777" w:rsidR="001315D6" w:rsidRPr="00DD560E" w:rsidRDefault="001315D6" w:rsidP="00D221EA">
            <w:pPr>
              <w:pStyle w:val="ListParagraph"/>
              <w:spacing w:line="360" w:lineRule="auto"/>
              <w:ind w:left="0"/>
              <w:rPr>
                <w:rFonts w:cs="Arial"/>
                <w:b/>
              </w:rPr>
            </w:pPr>
            <w:r w:rsidRPr="00DD560E">
              <w:rPr>
                <w:rFonts w:cs="Arial"/>
                <w:b/>
              </w:rPr>
              <w:t>ICB and its committees and sub-committees, ICB staff, agency and temporary staff and third parties under contract</w:t>
            </w:r>
          </w:p>
        </w:tc>
      </w:tr>
      <w:tr w:rsidR="001315D6" w:rsidRPr="00402368" w14:paraId="779DC301" w14:textId="77777777" w:rsidTr="00D221EA">
        <w:tc>
          <w:tcPr>
            <w:tcW w:w="4644" w:type="dxa"/>
          </w:tcPr>
          <w:p w14:paraId="68D9BFF6" w14:textId="77777777" w:rsidR="001315D6" w:rsidRPr="00DD560E" w:rsidRDefault="001315D6" w:rsidP="00D221EA">
            <w:pPr>
              <w:spacing w:line="360" w:lineRule="auto"/>
              <w:rPr>
                <w:rFonts w:cs="Arial"/>
                <w:b/>
              </w:rPr>
            </w:pPr>
            <w:r w:rsidRPr="00DD560E">
              <w:rPr>
                <w:rFonts w:cs="Arial"/>
                <w:b/>
              </w:rPr>
              <w:t>Policy Number:</w:t>
            </w:r>
          </w:p>
        </w:tc>
        <w:tc>
          <w:tcPr>
            <w:tcW w:w="5963" w:type="dxa"/>
          </w:tcPr>
          <w:p w14:paraId="04A63722" w14:textId="09E720C4" w:rsidR="001315D6" w:rsidRPr="00DD560E" w:rsidRDefault="00680310" w:rsidP="00D221EA">
            <w:pPr>
              <w:spacing w:line="360" w:lineRule="auto"/>
              <w:rPr>
                <w:rFonts w:cs="Arial"/>
                <w:b/>
              </w:rPr>
            </w:pPr>
            <w:r>
              <w:rPr>
                <w:rFonts w:cs="Arial"/>
                <w:b/>
              </w:rPr>
              <w:t>51</w:t>
            </w:r>
          </w:p>
        </w:tc>
      </w:tr>
      <w:tr w:rsidR="001315D6" w:rsidRPr="00402368" w14:paraId="1822A359" w14:textId="77777777" w:rsidTr="00D221EA">
        <w:tc>
          <w:tcPr>
            <w:tcW w:w="4644" w:type="dxa"/>
          </w:tcPr>
          <w:p w14:paraId="7A4EEB48" w14:textId="77777777" w:rsidR="001315D6" w:rsidRPr="00DD560E" w:rsidRDefault="001315D6" w:rsidP="00D221EA">
            <w:pPr>
              <w:spacing w:line="360" w:lineRule="auto"/>
              <w:rPr>
                <w:rFonts w:cs="Arial"/>
                <w:b/>
              </w:rPr>
            </w:pPr>
            <w:r w:rsidRPr="00DD560E">
              <w:rPr>
                <w:rFonts w:cs="Arial"/>
                <w:b/>
              </w:rPr>
              <w:t>Version Number:</w:t>
            </w:r>
          </w:p>
        </w:tc>
        <w:tc>
          <w:tcPr>
            <w:tcW w:w="5963" w:type="dxa"/>
          </w:tcPr>
          <w:p w14:paraId="40A514FA" w14:textId="20772120" w:rsidR="001315D6" w:rsidRPr="00DD560E" w:rsidRDefault="00CC613F" w:rsidP="00D221EA">
            <w:pPr>
              <w:spacing w:line="360" w:lineRule="auto"/>
              <w:rPr>
                <w:rFonts w:cs="Arial"/>
                <w:b/>
              </w:rPr>
            </w:pPr>
            <w:r>
              <w:rPr>
                <w:rFonts w:cs="Arial"/>
                <w:b/>
              </w:rPr>
              <w:t>2.</w:t>
            </w:r>
            <w:r w:rsidR="00F868D4">
              <w:rPr>
                <w:rFonts w:cs="Arial"/>
                <w:b/>
              </w:rPr>
              <w:t>2</w:t>
            </w:r>
          </w:p>
        </w:tc>
      </w:tr>
    </w:tbl>
    <w:p w14:paraId="33DD06F3" w14:textId="77777777" w:rsidR="00D221EA" w:rsidRDefault="001315D6" w:rsidP="00D221EA">
      <w:pPr>
        <w:autoSpaceDE w:val="0"/>
        <w:autoSpaceDN w:val="0"/>
        <w:adjustRightInd w:val="0"/>
        <w:rPr>
          <w:b/>
        </w:rPr>
      </w:pPr>
      <w:r>
        <w:rPr>
          <w:b/>
        </w:rPr>
        <w:br w:type="textWrapping" w:clear="all"/>
      </w:r>
    </w:p>
    <w:p w14:paraId="03E14FB9" w14:textId="75ED838F" w:rsidR="001315D6" w:rsidRPr="004953FD" w:rsidRDefault="001315D6" w:rsidP="004953FD">
      <w:pPr>
        <w:autoSpaceDE w:val="0"/>
        <w:autoSpaceDN w:val="0"/>
        <w:adjustRightInd w:val="0"/>
        <w:jc w:val="center"/>
        <w:rPr>
          <w:bCs/>
        </w:rPr>
      </w:pPr>
      <w:r w:rsidRPr="004953FD">
        <w:rPr>
          <w:bCs/>
        </w:rPr>
        <w:t>The on-line version is the only version that is maintained.  Any printed copies should, therefore, be viewed as ‘uncontrolled’ and as such may not necessarily contain the latest updates and amendments.</w:t>
      </w:r>
    </w:p>
    <w:p w14:paraId="75BC1D22" w14:textId="77777777" w:rsidR="001315D6" w:rsidRPr="004953FD" w:rsidRDefault="001315D6" w:rsidP="004953FD">
      <w:pPr>
        <w:jc w:val="center"/>
        <w:rPr>
          <w:bCs/>
          <w:sz w:val="28"/>
          <w:szCs w:val="28"/>
        </w:rPr>
      </w:pPr>
      <w:r w:rsidRPr="004953FD">
        <w:rPr>
          <w:bCs/>
          <w:sz w:val="28"/>
          <w:szCs w:val="28"/>
        </w:rPr>
        <w:br w:type="page"/>
      </w:r>
    </w:p>
    <w:p w14:paraId="4CB692A5" w14:textId="77777777" w:rsidR="001315D6" w:rsidRDefault="001315D6" w:rsidP="001315D6">
      <w:pPr>
        <w:rPr>
          <w:b/>
          <w:bCs/>
          <w:sz w:val="28"/>
          <w:szCs w:val="28"/>
        </w:rPr>
      </w:pPr>
      <w:r w:rsidRPr="00402368">
        <w:rPr>
          <w:b/>
          <w:bCs/>
          <w:sz w:val="28"/>
          <w:szCs w:val="28"/>
        </w:rPr>
        <w:lastRenderedPageBreak/>
        <w:t>AMENDMENTS</w:t>
      </w:r>
    </w:p>
    <w:p w14:paraId="2F029175" w14:textId="77777777" w:rsidR="00D221EA" w:rsidRPr="00402368" w:rsidRDefault="00D221EA" w:rsidP="001315D6">
      <w:pPr>
        <w:rPr>
          <w:b/>
          <w:bCs/>
          <w:sz w:val="28"/>
          <w:szCs w:val="28"/>
        </w:rPr>
      </w:pPr>
    </w:p>
    <w:p w14:paraId="13248FFF" w14:textId="77777777" w:rsidR="001315D6" w:rsidRPr="00402368" w:rsidRDefault="001315D6" w:rsidP="001315D6">
      <w:pPr>
        <w:autoSpaceDE w:val="0"/>
        <w:autoSpaceDN w:val="0"/>
        <w:adjustRightInd w:val="0"/>
      </w:pPr>
      <w:r w:rsidRPr="00402368">
        <w:t>Amendments to the policy may be issued from time to time.  A new amendment history will be issued with each change.</w:t>
      </w:r>
    </w:p>
    <w:p w14:paraId="7CB4EB1F" w14:textId="77777777" w:rsidR="001315D6" w:rsidRPr="00402368" w:rsidRDefault="001315D6" w:rsidP="001315D6">
      <w:pPr>
        <w:autoSpaceDE w:val="0"/>
        <w:autoSpaceDN w:val="0"/>
        <w:adjustRightInd w:val="0"/>
        <w:rPr>
          <w:sz w:val="22"/>
          <w:szCs w:val="22"/>
        </w:rPr>
      </w:pPr>
    </w:p>
    <w:p w14:paraId="43ACFB06" w14:textId="77777777" w:rsidR="001315D6" w:rsidRPr="00402368" w:rsidRDefault="001315D6" w:rsidP="001315D6">
      <w:pPr>
        <w:autoSpaceDE w:val="0"/>
        <w:autoSpaceDN w:val="0"/>
        <w:adjustRightInd w:val="0"/>
        <w:rPr>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2"/>
        <w:gridCol w:w="1950"/>
        <w:gridCol w:w="2405"/>
        <w:gridCol w:w="2005"/>
        <w:gridCol w:w="1355"/>
        <w:gridCol w:w="1489"/>
      </w:tblGrid>
      <w:tr w:rsidR="001315D6" w:rsidRPr="00402368" w14:paraId="1F5FE803" w14:textId="77777777" w:rsidTr="00B843F6">
        <w:tc>
          <w:tcPr>
            <w:tcW w:w="1252" w:type="dxa"/>
          </w:tcPr>
          <w:p w14:paraId="5E26EB45" w14:textId="77777777" w:rsidR="001315D6" w:rsidRPr="00E91015" w:rsidRDefault="001315D6" w:rsidP="00B843F6">
            <w:pPr>
              <w:autoSpaceDE w:val="0"/>
              <w:autoSpaceDN w:val="0"/>
              <w:adjustRightInd w:val="0"/>
              <w:rPr>
                <w:b/>
                <w:bCs/>
                <w:sz w:val="20"/>
                <w:szCs w:val="20"/>
              </w:rPr>
            </w:pPr>
            <w:r w:rsidRPr="00E91015">
              <w:rPr>
                <w:b/>
                <w:bCs/>
                <w:sz w:val="20"/>
                <w:szCs w:val="20"/>
              </w:rPr>
              <w:t>New Version Number</w:t>
            </w:r>
          </w:p>
        </w:tc>
        <w:tc>
          <w:tcPr>
            <w:tcW w:w="1950" w:type="dxa"/>
          </w:tcPr>
          <w:p w14:paraId="161CAAF5" w14:textId="77777777" w:rsidR="001315D6" w:rsidRPr="00E91015" w:rsidRDefault="001315D6" w:rsidP="00B843F6">
            <w:pPr>
              <w:autoSpaceDE w:val="0"/>
              <w:autoSpaceDN w:val="0"/>
              <w:adjustRightInd w:val="0"/>
              <w:rPr>
                <w:b/>
                <w:bCs/>
                <w:sz w:val="20"/>
                <w:szCs w:val="20"/>
              </w:rPr>
            </w:pPr>
            <w:r w:rsidRPr="00E91015">
              <w:rPr>
                <w:b/>
                <w:bCs/>
                <w:sz w:val="20"/>
                <w:szCs w:val="20"/>
              </w:rPr>
              <w:t xml:space="preserve">Issued by </w:t>
            </w:r>
          </w:p>
        </w:tc>
        <w:tc>
          <w:tcPr>
            <w:tcW w:w="2405" w:type="dxa"/>
          </w:tcPr>
          <w:p w14:paraId="64D73A44" w14:textId="77777777" w:rsidR="001315D6" w:rsidRPr="00E91015" w:rsidRDefault="001315D6" w:rsidP="00B843F6">
            <w:pPr>
              <w:autoSpaceDE w:val="0"/>
              <w:autoSpaceDN w:val="0"/>
              <w:adjustRightInd w:val="0"/>
              <w:rPr>
                <w:sz w:val="20"/>
                <w:szCs w:val="20"/>
              </w:rPr>
            </w:pPr>
            <w:r w:rsidRPr="00E91015">
              <w:rPr>
                <w:b/>
                <w:bCs/>
                <w:sz w:val="20"/>
                <w:szCs w:val="20"/>
              </w:rPr>
              <w:t>Nature of Amendment</w:t>
            </w:r>
          </w:p>
        </w:tc>
        <w:tc>
          <w:tcPr>
            <w:tcW w:w="2005" w:type="dxa"/>
          </w:tcPr>
          <w:p w14:paraId="2FE32490" w14:textId="77777777" w:rsidR="001315D6" w:rsidRPr="00E91015" w:rsidRDefault="001315D6" w:rsidP="00B843F6">
            <w:pPr>
              <w:autoSpaceDE w:val="0"/>
              <w:autoSpaceDN w:val="0"/>
              <w:adjustRightInd w:val="0"/>
              <w:rPr>
                <w:b/>
                <w:sz w:val="20"/>
                <w:szCs w:val="20"/>
              </w:rPr>
            </w:pPr>
            <w:r w:rsidRPr="00E91015">
              <w:rPr>
                <w:b/>
                <w:sz w:val="20"/>
                <w:szCs w:val="20"/>
              </w:rPr>
              <w:t>Approving body</w:t>
            </w:r>
          </w:p>
        </w:tc>
        <w:tc>
          <w:tcPr>
            <w:tcW w:w="1355" w:type="dxa"/>
          </w:tcPr>
          <w:p w14:paraId="37FE6455" w14:textId="77777777" w:rsidR="001315D6" w:rsidRPr="00E91015" w:rsidRDefault="001315D6" w:rsidP="00B843F6">
            <w:pPr>
              <w:autoSpaceDE w:val="0"/>
              <w:autoSpaceDN w:val="0"/>
              <w:adjustRightInd w:val="0"/>
              <w:rPr>
                <w:b/>
                <w:sz w:val="20"/>
                <w:szCs w:val="20"/>
              </w:rPr>
            </w:pPr>
            <w:r w:rsidRPr="00E91015">
              <w:rPr>
                <w:b/>
                <w:sz w:val="20"/>
                <w:szCs w:val="20"/>
              </w:rPr>
              <w:t>Approval date</w:t>
            </w:r>
          </w:p>
        </w:tc>
        <w:tc>
          <w:tcPr>
            <w:tcW w:w="1489" w:type="dxa"/>
          </w:tcPr>
          <w:p w14:paraId="355BD750" w14:textId="77777777" w:rsidR="001315D6" w:rsidRPr="00E91015" w:rsidRDefault="001315D6" w:rsidP="00B843F6">
            <w:pPr>
              <w:autoSpaceDE w:val="0"/>
              <w:autoSpaceDN w:val="0"/>
              <w:adjustRightInd w:val="0"/>
              <w:rPr>
                <w:b/>
                <w:sz w:val="20"/>
                <w:szCs w:val="20"/>
              </w:rPr>
            </w:pPr>
            <w:r w:rsidRPr="00E91015">
              <w:rPr>
                <w:b/>
                <w:sz w:val="20"/>
                <w:szCs w:val="20"/>
              </w:rPr>
              <w:t>Date published on website</w:t>
            </w:r>
          </w:p>
        </w:tc>
      </w:tr>
      <w:tr w:rsidR="001315D6" w:rsidRPr="00402368" w14:paraId="1FE55164" w14:textId="77777777" w:rsidTr="00B843F6">
        <w:tc>
          <w:tcPr>
            <w:tcW w:w="1252" w:type="dxa"/>
          </w:tcPr>
          <w:p w14:paraId="3D548DA9" w14:textId="77777777" w:rsidR="001315D6" w:rsidRPr="00E0195E" w:rsidRDefault="001315D6" w:rsidP="00B843F6">
            <w:pPr>
              <w:adjustRightInd w:val="0"/>
              <w:rPr>
                <w:color w:val="000000" w:themeColor="text1"/>
                <w:sz w:val="20"/>
                <w:szCs w:val="20"/>
              </w:rPr>
            </w:pPr>
          </w:p>
          <w:p w14:paraId="6FCB6CAD" w14:textId="77777777" w:rsidR="001315D6" w:rsidRPr="00E0195E" w:rsidRDefault="001315D6" w:rsidP="00B843F6">
            <w:pPr>
              <w:rPr>
                <w:color w:val="000000" w:themeColor="text1"/>
                <w:sz w:val="20"/>
                <w:szCs w:val="20"/>
              </w:rPr>
            </w:pPr>
            <w:r w:rsidRPr="00E0195E">
              <w:rPr>
                <w:color w:val="000000" w:themeColor="text1"/>
                <w:sz w:val="20"/>
                <w:szCs w:val="20"/>
              </w:rPr>
              <w:t>0.1</w:t>
            </w:r>
          </w:p>
        </w:tc>
        <w:tc>
          <w:tcPr>
            <w:tcW w:w="1950" w:type="dxa"/>
          </w:tcPr>
          <w:p w14:paraId="6A151258" w14:textId="77777777" w:rsidR="001315D6" w:rsidRPr="00E0195E" w:rsidRDefault="001315D6" w:rsidP="00B843F6">
            <w:pPr>
              <w:rPr>
                <w:color w:val="000000" w:themeColor="text1"/>
                <w:sz w:val="20"/>
                <w:szCs w:val="20"/>
              </w:rPr>
            </w:pPr>
            <w:r w:rsidRPr="00E0195E">
              <w:rPr>
                <w:color w:val="000000" w:themeColor="text1"/>
                <w:sz w:val="20"/>
                <w:szCs w:val="20"/>
              </w:rPr>
              <w:t>Chief Operating Officer</w:t>
            </w:r>
          </w:p>
        </w:tc>
        <w:tc>
          <w:tcPr>
            <w:tcW w:w="2405" w:type="dxa"/>
          </w:tcPr>
          <w:p w14:paraId="456DB095" w14:textId="77777777" w:rsidR="001315D6" w:rsidRPr="00E0195E" w:rsidRDefault="001315D6" w:rsidP="00B843F6">
            <w:pPr>
              <w:rPr>
                <w:color w:val="000000" w:themeColor="text1"/>
                <w:sz w:val="20"/>
                <w:szCs w:val="20"/>
              </w:rPr>
            </w:pPr>
            <w:r w:rsidRPr="00E0195E">
              <w:rPr>
                <w:color w:val="000000" w:themeColor="text1"/>
                <w:sz w:val="20"/>
                <w:szCs w:val="20"/>
              </w:rPr>
              <w:t>New Policy - Draft</w:t>
            </w:r>
          </w:p>
        </w:tc>
        <w:tc>
          <w:tcPr>
            <w:tcW w:w="2005" w:type="dxa"/>
          </w:tcPr>
          <w:p w14:paraId="1C1C0C36" w14:textId="4039C7CD" w:rsidR="001315D6" w:rsidRPr="00E0195E" w:rsidRDefault="00E0195E" w:rsidP="00B843F6">
            <w:pPr>
              <w:rPr>
                <w:color w:val="000000" w:themeColor="text1"/>
                <w:sz w:val="20"/>
                <w:szCs w:val="20"/>
              </w:rPr>
            </w:pPr>
            <w:r>
              <w:rPr>
                <w:color w:val="000000" w:themeColor="text1"/>
                <w:sz w:val="20"/>
                <w:szCs w:val="20"/>
              </w:rPr>
              <w:t>n/a</w:t>
            </w:r>
          </w:p>
        </w:tc>
        <w:tc>
          <w:tcPr>
            <w:tcW w:w="1355" w:type="dxa"/>
          </w:tcPr>
          <w:p w14:paraId="7B0D436A" w14:textId="72C98064" w:rsidR="001315D6" w:rsidRPr="00E0195E" w:rsidRDefault="00E0195E" w:rsidP="00B843F6">
            <w:pPr>
              <w:autoSpaceDE w:val="0"/>
              <w:autoSpaceDN w:val="0"/>
              <w:adjustRightInd w:val="0"/>
              <w:rPr>
                <w:color w:val="000000" w:themeColor="text1"/>
                <w:sz w:val="20"/>
                <w:szCs w:val="20"/>
              </w:rPr>
            </w:pPr>
            <w:r>
              <w:rPr>
                <w:color w:val="000000" w:themeColor="text1"/>
                <w:sz w:val="20"/>
                <w:szCs w:val="20"/>
              </w:rPr>
              <w:t>n/a</w:t>
            </w:r>
          </w:p>
        </w:tc>
        <w:tc>
          <w:tcPr>
            <w:tcW w:w="1489" w:type="dxa"/>
          </w:tcPr>
          <w:p w14:paraId="46E02481" w14:textId="46FAEC5D" w:rsidR="001315D6" w:rsidRPr="00E0195E" w:rsidRDefault="00E0195E" w:rsidP="00B843F6">
            <w:pPr>
              <w:autoSpaceDE w:val="0"/>
              <w:autoSpaceDN w:val="0"/>
              <w:adjustRightInd w:val="0"/>
              <w:rPr>
                <w:color w:val="000000" w:themeColor="text1"/>
                <w:sz w:val="20"/>
                <w:szCs w:val="20"/>
              </w:rPr>
            </w:pPr>
            <w:r>
              <w:rPr>
                <w:color w:val="000000" w:themeColor="text1"/>
                <w:sz w:val="20"/>
                <w:szCs w:val="20"/>
              </w:rPr>
              <w:t>n/a</w:t>
            </w:r>
          </w:p>
        </w:tc>
      </w:tr>
      <w:tr w:rsidR="001315D6" w:rsidRPr="00402368" w14:paraId="41DCA33F" w14:textId="77777777" w:rsidTr="00B843F6">
        <w:tc>
          <w:tcPr>
            <w:tcW w:w="1252" w:type="dxa"/>
          </w:tcPr>
          <w:p w14:paraId="3B702BB7" w14:textId="77777777" w:rsidR="001315D6" w:rsidRPr="00E0195E" w:rsidRDefault="001315D6" w:rsidP="00B843F6">
            <w:pPr>
              <w:adjustRightInd w:val="0"/>
              <w:rPr>
                <w:color w:val="000000" w:themeColor="text1"/>
                <w:sz w:val="20"/>
                <w:szCs w:val="20"/>
              </w:rPr>
            </w:pPr>
          </w:p>
          <w:p w14:paraId="5949E2C5" w14:textId="77777777" w:rsidR="001315D6" w:rsidRPr="00E0195E" w:rsidRDefault="001315D6" w:rsidP="00B843F6">
            <w:pPr>
              <w:rPr>
                <w:color w:val="000000" w:themeColor="text1"/>
                <w:sz w:val="20"/>
                <w:szCs w:val="20"/>
              </w:rPr>
            </w:pPr>
            <w:r w:rsidRPr="00E0195E">
              <w:rPr>
                <w:color w:val="000000" w:themeColor="text1"/>
                <w:sz w:val="20"/>
                <w:szCs w:val="20"/>
              </w:rPr>
              <w:t>1.0</w:t>
            </w:r>
          </w:p>
        </w:tc>
        <w:tc>
          <w:tcPr>
            <w:tcW w:w="1950" w:type="dxa"/>
          </w:tcPr>
          <w:p w14:paraId="028D90DD" w14:textId="77777777" w:rsidR="001315D6" w:rsidRPr="00E0195E" w:rsidRDefault="001315D6" w:rsidP="00B843F6">
            <w:pPr>
              <w:rPr>
                <w:color w:val="000000" w:themeColor="text1"/>
                <w:sz w:val="20"/>
                <w:szCs w:val="20"/>
              </w:rPr>
            </w:pPr>
            <w:r w:rsidRPr="00E0195E">
              <w:rPr>
                <w:color w:val="000000" w:themeColor="text1"/>
                <w:sz w:val="20"/>
                <w:szCs w:val="20"/>
              </w:rPr>
              <w:t>Chief Operating Officer</w:t>
            </w:r>
          </w:p>
        </w:tc>
        <w:tc>
          <w:tcPr>
            <w:tcW w:w="2405" w:type="dxa"/>
          </w:tcPr>
          <w:p w14:paraId="0BFB13FA" w14:textId="77777777" w:rsidR="001315D6" w:rsidRPr="00E0195E" w:rsidRDefault="001315D6" w:rsidP="00B843F6">
            <w:pPr>
              <w:rPr>
                <w:color w:val="000000" w:themeColor="text1"/>
                <w:sz w:val="20"/>
                <w:szCs w:val="20"/>
              </w:rPr>
            </w:pPr>
            <w:r w:rsidRPr="00E0195E">
              <w:rPr>
                <w:color w:val="000000" w:themeColor="text1"/>
                <w:sz w:val="20"/>
                <w:szCs w:val="20"/>
              </w:rPr>
              <w:t>New Policy</w:t>
            </w:r>
          </w:p>
        </w:tc>
        <w:tc>
          <w:tcPr>
            <w:tcW w:w="2005" w:type="dxa"/>
          </w:tcPr>
          <w:p w14:paraId="3A3A1F50" w14:textId="77777777" w:rsidR="001315D6" w:rsidRPr="00E0195E" w:rsidRDefault="001315D6" w:rsidP="00B843F6">
            <w:pPr>
              <w:rPr>
                <w:color w:val="000000" w:themeColor="text1"/>
                <w:sz w:val="20"/>
                <w:szCs w:val="20"/>
              </w:rPr>
            </w:pPr>
            <w:r w:rsidRPr="00E0195E">
              <w:rPr>
                <w:color w:val="000000" w:themeColor="text1"/>
                <w:sz w:val="20"/>
                <w:szCs w:val="20"/>
              </w:rPr>
              <w:t>ICB Board</w:t>
            </w:r>
          </w:p>
        </w:tc>
        <w:tc>
          <w:tcPr>
            <w:tcW w:w="1355" w:type="dxa"/>
          </w:tcPr>
          <w:p w14:paraId="62D00117" w14:textId="77777777" w:rsidR="001315D6" w:rsidRPr="00E0195E" w:rsidRDefault="001315D6" w:rsidP="00B843F6">
            <w:pPr>
              <w:autoSpaceDE w:val="0"/>
              <w:autoSpaceDN w:val="0"/>
              <w:adjustRightInd w:val="0"/>
              <w:rPr>
                <w:color w:val="000000" w:themeColor="text1"/>
                <w:sz w:val="20"/>
                <w:szCs w:val="20"/>
              </w:rPr>
            </w:pPr>
            <w:r w:rsidRPr="00E0195E">
              <w:rPr>
                <w:color w:val="000000" w:themeColor="text1"/>
                <w:sz w:val="20"/>
                <w:szCs w:val="20"/>
              </w:rPr>
              <w:t>July 2022</w:t>
            </w:r>
          </w:p>
        </w:tc>
        <w:tc>
          <w:tcPr>
            <w:tcW w:w="1489" w:type="dxa"/>
          </w:tcPr>
          <w:p w14:paraId="60C6B362" w14:textId="77777777" w:rsidR="001315D6" w:rsidRPr="00E0195E" w:rsidRDefault="001315D6" w:rsidP="00B843F6">
            <w:pPr>
              <w:autoSpaceDE w:val="0"/>
              <w:autoSpaceDN w:val="0"/>
              <w:adjustRightInd w:val="0"/>
              <w:rPr>
                <w:color w:val="000000" w:themeColor="text1"/>
                <w:sz w:val="20"/>
                <w:szCs w:val="20"/>
              </w:rPr>
            </w:pPr>
          </w:p>
        </w:tc>
      </w:tr>
      <w:tr w:rsidR="001315D6" w:rsidRPr="00402368" w14:paraId="4712926A" w14:textId="77777777" w:rsidTr="00B843F6">
        <w:tc>
          <w:tcPr>
            <w:tcW w:w="1252" w:type="dxa"/>
          </w:tcPr>
          <w:p w14:paraId="486F9043" w14:textId="77777777" w:rsidR="001315D6" w:rsidRPr="00E0195E" w:rsidRDefault="001315D6" w:rsidP="00B843F6">
            <w:pPr>
              <w:rPr>
                <w:color w:val="000000" w:themeColor="text1"/>
                <w:sz w:val="20"/>
                <w:szCs w:val="20"/>
              </w:rPr>
            </w:pPr>
            <w:r w:rsidRPr="00E0195E">
              <w:rPr>
                <w:color w:val="000000" w:themeColor="text1"/>
                <w:sz w:val="20"/>
                <w:szCs w:val="20"/>
              </w:rPr>
              <w:t>1.1</w:t>
            </w:r>
          </w:p>
        </w:tc>
        <w:tc>
          <w:tcPr>
            <w:tcW w:w="1950" w:type="dxa"/>
          </w:tcPr>
          <w:p w14:paraId="7AFE3526" w14:textId="77777777" w:rsidR="001315D6" w:rsidRPr="00E0195E" w:rsidRDefault="001315D6" w:rsidP="00B843F6">
            <w:pPr>
              <w:adjustRightInd w:val="0"/>
              <w:rPr>
                <w:color w:val="000000" w:themeColor="text1"/>
                <w:sz w:val="20"/>
                <w:szCs w:val="20"/>
              </w:rPr>
            </w:pPr>
            <w:r w:rsidRPr="00E0195E">
              <w:rPr>
                <w:color w:val="000000" w:themeColor="text1"/>
                <w:sz w:val="20"/>
                <w:szCs w:val="20"/>
              </w:rPr>
              <w:t>EPRR Team</w:t>
            </w:r>
          </w:p>
          <w:p w14:paraId="0549F8B5" w14:textId="77777777" w:rsidR="001315D6" w:rsidRPr="00E0195E" w:rsidRDefault="001315D6" w:rsidP="00B843F6">
            <w:pPr>
              <w:rPr>
                <w:color w:val="000000" w:themeColor="text1"/>
                <w:sz w:val="20"/>
                <w:szCs w:val="20"/>
              </w:rPr>
            </w:pPr>
          </w:p>
        </w:tc>
        <w:tc>
          <w:tcPr>
            <w:tcW w:w="2405" w:type="dxa"/>
          </w:tcPr>
          <w:p w14:paraId="01D6DBA6" w14:textId="77777777" w:rsidR="001315D6" w:rsidRPr="00E0195E" w:rsidRDefault="001315D6" w:rsidP="00B843F6">
            <w:pPr>
              <w:rPr>
                <w:color w:val="000000" w:themeColor="text1"/>
                <w:sz w:val="20"/>
                <w:szCs w:val="20"/>
              </w:rPr>
            </w:pPr>
            <w:r w:rsidRPr="00E0195E">
              <w:rPr>
                <w:color w:val="000000" w:themeColor="text1"/>
                <w:sz w:val="20"/>
                <w:szCs w:val="20"/>
              </w:rPr>
              <w:t>Change to financing details (s10) and workplan updated Appendix 6)</w:t>
            </w:r>
          </w:p>
        </w:tc>
        <w:tc>
          <w:tcPr>
            <w:tcW w:w="2005" w:type="dxa"/>
          </w:tcPr>
          <w:p w14:paraId="2AB52302" w14:textId="77777777" w:rsidR="001315D6" w:rsidRPr="00E0195E" w:rsidRDefault="001315D6" w:rsidP="00B843F6">
            <w:pPr>
              <w:rPr>
                <w:color w:val="000000" w:themeColor="text1"/>
                <w:sz w:val="20"/>
                <w:szCs w:val="20"/>
              </w:rPr>
            </w:pPr>
            <w:r w:rsidRPr="00E0195E">
              <w:rPr>
                <w:color w:val="000000" w:themeColor="text1"/>
                <w:sz w:val="20"/>
                <w:szCs w:val="20"/>
              </w:rPr>
              <w:t>ICB Board</w:t>
            </w:r>
          </w:p>
        </w:tc>
        <w:tc>
          <w:tcPr>
            <w:tcW w:w="1355" w:type="dxa"/>
          </w:tcPr>
          <w:p w14:paraId="020CC3F2" w14:textId="77777777" w:rsidR="001315D6" w:rsidRPr="00E0195E" w:rsidRDefault="001315D6" w:rsidP="00B843F6">
            <w:pPr>
              <w:autoSpaceDE w:val="0"/>
              <w:autoSpaceDN w:val="0"/>
              <w:adjustRightInd w:val="0"/>
              <w:rPr>
                <w:color w:val="000000" w:themeColor="text1"/>
                <w:sz w:val="20"/>
                <w:szCs w:val="20"/>
              </w:rPr>
            </w:pPr>
            <w:r w:rsidRPr="00E0195E">
              <w:rPr>
                <w:color w:val="000000" w:themeColor="text1"/>
                <w:sz w:val="20"/>
                <w:szCs w:val="20"/>
              </w:rPr>
              <w:t>June 2023</w:t>
            </w:r>
          </w:p>
        </w:tc>
        <w:tc>
          <w:tcPr>
            <w:tcW w:w="1489" w:type="dxa"/>
          </w:tcPr>
          <w:p w14:paraId="3EC5D895" w14:textId="77777777" w:rsidR="001315D6" w:rsidRPr="00E0195E" w:rsidRDefault="001315D6" w:rsidP="00B843F6">
            <w:pPr>
              <w:autoSpaceDE w:val="0"/>
              <w:autoSpaceDN w:val="0"/>
              <w:adjustRightInd w:val="0"/>
              <w:rPr>
                <w:color w:val="000000" w:themeColor="text1"/>
                <w:sz w:val="20"/>
                <w:szCs w:val="20"/>
              </w:rPr>
            </w:pPr>
          </w:p>
        </w:tc>
      </w:tr>
      <w:tr w:rsidR="001315D6" w:rsidRPr="00402368" w14:paraId="3696753D" w14:textId="77777777" w:rsidTr="00B843F6">
        <w:tc>
          <w:tcPr>
            <w:tcW w:w="1252" w:type="dxa"/>
          </w:tcPr>
          <w:p w14:paraId="2E87C586" w14:textId="6D3810E1" w:rsidR="001315D6" w:rsidRPr="00E0195E" w:rsidRDefault="00E0195E" w:rsidP="00B843F6">
            <w:pPr>
              <w:rPr>
                <w:color w:val="000000"/>
                <w:sz w:val="20"/>
                <w:szCs w:val="20"/>
              </w:rPr>
            </w:pPr>
            <w:r w:rsidRPr="00E0195E">
              <w:rPr>
                <w:color w:val="000000"/>
                <w:sz w:val="20"/>
                <w:szCs w:val="20"/>
              </w:rPr>
              <w:t>1.2</w:t>
            </w:r>
          </w:p>
        </w:tc>
        <w:tc>
          <w:tcPr>
            <w:tcW w:w="1950" w:type="dxa"/>
          </w:tcPr>
          <w:p w14:paraId="29B1776E" w14:textId="66CADAD5" w:rsidR="001315D6" w:rsidRPr="00E0195E" w:rsidRDefault="00E0195E" w:rsidP="00B843F6">
            <w:pPr>
              <w:rPr>
                <w:color w:val="000000"/>
                <w:sz w:val="20"/>
                <w:szCs w:val="20"/>
              </w:rPr>
            </w:pPr>
            <w:r w:rsidRPr="00E0195E">
              <w:rPr>
                <w:color w:val="000000"/>
                <w:sz w:val="20"/>
                <w:szCs w:val="20"/>
              </w:rPr>
              <w:t>EPRR Team</w:t>
            </w:r>
          </w:p>
        </w:tc>
        <w:tc>
          <w:tcPr>
            <w:tcW w:w="2405" w:type="dxa"/>
          </w:tcPr>
          <w:p w14:paraId="183F70F5" w14:textId="0D612ABB" w:rsidR="001315D6" w:rsidRPr="00E0195E" w:rsidRDefault="00E0195E" w:rsidP="00B843F6">
            <w:pPr>
              <w:rPr>
                <w:color w:val="000000"/>
                <w:sz w:val="20"/>
                <w:szCs w:val="20"/>
              </w:rPr>
            </w:pPr>
            <w:r w:rsidRPr="00E0195E">
              <w:rPr>
                <w:color w:val="000000"/>
                <w:sz w:val="20"/>
                <w:szCs w:val="20"/>
              </w:rPr>
              <w:t>Reviewed for publication</w:t>
            </w:r>
          </w:p>
        </w:tc>
        <w:tc>
          <w:tcPr>
            <w:tcW w:w="2005" w:type="dxa"/>
          </w:tcPr>
          <w:p w14:paraId="54DD311B" w14:textId="028515FB" w:rsidR="001315D6" w:rsidRPr="00E0195E" w:rsidRDefault="00E0195E" w:rsidP="00B843F6">
            <w:pPr>
              <w:rPr>
                <w:color w:val="000000"/>
                <w:sz w:val="20"/>
                <w:szCs w:val="20"/>
              </w:rPr>
            </w:pPr>
            <w:r w:rsidRPr="00E0195E">
              <w:rPr>
                <w:color w:val="000000"/>
                <w:sz w:val="20"/>
                <w:szCs w:val="20"/>
              </w:rPr>
              <w:t>n/a</w:t>
            </w:r>
          </w:p>
        </w:tc>
        <w:tc>
          <w:tcPr>
            <w:tcW w:w="1355" w:type="dxa"/>
          </w:tcPr>
          <w:p w14:paraId="44B1CB4D" w14:textId="60238124" w:rsidR="001315D6" w:rsidRPr="00E0195E" w:rsidRDefault="00E0195E" w:rsidP="00B843F6">
            <w:pPr>
              <w:autoSpaceDE w:val="0"/>
              <w:autoSpaceDN w:val="0"/>
              <w:adjustRightInd w:val="0"/>
              <w:rPr>
                <w:sz w:val="20"/>
                <w:szCs w:val="20"/>
              </w:rPr>
            </w:pPr>
            <w:r w:rsidRPr="00E0195E">
              <w:rPr>
                <w:sz w:val="20"/>
                <w:szCs w:val="20"/>
              </w:rPr>
              <w:t>n/a</w:t>
            </w:r>
          </w:p>
        </w:tc>
        <w:tc>
          <w:tcPr>
            <w:tcW w:w="1489" w:type="dxa"/>
          </w:tcPr>
          <w:p w14:paraId="73D1116D" w14:textId="55EBB842" w:rsidR="001315D6" w:rsidRPr="00E0195E" w:rsidRDefault="00E0195E" w:rsidP="00B843F6">
            <w:pPr>
              <w:autoSpaceDE w:val="0"/>
              <w:autoSpaceDN w:val="0"/>
              <w:adjustRightInd w:val="0"/>
              <w:rPr>
                <w:sz w:val="20"/>
                <w:szCs w:val="20"/>
              </w:rPr>
            </w:pPr>
            <w:r w:rsidRPr="00E0195E">
              <w:rPr>
                <w:sz w:val="20"/>
                <w:szCs w:val="20"/>
              </w:rPr>
              <w:t>August 2023</w:t>
            </w:r>
          </w:p>
        </w:tc>
      </w:tr>
      <w:tr w:rsidR="001315D6" w:rsidRPr="00402368" w14:paraId="57CD228B" w14:textId="77777777" w:rsidTr="00B843F6">
        <w:tc>
          <w:tcPr>
            <w:tcW w:w="1252" w:type="dxa"/>
          </w:tcPr>
          <w:p w14:paraId="451C7BB4" w14:textId="6A09B0E0" w:rsidR="001315D6" w:rsidRPr="008F68C7" w:rsidRDefault="002D22A6" w:rsidP="00B843F6">
            <w:pPr>
              <w:rPr>
                <w:color w:val="000000"/>
                <w:sz w:val="20"/>
                <w:szCs w:val="20"/>
              </w:rPr>
            </w:pPr>
            <w:r w:rsidRPr="008F68C7">
              <w:rPr>
                <w:color w:val="000000"/>
                <w:sz w:val="20"/>
                <w:szCs w:val="20"/>
              </w:rPr>
              <w:t>1.3</w:t>
            </w:r>
          </w:p>
        </w:tc>
        <w:tc>
          <w:tcPr>
            <w:tcW w:w="1950" w:type="dxa"/>
          </w:tcPr>
          <w:p w14:paraId="70C27A5C" w14:textId="1BEB9899" w:rsidR="001315D6" w:rsidRPr="008F68C7" w:rsidRDefault="002D22A6" w:rsidP="00B843F6">
            <w:pPr>
              <w:rPr>
                <w:color w:val="000000"/>
                <w:sz w:val="20"/>
                <w:szCs w:val="20"/>
              </w:rPr>
            </w:pPr>
            <w:r w:rsidRPr="008F68C7">
              <w:rPr>
                <w:color w:val="000000"/>
                <w:sz w:val="20"/>
                <w:szCs w:val="20"/>
              </w:rPr>
              <w:t>EPRR Team</w:t>
            </w:r>
          </w:p>
        </w:tc>
        <w:tc>
          <w:tcPr>
            <w:tcW w:w="2405" w:type="dxa"/>
          </w:tcPr>
          <w:p w14:paraId="6FDD10AF" w14:textId="567C13F5" w:rsidR="001315D6" w:rsidRPr="008F68C7" w:rsidRDefault="00726E01" w:rsidP="00B843F6">
            <w:pPr>
              <w:rPr>
                <w:color w:val="000000"/>
                <w:sz w:val="20"/>
                <w:szCs w:val="20"/>
              </w:rPr>
            </w:pPr>
            <w:r w:rsidRPr="008F68C7">
              <w:rPr>
                <w:color w:val="000000"/>
                <w:sz w:val="20"/>
                <w:szCs w:val="20"/>
              </w:rPr>
              <w:t>Addition of commentary on risk at S9.0. Addition of commentary on workplan and governance at S10.0</w:t>
            </w:r>
            <w:r w:rsidR="008F68C7" w:rsidRPr="008F68C7">
              <w:rPr>
                <w:color w:val="000000"/>
                <w:sz w:val="20"/>
                <w:szCs w:val="20"/>
              </w:rPr>
              <w:t>.</w:t>
            </w:r>
          </w:p>
        </w:tc>
        <w:tc>
          <w:tcPr>
            <w:tcW w:w="2005" w:type="dxa"/>
          </w:tcPr>
          <w:p w14:paraId="0ED5EDC2" w14:textId="29B44E90" w:rsidR="001315D6" w:rsidRPr="008F68C7" w:rsidRDefault="008F68C7" w:rsidP="00B843F6">
            <w:pPr>
              <w:rPr>
                <w:color w:val="000000"/>
                <w:sz w:val="20"/>
                <w:szCs w:val="20"/>
              </w:rPr>
            </w:pPr>
            <w:r w:rsidRPr="008F68C7">
              <w:rPr>
                <w:color w:val="000000"/>
                <w:sz w:val="20"/>
                <w:szCs w:val="20"/>
              </w:rPr>
              <w:t>Director of Primary Care and Commissioning</w:t>
            </w:r>
          </w:p>
        </w:tc>
        <w:tc>
          <w:tcPr>
            <w:tcW w:w="1355" w:type="dxa"/>
          </w:tcPr>
          <w:p w14:paraId="400ED968" w14:textId="381A6378" w:rsidR="001315D6" w:rsidRPr="008F68C7" w:rsidRDefault="008F68C7" w:rsidP="00B843F6">
            <w:pPr>
              <w:autoSpaceDE w:val="0"/>
              <w:autoSpaceDN w:val="0"/>
              <w:adjustRightInd w:val="0"/>
              <w:rPr>
                <w:sz w:val="20"/>
                <w:szCs w:val="20"/>
              </w:rPr>
            </w:pPr>
            <w:r w:rsidRPr="008F68C7">
              <w:rPr>
                <w:sz w:val="20"/>
                <w:szCs w:val="20"/>
              </w:rPr>
              <w:t>September 2023</w:t>
            </w:r>
          </w:p>
        </w:tc>
        <w:tc>
          <w:tcPr>
            <w:tcW w:w="1489" w:type="dxa"/>
          </w:tcPr>
          <w:p w14:paraId="14B751E3" w14:textId="77777777" w:rsidR="001315D6" w:rsidRPr="008F68C7" w:rsidRDefault="001315D6" w:rsidP="00B843F6">
            <w:pPr>
              <w:autoSpaceDE w:val="0"/>
              <w:autoSpaceDN w:val="0"/>
              <w:adjustRightInd w:val="0"/>
              <w:rPr>
                <w:sz w:val="20"/>
                <w:szCs w:val="20"/>
              </w:rPr>
            </w:pPr>
          </w:p>
        </w:tc>
      </w:tr>
      <w:tr w:rsidR="001315D6" w:rsidRPr="00783148" w14:paraId="1255CE28" w14:textId="77777777" w:rsidTr="00B843F6">
        <w:tc>
          <w:tcPr>
            <w:tcW w:w="1252" w:type="dxa"/>
          </w:tcPr>
          <w:p w14:paraId="73B3075C" w14:textId="7391BDF4" w:rsidR="001315D6" w:rsidRPr="00783148" w:rsidRDefault="00783148" w:rsidP="00B843F6">
            <w:pPr>
              <w:autoSpaceDE w:val="0"/>
              <w:autoSpaceDN w:val="0"/>
              <w:adjustRightInd w:val="0"/>
              <w:rPr>
                <w:color w:val="000000" w:themeColor="text1"/>
                <w:sz w:val="20"/>
                <w:szCs w:val="20"/>
              </w:rPr>
            </w:pPr>
            <w:r w:rsidRPr="00783148">
              <w:rPr>
                <w:color w:val="000000" w:themeColor="text1"/>
                <w:sz w:val="20"/>
                <w:szCs w:val="20"/>
              </w:rPr>
              <w:t>2.</w:t>
            </w:r>
            <w:r w:rsidR="00542823">
              <w:rPr>
                <w:color w:val="000000" w:themeColor="text1"/>
                <w:sz w:val="20"/>
                <w:szCs w:val="20"/>
              </w:rPr>
              <w:t>1</w:t>
            </w:r>
          </w:p>
        </w:tc>
        <w:tc>
          <w:tcPr>
            <w:tcW w:w="1950" w:type="dxa"/>
          </w:tcPr>
          <w:p w14:paraId="362E3E99" w14:textId="554E4082" w:rsidR="001315D6" w:rsidRPr="00783148" w:rsidRDefault="00783148" w:rsidP="00B843F6">
            <w:pPr>
              <w:autoSpaceDE w:val="0"/>
              <w:autoSpaceDN w:val="0"/>
              <w:adjustRightInd w:val="0"/>
              <w:rPr>
                <w:color w:val="000000" w:themeColor="text1"/>
                <w:sz w:val="20"/>
                <w:szCs w:val="20"/>
              </w:rPr>
            </w:pPr>
            <w:r w:rsidRPr="00783148">
              <w:rPr>
                <w:color w:val="000000" w:themeColor="text1"/>
                <w:sz w:val="20"/>
                <w:szCs w:val="20"/>
              </w:rPr>
              <w:t>EPRR Team</w:t>
            </w:r>
          </w:p>
        </w:tc>
        <w:tc>
          <w:tcPr>
            <w:tcW w:w="2405" w:type="dxa"/>
          </w:tcPr>
          <w:p w14:paraId="272435E5" w14:textId="3C3C694A" w:rsidR="001315D6" w:rsidRPr="00783148" w:rsidRDefault="00783148" w:rsidP="00B843F6">
            <w:pPr>
              <w:autoSpaceDE w:val="0"/>
              <w:autoSpaceDN w:val="0"/>
              <w:adjustRightInd w:val="0"/>
              <w:rPr>
                <w:color w:val="000000" w:themeColor="text1"/>
                <w:sz w:val="20"/>
                <w:szCs w:val="20"/>
              </w:rPr>
            </w:pPr>
            <w:r w:rsidRPr="00783148">
              <w:rPr>
                <w:color w:val="000000" w:themeColor="text1"/>
                <w:sz w:val="20"/>
                <w:szCs w:val="20"/>
              </w:rPr>
              <w:t>Review</w:t>
            </w:r>
            <w:r w:rsidR="00572AFA">
              <w:rPr>
                <w:color w:val="000000" w:themeColor="text1"/>
                <w:sz w:val="20"/>
                <w:szCs w:val="20"/>
              </w:rPr>
              <w:t>,</w:t>
            </w:r>
            <w:r w:rsidRPr="00783148">
              <w:rPr>
                <w:color w:val="000000" w:themeColor="text1"/>
                <w:sz w:val="20"/>
                <w:szCs w:val="20"/>
              </w:rPr>
              <w:t xml:space="preserve"> refresh</w:t>
            </w:r>
            <w:r w:rsidR="00572AFA">
              <w:rPr>
                <w:color w:val="000000" w:themeColor="text1"/>
                <w:sz w:val="20"/>
                <w:szCs w:val="20"/>
              </w:rPr>
              <w:t xml:space="preserve"> and updating</w:t>
            </w:r>
            <w:r w:rsidR="00923044">
              <w:rPr>
                <w:color w:val="000000" w:themeColor="text1"/>
                <w:sz w:val="20"/>
                <w:szCs w:val="20"/>
              </w:rPr>
              <w:t xml:space="preserve">. </w:t>
            </w:r>
            <w:r w:rsidR="003A4A8A">
              <w:rPr>
                <w:color w:val="000000" w:themeColor="text1"/>
                <w:sz w:val="20"/>
                <w:szCs w:val="20"/>
              </w:rPr>
              <w:t xml:space="preserve">Inclusion of </w:t>
            </w:r>
            <w:r w:rsidR="00D23AFF">
              <w:rPr>
                <w:color w:val="000000" w:themeColor="text1"/>
                <w:sz w:val="20"/>
                <w:szCs w:val="20"/>
              </w:rPr>
              <w:t xml:space="preserve">consultation arrangements on plans in Governance Section. </w:t>
            </w:r>
            <w:r w:rsidR="00923044">
              <w:rPr>
                <w:color w:val="000000" w:themeColor="text1"/>
                <w:sz w:val="20"/>
                <w:szCs w:val="20"/>
              </w:rPr>
              <w:t>Consulted with all partners 12</w:t>
            </w:r>
            <w:r w:rsidR="00923044" w:rsidRPr="00923044">
              <w:rPr>
                <w:color w:val="000000" w:themeColor="text1"/>
                <w:sz w:val="20"/>
                <w:szCs w:val="20"/>
                <w:vertAlign w:val="superscript"/>
              </w:rPr>
              <w:t>th</w:t>
            </w:r>
            <w:r w:rsidR="00923044">
              <w:rPr>
                <w:color w:val="000000" w:themeColor="text1"/>
                <w:sz w:val="20"/>
                <w:szCs w:val="20"/>
              </w:rPr>
              <w:t xml:space="preserve"> March 2024 and no comments received</w:t>
            </w:r>
          </w:p>
        </w:tc>
        <w:tc>
          <w:tcPr>
            <w:tcW w:w="2005" w:type="dxa"/>
          </w:tcPr>
          <w:p w14:paraId="33346284" w14:textId="3DF69C85" w:rsidR="001315D6" w:rsidRPr="00783148" w:rsidRDefault="001325FE" w:rsidP="00B843F6">
            <w:pPr>
              <w:autoSpaceDE w:val="0"/>
              <w:autoSpaceDN w:val="0"/>
              <w:adjustRightInd w:val="0"/>
              <w:rPr>
                <w:color w:val="000000" w:themeColor="text1"/>
                <w:sz w:val="20"/>
                <w:szCs w:val="20"/>
              </w:rPr>
            </w:pPr>
            <w:r>
              <w:rPr>
                <w:color w:val="000000" w:themeColor="text1"/>
                <w:sz w:val="20"/>
                <w:szCs w:val="20"/>
              </w:rPr>
              <w:t>n/a – draft not sent for approval</w:t>
            </w:r>
          </w:p>
        </w:tc>
        <w:tc>
          <w:tcPr>
            <w:tcW w:w="1355" w:type="dxa"/>
          </w:tcPr>
          <w:p w14:paraId="7BB43100" w14:textId="77777777" w:rsidR="001315D6" w:rsidRPr="00783148" w:rsidRDefault="001315D6" w:rsidP="00B843F6">
            <w:pPr>
              <w:autoSpaceDE w:val="0"/>
              <w:autoSpaceDN w:val="0"/>
              <w:adjustRightInd w:val="0"/>
              <w:rPr>
                <w:color w:val="000000" w:themeColor="text1"/>
                <w:sz w:val="20"/>
                <w:szCs w:val="20"/>
              </w:rPr>
            </w:pPr>
          </w:p>
        </w:tc>
        <w:tc>
          <w:tcPr>
            <w:tcW w:w="1489" w:type="dxa"/>
          </w:tcPr>
          <w:p w14:paraId="4AC8BF0A" w14:textId="77777777" w:rsidR="001315D6" w:rsidRPr="00783148" w:rsidRDefault="001315D6" w:rsidP="00B843F6">
            <w:pPr>
              <w:autoSpaceDE w:val="0"/>
              <w:autoSpaceDN w:val="0"/>
              <w:adjustRightInd w:val="0"/>
              <w:rPr>
                <w:color w:val="000000" w:themeColor="text1"/>
                <w:sz w:val="20"/>
                <w:szCs w:val="20"/>
              </w:rPr>
            </w:pPr>
          </w:p>
        </w:tc>
      </w:tr>
      <w:tr w:rsidR="00F20AD9" w:rsidRPr="00783148" w14:paraId="261EEBF8" w14:textId="77777777" w:rsidTr="00B843F6">
        <w:tc>
          <w:tcPr>
            <w:tcW w:w="1252" w:type="dxa"/>
          </w:tcPr>
          <w:p w14:paraId="5916FAF2" w14:textId="4573619D" w:rsidR="00F20AD9" w:rsidRPr="00783148" w:rsidRDefault="00652699" w:rsidP="00B843F6">
            <w:pPr>
              <w:autoSpaceDE w:val="0"/>
              <w:autoSpaceDN w:val="0"/>
              <w:adjustRightInd w:val="0"/>
              <w:rPr>
                <w:color w:val="000000" w:themeColor="text1"/>
                <w:sz w:val="20"/>
                <w:szCs w:val="20"/>
              </w:rPr>
            </w:pPr>
            <w:r>
              <w:rPr>
                <w:color w:val="000000" w:themeColor="text1"/>
                <w:sz w:val="20"/>
                <w:szCs w:val="20"/>
              </w:rPr>
              <w:t>2.2</w:t>
            </w:r>
          </w:p>
        </w:tc>
        <w:tc>
          <w:tcPr>
            <w:tcW w:w="1950" w:type="dxa"/>
          </w:tcPr>
          <w:p w14:paraId="61A5FEBD" w14:textId="0F476255" w:rsidR="00F20AD9" w:rsidRPr="00783148" w:rsidRDefault="00964195" w:rsidP="00B843F6">
            <w:pPr>
              <w:autoSpaceDE w:val="0"/>
              <w:autoSpaceDN w:val="0"/>
              <w:adjustRightInd w:val="0"/>
              <w:rPr>
                <w:color w:val="000000" w:themeColor="text1"/>
                <w:sz w:val="20"/>
                <w:szCs w:val="20"/>
              </w:rPr>
            </w:pPr>
            <w:r>
              <w:rPr>
                <w:color w:val="000000" w:themeColor="text1"/>
                <w:sz w:val="20"/>
                <w:szCs w:val="20"/>
              </w:rPr>
              <w:t>Head of Resilience and Operations</w:t>
            </w:r>
          </w:p>
        </w:tc>
        <w:tc>
          <w:tcPr>
            <w:tcW w:w="2405" w:type="dxa"/>
          </w:tcPr>
          <w:p w14:paraId="382A76EC" w14:textId="02FB955D" w:rsidR="00F20AD9" w:rsidRPr="00783148" w:rsidRDefault="007A5A0E" w:rsidP="00B843F6">
            <w:pPr>
              <w:autoSpaceDE w:val="0"/>
              <w:autoSpaceDN w:val="0"/>
              <w:adjustRightInd w:val="0"/>
              <w:rPr>
                <w:color w:val="000000" w:themeColor="text1"/>
                <w:sz w:val="20"/>
                <w:szCs w:val="20"/>
              </w:rPr>
            </w:pPr>
            <w:r>
              <w:rPr>
                <w:color w:val="000000" w:themeColor="text1"/>
                <w:sz w:val="20"/>
                <w:szCs w:val="20"/>
              </w:rPr>
              <w:t>Addition of new Team Structure, terminology in incident levels amended to mirror NHS England EPRR Policy</w:t>
            </w:r>
            <w:r w:rsidR="00526E24">
              <w:rPr>
                <w:color w:val="000000" w:themeColor="text1"/>
                <w:sz w:val="20"/>
                <w:szCs w:val="20"/>
              </w:rPr>
              <w:t>, NHS Incident TCG/SCG Response changed to mirror NHS England EPRR Policy and JESIP Doctrine 2024, addition of reference to PDPs and monitoring under training, section added on Assurance</w:t>
            </w:r>
            <w:r w:rsidR="00D23AFF">
              <w:rPr>
                <w:color w:val="000000" w:themeColor="text1"/>
                <w:sz w:val="20"/>
                <w:szCs w:val="20"/>
              </w:rPr>
              <w:t xml:space="preserve">. Governance section amended to reflect appropriate sign off of plans. </w:t>
            </w:r>
            <w:r w:rsidR="00206C64">
              <w:rPr>
                <w:color w:val="000000" w:themeColor="text1"/>
                <w:sz w:val="20"/>
                <w:szCs w:val="20"/>
              </w:rPr>
              <w:t>Addition of paragraph on lessons identified from incidents.</w:t>
            </w:r>
          </w:p>
        </w:tc>
        <w:tc>
          <w:tcPr>
            <w:tcW w:w="2005" w:type="dxa"/>
          </w:tcPr>
          <w:p w14:paraId="5021028A" w14:textId="0C8AD102" w:rsidR="00F20AD9" w:rsidRPr="00783148" w:rsidRDefault="00526E24" w:rsidP="00B843F6">
            <w:pPr>
              <w:autoSpaceDE w:val="0"/>
              <w:autoSpaceDN w:val="0"/>
              <w:adjustRightInd w:val="0"/>
              <w:rPr>
                <w:color w:val="000000" w:themeColor="text1"/>
                <w:sz w:val="20"/>
                <w:szCs w:val="20"/>
              </w:rPr>
            </w:pPr>
            <w:r>
              <w:rPr>
                <w:color w:val="000000" w:themeColor="text1"/>
                <w:sz w:val="20"/>
                <w:szCs w:val="20"/>
              </w:rPr>
              <w:t>ICB Board</w:t>
            </w:r>
          </w:p>
        </w:tc>
        <w:tc>
          <w:tcPr>
            <w:tcW w:w="1355" w:type="dxa"/>
          </w:tcPr>
          <w:p w14:paraId="1D6B5AED" w14:textId="5082AC15" w:rsidR="00F20AD9" w:rsidRPr="00783148" w:rsidRDefault="001325FE" w:rsidP="00B843F6">
            <w:pPr>
              <w:autoSpaceDE w:val="0"/>
              <w:autoSpaceDN w:val="0"/>
              <w:adjustRightInd w:val="0"/>
              <w:rPr>
                <w:color w:val="000000" w:themeColor="text1"/>
                <w:sz w:val="20"/>
                <w:szCs w:val="20"/>
              </w:rPr>
            </w:pPr>
            <w:r>
              <w:rPr>
                <w:color w:val="000000" w:themeColor="text1"/>
                <w:sz w:val="20"/>
                <w:szCs w:val="20"/>
              </w:rPr>
              <w:t>October 2024</w:t>
            </w:r>
          </w:p>
        </w:tc>
        <w:tc>
          <w:tcPr>
            <w:tcW w:w="1489" w:type="dxa"/>
          </w:tcPr>
          <w:p w14:paraId="3A8BF410" w14:textId="77777777" w:rsidR="00F20AD9" w:rsidRPr="00783148" w:rsidRDefault="00F20AD9" w:rsidP="00B843F6">
            <w:pPr>
              <w:autoSpaceDE w:val="0"/>
              <w:autoSpaceDN w:val="0"/>
              <w:adjustRightInd w:val="0"/>
              <w:rPr>
                <w:color w:val="000000" w:themeColor="text1"/>
                <w:sz w:val="20"/>
                <w:szCs w:val="20"/>
              </w:rPr>
            </w:pPr>
          </w:p>
        </w:tc>
      </w:tr>
    </w:tbl>
    <w:p w14:paraId="00D2A11D" w14:textId="77777777" w:rsidR="001315D6" w:rsidRPr="00402368" w:rsidRDefault="001315D6" w:rsidP="001315D6">
      <w:pPr>
        <w:rPr>
          <w:b/>
        </w:rPr>
      </w:pPr>
    </w:p>
    <w:p w14:paraId="2B7B7B13" w14:textId="77777777" w:rsidR="001315D6" w:rsidRPr="00402368" w:rsidRDefault="001315D6" w:rsidP="001315D6">
      <w:pPr>
        <w:rPr>
          <w:b/>
        </w:rPr>
      </w:pPr>
    </w:p>
    <w:p w14:paraId="0192A9E4" w14:textId="5BFFF25D" w:rsidR="00427DF5" w:rsidRDefault="00427DF5" w:rsidP="0031495B">
      <w:pPr>
        <w:jc w:val="right"/>
        <w:rPr>
          <w:b/>
          <w:sz w:val="36"/>
          <w:szCs w:val="36"/>
        </w:rPr>
      </w:pPr>
    </w:p>
    <w:p w14:paraId="728C471F" w14:textId="77777777" w:rsidR="0068229F" w:rsidRDefault="0068229F" w:rsidP="0068229F">
      <w:pPr>
        <w:pStyle w:val="Title"/>
        <w:rPr>
          <w:rFonts w:eastAsia="Calibri"/>
        </w:rPr>
      </w:pPr>
      <w:bookmarkStart w:id="0" w:name="_Toc89426232"/>
      <w:bookmarkStart w:id="1" w:name="_Toc89426666"/>
      <w:bookmarkStart w:id="2" w:name="_Toc1189317561"/>
      <w:bookmarkStart w:id="3" w:name="_Toc1424752760"/>
    </w:p>
    <w:bookmarkEnd w:id="0"/>
    <w:bookmarkEnd w:id="1"/>
    <w:bookmarkEnd w:id="2"/>
    <w:bookmarkEnd w:id="3"/>
    <w:p w14:paraId="7040B1E3" w14:textId="77777777" w:rsidR="00D713FA" w:rsidRPr="00AA60A2" w:rsidRDefault="00D713FA" w:rsidP="00BD21AC">
      <w:pPr>
        <w:rPr>
          <w:rFonts w:cs="Arial"/>
        </w:rPr>
        <w:sectPr w:rsidR="00D713FA" w:rsidRPr="00AA60A2" w:rsidSect="00D7082D">
          <w:headerReference w:type="even" r:id="rId13"/>
          <w:headerReference w:type="default" r:id="rId14"/>
          <w:footerReference w:type="even" r:id="rId15"/>
          <w:footerReference w:type="default" r:id="rId16"/>
          <w:headerReference w:type="first" r:id="rId17"/>
          <w:footerReference w:type="first" r:id="rId18"/>
          <w:pgSz w:w="11900" w:h="16840"/>
          <w:pgMar w:top="851" w:right="1280" w:bottom="1276" w:left="1134" w:header="0" w:footer="263" w:gutter="0"/>
          <w:cols w:space="720"/>
        </w:sectPr>
      </w:pPr>
    </w:p>
    <w:p w14:paraId="7CF53438" w14:textId="77777777" w:rsidR="00D713FA" w:rsidRPr="00BD21AC" w:rsidRDefault="00BD21AC" w:rsidP="00BD21AC">
      <w:pPr>
        <w:rPr>
          <w:b/>
          <w:bCs/>
        </w:rPr>
      </w:pPr>
      <w:r w:rsidRPr="00BD21AC">
        <w:rPr>
          <w:b/>
          <w:bCs/>
        </w:rPr>
        <w:lastRenderedPageBreak/>
        <w:t>Contents</w:t>
      </w:r>
    </w:p>
    <w:p w14:paraId="65E131C4" w14:textId="77777777" w:rsidR="00D713FA" w:rsidRPr="00CD6D2D" w:rsidRDefault="00D713FA" w:rsidP="00D713FA">
      <w:pPr>
        <w:spacing w:before="9" w:line="190" w:lineRule="exact"/>
        <w:rPr>
          <w:rFonts w:cs="Arial"/>
          <w:sz w:val="19"/>
          <w:szCs w:val="19"/>
        </w:rPr>
      </w:pPr>
    </w:p>
    <w:p w14:paraId="30B77CD6" w14:textId="00546661" w:rsidR="0091364C" w:rsidRDefault="009E04E3">
      <w:pPr>
        <w:pStyle w:val="TOC1"/>
        <w:rPr>
          <w:rFonts w:asciiTheme="minorHAnsi" w:eastAsiaTheme="minorEastAsia" w:hAnsiTheme="minorHAnsi" w:cstheme="minorBidi"/>
          <w:b w:val="0"/>
          <w:bCs w:val="0"/>
          <w:kern w:val="2"/>
          <w:sz w:val="22"/>
          <w:lang w:eastAsia="en-GB"/>
          <w14:ligatures w14:val="standardContextual"/>
        </w:rPr>
      </w:pPr>
      <w:r>
        <w:fldChar w:fldCharType="begin"/>
      </w:r>
      <w:r>
        <w:instrText xml:space="preserve"> TOC \o "1-1" \h \z \u </w:instrText>
      </w:r>
      <w:r>
        <w:fldChar w:fldCharType="separate"/>
      </w:r>
      <w:hyperlink w:anchor="_Toc160047246" w:history="1">
        <w:r w:rsidR="0091364C" w:rsidRPr="003730BB">
          <w:rPr>
            <w:rStyle w:val="Hyperlink"/>
          </w:rPr>
          <w:t>1.0</w:t>
        </w:r>
        <w:r w:rsidR="0091364C">
          <w:rPr>
            <w:rFonts w:asciiTheme="minorHAnsi" w:eastAsiaTheme="minorEastAsia" w:hAnsiTheme="minorHAnsi" w:cstheme="minorBidi"/>
            <w:b w:val="0"/>
            <w:bCs w:val="0"/>
            <w:kern w:val="2"/>
            <w:sz w:val="22"/>
            <w:lang w:eastAsia="en-GB"/>
            <w14:ligatures w14:val="standardContextual"/>
          </w:rPr>
          <w:tab/>
        </w:r>
        <w:r w:rsidR="0091364C" w:rsidRPr="003730BB">
          <w:rPr>
            <w:rStyle w:val="Hyperlink"/>
          </w:rPr>
          <w:t>Introduction</w:t>
        </w:r>
        <w:r w:rsidR="0091364C">
          <w:rPr>
            <w:webHidden/>
          </w:rPr>
          <w:tab/>
        </w:r>
        <w:r w:rsidR="0091364C">
          <w:rPr>
            <w:webHidden/>
          </w:rPr>
          <w:fldChar w:fldCharType="begin"/>
        </w:r>
        <w:r w:rsidR="0091364C">
          <w:rPr>
            <w:webHidden/>
          </w:rPr>
          <w:instrText xml:space="preserve"> PAGEREF _Toc160047246 \h </w:instrText>
        </w:r>
        <w:r w:rsidR="0091364C">
          <w:rPr>
            <w:webHidden/>
          </w:rPr>
        </w:r>
        <w:r w:rsidR="0091364C">
          <w:rPr>
            <w:webHidden/>
          </w:rPr>
          <w:fldChar w:fldCharType="separate"/>
        </w:r>
        <w:r w:rsidR="0091364C">
          <w:rPr>
            <w:webHidden/>
          </w:rPr>
          <w:t>4</w:t>
        </w:r>
        <w:r w:rsidR="0091364C">
          <w:rPr>
            <w:webHidden/>
          </w:rPr>
          <w:fldChar w:fldCharType="end"/>
        </w:r>
      </w:hyperlink>
    </w:p>
    <w:p w14:paraId="0A3CF197" w14:textId="21147F65" w:rsidR="0091364C" w:rsidRDefault="00F9061B">
      <w:pPr>
        <w:pStyle w:val="TOC1"/>
        <w:rPr>
          <w:rFonts w:asciiTheme="minorHAnsi" w:eastAsiaTheme="minorEastAsia" w:hAnsiTheme="minorHAnsi" w:cstheme="minorBidi"/>
          <w:b w:val="0"/>
          <w:bCs w:val="0"/>
          <w:kern w:val="2"/>
          <w:sz w:val="22"/>
          <w:lang w:eastAsia="en-GB"/>
          <w14:ligatures w14:val="standardContextual"/>
        </w:rPr>
      </w:pPr>
      <w:hyperlink w:anchor="_Toc160047247" w:history="1">
        <w:r w:rsidR="0091364C" w:rsidRPr="003730BB">
          <w:rPr>
            <w:rStyle w:val="Hyperlink"/>
          </w:rPr>
          <w:t>2.0</w:t>
        </w:r>
        <w:r w:rsidR="0091364C">
          <w:rPr>
            <w:rFonts w:asciiTheme="minorHAnsi" w:eastAsiaTheme="minorEastAsia" w:hAnsiTheme="minorHAnsi" w:cstheme="minorBidi"/>
            <w:b w:val="0"/>
            <w:bCs w:val="0"/>
            <w:kern w:val="2"/>
            <w:sz w:val="22"/>
            <w:lang w:eastAsia="en-GB"/>
            <w14:ligatures w14:val="standardContextual"/>
          </w:rPr>
          <w:tab/>
        </w:r>
        <w:r w:rsidR="0091364C" w:rsidRPr="003730BB">
          <w:rPr>
            <w:rStyle w:val="Hyperlink"/>
          </w:rPr>
          <w:t>Objectives</w:t>
        </w:r>
        <w:r w:rsidR="0091364C">
          <w:rPr>
            <w:webHidden/>
          </w:rPr>
          <w:tab/>
        </w:r>
        <w:r w:rsidR="0091364C">
          <w:rPr>
            <w:webHidden/>
          </w:rPr>
          <w:fldChar w:fldCharType="begin"/>
        </w:r>
        <w:r w:rsidR="0091364C">
          <w:rPr>
            <w:webHidden/>
          </w:rPr>
          <w:instrText xml:space="preserve"> PAGEREF _Toc160047247 \h </w:instrText>
        </w:r>
        <w:r w:rsidR="0091364C">
          <w:rPr>
            <w:webHidden/>
          </w:rPr>
        </w:r>
        <w:r w:rsidR="0091364C">
          <w:rPr>
            <w:webHidden/>
          </w:rPr>
          <w:fldChar w:fldCharType="separate"/>
        </w:r>
        <w:r w:rsidR="0091364C">
          <w:rPr>
            <w:webHidden/>
          </w:rPr>
          <w:t>4</w:t>
        </w:r>
        <w:r w:rsidR="0091364C">
          <w:rPr>
            <w:webHidden/>
          </w:rPr>
          <w:fldChar w:fldCharType="end"/>
        </w:r>
      </w:hyperlink>
    </w:p>
    <w:p w14:paraId="5F0CEB25" w14:textId="7AC385DC" w:rsidR="0091364C" w:rsidRDefault="00F9061B">
      <w:pPr>
        <w:pStyle w:val="TOC1"/>
        <w:rPr>
          <w:rFonts w:asciiTheme="minorHAnsi" w:eastAsiaTheme="minorEastAsia" w:hAnsiTheme="minorHAnsi" w:cstheme="minorBidi"/>
          <w:b w:val="0"/>
          <w:bCs w:val="0"/>
          <w:kern w:val="2"/>
          <w:sz w:val="22"/>
          <w:lang w:eastAsia="en-GB"/>
          <w14:ligatures w14:val="standardContextual"/>
        </w:rPr>
      </w:pPr>
      <w:hyperlink w:anchor="_Toc160047248" w:history="1">
        <w:r w:rsidR="0091364C" w:rsidRPr="003730BB">
          <w:rPr>
            <w:rStyle w:val="Hyperlink"/>
          </w:rPr>
          <w:t>3.0</w:t>
        </w:r>
        <w:r w:rsidR="0091364C">
          <w:rPr>
            <w:rFonts w:asciiTheme="minorHAnsi" w:eastAsiaTheme="minorEastAsia" w:hAnsiTheme="minorHAnsi" w:cstheme="minorBidi"/>
            <w:b w:val="0"/>
            <w:bCs w:val="0"/>
            <w:kern w:val="2"/>
            <w:sz w:val="22"/>
            <w:lang w:eastAsia="en-GB"/>
            <w14:ligatures w14:val="standardContextual"/>
          </w:rPr>
          <w:tab/>
        </w:r>
        <w:r w:rsidR="0091364C" w:rsidRPr="003730BB">
          <w:rPr>
            <w:rStyle w:val="Hyperlink"/>
          </w:rPr>
          <w:t>Scope</w:t>
        </w:r>
        <w:r w:rsidR="0091364C" w:rsidRPr="003730BB">
          <w:rPr>
            <w:rStyle w:val="Hyperlink"/>
            <w:spacing w:val="-6"/>
          </w:rPr>
          <w:t xml:space="preserve"> </w:t>
        </w:r>
        <w:r w:rsidR="0091364C" w:rsidRPr="003730BB">
          <w:rPr>
            <w:rStyle w:val="Hyperlink"/>
            <w:spacing w:val="-1"/>
          </w:rPr>
          <w:t>o</w:t>
        </w:r>
        <w:r w:rsidR="0091364C" w:rsidRPr="003730BB">
          <w:rPr>
            <w:rStyle w:val="Hyperlink"/>
          </w:rPr>
          <w:t>f</w:t>
        </w:r>
        <w:r w:rsidR="0091364C" w:rsidRPr="003730BB">
          <w:rPr>
            <w:rStyle w:val="Hyperlink"/>
            <w:spacing w:val="-5"/>
          </w:rPr>
          <w:t xml:space="preserve"> </w:t>
        </w:r>
        <w:r w:rsidR="0091364C" w:rsidRPr="003730BB">
          <w:rPr>
            <w:rStyle w:val="Hyperlink"/>
            <w:spacing w:val="-1"/>
          </w:rPr>
          <w:t>th</w:t>
        </w:r>
        <w:r w:rsidR="0091364C" w:rsidRPr="003730BB">
          <w:rPr>
            <w:rStyle w:val="Hyperlink"/>
          </w:rPr>
          <w:t>e</w:t>
        </w:r>
        <w:r w:rsidR="0091364C" w:rsidRPr="003730BB">
          <w:rPr>
            <w:rStyle w:val="Hyperlink"/>
            <w:spacing w:val="-4"/>
          </w:rPr>
          <w:t xml:space="preserve"> </w:t>
        </w:r>
        <w:r w:rsidR="0091364C" w:rsidRPr="003730BB">
          <w:rPr>
            <w:rStyle w:val="Hyperlink"/>
            <w:spacing w:val="-1"/>
          </w:rPr>
          <w:t>Policy</w:t>
        </w:r>
        <w:r w:rsidR="0091364C">
          <w:rPr>
            <w:webHidden/>
          </w:rPr>
          <w:tab/>
        </w:r>
        <w:r w:rsidR="0091364C">
          <w:rPr>
            <w:webHidden/>
          </w:rPr>
          <w:fldChar w:fldCharType="begin"/>
        </w:r>
        <w:r w:rsidR="0091364C">
          <w:rPr>
            <w:webHidden/>
          </w:rPr>
          <w:instrText xml:space="preserve"> PAGEREF _Toc160047248 \h </w:instrText>
        </w:r>
        <w:r w:rsidR="0091364C">
          <w:rPr>
            <w:webHidden/>
          </w:rPr>
        </w:r>
        <w:r w:rsidR="0091364C">
          <w:rPr>
            <w:webHidden/>
          </w:rPr>
          <w:fldChar w:fldCharType="separate"/>
        </w:r>
        <w:r w:rsidR="0091364C">
          <w:rPr>
            <w:webHidden/>
          </w:rPr>
          <w:t>4</w:t>
        </w:r>
        <w:r w:rsidR="0091364C">
          <w:rPr>
            <w:webHidden/>
          </w:rPr>
          <w:fldChar w:fldCharType="end"/>
        </w:r>
      </w:hyperlink>
    </w:p>
    <w:p w14:paraId="0DA5DA9D" w14:textId="6B0227CC" w:rsidR="0091364C" w:rsidRDefault="00F9061B">
      <w:pPr>
        <w:pStyle w:val="TOC1"/>
        <w:rPr>
          <w:rFonts w:asciiTheme="minorHAnsi" w:eastAsiaTheme="minorEastAsia" w:hAnsiTheme="minorHAnsi" w:cstheme="minorBidi"/>
          <w:b w:val="0"/>
          <w:bCs w:val="0"/>
          <w:kern w:val="2"/>
          <w:sz w:val="22"/>
          <w:lang w:eastAsia="en-GB"/>
          <w14:ligatures w14:val="standardContextual"/>
        </w:rPr>
      </w:pPr>
      <w:hyperlink w:anchor="_Toc160047249" w:history="1">
        <w:r w:rsidR="0091364C" w:rsidRPr="003730BB">
          <w:rPr>
            <w:rStyle w:val="Hyperlink"/>
          </w:rPr>
          <w:t>4.0</w:t>
        </w:r>
        <w:r w:rsidR="0091364C">
          <w:rPr>
            <w:rFonts w:asciiTheme="minorHAnsi" w:eastAsiaTheme="minorEastAsia" w:hAnsiTheme="minorHAnsi" w:cstheme="minorBidi"/>
            <w:b w:val="0"/>
            <w:bCs w:val="0"/>
            <w:kern w:val="2"/>
            <w:sz w:val="22"/>
            <w:lang w:eastAsia="en-GB"/>
            <w14:ligatures w14:val="standardContextual"/>
          </w:rPr>
          <w:tab/>
        </w:r>
        <w:r w:rsidR="0091364C" w:rsidRPr="003730BB">
          <w:rPr>
            <w:rStyle w:val="Hyperlink"/>
          </w:rPr>
          <w:t>EPRR Duties</w:t>
        </w:r>
        <w:r w:rsidR="0091364C">
          <w:rPr>
            <w:webHidden/>
          </w:rPr>
          <w:tab/>
        </w:r>
        <w:r w:rsidR="0091364C">
          <w:rPr>
            <w:webHidden/>
          </w:rPr>
          <w:fldChar w:fldCharType="begin"/>
        </w:r>
        <w:r w:rsidR="0091364C">
          <w:rPr>
            <w:webHidden/>
          </w:rPr>
          <w:instrText xml:space="preserve"> PAGEREF _Toc160047249 \h </w:instrText>
        </w:r>
        <w:r w:rsidR="0091364C">
          <w:rPr>
            <w:webHidden/>
          </w:rPr>
        </w:r>
        <w:r w:rsidR="0091364C">
          <w:rPr>
            <w:webHidden/>
          </w:rPr>
          <w:fldChar w:fldCharType="separate"/>
        </w:r>
        <w:r w:rsidR="0091364C">
          <w:rPr>
            <w:webHidden/>
          </w:rPr>
          <w:t>4</w:t>
        </w:r>
        <w:r w:rsidR="0091364C">
          <w:rPr>
            <w:webHidden/>
          </w:rPr>
          <w:fldChar w:fldCharType="end"/>
        </w:r>
      </w:hyperlink>
    </w:p>
    <w:p w14:paraId="2EC0694A" w14:textId="0C9A4834" w:rsidR="0091364C" w:rsidRDefault="00F9061B">
      <w:pPr>
        <w:pStyle w:val="TOC1"/>
        <w:rPr>
          <w:rFonts w:asciiTheme="minorHAnsi" w:eastAsiaTheme="minorEastAsia" w:hAnsiTheme="minorHAnsi" w:cstheme="minorBidi"/>
          <w:b w:val="0"/>
          <w:bCs w:val="0"/>
          <w:kern w:val="2"/>
          <w:sz w:val="22"/>
          <w:lang w:eastAsia="en-GB"/>
          <w14:ligatures w14:val="standardContextual"/>
        </w:rPr>
      </w:pPr>
      <w:hyperlink w:anchor="_Toc160047250" w:history="1">
        <w:r w:rsidR="0091364C" w:rsidRPr="003730BB">
          <w:rPr>
            <w:rStyle w:val="Hyperlink"/>
          </w:rPr>
          <w:t>5.0</w:t>
        </w:r>
        <w:r w:rsidR="0091364C">
          <w:rPr>
            <w:rFonts w:asciiTheme="minorHAnsi" w:eastAsiaTheme="minorEastAsia" w:hAnsiTheme="minorHAnsi" w:cstheme="minorBidi"/>
            <w:b w:val="0"/>
            <w:bCs w:val="0"/>
            <w:kern w:val="2"/>
            <w:sz w:val="22"/>
            <w:lang w:eastAsia="en-GB"/>
            <w14:ligatures w14:val="standardContextual"/>
          </w:rPr>
          <w:tab/>
        </w:r>
        <w:r w:rsidR="0091364C" w:rsidRPr="003730BB">
          <w:rPr>
            <w:rStyle w:val="Hyperlink"/>
          </w:rPr>
          <w:t>Principles for Collaborative Working in Humber and North Yorkshire</w:t>
        </w:r>
        <w:r w:rsidR="0091364C">
          <w:rPr>
            <w:webHidden/>
          </w:rPr>
          <w:tab/>
        </w:r>
        <w:r w:rsidR="0091364C">
          <w:rPr>
            <w:webHidden/>
          </w:rPr>
          <w:fldChar w:fldCharType="begin"/>
        </w:r>
        <w:r w:rsidR="0091364C">
          <w:rPr>
            <w:webHidden/>
          </w:rPr>
          <w:instrText xml:space="preserve"> PAGEREF _Toc160047250 \h </w:instrText>
        </w:r>
        <w:r w:rsidR="0091364C">
          <w:rPr>
            <w:webHidden/>
          </w:rPr>
        </w:r>
        <w:r w:rsidR="0091364C">
          <w:rPr>
            <w:webHidden/>
          </w:rPr>
          <w:fldChar w:fldCharType="separate"/>
        </w:r>
        <w:r w:rsidR="0091364C">
          <w:rPr>
            <w:webHidden/>
          </w:rPr>
          <w:t>6</w:t>
        </w:r>
        <w:r w:rsidR="0091364C">
          <w:rPr>
            <w:webHidden/>
          </w:rPr>
          <w:fldChar w:fldCharType="end"/>
        </w:r>
      </w:hyperlink>
    </w:p>
    <w:p w14:paraId="269414D3" w14:textId="10D29BF1" w:rsidR="0091364C" w:rsidRDefault="00F9061B">
      <w:pPr>
        <w:pStyle w:val="TOC1"/>
        <w:rPr>
          <w:rFonts w:asciiTheme="minorHAnsi" w:eastAsiaTheme="minorEastAsia" w:hAnsiTheme="minorHAnsi" w:cstheme="minorBidi"/>
          <w:b w:val="0"/>
          <w:bCs w:val="0"/>
          <w:kern w:val="2"/>
          <w:sz w:val="22"/>
          <w:lang w:eastAsia="en-GB"/>
          <w14:ligatures w14:val="standardContextual"/>
        </w:rPr>
      </w:pPr>
      <w:hyperlink w:anchor="_Toc160047251" w:history="1">
        <w:r w:rsidR="0091364C" w:rsidRPr="003730BB">
          <w:rPr>
            <w:rStyle w:val="Hyperlink"/>
          </w:rPr>
          <w:t>6.0</w:t>
        </w:r>
        <w:r w:rsidR="0091364C">
          <w:rPr>
            <w:rFonts w:asciiTheme="minorHAnsi" w:eastAsiaTheme="minorEastAsia" w:hAnsiTheme="minorHAnsi" w:cstheme="minorBidi"/>
            <w:b w:val="0"/>
            <w:bCs w:val="0"/>
            <w:kern w:val="2"/>
            <w:sz w:val="22"/>
            <w:lang w:eastAsia="en-GB"/>
            <w14:ligatures w14:val="standardContextual"/>
          </w:rPr>
          <w:tab/>
        </w:r>
        <w:r w:rsidR="0091364C" w:rsidRPr="003730BB">
          <w:rPr>
            <w:rStyle w:val="Hyperlink"/>
            <w:spacing w:val="-1"/>
          </w:rPr>
          <w:t>Prevention and Preparedness</w:t>
        </w:r>
        <w:r w:rsidR="0091364C">
          <w:rPr>
            <w:webHidden/>
          </w:rPr>
          <w:tab/>
        </w:r>
        <w:r w:rsidR="0091364C">
          <w:rPr>
            <w:webHidden/>
          </w:rPr>
          <w:fldChar w:fldCharType="begin"/>
        </w:r>
        <w:r w:rsidR="0091364C">
          <w:rPr>
            <w:webHidden/>
          </w:rPr>
          <w:instrText xml:space="preserve"> PAGEREF _Toc160047251 \h </w:instrText>
        </w:r>
        <w:r w:rsidR="0091364C">
          <w:rPr>
            <w:webHidden/>
          </w:rPr>
        </w:r>
        <w:r w:rsidR="0091364C">
          <w:rPr>
            <w:webHidden/>
          </w:rPr>
          <w:fldChar w:fldCharType="separate"/>
        </w:r>
        <w:r w:rsidR="0091364C">
          <w:rPr>
            <w:webHidden/>
          </w:rPr>
          <w:t>7</w:t>
        </w:r>
        <w:r w:rsidR="0091364C">
          <w:rPr>
            <w:webHidden/>
          </w:rPr>
          <w:fldChar w:fldCharType="end"/>
        </w:r>
      </w:hyperlink>
    </w:p>
    <w:p w14:paraId="19EFAD6F" w14:textId="121FD705" w:rsidR="0091364C" w:rsidRDefault="00F9061B">
      <w:pPr>
        <w:pStyle w:val="TOC1"/>
        <w:rPr>
          <w:rFonts w:asciiTheme="minorHAnsi" w:eastAsiaTheme="minorEastAsia" w:hAnsiTheme="minorHAnsi" w:cstheme="minorBidi"/>
          <w:b w:val="0"/>
          <w:bCs w:val="0"/>
          <w:kern w:val="2"/>
          <w:sz w:val="22"/>
          <w:lang w:eastAsia="en-GB"/>
          <w14:ligatures w14:val="standardContextual"/>
        </w:rPr>
      </w:pPr>
      <w:hyperlink w:anchor="_Toc160047252" w:history="1">
        <w:r w:rsidR="0091364C" w:rsidRPr="003730BB">
          <w:rPr>
            <w:rStyle w:val="Hyperlink"/>
          </w:rPr>
          <w:t>7.0</w:t>
        </w:r>
        <w:r w:rsidR="0091364C">
          <w:rPr>
            <w:rFonts w:asciiTheme="minorHAnsi" w:eastAsiaTheme="minorEastAsia" w:hAnsiTheme="minorHAnsi" w:cstheme="minorBidi"/>
            <w:b w:val="0"/>
            <w:bCs w:val="0"/>
            <w:kern w:val="2"/>
            <w:sz w:val="22"/>
            <w:lang w:eastAsia="en-GB"/>
            <w14:ligatures w14:val="standardContextual"/>
          </w:rPr>
          <w:tab/>
        </w:r>
        <w:r w:rsidR="0091364C" w:rsidRPr="003730BB">
          <w:rPr>
            <w:rStyle w:val="Hyperlink"/>
            <w:spacing w:val="-1"/>
          </w:rPr>
          <w:t>Response and Recovery</w:t>
        </w:r>
        <w:r w:rsidR="0091364C">
          <w:rPr>
            <w:webHidden/>
          </w:rPr>
          <w:tab/>
        </w:r>
        <w:r w:rsidR="0091364C">
          <w:rPr>
            <w:webHidden/>
          </w:rPr>
          <w:fldChar w:fldCharType="begin"/>
        </w:r>
        <w:r w:rsidR="0091364C">
          <w:rPr>
            <w:webHidden/>
          </w:rPr>
          <w:instrText xml:space="preserve"> PAGEREF _Toc160047252 \h </w:instrText>
        </w:r>
        <w:r w:rsidR="0091364C">
          <w:rPr>
            <w:webHidden/>
          </w:rPr>
        </w:r>
        <w:r w:rsidR="0091364C">
          <w:rPr>
            <w:webHidden/>
          </w:rPr>
          <w:fldChar w:fldCharType="separate"/>
        </w:r>
        <w:r w:rsidR="0091364C">
          <w:rPr>
            <w:webHidden/>
          </w:rPr>
          <w:t>10</w:t>
        </w:r>
        <w:r w:rsidR="0091364C">
          <w:rPr>
            <w:webHidden/>
          </w:rPr>
          <w:fldChar w:fldCharType="end"/>
        </w:r>
      </w:hyperlink>
    </w:p>
    <w:p w14:paraId="1ADD3971" w14:textId="3046522E" w:rsidR="0091364C" w:rsidRDefault="00F9061B">
      <w:pPr>
        <w:pStyle w:val="TOC1"/>
        <w:rPr>
          <w:rFonts w:asciiTheme="minorHAnsi" w:eastAsiaTheme="minorEastAsia" w:hAnsiTheme="minorHAnsi" w:cstheme="minorBidi"/>
          <w:b w:val="0"/>
          <w:bCs w:val="0"/>
          <w:kern w:val="2"/>
          <w:sz w:val="22"/>
          <w:lang w:eastAsia="en-GB"/>
          <w14:ligatures w14:val="standardContextual"/>
        </w:rPr>
      </w:pPr>
      <w:hyperlink w:anchor="_Toc160047253" w:history="1">
        <w:r w:rsidR="0091364C" w:rsidRPr="003730BB">
          <w:rPr>
            <w:rStyle w:val="Hyperlink"/>
          </w:rPr>
          <w:t>8.0</w:t>
        </w:r>
        <w:r w:rsidR="0091364C">
          <w:rPr>
            <w:rFonts w:asciiTheme="minorHAnsi" w:eastAsiaTheme="minorEastAsia" w:hAnsiTheme="minorHAnsi" w:cstheme="minorBidi"/>
            <w:b w:val="0"/>
            <w:bCs w:val="0"/>
            <w:kern w:val="2"/>
            <w:sz w:val="22"/>
            <w:lang w:eastAsia="en-GB"/>
            <w14:ligatures w14:val="standardContextual"/>
          </w:rPr>
          <w:tab/>
        </w:r>
        <w:r w:rsidR="0091364C" w:rsidRPr="003730BB">
          <w:rPr>
            <w:rStyle w:val="Hyperlink"/>
          </w:rPr>
          <w:t>On-Call Arrangements</w:t>
        </w:r>
        <w:r w:rsidR="0091364C">
          <w:rPr>
            <w:webHidden/>
          </w:rPr>
          <w:tab/>
        </w:r>
        <w:r w:rsidR="0091364C">
          <w:rPr>
            <w:webHidden/>
          </w:rPr>
          <w:fldChar w:fldCharType="begin"/>
        </w:r>
        <w:r w:rsidR="0091364C">
          <w:rPr>
            <w:webHidden/>
          </w:rPr>
          <w:instrText xml:space="preserve"> PAGEREF _Toc160047253 \h </w:instrText>
        </w:r>
        <w:r w:rsidR="0091364C">
          <w:rPr>
            <w:webHidden/>
          </w:rPr>
        </w:r>
        <w:r w:rsidR="0091364C">
          <w:rPr>
            <w:webHidden/>
          </w:rPr>
          <w:fldChar w:fldCharType="separate"/>
        </w:r>
        <w:r w:rsidR="0091364C">
          <w:rPr>
            <w:webHidden/>
          </w:rPr>
          <w:t>11</w:t>
        </w:r>
        <w:r w:rsidR="0091364C">
          <w:rPr>
            <w:webHidden/>
          </w:rPr>
          <w:fldChar w:fldCharType="end"/>
        </w:r>
      </w:hyperlink>
    </w:p>
    <w:p w14:paraId="33F16DC8" w14:textId="27EDEAA2" w:rsidR="0091364C" w:rsidRDefault="00F9061B">
      <w:pPr>
        <w:pStyle w:val="TOC1"/>
        <w:rPr>
          <w:rFonts w:asciiTheme="minorHAnsi" w:eastAsiaTheme="minorEastAsia" w:hAnsiTheme="minorHAnsi" w:cstheme="minorBidi"/>
          <w:b w:val="0"/>
          <w:bCs w:val="0"/>
          <w:kern w:val="2"/>
          <w:sz w:val="22"/>
          <w:lang w:eastAsia="en-GB"/>
          <w14:ligatures w14:val="standardContextual"/>
        </w:rPr>
      </w:pPr>
      <w:hyperlink w:anchor="_Toc160047254" w:history="1">
        <w:r w:rsidR="0091364C" w:rsidRPr="003730BB">
          <w:rPr>
            <w:rStyle w:val="Hyperlink"/>
          </w:rPr>
          <w:t>9.0</w:t>
        </w:r>
        <w:r w:rsidR="0091364C">
          <w:rPr>
            <w:rFonts w:asciiTheme="minorHAnsi" w:eastAsiaTheme="minorEastAsia" w:hAnsiTheme="minorHAnsi" w:cstheme="minorBidi"/>
            <w:b w:val="0"/>
            <w:bCs w:val="0"/>
            <w:kern w:val="2"/>
            <w:sz w:val="22"/>
            <w:lang w:eastAsia="en-GB"/>
            <w14:ligatures w14:val="standardContextual"/>
          </w:rPr>
          <w:tab/>
        </w:r>
        <w:r w:rsidR="0091364C" w:rsidRPr="003730BB">
          <w:rPr>
            <w:rStyle w:val="Hyperlink"/>
          </w:rPr>
          <w:t>Risk</w:t>
        </w:r>
        <w:r w:rsidR="0091364C">
          <w:rPr>
            <w:webHidden/>
          </w:rPr>
          <w:tab/>
        </w:r>
        <w:r w:rsidR="0091364C">
          <w:rPr>
            <w:webHidden/>
          </w:rPr>
          <w:fldChar w:fldCharType="begin"/>
        </w:r>
        <w:r w:rsidR="0091364C">
          <w:rPr>
            <w:webHidden/>
          </w:rPr>
          <w:instrText xml:space="preserve"> PAGEREF _Toc160047254 \h </w:instrText>
        </w:r>
        <w:r w:rsidR="0091364C">
          <w:rPr>
            <w:webHidden/>
          </w:rPr>
        </w:r>
        <w:r w:rsidR="0091364C">
          <w:rPr>
            <w:webHidden/>
          </w:rPr>
          <w:fldChar w:fldCharType="separate"/>
        </w:r>
        <w:r w:rsidR="0091364C">
          <w:rPr>
            <w:webHidden/>
          </w:rPr>
          <w:t>12</w:t>
        </w:r>
        <w:r w:rsidR="0091364C">
          <w:rPr>
            <w:webHidden/>
          </w:rPr>
          <w:fldChar w:fldCharType="end"/>
        </w:r>
      </w:hyperlink>
    </w:p>
    <w:p w14:paraId="500D614E" w14:textId="47E3F82C" w:rsidR="0091364C" w:rsidRDefault="00F9061B">
      <w:pPr>
        <w:pStyle w:val="TOC1"/>
        <w:rPr>
          <w:rFonts w:asciiTheme="minorHAnsi" w:eastAsiaTheme="minorEastAsia" w:hAnsiTheme="minorHAnsi" w:cstheme="minorBidi"/>
          <w:b w:val="0"/>
          <w:bCs w:val="0"/>
          <w:kern w:val="2"/>
          <w:sz w:val="22"/>
          <w:lang w:eastAsia="en-GB"/>
          <w14:ligatures w14:val="standardContextual"/>
        </w:rPr>
      </w:pPr>
      <w:hyperlink w:anchor="_Toc160047255" w:history="1">
        <w:r w:rsidR="0091364C" w:rsidRPr="003730BB">
          <w:rPr>
            <w:rStyle w:val="Hyperlink"/>
          </w:rPr>
          <w:t>10.0</w:t>
        </w:r>
        <w:r w:rsidR="0091364C">
          <w:rPr>
            <w:rFonts w:asciiTheme="minorHAnsi" w:eastAsiaTheme="minorEastAsia" w:hAnsiTheme="minorHAnsi" w:cstheme="minorBidi"/>
            <w:b w:val="0"/>
            <w:bCs w:val="0"/>
            <w:kern w:val="2"/>
            <w:sz w:val="22"/>
            <w:lang w:eastAsia="en-GB"/>
            <w14:ligatures w14:val="standardContextual"/>
          </w:rPr>
          <w:tab/>
        </w:r>
        <w:r w:rsidR="0091364C" w:rsidRPr="003730BB">
          <w:rPr>
            <w:rStyle w:val="Hyperlink"/>
          </w:rPr>
          <w:t>Annual Workplan and Governance</w:t>
        </w:r>
        <w:r w:rsidR="0091364C">
          <w:rPr>
            <w:webHidden/>
          </w:rPr>
          <w:tab/>
        </w:r>
        <w:r w:rsidR="0091364C">
          <w:rPr>
            <w:webHidden/>
          </w:rPr>
          <w:fldChar w:fldCharType="begin"/>
        </w:r>
        <w:r w:rsidR="0091364C">
          <w:rPr>
            <w:webHidden/>
          </w:rPr>
          <w:instrText xml:space="preserve"> PAGEREF _Toc160047255 \h </w:instrText>
        </w:r>
        <w:r w:rsidR="0091364C">
          <w:rPr>
            <w:webHidden/>
          </w:rPr>
        </w:r>
        <w:r w:rsidR="0091364C">
          <w:rPr>
            <w:webHidden/>
          </w:rPr>
          <w:fldChar w:fldCharType="separate"/>
        </w:r>
        <w:r w:rsidR="0091364C">
          <w:rPr>
            <w:webHidden/>
          </w:rPr>
          <w:t>12</w:t>
        </w:r>
        <w:r w:rsidR="0091364C">
          <w:rPr>
            <w:webHidden/>
          </w:rPr>
          <w:fldChar w:fldCharType="end"/>
        </w:r>
      </w:hyperlink>
    </w:p>
    <w:p w14:paraId="2C5ACA66" w14:textId="2E4B8BA9" w:rsidR="0091364C" w:rsidRDefault="00F9061B">
      <w:pPr>
        <w:pStyle w:val="TOC1"/>
        <w:rPr>
          <w:rFonts w:asciiTheme="minorHAnsi" w:eastAsiaTheme="minorEastAsia" w:hAnsiTheme="minorHAnsi" w:cstheme="minorBidi"/>
          <w:b w:val="0"/>
          <w:bCs w:val="0"/>
          <w:kern w:val="2"/>
          <w:sz w:val="22"/>
          <w:lang w:eastAsia="en-GB"/>
          <w14:ligatures w14:val="standardContextual"/>
        </w:rPr>
      </w:pPr>
      <w:hyperlink w:anchor="_Toc160047256" w:history="1">
        <w:r w:rsidR="0091364C" w:rsidRPr="003730BB">
          <w:rPr>
            <w:rStyle w:val="Hyperlink"/>
          </w:rPr>
          <w:t>11.0</w:t>
        </w:r>
        <w:r w:rsidR="0091364C">
          <w:rPr>
            <w:rFonts w:asciiTheme="minorHAnsi" w:eastAsiaTheme="minorEastAsia" w:hAnsiTheme="minorHAnsi" w:cstheme="minorBidi"/>
            <w:b w:val="0"/>
            <w:bCs w:val="0"/>
            <w:kern w:val="2"/>
            <w:sz w:val="22"/>
            <w:lang w:eastAsia="en-GB"/>
            <w14:ligatures w14:val="standardContextual"/>
          </w:rPr>
          <w:tab/>
        </w:r>
        <w:r w:rsidR="0091364C" w:rsidRPr="003730BB">
          <w:rPr>
            <w:rStyle w:val="Hyperlink"/>
          </w:rPr>
          <w:t>Training and Exercising</w:t>
        </w:r>
        <w:r w:rsidR="0091364C">
          <w:rPr>
            <w:webHidden/>
          </w:rPr>
          <w:tab/>
        </w:r>
        <w:r w:rsidR="0091364C">
          <w:rPr>
            <w:webHidden/>
          </w:rPr>
          <w:fldChar w:fldCharType="begin"/>
        </w:r>
        <w:r w:rsidR="0091364C">
          <w:rPr>
            <w:webHidden/>
          </w:rPr>
          <w:instrText xml:space="preserve"> PAGEREF _Toc160047256 \h </w:instrText>
        </w:r>
        <w:r w:rsidR="0091364C">
          <w:rPr>
            <w:webHidden/>
          </w:rPr>
        </w:r>
        <w:r w:rsidR="0091364C">
          <w:rPr>
            <w:webHidden/>
          </w:rPr>
          <w:fldChar w:fldCharType="separate"/>
        </w:r>
        <w:r w:rsidR="0091364C">
          <w:rPr>
            <w:webHidden/>
          </w:rPr>
          <w:t>13</w:t>
        </w:r>
        <w:r w:rsidR="0091364C">
          <w:rPr>
            <w:webHidden/>
          </w:rPr>
          <w:fldChar w:fldCharType="end"/>
        </w:r>
      </w:hyperlink>
    </w:p>
    <w:p w14:paraId="32137576" w14:textId="416C6C7A" w:rsidR="0091364C" w:rsidRDefault="00F9061B">
      <w:pPr>
        <w:pStyle w:val="TOC1"/>
        <w:rPr>
          <w:rFonts w:asciiTheme="minorHAnsi" w:eastAsiaTheme="minorEastAsia" w:hAnsiTheme="minorHAnsi" w:cstheme="minorBidi"/>
          <w:b w:val="0"/>
          <w:bCs w:val="0"/>
          <w:kern w:val="2"/>
          <w:sz w:val="22"/>
          <w:lang w:eastAsia="en-GB"/>
          <w14:ligatures w14:val="standardContextual"/>
        </w:rPr>
      </w:pPr>
      <w:hyperlink w:anchor="_Toc160047257" w:history="1">
        <w:r w:rsidR="0091364C" w:rsidRPr="003730BB">
          <w:rPr>
            <w:rStyle w:val="Hyperlink"/>
          </w:rPr>
          <w:t>12.0</w:t>
        </w:r>
        <w:r w:rsidR="0091364C">
          <w:rPr>
            <w:rFonts w:asciiTheme="minorHAnsi" w:eastAsiaTheme="minorEastAsia" w:hAnsiTheme="minorHAnsi" w:cstheme="minorBidi"/>
            <w:b w:val="0"/>
            <w:bCs w:val="0"/>
            <w:kern w:val="2"/>
            <w:sz w:val="22"/>
            <w:lang w:eastAsia="en-GB"/>
            <w14:ligatures w14:val="standardContextual"/>
          </w:rPr>
          <w:tab/>
        </w:r>
        <w:r w:rsidR="0091364C" w:rsidRPr="003730BB">
          <w:rPr>
            <w:rStyle w:val="Hyperlink"/>
          </w:rPr>
          <w:t>Financial Requirements</w:t>
        </w:r>
        <w:r w:rsidR="0091364C">
          <w:rPr>
            <w:webHidden/>
          </w:rPr>
          <w:tab/>
        </w:r>
        <w:r w:rsidR="0091364C">
          <w:rPr>
            <w:webHidden/>
          </w:rPr>
          <w:fldChar w:fldCharType="begin"/>
        </w:r>
        <w:r w:rsidR="0091364C">
          <w:rPr>
            <w:webHidden/>
          </w:rPr>
          <w:instrText xml:space="preserve"> PAGEREF _Toc160047257 \h </w:instrText>
        </w:r>
        <w:r w:rsidR="0091364C">
          <w:rPr>
            <w:webHidden/>
          </w:rPr>
        </w:r>
        <w:r w:rsidR="0091364C">
          <w:rPr>
            <w:webHidden/>
          </w:rPr>
          <w:fldChar w:fldCharType="separate"/>
        </w:r>
        <w:r w:rsidR="0091364C">
          <w:rPr>
            <w:webHidden/>
          </w:rPr>
          <w:t>15</w:t>
        </w:r>
        <w:r w:rsidR="0091364C">
          <w:rPr>
            <w:webHidden/>
          </w:rPr>
          <w:fldChar w:fldCharType="end"/>
        </w:r>
      </w:hyperlink>
    </w:p>
    <w:p w14:paraId="2F8DF181" w14:textId="35D05767" w:rsidR="0091364C" w:rsidRDefault="00F9061B">
      <w:pPr>
        <w:pStyle w:val="TOC1"/>
        <w:rPr>
          <w:rFonts w:asciiTheme="minorHAnsi" w:eastAsiaTheme="minorEastAsia" w:hAnsiTheme="minorHAnsi" w:cstheme="minorBidi"/>
          <w:b w:val="0"/>
          <w:bCs w:val="0"/>
          <w:kern w:val="2"/>
          <w:sz w:val="22"/>
          <w:lang w:eastAsia="en-GB"/>
          <w14:ligatures w14:val="standardContextual"/>
        </w:rPr>
      </w:pPr>
      <w:hyperlink w:anchor="_Toc160047258" w:history="1">
        <w:r w:rsidR="0091364C" w:rsidRPr="003730BB">
          <w:rPr>
            <w:rStyle w:val="Hyperlink"/>
          </w:rPr>
          <w:t>13.0</w:t>
        </w:r>
        <w:r w:rsidR="0091364C">
          <w:rPr>
            <w:rFonts w:asciiTheme="minorHAnsi" w:eastAsiaTheme="minorEastAsia" w:hAnsiTheme="minorHAnsi" w:cstheme="minorBidi"/>
            <w:b w:val="0"/>
            <w:bCs w:val="0"/>
            <w:kern w:val="2"/>
            <w:sz w:val="22"/>
            <w:lang w:eastAsia="en-GB"/>
            <w14:ligatures w14:val="standardContextual"/>
          </w:rPr>
          <w:tab/>
        </w:r>
        <w:r w:rsidR="0091364C" w:rsidRPr="003730BB">
          <w:rPr>
            <w:rStyle w:val="Hyperlink"/>
          </w:rPr>
          <w:t>Business Continuity</w:t>
        </w:r>
        <w:r w:rsidR="0091364C">
          <w:rPr>
            <w:webHidden/>
          </w:rPr>
          <w:tab/>
        </w:r>
        <w:r w:rsidR="0091364C">
          <w:rPr>
            <w:webHidden/>
          </w:rPr>
          <w:fldChar w:fldCharType="begin"/>
        </w:r>
        <w:r w:rsidR="0091364C">
          <w:rPr>
            <w:webHidden/>
          </w:rPr>
          <w:instrText xml:space="preserve"> PAGEREF _Toc160047258 \h </w:instrText>
        </w:r>
        <w:r w:rsidR="0091364C">
          <w:rPr>
            <w:webHidden/>
          </w:rPr>
        </w:r>
        <w:r w:rsidR="0091364C">
          <w:rPr>
            <w:webHidden/>
          </w:rPr>
          <w:fldChar w:fldCharType="separate"/>
        </w:r>
        <w:r w:rsidR="0091364C">
          <w:rPr>
            <w:webHidden/>
          </w:rPr>
          <w:t>16</w:t>
        </w:r>
        <w:r w:rsidR="0091364C">
          <w:rPr>
            <w:webHidden/>
          </w:rPr>
          <w:fldChar w:fldCharType="end"/>
        </w:r>
      </w:hyperlink>
    </w:p>
    <w:p w14:paraId="7376C032" w14:textId="5A9BE65A" w:rsidR="0091364C" w:rsidRDefault="00F9061B">
      <w:pPr>
        <w:pStyle w:val="TOC1"/>
        <w:rPr>
          <w:rFonts w:asciiTheme="minorHAnsi" w:eastAsiaTheme="minorEastAsia" w:hAnsiTheme="minorHAnsi" w:cstheme="minorBidi"/>
          <w:b w:val="0"/>
          <w:bCs w:val="0"/>
          <w:kern w:val="2"/>
          <w:sz w:val="22"/>
          <w:lang w:eastAsia="en-GB"/>
          <w14:ligatures w14:val="standardContextual"/>
        </w:rPr>
      </w:pPr>
      <w:hyperlink w:anchor="_Toc160047259" w:history="1">
        <w:r w:rsidR="0091364C" w:rsidRPr="003730BB">
          <w:rPr>
            <w:rStyle w:val="Hyperlink"/>
          </w:rPr>
          <w:t>14.0</w:t>
        </w:r>
        <w:r w:rsidR="0091364C">
          <w:rPr>
            <w:rFonts w:asciiTheme="minorHAnsi" w:eastAsiaTheme="minorEastAsia" w:hAnsiTheme="minorHAnsi" w:cstheme="minorBidi"/>
            <w:b w:val="0"/>
            <w:bCs w:val="0"/>
            <w:kern w:val="2"/>
            <w:sz w:val="22"/>
            <w:lang w:eastAsia="en-GB"/>
            <w14:ligatures w14:val="standardContextual"/>
          </w:rPr>
          <w:tab/>
        </w:r>
        <w:r w:rsidR="0091364C" w:rsidRPr="003730BB">
          <w:rPr>
            <w:rStyle w:val="Hyperlink"/>
          </w:rPr>
          <w:t>Public</w:t>
        </w:r>
        <w:r w:rsidR="0091364C" w:rsidRPr="003730BB">
          <w:rPr>
            <w:rStyle w:val="Hyperlink"/>
            <w:spacing w:val="-7"/>
          </w:rPr>
          <w:t xml:space="preserve"> </w:t>
        </w:r>
        <w:r w:rsidR="0091364C" w:rsidRPr="003730BB">
          <w:rPr>
            <w:rStyle w:val="Hyperlink"/>
          </w:rPr>
          <w:t>Sector</w:t>
        </w:r>
        <w:r w:rsidR="0091364C" w:rsidRPr="003730BB">
          <w:rPr>
            <w:rStyle w:val="Hyperlink"/>
            <w:spacing w:val="-8"/>
          </w:rPr>
          <w:t xml:space="preserve"> </w:t>
        </w:r>
        <w:r w:rsidR="0091364C" w:rsidRPr="003730BB">
          <w:rPr>
            <w:rStyle w:val="Hyperlink"/>
          </w:rPr>
          <w:t>E</w:t>
        </w:r>
        <w:r w:rsidR="0091364C" w:rsidRPr="003730BB">
          <w:rPr>
            <w:rStyle w:val="Hyperlink"/>
            <w:spacing w:val="1"/>
          </w:rPr>
          <w:t>q</w:t>
        </w:r>
        <w:r w:rsidR="0091364C" w:rsidRPr="003730BB">
          <w:rPr>
            <w:rStyle w:val="Hyperlink"/>
          </w:rPr>
          <w:t>ual</w:t>
        </w:r>
        <w:r w:rsidR="0091364C" w:rsidRPr="003730BB">
          <w:rPr>
            <w:rStyle w:val="Hyperlink"/>
            <w:spacing w:val="1"/>
          </w:rPr>
          <w:t>i</w:t>
        </w:r>
        <w:r w:rsidR="0091364C" w:rsidRPr="003730BB">
          <w:rPr>
            <w:rStyle w:val="Hyperlink"/>
          </w:rPr>
          <w:t>ty</w:t>
        </w:r>
        <w:r w:rsidR="0091364C" w:rsidRPr="003730BB">
          <w:rPr>
            <w:rStyle w:val="Hyperlink"/>
            <w:spacing w:val="-8"/>
          </w:rPr>
          <w:t xml:space="preserve"> </w:t>
        </w:r>
        <w:r w:rsidR="0091364C" w:rsidRPr="003730BB">
          <w:rPr>
            <w:rStyle w:val="Hyperlink"/>
          </w:rPr>
          <w:t>Duty</w:t>
        </w:r>
        <w:r w:rsidR="0091364C">
          <w:rPr>
            <w:webHidden/>
          </w:rPr>
          <w:tab/>
        </w:r>
        <w:r w:rsidR="0091364C">
          <w:rPr>
            <w:webHidden/>
          </w:rPr>
          <w:fldChar w:fldCharType="begin"/>
        </w:r>
        <w:r w:rsidR="0091364C">
          <w:rPr>
            <w:webHidden/>
          </w:rPr>
          <w:instrText xml:space="preserve"> PAGEREF _Toc160047259 \h </w:instrText>
        </w:r>
        <w:r w:rsidR="0091364C">
          <w:rPr>
            <w:webHidden/>
          </w:rPr>
        </w:r>
        <w:r w:rsidR="0091364C">
          <w:rPr>
            <w:webHidden/>
          </w:rPr>
          <w:fldChar w:fldCharType="separate"/>
        </w:r>
        <w:r w:rsidR="0091364C">
          <w:rPr>
            <w:webHidden/>
          </w:rPr>
          <w:t>16</w:t>
        </w:r>
        <w:r w:rsidR="0091364C">
          <w:rPr>
            <w:webHidden/>
          </w:rPr>
          <w:fldChar w:fldCharType="end"/>
        </w:r>
      </w:hyperlink>
    </w:p>
    <w:p w14:paraId="2DB8324E" w14:textId="440B2AC1" w:rsidR="0091364C" w:rsidRDefault="00F9061B">
      <w:pPr>
        <w:pStyle w:val="TOC1"/>
        <w:rPr>
          <w:rFonts w:asciiTheme="minorHAnsi" w:eastAsiaTheme="minorEastAsia" w:hAnsiTheme="minorHAnsi" w:cstheme="minorBidi"/>
          <w:b w:val="0"/>
          <w:bCs w:val="0"/>
          <w:kern w:val="2"/>
          <w:sz w:val="22"/>
          <w:lang w:eastAsia="en-GB"/>
          <w14:ligatures w14:val="standardContextual"/>
        </w:rPr>
      </w:pPr>
      <w:hyperlink w:anchor="_Toc160047260" w:history="1">
        <w:r w:rsidR="0091364C" w:rsidRPr="003730BB">
          <w:rPr>
            <w:rStyle w:val="Hyperlink"/>
          </w:rPr>
          <w:t>15.0</w:t>
        </w:r>
        <w:r w:rsidR="0091364C">
          <w:rPr>
            <w:rFonts w:asciiTheme="minorHAnsi" w:eastAsiaTheme="minorEastAsia" w:hAnsiTheme="minorHAnsi" w:cstheme="minorBidi"/>
            <w:b w:val="0"/>
            <w:bCs w:val="0"/>
            <w:kern w:val="2"/>
            <w:sz w:val="22"/>
            <w:lang w:eastAsia="en-GB"/>
            <w14:ligatures w14:val="standardContextual"/>
          </w:rPr>
          <w:tab/>
        </w:r>
        <w:r w:rsidR="0091364C" w:rsidRPr="003730BB">
          <w:rPr>
            <w:rStyle w:val="Hyperlink"/>
          </w:rPr>
          <w:t>Governance Arrangements</w:t>
        </w:r>
        <w:r w:rsidR="0091364C">
          <w:rPr>
            <w:webHidden/>
          </w:rPr>
          <w:tab/>
        </w:r>
        <w:r w:rsidR="0091364C">
          <w:rPr>
            <w:webHidden/>
          </w:rPr>
          <w:fldChar w:fldCharType="begin"/>
        </w:r>
        <w:r w:rsidR="0091364C">
          <w:rPr>
            <w:webHidden/>
          </w:rPr>
          <w:instrText xml:space="preserve"> PAGEREF _Toc160047260 \h </w:instrText>
        </w:r>
        <w:r w:rsidR="0091364C">
          <w:rPr>
            <w:webHidden/>
          </w:rPr>
        </w:r>
        <w:r w:rsidR="0091364C">
          <w:rPr>
            <w:webHidden/>
          </w:rPr>
          <w:fldChar w:fldCharType="separate"/>
        </w:r>
        <w:r w:rsidR="0091364C">
          <w:rPr>
            <w:webHidden/>
          </w:rPr>
          <w:t>17</w:t>
        </w:r>
        <w:r w:rsidR="0091364C">
          <w:rPr>
            <w:webHidden/>
          </w:rPr>
          <w:fldChar w:fldCharType="end"/>
        </w:r>
      </w:hyperlink>
    </w:p>
    <w:p w14:paraId="0E6EA2CC" w14:textId="03B7010A" w:rsidR="0091364C" w:rsidRDefault="00F9061B">
      <w:pPr>
        <w:pStyle w:val="TOC1"/>
        <w:rPr>
          <w:rFonts w:asciiTheme="minorHAnsi" w:eastAsiaTheme="minorEastAsia" w:hAnsiTheme="minorHAnsi" w:cstheme="minorBidi"/>
          <w:b w:val="0"/>
          <w:bCs w:val="0"/>
          <w:kern w:val="2"/>
          <w:sz w:val="22"/>
          <w:lang w:eastAsia="en-GB"/>
          <w14:ligatures w14:val="standardContextual"/>
        </w:rPr>
      </w:pPr>
      <w:hyperlink w:anchor="_Toc160047261" w:history="1">
        <w:r w:rsidR="0091364C" w:rsidRPr="003730BB">
          <w:rPr>
            <w:rStyle w:val="Hyperlink"/>
          </w:rPr>
          <w:t>16.0</w:t>
        </w:r>
        <w:r w:rsidR="0091364C">
          <w:rPr>
            <w:rFonts w:asciiTheme="minorHAnsi" w:eastAsiaTheme="minorEastAsia" w:hAnsiTheme="minorHAnsi" w:cstheme="minorBidi"/>
            <w:b w:val="0"/>
            <w:bCs w:val="0"/>
            <w:kern w:val="2"/>
            <w:sz w:val="22"/>
            <w:lang w:eastAsia="en-GB"/>
            <w14:ligatures w14:val="standardContextual"/>
          </w:rPr>
          <w:tab/>
        </w:r>
        <w:r w:rsidR="0091364C" w:rsidRPr="003730BB">
          <w:rPr>
            <w:rStyle w:val="Hyperlink"/>
          </w:rPr>
          <w:t>Associated</w:t>
        </w:r>
        <w:r w:rsidR="0091364C" w:rsidRPr="003730BB">
          <w:rPr>
            <w:rStyle w:val="Hyperlink"/>
            <w:spacing w:val="-25"/>
          </w:rPr>
          <w:t xml:space="preserve"> </w:t>
        </w:r>
        <w:r w:rsidR="0091364C" w:rsidRPr="003730BB">
          <w:rPr>
            <w:rStyle w:val="Hyperlink"/>
          </w:rPr>
          <w:t>D</w:t>
        </w:r>
        <w:r w:rsidR="0091364C" w:rsidRPr="003730BB">
          <w:rPr>
            <w:rStyle w:val="Hyperlink"/>
            <w:spacing w:val="-1"/>
          </w:rPr>
          <w:t>o</w:t>
        </w:r>
        <w:r w:rsidR="0091364C" w:rsidRPr="003730BB">
          <w:rPr>
            <w:rStyle w:val="Hyperlink"/>
          </w:rPr>
          <w:t>cumen</w:t>
        </w:r>
        <w:r w:rsidR="0091364C" w:rsidRPr="003730BB">
          <w:rPr>
            <w:rStyle w:val="Hyperlink"/>
            <w:spacing w:val="-1"/>
          </w:rPr>
          <w:t>t</w:t>
        </w:r>
        <w:r w:rsidR="0091364C" w:rsidRPr="003730BB">
          <w:rPr>
            <w:rStyle w:val="Hyperlink"/>
          </w:rPr>
          <w:t>a</w:t>
        </w:r>
        <w:r w:rsidR="0091364C" w:rsidRPr="003730BB">
          <w:rPr>
            <w:rStyle w:val="Hyperlink"/>
            <w:spacing w:val="-1"/>
          </w:rPr>
          <w:t>t</w:t>
        </w:r>
        <w:r w:rsidR="0091364C" w:rsidRPr="003730BB">
          <w:rPr>
            <w:rStyle w:val="Hyperlink"/>
          </w:rPr>
          <w:t>ion</w:t>
        </w:r>
        <w:r w:rsidR="0091364C">
          <w:rPr>
            <w:webHidden/>
          </w:rPr>
          <w:tab/>
        </w:r>
        <w:r w:rsidR="0091364C">
          <w:rPr>
            <w:webHidden/>
          </w:rPr>
          <w:fldChar w:fldCharType="begin"/>
        </w:r>
        <w:r w:rsidR="0091364C">
          <w:rPr>
            <w:webHidden/>
          </w:rPr>
          <w:instrText xml:space="preserve"> PAGEREF _Toc160047261 \h </w:instrText>
        </w:r>
        <w:r w:rsidR="0091364C">
          <w:rPr>
            <w:webHidden/>
          </w:rPr>
        </w:r>
        <w:r w:rsidR="0091364C">
          <w:rPr>
            <w:webHidden/>
          </w:rPr>
          <w:fldChar w:fldCharType="separate"/>
        </w:r>
        <w:r w:rsidR="0091364C">
          <w:rPr>
            <w:webHidden/>
          </w:rPr>
          <w:t>17</w:t>
        </w:r>
        <w:r w:rsidR="0091364C">
          <w:rPr>
            <w:webHidden/>
          </w:rPr>
          <w:fldChar w:fldCharType="end"/>
        </w:r>
      </w:hyperlink>
    </w:p>
    <w:p w14:paraId="45681206" w14:textId="6EE0A136" w:rsidR="0091364C" w:rsidRDefault="00F9061B">
      <w:pPr>
        <w:pStyle w:val="TOC1"/>
        <w:rPr>
          <w:rFonts w:asciiTheme="minorHAnsi" w:eastAsiaTheme="minorEastAsia" w:hAnsiTheme="minorHAnsi" w:cstheme="minorBidi"/>
          <w:b w:val="0"/>
          <w:bCs w:val="0"/>
          <w:kern w:val="2"/>
          <w:sz w:val="22"/>
          <w:lang w:eastAsia="en-GB"/>
          <w14:ligatures w14:val="standardContextual"/>
        </w:rPr>
      </w:pPr>
      <w:hyperlink w:anchor="_Toc160047262" w:history="1">
        <w:r w:rsidR="0091364C" w:rsidRPr="003730BB">
          <w:rPr>
            <w:rStyle w:val="Hyperlink"/>
          </w:rPr>
          <w:t>17.0</w:t>
        </w:r>
        <w:r w:rsidR="0091364C">
          <w:rPr>
            <w:rFonts w:asciiTheme="minorHAnsi" w:eastAsiaTheme="minorEastAsia" w:hAnsiTheme="minorHAnsi" w:cstheme="minorBidi"/>
            <w:b w:val="0"/>
            <w:bCs w:val="0"/>
            <w:kern w:val="2"/>
            <w:sz w:val="22"/>
            <w:lang w:eastAsia="en-GB"/>
            <w14:ligatures w14:val="standardContextual"/>
          </w:rPr>
          <w:tab/>
        </w:r>
        <w:r w:rsidR="0091364C" w:rsidRPr="003730BB">
          <w:rPr>
            <w:rStyle w:val="Hyperlink"/>
          </w:rPr>
          <w:t>App</w:t>
        </w:r>
        <w:r w:rsidR="0091364C" w:rsidRPr="003730BB">
          <w:rPr>
            <w:rStyle w:val="Hyperlink"/>
            <w:spacing w:val="1"/>
          </w:rPr>
          <w:t>e</w:t>
        </w:r>
        <w:r w:rsidR="0091364C" w:rsidRPr="003730BB">
          <w:rPr>
            <w:rStyle w:val="Hyperlink"/>
          </w:rPr>
          <w:t>ndices</w:t>
        </w:r>
        <w:r w:rsidR="0091364C">
          <w:rPr>
            <w:webHidden/>
          </w:rPr>
          <w:tab/>
        </w:r>
        <w:r w:rsidR="0091364C">
          <w:rPr>
            <w:webHidden/>
          </w:rPr>
          <w:fldChar w:fldCharType="begin"/>
        </w:r>
        <w:r w:rsidR="0091364C">
          <w:rPr>
            <w:webHidden/>
          </w:rPr>
          <w:instrText xml:space="preserve"> PAGEREF _Toc160047262 \h </w:instrText>
        </w:r>
        <w:r w:rsidR="0091364C">
          <w:rPr>
            <w:webHidden/>
          </w:rPr>
        </w:r>
        <w:r w:rsidR="0091364C">
          <w:rPr>
            <w:webHidden/>
          </w:rPr>
          <w:fldChar w:fldCharType="separate"/>
        </w:r>
        <w:r w:rsidR="0091364C">
          <w:rPr>
            <w:webHidden/>
          </w:rPr>
          <w:t>17</w:t>
        </w:r>
        <w:r w:rsidR="0091364C">
          <w:rPr>
            <w:webHidden/>
          </w:rPr>
          <w:fldChar w:fldCharType="end"/>
        </w:r>
      </w:hyperlink>
    </w:p>
    <w:p w14:paraId="6F233622" w14:textId="44884692" w:rsidR="00D713FA" w:rsidRPr="00CD6D2D" w:rsidRDefault="009E04E3" w:rsidP="0038632D">
      <w:pPr>
        <w:rPr>
          <w:sz w:val="18"/>
          <w:szCs w:val="18"/>
        </w:rPr>
      </w:pPr>
      <w:r>
        <w:fldChar w:fldCharType="end"/>
      </w:r>
    </w:p>
    <w:p w14:paraId="34E0BAC0" w14:textId="77777777" w:rsidR="00D713FA" w:rsidRPr="00AA60A2" w:rsidRDefault="00D713FA" w:rsidP="0038632D">
      <w:pPr>
        <w:sectPr w:rsidR="00D713FA" w:rsidRPr="00AA60A2" w:rsidSect="00D7082D">
          <w:pgSz w:w="11900" w:h="16840"/>
          <w:pgMar w:top="993" w:right="1440" w:bottom="1135" w:left="1280" w:header="0" w:footer="284" w:gutter="0"/>
          <w:cols w:space="720"/>
        </w:sectPr>
      </w:pPr>
    </w:p>
    <w:p w14:paraId="2C693018" w14:textId="18424824" w:rsidR="00D713FA" w:rsidRPr="001E7D45" w:rsidRDefault="00D713FA" w:rsidP="008D1074">
      <w:pPr>
        <w:pStyle w:val="Heading1"/>
        <w:rPr>
          <w:sz w:val="26"/>
          <w:szCs w:val="26"/>
        </w:rPr>
      </w:pPr>
      <w:bookmarkStart w:id="4" w:name="_Toc89425732"/>
      <w:bookmarkStart w:id="5" w:name="_Toc89425804"/>
      <w:bookmarkStart w:id="6" w:name="_Toc89425991"/>
      <w:bookmarkStart w:id="7" w:name="_Toc89426233"/>
      <w:bookmarkStart w:id="8" w:name="_Toc1485622410"/>
      <w:bookmarkStart w:id="9" w:name="_Toc1619864658"/>
      <w:bookmarkStart w:id="10" w:name="_Toc160047246"/>
      <w:r w:rsidRPr="001E7D45">
        <w:rPr>
          <w:sz w:val="26"/>
          <w:szCs w:val="26"/>
        </w:rPr>
        <w:lastRenderedPageBreak/>
        <w:t>Introduction</w:t>
      </w:r>
      <w:bookmarkEnd w:id="4"/>
      <w:bookmarkEnd w:id="5"/>
      <w:bookmarkEnd w:id="6"/>
      <w:bookmarkEnd w:id="7"/>
      <w:bookmarkEnd w:id="8"/>
      <w:bookmarkEnd w:id="9"/>
      <w:bookmarkEnd w:id="10"/>
    </w:p>
    <w:p w14:paraId="0B8B3D24" w14:textId="5F9C9C74" w:rsidR="00496EF9" w:rsidRPr="00BC2F86" w:rsidRDefault="00496EF9" w:rsidP="008648D3">
      <w:pPr>
        <w:jc w:val="both"/>
        <w:rPr>
          <w:sz w:val="23"/>
          <w:szCs w:val="23"/>
        </w:rPr>
      </w:pPr>
      <w:bookmarkStart w:id="11" w:name="_Toc89425733"/>
      <w:bookmarkStart w:id="12" w:name="_Toc89425805"/>
      <w:bookmarkStart w:id="13" w:name="_Toc89425992"/>
      <w:bookmarkStart w:id="14" w:name="_Toc89426234"/>
      <w:bookmarkStart w:id="15" w:name="_Toc914415455"/>
      <w:bookmarkStart w:id="16" w:name="_Toc1498003405"/>
      <w:r w:rsidRPr="00BC2F86">
        <w:rPr>
          <w:sz w:val="23"/>
          <w:szCs w:val="23"/>
        </w:rPr>
        <w:t xml:space="preserve">The NHS needs to be able to plan for and respond to a wide range of incidents and emergencies that could affect </w:t>
      </w:r>
      <w:r w:rsidR="00A700C1">
        <w:rPr>
          <w:sz w:val="23"/>
          <w:szCs w:val="23"/>
        </w:rPr>
        <w:t>the local</w:t>
      </w:r>
      <w:r w:rsidRPr="00BC2F86">
        <w:rPr>
          <w:sz w:val="23"/>
          <w:szCs w:val="23"/>
        </w:rPr>
        <w:t xml:space="preserve"> populations health </w:t>
      </w:r>
      <w:r w:rsidR="001B511F">
        <w:rPr>
          <w:sz w:val="23"/>
          <w:szCs w:val="23"/>
        </w:rPr>
        <w:t>and/</w:t>
      </w:r>
      <w:r w:rsidRPr="00BC2F86">
        <w:rPr>
          <w:sz w:val="23"/>
          <w:szCs w:val="23"/>
        </w:rPr>
        <w:t xml:space="preserve">or delivery of patient care. This requirement is underpinned by legislation contained </w:t>
      </w:r>
      <w:r w:rsidR="001B511F">
        <w:rPr>
          <w:sz w:val="23"/>
          <w:szCs w:val="23"/>
        </w:rPr>
        <w:t>with</w:t>
      </w:r>
      <w:r w:rsidRPr="00BC2F86">
        <w:rPr>
          <w:sz w:val="23"/>
          <w:szCs w:val="23"/>
        </w:rPr>
        <w:t xml:space="preserve">in the Civil Contingencies Act 2004 (CCA) and the </w:t>
      </w:r>
      <w:r w:rsidR="003A6A1A">
        <w:rPr>
          <w:sz w:val="23"/>
          <w:szCs w:val="23"/>
        </w:rPr>
        <w:t>Health and Care Act 2022</w:t>
      </w:r>
      <w:r w:rsidRPr="00BC2F86">
        <w:rPr>
          <w:sz w:val="23"/>
          <w:szCs w:val="23"/>
        </w:rPr>
        <w:t>.</w:t>
      </w:r>
    </w:p>
    <w:p w14:paraId="6D1C9C44" w14:textId="77777777" w:rsidR="00BC2F86" w:rsidRDefault="00BC2F86" w:rsidP="008648D3">
      <w:pPr>
        <w:jc w:val="both"/>
        <w:rPr>
          <w:sz w:val="23"/>
          <w:szCs w:val="23"/>
        </w:rPr>
      </w:pPr>
    </w:p>
    <w:p w14:paraId="49F0ED48" w14:textId="1C4DBF0A" w:rsidR="00496EF9" w:rsidRPr="00F868D4" w:rsidRDefault="00496EF9" w:rsidP="008648D3">
      <w:pPr>
        <w:jc w:val="both"/>
        <w:rPr>
          <w:strike/>
          <w:sz w:val="23"/>
          <w:szCs w:val="23"/>
        </w:rPr>
      </w:pPr>
      <w:r w:rsidRPr="00BC2F86">
        <w:rPr>
          <w:sz w:val="23"/>
          <w:szCs w:val="23"/>
        </w:rPr>
        <w:t>This policy provide</w:t>
      </w:r>
      <w:r w:rsidR="00470D96">
        <w:rPr>
          <w:sz w:val="23"/>
          <w:szCs w:val="23"/>
        </w:rPr>
        <w:t>s</w:t>
      </w:r>
      <w:r w:rsidRPr="00BC2F86">
        <w:rPr>
          <w:sz w:val="23"/>
          <w:szCs w:val="23"/>
        </w:rPr>
        <w:t xml:space="preserve"> an overview of </w:t>
      </w:r>
      <w:r w:rsidR="008648D3">
        <w:rPr>
          <w:sz w:val="23"/>
          <w:szCs w:val="23"/>
        </w:rPr>
        <w:t xml:space="preserve">how </w:t>
      </w:r>
      <w:r w:rsidRPr="00BC2F86">
        <w:rPr>
          <w:sz w:val="23"/>
          <w:szCs w:val="23"/>
        </w:rPr>
        <w:t>NHS Humber and North Yorkshire Integrated Care Board (</w:t>
      </w:r>
      <w:r w:rsidR="00114570">
        <w:rPr>
          <w:sz w:val="23"/>
          <w:szCs w:val="23"/>
        </w:rPr>
        <w:t xml:space="preserve">HNY </w:t>
      </w:r>
      <w:r w:rsidRPr="00BC2F86">
        <w:rPr>
          <w:sz w:val="23"/>
          <w:szCs w:val="23"/>
        </w:rPr>
        <w:t xml:space="preserve">ICB) </w:t>
      </w:r>
      <w:r w:rsidR="008648D3">
        <w:rPr>
          <w:sz w:val="23"/>
          <w:szCs w:val="23"/>
        </w:rPr>
        <w:t xml:space="preserve">will respond with </w:t>
      </w:r>
      <w:r w:rsidR="00DB082C" w:rsidRPr="00BC2F86">
        <w:rPr>
          <w:sz w:val="23"/>
          <w:szCs w:val="23"/>
        </w:rPr>
        <w:t>regard</w:t>
      </w:r>
      <w:r w:rsidR="001B511F">
        <w:rPr>
          <w:sz w:val="23"/>
          <w:szCs w:val="23"/>
        </w:rPr>
        <w:t>s</w:t>
      </w:r>
      <w:r w:rsidR="00DB082C" w:rsidRPr="00BC2F86">
        <w:rPr>
          <w:sz w:val="23"/>
          <w:szCs w:val="23"/>
        </w:rPr>
        <w:t xml:space="preserve"> to</w:t>
      </w:r>
      <w:r w:rsidRPr="00BC2F86">
        <w:rPr>
          <w:sz w:val="23"/>
          <w:szCs w:val="23"/>
        </w:rPr>
        <w:t xml:space="preserve"> Emergency Preparedness, Resilience and Response (EPRR) </w:t>
      </w:r>
      <w:r w:rsidR="008648D3">
        <w:rPr>
          <w:sz w:val="23"/>
          <w:szCs w:val="23"/>
        </w:rPr>
        <w:t>principles</w:t>
      </w:r>
      <w:r w:rsidR="00470D96">
        <w:rPr>
          <w:sz w:val="23"/>
          <w:szCs w:val="23"/>
        </w:rPr>
        <w:t xml:space="preserve">. </w:t>
      </w:r>
      <w:r w:rsidR="00EE2DE6">
        <w:rPr>
          <w:sz w:val="23"/>
          <w:szCs w:val="23"/>
        </w:rPr>
        <w:t>At the core of this Policy is e</w:t>
      </w:r>
      <w:r w:rsidRPr="00BC2F86">
        <w:rPr>
          <w:sz w:val="23"/>
          <w:szCs w:val="23"/>
        </w:rPr>
        <w:t>nsur</w:t>
      </w:r>
      <w:r w:rsidR="00470D96">
        <w:rPr>
          <w:sz w:val="23"/>
          <w:szCs w:val="23"/>
        </w:rPr>
        <w:t>ing</w:t>
      </w:r>
      <w:r w:rsidRPr="00BC2F86">
        <w:rPr>
          <w:sz w:val="23"/>
          <w:szCs w:val="23"/>
        </w:rPr>
        <w:t xml:space="preserve"> effective arrangement</w:t>
      </w:r>
      <w:r w:rsidR="008648D3">
        <w:rPr>
          <w:sz w:val="23"/>
          <w:szCs w:val="23"/>
        </w:rPr>
        <w:t>s</w:t>
      </w:r>
      <w:r w:rsidRPr="00BC2F86">
        <w:rPr>
          <w:sz w:val="23"/>
          <w:szCs w:val="23"/>
        </w:rPr>
        <w:t xml:space="preserve"> are in place to </w:t>
      </w:r>
      <w:r w:rsidR="008648D3">
        <w:rPr>
          <w:sz w:val="23"/>
          <w:szCs w:val="23"/>
        </w:rPr>
        <w:t>support the delivery of</w:t>
      </w:r>
      <w:r w:rsidRPr="00BC2F86">
        <w:rPr>
          <w:sz w:val="23"/>
          <w:szCs w:val="23"/>
        </w:rPr>
        <w:t xml:space="preserve"> care to patients in the event of a</w:t>
      </w:r>
      <w:r w:rsidR="008648D3">
        <w:rPr>
          <w:sz w:val="23"/>
          <w:szCs w:val="23"/>
        </w:rPr>
        <w:t xml:space="preserve"> declared</w:t>
      </w:r>
      <w:r w:rsidRPr="00BC2F86">
        <w:rPr>
          <w:sz w:val="23"/>
          <w:szCs w:val="23"/>
        </w:rPr>
        <w:t xml:space="preserve"> incident</w:t>
      </w:r>
      <w:r w:rsidR="00F868D4">
        <w:rPr>
          <w:sz w:val="23"/>
          <w:szCs w:val="23"/>
        </w:rPr>
        <w:t>.</w:t>
      </w:r>
    </w:p>
    <w:p w14:paraId="629FF3EE" w14:textId="2D5DCEE6" w:rsidR="00496EF9" w:rsidRDefault="00496EF9" w:rsidP="00496EF9"/>
    <w:p w14:paraId="6CFBBC46" w14:textId="3D07E4D1" w:rsidR="00496EF9" w:rsidRPr="00496EF9" w:rsidRDefault="00496EF9" w:rsidP="00496EF9">
      <w:pPr>
        <w:pStyle w:val="Heading1"/>
      </w:pPr>
      <w:bookmarkStart w:id="17" w:name="_Toc160047247"/>
      <w:r>
        <w:t>Objectives</w:t>
      </w:r>
      <w:bookmarkEnd w:id="17"/>
    </w:p>
    <w:p w14:paraId="0E199CA3" w14:textId="77D66191" w:rsidR="00496EF9" w:rsidRDefault="00496EF9" w:rsidP="00827AB6">
      <w:pPr>
        <w:jc w:val="both"/>
        <w:rPr>
          <w:rFonts w:cs="Arial"/>
          <w:sz w:val="23"/>
          <w:szCs w:val="23"/>
        </w:rPr>
      </w:pPr>
      <w:bookmarkStart w:id="18" w:name="_Toc89425734"/>
      <w:bookmarkStart w:id="19" w:name="_Toc89425806"/>
      <w:bookmarkStart w:id="20" w:name="_Toc89425993"/>
      <w:bookmarkStart w:id="21" w:name="_Toc89426235"/>
      <w:bookmarkStart w:id="22" w:name="_Toc1276854383"/>
      <w:bookmarkStart w:id="23" w:name="_Toc1762452952"/>
      <w:bookmarkEnd w:id="11"/>
      <w:bookmarkEnd w:id="12"/>
      <w:bookmarkEnd w:id="13"/>
      <w:bookmarkEnd w:id="14"/>
      <w:bookmarkEnd w:id="15"/>
      <w:bookmarkEnd w:id="16"/>
      <w:r w:rsidRPr="00496EF9">
        <w:rPr>
          <w:rFonts w:cs="Arial"/>
          <w:sz w:val="23"/>
          <w:szCs w:val="23"/>
        </w:rPr>
        <w:t>This policy details the proactive arrangements in place to deliver EPRR in Humber and North Yorkshire and:</w:t>
      </w:r>
    </w:p>
    <w:p w14:paraId="58DF31A5" w14:textId="77777777" w:rsidR="00496EF9" w:rsidRDefault="00496EF9" w:rsidP="00827AB6">
      <w:pPr>
        <w:jc w:val="both"/>
        <w:rPr>
          <w:rFonts w:cs="Arial"/>
          <w:sz w:val="23"/>
          <w:szCs w:val="23"/>
        </w:rPr>
      </w:pPr>
    </w:p>
    <w:p w14:paraId="435ED554" w14:textId="576EC5E8" w:rsidR="00496EF9" w:rsidRPr="00496EF9" w:rsidRDefault="008648D3" w:rsidP="00827AB6">
      <w:pPr>
        <w:pStyle w:val="ListParagraph"/>
        <w:numPr>
          <w:ilvl w:val="0"/>
          <w:numId w:val="5"/>
        </w:numPr>
        <w:jc w:val="both"/>
        <w:rPr>
          <w:rFonts w:cs="Arial"/>
          <w:sz w:val="23"/>
          <w:szCs w:val="23"/>
        </w:rPr>
      </w:pPr>
      <w:r>
        <w:rPr>
          <w:rFonts w:cs="Arial"/>
          <w:sz w:val="23"/>
          <w:szCs w:val="23"/>
        </w:rPr>
        <w:t>D</w:t>
      </w:r>
      <w:r w:rsidR="00496EF9" w:rsidRPr="00496EF9">
        <w:rPr>
          <w:rFonts w:cs="Arial"/>
          <w:sz w:val="23"/>
          <w:szCs w:val="23"/>
        </w:rPr>
        <w:t>escribe</w:t>
      </w:r>
      <w:r w:rsidR="009B38F0">
        <w:rPr>
          <w:rFonts w:cs="Arial"/>
          <w:sz w:val="23"/>
          <w:szCs w:val="23"/>
        </w:rPr>
        <w:t>s</w:t>
      </w:r>
      <w:r w:rsidR="00496EF9" w:rsidRPr="00496EF9">
        <w:rPr>
          <w:rFonts w:cs="Arial"/>
          <w:sz w:val="23"/>
          <w:szCs w:val="23"/>
        </w:rPr>
        <w:t xml:space="preserve"> the operating model of the Humber and North Yorkshire ICB to deliver the statutory responsibilities of a Category One responder, to ensure the robust delivery of EPRR</w:t>
      </w:r>
      <w:r>
        <w:rPr>
          <w:rFonts w:cs="Arial"/>
          <w:sz w:val="23"/>
          <w:szCs w:val="23"/>
        </w:rPr>
        <w:t xml:space="preserve"> across the ICB</w:t>
      </w:r>
    </w:p>
    <w:p w14:paraId="282ADBFF" w14:textId="06B887B2" w:rsidR="00496EF9" w:rsidRPr="00496EF9" w:rsidRDefault="008648D3" w:rsidP="00827AB6">
      <w:pPr>
        <w:pStyle w:val="ListParagraph"/>
        <w:numPr>
          <w:ilvl w:val="0"/>
          <w:numId w:val="5"/>
        </w:numPr>
        <w:spacing w:after="200" w:line="276" w:lineRule="auto"/>
        <w:jc w:val="both"/>
        <w:rPr>
          <w:rFonts w:cs="Arial"/>
          <w:sz w:val="23"/>
          <w:szCs w:val="23"/>
        </w:rPr>
      </w:pPr>
      <w:r>
        <w:rPr>
          <w:rFonts w:cs="Arial"/>
          <w:sz w:val="23"/>
          <w:szCs w:val="23"/>
        </w:rPr>
        <w:t>D</w:t>
      </w:r>
      <w:r w:rsidR="00496EF9" w:rsidRPr="00496EF9">
        <w:rPr>
          <w:rFonts w:cs="Arial"/>
          <w:sz w:val="23"/>
          <w:szCs w:val="23"/>
        </w:rPr>
        <w:t>escribe</w:t>
      </w:r>
      <w:r w:rsidR="00EE2DE6">
        <w:rPr>
          <w:rFonts w:cs="Arial"/>
          <w:sz w:val="23"/>
          <w:szCs w:val="23"/>
        </w:rPr>
        <w:t>s</w:t>
      </w:r>
      <w:r w:rsidR="00496EF9" w:rsidRPr="00496EF9">
        <w:rPr>
          <w:rFonts w:cs="Arial"/>
          <w:sz w:val="23"/>
          <w:szCs w:val="23"/>
        </w:rPr>
        <w:t xml:space="preserve"> the “Preparedness and Prevention” functions which are undertaken to mitigate risks and effectively plan for the common consequences of </w:t>
      </w:r>
      <w:r>
        <w:rPr>
          <w:rFonts w:cs="Arial"/>
          <w:sz w:val="23"/>
          <w:szCs w:val="23"/>
        </w:rPr>
        <w:t>a declared incident</w:t>
      </w:r>
    </w:p>
    <w:p w14:paraId="0F468F5F" w14:textId="1A111DF5" w:rsidR="00496EF9" w:rsidRPr="00496EF9" w:rsidRDefault="008648D3" w:rsidP="00827AB6">
      <w:pPr>
        <w:pStyle w:val="ListParagraph"/>
        <w:numPr>
          <w:ilvl w:val="0"/>
          <w:numId w:val="5"/>
        </w:numPr>
        <w:spacing w:after="200" w:line="276" w:lineRule="auto"/>
        <w:jc w:val="both"/>
        <w:rPr>
          <w:rFonts w:cs="Arial"/>
          <w:sz w:val="23"/>
          <w:szCs w:val="23"/>
        </w:rPr>
      </w:pPr>
      <w:r>
        <w:rPr>
          <w:rFonts w:cs="Arial"/>
          <w:sz w:val="23"/>
          <w:szCs w:val="23"/>
        </w:rPr>
        <w:t>D</w:t>
      </w:r>
      <w:r w:rsidR="00496EF9" w:rsidRPr="00496EF9">
        <w:rPr>
          <w:rFonts w:cs="Arial"/>
          <w:sz w:val="23"/>
          <w:szCs w:val="23"/>
        </w:rPr>
        <w:t>escribe</w:t>
      </w:r>
      <w:r w:rsidR="00EE2DE6">
        <w:rPr>
          <w:rFonts w:cs="Arial"/>
          <w:sz w:val="23"/>
          <w:szCs w:val="23"/>
        </w:rPr>
        <w:t>s</w:t>
      </w:r>
      <w:r w:rsidR="00496EF9" w:rsidRPr="00496EF9">
        <w:rPr>
          <w:rFonts w:cs="Arial"/>
          <w:sz w:val="23"/>
          <w:szCs w:val="23"/>
        </w:rPr>
        <w:t xml:space="preserve"> the “Response and Recovery” functions which are undertaken in the event of an incident or emergency which are flexible, scalable, and adaptable</w:t>
      </w:r>
    </w:p>
    <w:p w14:paraId="20F6D8CD" w14:textId="1C8F5A17" w:rsidR="00496EF9" w:rsidRDefault="008648D3" w:rsidP="00827AB6">
      <w:pPr>
        <w:pStyle w:val="ListParagraph"/>
        <w:numPr>
          <w:ilvl w:val="0"/>
          <w:numId w:val="5"/>
        </w:numPr>
        <w:spacing w:after="200" w:line="276" w:lineRule="auto"/>
        <w:jc w:val="both"/>
        <w:rPr>
          <w:rFonts w:cs="Arial"/>
          <w:sz w:val="23"/>
          <w:szCs w:val="23"/>
        </w:rPr>
      </w:pPr>
      <w:r>
        <w:rPr>
          <w:rFonts w:cs="Arial"/>
          <w:sz w:val="23"/>
          <w:szCs w:val="23"/>
        </w:rPr>
        <w:t>D</w:t>
      </w:r>
      <w:r w:rsidR="00496EF9" w:rsidRPr="00496EF9">
        <w:rPr>
          <w:rFonts w:cs="Arial"/>
          <w:sz w:val="23"/>
          <w:szCs w:val="23"/>
        </w:rPr>
        <w:t>escribe</w:t>
      </w:r>
      <w:r w:rsidR="00EE2DE6">
        <w:rPr>
          <w:rFonts w:cs="Arial"/>
          <w:sz w:val="23"/>
          <w:szCs w:val="23"/>
        </w:rPr>
        <w:t>s</w:t>
      </w:r>
      <w:r w:rsidR="00496EF9" w:rsidRPr="00496EF9">
        <w:rPr>
          <w:rFonts w:cs="Arial"/>
          <w:sz w:val="23"/>
          <w:szCs w:val="23"/>
        </w:rPr>
        <w:t xml:space="preserve"> the role of the </w:t>
      </w:r>
      <w:r>
        <w:rPr>
          <w:rFonts w:cs="Arial"/>
          <w:sz w:val="23"/>
          <w:szCs w:val="23"/>
        </w:rPr>
        <w:t xml:space="preserve">ICB EPRR Team in </w:t>
      </w:r>
      <w:r w:rsidR="00BF63BD">
        <w:rPr>
          <w:rFonts w:cs="Arial"/>
          <w:sz w:val="23"/>
          <w:szCs w:val="23"/>
        </w:rPr>
        <w:t xml:space="preserve">delivering the EPRR agenda on behalf of HNY ICB and in </w:t>
      </w:r>
      <w:r w:rsidR="00114570">
        <w:rPr>
          <w:rFonts w:cs="Arial"/>
          <w:sz w:val="23"/>
          <w:szCs w:val="23"/>
        </w:rPr>
        <w:t xml:space="preserve">coordinating </w:t>
      </w:r>
      <w:r>
        <w:rPr>
          <w:rFonts w:cs="Arial"/>
          <w:sz w:val="23"/>
          <w:szCs w:val="23"/>
        </w:rPr>
        <w:t xml:space="preserve">the annual EPRR Core </w:t>
      </w:r>
      <w:r w:rsidRPr="00496EF9">
        <w:rPr>
          <w:rFonts w:cs="Arial"/>
          <w:sz w:val="23"/>
          <w:szCs w:val="23"/>
        </w:rPr>
        <w:t>Standards Assurance process</w:t>
      </w:r>
      <w:r>
        <w:rPr>
          <w:rFonts w:cs="Arial"/>
          <w:sz w:val="23"/>
          <w:szCs w:val="23"/>
        </w:rPr>
        <w:t xml:space="preserve"> for </w:t>
      </w:r>
      <w:r w:rsidR="00827AB6">
        <w:rPr>
          <w:rFonts w:cs="Arial"/>
          <w:sz w:val="23"/>
          <w:szCs w:val="23"/>
        </w:rPr>
        <w:t xml:space="preserve">both </w:t>
      </w:r>
      <w:r w:rsidR="00114570">
        <w:rPr>
          <w:rFonts w:cs="Arial"/>
          <w:sz w:val="23"/>
          <w:szCs w:val="23"/>
        </w:rPr>
        <w:t xml:space="preserve">for </w:t>
      </w:r>
      <w:r w:rsidR="00827AB6">
        <w:rPr>
          <w:rFonts w:cs="Arial"/>
          <w:sz w:val="23"/>
          <w:szCs w:val="23"/>
        </w:rPr>
        <w:t xml:space="preserve">the ICB as an organisation and </w:t>
      </w:r>
      <w:r w:rsidR="009214D4">
        <w:rPr>
          <w:rFonts w:cs="Arial"/>
          <w:sz w:val="23"/>
          <w:szCs w:val="23"/>
        </w:rPr>
        <w:t>for</w:t>
      </w:r>
      <w:r w:rsidR="00482000">
        <w:rPr>
          <w:rFonts w:cs="Arial"/>
          <w:sz w:val="23"/>
          <w:szCs w:val="23"/>
        </w:rPr>
        <w:t xml:space="preserve"> the ICS as a </w:t>
      </w:r>
      <w:r w:rsidR="002E4377">
        <w:rPr>
          <w:rFonts w:cs="Arial"/>
          <w:sz w:val="23"/>
          <w:szCs w:val="23"/>
        </w:rPr>
        <w:t xml:space="preserve">part </w:t>
      </w:r>
      <w:r w:rsidR="00482000">
        <w:rPr>
          <w:rFonts w:cs="Arial"/>
          <w:sz w:val="23"/>
          <w:szCs w:val="23"/>
        </w:rPr>
        <w:t>system of</w:t>
      </w:r>
      <w:r w:rsidR="009214D4">
        <w:rPr>
          <w:rFonts w:cs="Arial"/>
          <w:sz w:val="23"/>
          <w:szCs w:val="23"/>
        </w:rPr>
        <w:t xml:space="preserve"> </w:t>
      </w:r>
      <w:r w:rsidR="00827AB6">
        <w:rPr>
          <w:rFonts w:cs="Arial"/>
          <w:sz w:val="23"/>
          <w:szCs w:val="23"/>
        </w:rPr>
        <w:t xml:space="preserve">agreed commissioned </w:t>
      </w:r>
      <w:r w:rsidR="002E4377">
        <w:rPr>
          <w:rFonts w:cs="Arial"/>
          <w:sz w:val="23"/>
          <w:szCs w:val="23"/>
        </w:rPr>
        <w:t xml:space="preserve">health service </w:t>
      </w:r>
      <w:r w:rsidR="00827AB6">
        <w:rPr>
          <w:rFonts w:cs="Arial"/>
          <w:sz w:val="23"/>
          <w:szCs w:val="23"/>
        </w:rPr>
        <w:t xml:space="preserve">providers. Interfacing with the </w:t>
      </w:r>
      <w:r w:rsidR="00496EF9" w:rsidRPr="00496EF9">
        <w:rPr>
          <w:rFonts w:cs="Arial"/>
          <w:sz w:val="23"/>
          <w:szCs w:val="23"/>
        </w:rPr>
        <w:t xml:space="preserve">regional EPRR team in </w:t>
      </w:r>
      <w:r w:rsidR="00827AB6">
        <w:rPr>
          <w:rFonts w:cs="Arial"/>
          <w:sz w:val="23"/>
          <w:szCs w:val="23"/>
        </w:rPr>
        <w:t xml:space="preserve">their role of </w:t>
      </w:r>
      <w:r w:rsidR="00496EF9" w:rsidRPr="00496EF9">
        <w:rPr>
          <w:rFonts w:cs="Arial"/>
          <w:sz w:val="23"/>
          <w:szCs w:val="23"/>
        </w:rPr>
        <w:t xml:space="preserve">undertaking </w:t>
      </w:r>
      <w:r w:rsidR="00827AB6">
        <w:rPr>
          <w:rFonts w:cs="Arial"/>
          <w:sz w:val="23"/>
          <w:szCs w:val="23"/>
        </w:rPr>
        <w:t>their</w:t>
      </w:r>
      <w:r w:rsidR="00496EF9" w:rsidRPr="00496EF9">
        <w:rPr>
          <w:rFonts w:cs="Arial"/>
          <w:sz w:val="23"/>
          <w:szCs w:val="23"/>
        </w:rPr>
        <w:t xml:space="preserve"> own regional assurance programme</w:t>
      </w:r>
      <w:r w:rsidR="002E4377">
        <w:rPr>
          <w:rFonts w:cs="Arial"/>
          <w:sz w:val="23"/>
          <w:szCs w:val="23"/>
        </w:rPr>
        <w:t xml:space="preserve"> and in reviewing the ICB’s assurance submission</w:t>
      </w:r>
    </w:p>
    <w:p w14:paraId="1F89B359" w14:textId="13F87337" w:rsidR="00F96530" w:rsidRDefault="00F96530" w:rsidP="00827AB6">
      <w:pPr>
        <w:pStyle w:val="ListParagraph"/>
        <w:numPr>
          <w:ilvl w:val="0"/>
          <w:numId w:val="5"/>
        </w:numPr>
        <w:spacing w:after="200" w:line="276" w:lineRule="auto"/>
        <w:jc w:val="both"/>
        <w:rPr>
          <w:rFonts w:cs="Arial"/>
          <w:sz w:val="23"/>
          <w:szCs w:val="23"/>
        </w:rPr>
      </w:pPr>
      <w:r>
        <w:rPr>
          <w:rFonts w:cs="Arial"/>
          <w:sz w:val="23"/>
          <w:szCs w:val="23"/>
        </w:rPr>
        <w:t xml:space="preserve">To provide a single source of accompanying documents which support the wider EPRR agenda within Humber and North Yorkshire, which should be read in conjunction with this policy. </w:t>
      </w:r>
    </w:p>
    <w:p w14:paraId="278D4C7A" w14:textId="77777777" w:rsidR="002E4377" w:rsidRPr="00496EF9" w:rsidRDefault="002E4377" w:rsidP="00436A1C">
      <w:pPr>
        <w:pStyle w:val="ListParagraph"/>
        <w:spacing w:after="200" w:line="276" w:lineRule="auto"/>
        <w:jc w:val="both"/>
        <w:rPr>
          <w:rFonts w:cs="Arial"/>
          <w:sz w:val="23"/>
          <w:szCs w:val="23"/>
        </w:rPr>
      </w:pPr>
    </w:p>
    <w:p w14:paraId="7A6E69E8" w14:textId="77777777" w:rsidR="00165227" w:rsidRPr="001E7D45" w:rsidRDefault="00165227" w:rsidP="003125CE">
      <w:pPr>
        <w:pStyle w:val="Heading1"/>
        <w:tabs>
          <w:tab w:val="clear" w:pos="851"/>
        </w:tabs>
        <w:ind w:left="709" w:hanging="709"/>
        <w:rPr>
          <w:sz w:val="26"/>
          <w:szCs w:val="26"/>
        </w:rPr>
      </w:pPr>
      <w:bookmarkStart w:id="24" w:name="_Toc160047248"/>
      <w:r w:rsidRPr="001E7D45">
        <w:rPr>
          <w:sz w:val="26"/>
          <w:szCs w:val="26"/>
        </w:rPr>
        <w:t>Scope</w:t>
      </w:r>
      <w:r w:rsidRPr="001E7D45">
        <w:rPr>
          <w:spacing w:val="-6"/>
          <w:sz w:val="26"/>
          <w:szCs w:val="26"/>
        </w:rPr>
        <w:t xml:space="preserve"> </w:t>
      </w:r>
      <w:r w:rsidRPr="001E7D45">
        <w:rPr>
          <w:spacing w:val="-1"/>
          <w:sz w:val="26"/>
          <w:szCs w:val="26"/>
        </w:rPr>
        <w:t>o</w:t>
      </w:r>
      <w:r w:rsidRPr="001E7D45">
        <w:rPr>
          <w:sz w:val="26"/>
          <w:szCs w:val="26"/>
        </w:rPr>
        <w:t>f</w:t>
      </w:r>
      <w:r w:rsidRPr="001E7D45">
        <w:rPr>
          <w:spacing w:val="-5"/>
          <w:sz w:val="26"/>
          <w:szCs w:val="26"/>
        </w:rPr>
        <w:t xml:space="preserve"> </w:t>
      </w:r>
      <w:r w:rsidRPr="001E7D45">
        <w:rPr>
          <w:spacing w:val="-1"/>
          <w:sz w:val="26"/>
          <w:szCs w:val="26"/>
        </w:rPr>
        <w:t>th</w:t>
      </w:r>
      <w:r w:rsidRPr="001E7D45">
        <w:rPr>
          <w:sz w:val="26"/>
          <w:szCs w:val="26"/>
        </w:rPr>
        <w:t>e</w:t>
      </w:r>
      <w:r w:rsidRPr="001E7D45">
        <w:rPr>
          <w:spacing w:val="-4"/>
          <w:sz w:val="26"/>
          <w:szCs w:val="26"/>
        </w:rPr>
        <w:t xml:space="preserve"> </w:t>
      </w:r>
      <w:r w:rsidRPr="001E7D45">
        <w:rPr>
          <w:spacing w:val="-1"/>
          <w:sz w:val="26"/>
          <w:szCs w:val="26"/>
        </w:rPr>
        <w:t>Policy</w:t>
      </w:r>
      <w:bookmarkEnd w:id="24"/>
    </w:p>
    <w:p w14:paraId="355941AE" w14:textId="7ECE7B8A" w:rsidR="00496EF9" w:rsidRPr="00496EF9" w:rsidRDefault="00496EF9" w:rsidP="00997FB9">
      <w:pPr>
        <w:jc w:val="both"/>
        <w:rPr>
          <w:rFonts w:cs="Arial"/>
          <w:sz w:val="23"/>
          <w:szCs w:val="23"/>
        </w:rPr>
      </w:pPr>
      <w:r w:rsidRPr="00496EF9">
        <w:rPr>
          <w:rFonts w:cs="Arial"/>
          <w:sz w:val="23"/>
          <w:szCs w:val="23"/>
        </w:rPr>
        <w:t>This policy provides an overview of the EPRR Portfolio</w:t>
      </w:r>
      <w:r w:rsidR="009940F6">
        <w:rPr>
          <w:rFonts w:cs="Arial"/>
          <w:sz w:val="23"/>
          <w:szCs w:val="23"/>
        </w:rPr>
        <w:t xml:space="preserve"> and working methodology </w:t>
      </w:r>
      <w:r w:rsidRPr="00496EF9">
        <w:rPr>
          <w:rFonts w:cs="Arial"/>
          <w:sz w:val="23"/>
          <w:szCs w:val="23"/>
        </w:rPr>
        <w:t xml:space="preserve">within Humber and North Yorkshire ICB, and the processes by which </w:t>
      </w:r>
      <w:r w:rsidR="00827AB6">
        <w:rPr>
          <w:rFonts w:cs="Arial"/>
          <w:sz w:val="23"/>
          <w:szCs w:val="23"/>
        </w:rPr>
        <w:t>the ICB</w:t>
      </w:r>
      <w:r w:rsidRPr="00496EF9">
        <w:rPr>
          <w:rFonts w:cs="Arial"/>
          <w:sz w:val="23"/>
          <w:szCs w:val="23"/>
        </w:rPr>
        <w:t xml:space="preserve"> engage</w:t>
      </w:r>
      <w:r w:rsidR="00827AB6">
        <w:rPr>
          <w:rFonts w:cs="Arial"/>
          <w:sz w:val="23"/>
          <w:szCs w:val="23"/>
        </w:rPr>
        <w:t>s</w:t>
      </w:r>
      <w:r w:rsidRPr="00496EF9">
        <w:rPr>
          <w:rFonts w:cs="Arial"/>
          <w:sz w:val="23"/>
          <w:szCs w:val="23"/>
        </w:rPr>
        <w:t xml:space="preserve"> with </w:t>
      </w:r>
      <w:r w:rsidR="002E4377">
        <w:rPr>
          <w:rFonts w:cs="Arial"/>
          <w:sz w:val="23"/>
          <w:szCs w:val="23"/>
        </w:rPr>
        <w:t xml:space="preserve">the </w:t>
      </w:r>
      <w:r w:rsidRPr="00496EF9">
        <w:rPr>
          <w:rFonts w:cs="Arial"/>
          <w:sz w:val="23"/>
          <w:szCs w:val="23"/>
        </w:rPr>
        <w:t xml:space="preserve">NHS </w:t>
      </w:r>
      <w:r w:rsidR="00CC7FE3">
        <w:rPr>
          <w:rFonts w:cs="Arial"/>
          <w:sz w:val="23"/>
          <w:szCs w:val="23"/>
        </w:rPr>
        <w:t xml:space="preserve">England </w:t>
      </w:r>
      <w:r w:rsidR="00827AB6">
        <w:rPr>
          <w:rFonts w:cs="Arial"/>
          <w:sz w:val="23"/>
          <w:szCs w:val="23"/>
        </w:rPr>
        <w:t xml:space="preserve">North East and Yorkshire EPRR Team </w:t>
      </w:r>
      <w:r w:rsidRPr="00496EF9">
        <w:rPr>
          <w:rFonts w:cs="Arial"/>
          <w:sz w:val="23"/>
          <w:szCs w:val="23"/>
        </w:rPr>
        <w:t xml:space="preserve">and local </w:t>
      </w:r>
      <w:r w:rsidR="002E4377">
        <w:rPr>
          <w:rFonts w:cs="Arial"/>
          <w:sz w:val="23"/>
          <w:szCs w:val="23"/>
        </w:rPr>
        <w:t xml:space="preserve">commissioned </w:t>
      </w:r>
      <w:r w:rsidRPr="00496EF9">
        <w:rPr>
          <w:rFonts w:cs="Arial"/>
          <w:sz w:val="23"/>
          <w:szCs w:val="23"/>
        </w:rPr>
        <w:t>health partners (Health Providers). Whilst this policy refers to a number of other areas such as Training and Exercising, oncall and Incident Response, it should not be used as an operational document. Links to the relevant operational plans are included within this document and should be referred to for responding to any incidents or events as part of a response.</w:t>
      </w:r>
    </w:p>
    <w:p w14:paraId="014AF10B" w14:textId="28E8A458" w:rsidR="00496EF9" w:rsidRDefault="00496EF9" w:rsidP="003125CE">
      <w:pPr>
        <w:rPr>
          <w:rFonts w:cs="Arial"/>
          <w:sz w:val="23"/>
          <w:szCs w:val="23"/>
        </w:rPr>
      </w:pPr>
    </w:p>
    <w:p w14:paraId="6F4516BC" w14:textId="08CC61DD" w:rsidR="00D713FA" w:rsidRPr="00D34CD6" w:rsidRDefault="009414E5" w:rsidP="008D1074">
      <w:pPr>
        <w:pStyle w:val="Heading1"/>
        <w:rPr>
          <w:szCs w:val="24"/>
        </w:rPr>
      </w:pPr>
      <w:bookmarkStart w:id="25" w:name="_Toc160047249"/>
      <w:bookmarkEnd w:id="18"/>
      <w:bookmarkEnd w:id="19"/>
      <w:bookmarkEnd w:id="20"/>
      <w:bookmarkEnd w:id="21"/>
      <w:bookmarkEnd w:id="22"/>
      <w:bookmarkEnd w:id="23"/>
      <w:r w:rsidRPr="00D34CD6">
        <w:rPr>
          <w:szCs w:val="24"/>
        </w:rPr>
        <w:t>EPRR</w:t>
      </w:r>
      <w:r w:rsidR="00496EF9" w:rsidRPr="00D34CD6">
        <w:rPr>
          <w:szCs w:val="24"/>
        </w:rPr>
        <w:t xml:space="preserve"> </w:t>
      </w:r>
      <w:r w:rsidR="00AA74F5" w:rsidRPr="00D34CD6">
        <w:rPr>
          <w:szCs w:val="24"/>
        </w:rPr>
        <w:t>Duties</w:t>
      </w:r>
      <w:bookmarkEnd w:id="25"/>
    </w:p>
    <w:p w14:paraId="0622BD77" w14:textId="1D7C5441" w:rsidR="00496EF9" w:rsidRPr="00496EF9" w:rsidRDefault="00141426" w:rsidP="00997FB9">
      <w:pPr>
        <w:jc w:val="both"/>
        <w:rPr>
          <w:rFonts w:cs="Arial"/>
          <w:sz w:val="23"/>
          <w:szCs w:val="23"/>
        </w:rPr>
      </w:pPr>
      <w:bookmarkStart w:id="26" w:name="_Toc89425735"/>
      <w:bookmarkStart w:id="27" w:name="_Toc89425807"/>
      <w:bookmarkStart w:id="28" w:name="_Toc89425994"/>
      <w:bookmarkStart w:id="29" w:name="_Toc89426236"/>
      <w:bookmarkStart w:id="30" w:name="_Toc1610475972"/>
      <w:bookmarkStart w:id="31" w:name="_Toc1099677601"/>
      <w:r>
        <w:rPr>
          <w:rFonts w:cs="Arial"/>
          <w:sz w:val="23"/>
          <w:szCs w:val="23"/>
        </w:rPr>
        <w:t xml:space="preserve">The ICB is </w:t>
      </w:r>
      <w:r w:rsidR="00496EF9" w:rsidRPr="00496EF9">
        <w:rPr>
          <w:rFonts w:cs="Arial"/>
          <w:sz w:val="23"/>
          <w:szCs w:val="23"/>
        </w:rPr>
        <w:t xml:space="preserve">subject to the full range of civil protection duties, </w:t>
      </w:r>
      <w:r w:rsidR="00777701">
        <w:rPr>
          <w:rFonts w:cs="Arial"/>
          <w:sz w:val="23"/>
          <w:szCs w:val="23"/>
        </w:rPr>
        <w:t>with</w:t>
      </w:r>
      <w:r w:rsidR="00496EF9" w:rsidRPr="00496EF9">
        <w:rPr>
          <w:rFonts w:cs="Arial"/>
          <w:sz w:val="23"/>
          <w:szCs w:val="23"/>
        </w:rPr>
        <w:t xml:space="preserve"> the CCA 2004 </w:t>
      </w:r>
      <w:r w:rsidR="00777701">
        <w:rPr>
          <w:rFonts w:cs="Arial"/>
          <w:sz w:val="23"/>
          <w:szCs w:val="23"/>
        </w:rPr>
        <w:t xml:space="preserve">being </w:t>
      </w:r>
      <w:r w:rsidR="00496EF9" w:rsidRPr="00496EF9">
        <w:rPr>
          <w:rFonts w:cs="Arial"/>
          <w:sz w:val="23"/>
          <w:szCs w:val="23"/>
        </w:rPr>
        <w:t>amend</w:t>
      </w:r>
      <w:r w:rsidR="00AF1BC2">
        <w:rPr>
          <w:rFonts w:cs="Arial"/>
          <w:sz w:val="23"/>
          <w:szCs w:val="23"/>
        </w:rPr>
        <w:t>ed</w:t>
      </w:r>
      <w:r w:rsidR="00496EF9" w:rsidRPr="00496EF9">
        <w:rPr>
          <w:rFonts w:cs="Arial"/>
          <w:sz w:val="23"/>
          <w:szCs w:val="23"/>
        </w:rPr>
        <w:t xml:space="preserve"> </w:t>
      </w:r>
      <w:r w:rsidR="00AF1BC2">
        <w:rPr>
          <w:rFonts w:cs="Arial"/>
          <w:sz w:val="23"/>
          <w:szCs w:val="23"/>
        </w:rPr>
        <w:t xml:space="preserve">to </w:t>
      </w:r>
      <w:r w:rsidR="00496EF9" w:rsidRPr="00496EF9">
        <w:rPr>
          <w:rFonts w:cs="Arial"/>
          <w:sz w:val="23"/>
          <w:szCs w:val="23"/>
        </w:rPr>
        <w:t xml:space="preserve">formally legislate ICB’s as Category One responders, and the ICB </w:t>
      </w:r>
      <w:r w:rsidR="00AA74F5">
        <w:rPr>
          <w:rFonts w:cs="Arial"/>
          <w:sz w:val="23"/>
          <w:szCs w:val="23"/>
        </w:rPr>
        <w:t xml:space="preserve">are </w:t>
      </w:r>
      <w:r w:rsidR="00496EF9" w:rsidRPr="00496EF9">
        <w:rPr>
          <w:rFonts w:cs="Arial"/>
          <w:sz w:val="23"/>
          <w:szCs w:val="23"/>
        </w:rPr>
        <w:t xml:space="preserve">required to – </w:t>
      </w:r>
    </w:p>
    <w:p w14:paraId="01ABBC4E" w14:textId="7080EA86" w:rsidR="00BE333D" w:rsidRPr="00436A1C" w:rsidRDefault="00BE333D" w:rsidP="00436A1C">
      <w:pPr>
        <w:pStyle w:val="ListParagraph"/>
        <w:numPr>
          <w:ilvl w:val="0"/>
          <w:numId w:val="7"/>
        </w:numPr>
        <w:spacing w:after="200" w:line="276" w:lineRule="auto"/>
        <w:jc w:val="both"/>
        <w:rPr>
          <w:rFonts w:cs="Arial"/>
          <w:sz w:val="23"/>
          <w:szCs w:val="23"/>
        </w:rPr>
      </w:pPr>
      <w:r>
        <w:rPr>
          <w:rFonts w:cs="Arial"/>
          <w:color w:val="0B0C0C"/>
          <w:sz w:val="23"/>
          <w:szCs w:val="23"/>
        </w:rPr>
        <w:t>Ensure there is a robust</w:t>
      </w:r>
      <w:r w:rsidRPr="00496EF9">
        <w:rPr>
          <w:rFonts w:cs="Arial"/>
          <w:sz w:val="23"/>
          <w:szCs w:val="23"/>
        </w:rPr>
        <w:t xml:space="preserve"> and comprehensive EPRR system across health organisations within their </w:t>
      </w:r>
      <w:r w:rsidR="001B511F">
        <w:rPr>
          <w:rFonts w:cs="Arial"/>
          <w:sz w:val="23"/>
          <w:szCs w:val="23"/>
        </w:rPr>
        <w:t>geographical area</w:t>
      </w:r>
      <w:r w:rsidRPr="00496EF9">
        <w:rPr>
          <w:rFonts w:cs="Arial"/>
          <w:sz w:val="23"/>
          <w:szCs w:val="23"/>
        </w:rPr>
        <w:t xml:space="preserve"> and to undertake assurance of this through an annual assurance process</w:t>
      </w:r>
    </w:p>
    <w:p w14:paraId="1775D019" w14:textId="1CA1F858" w:rsidR="00BE333D" w:rsidRPr="00436A1C" w:rsidRDefault="00BE333D" w:rsidP="00997FB9">
      <w:pPr>
        <w:pStyle w:val="ListParagraph"/>
        <w:numPr>
          <w:ilvl w:val="0"/>
          <w:numId w:val="6"/>
        </w:numPr>
        <w:spacing w:after="200" w:line="276" w:lineRule="auto"/>
        <w:jc w:val="both"/>
        <w:rPr>
          <w:rFonts w:cs="Arial"/>
          <w:sz w:val="23"/>
          <w:szCs w:val="23"/>
        </w:rPr>
      </w:pPr>
      <w:r>
        <w:rPr>
          <w:rFonts w:cs="Arial"/>
          <w:color w:val="0B0C0C"/>
          <w:sz w:val="23"/>
          <w:szCs w:val="23"/>
        </w:rPr>
        <w:lastRenderedPageBreak/>
        <w:t>A</w:t>
      </w:r>
      <w:r w:rsidR="00496EF9" w:rsidRPr="00496EF9">
        <w:rPr>
          <w:rFonts w:cs="Arial"/>
          <w:color w:val="0B0C0C"/>
          <w:sz w:val="23"/>
          <w:szCs w:val="23"/>
        </w:rPr>
        <w:t xml:space="preserve">ssess </w:t>
      </w:r>
      <w:r w:rsidR="001B511F">
        <w:rPr>
          <w:rFonts w:cs="Arial"/>
          <w:color w:val="0B0C0C"/>
          <w:sz w:val="23"/>
          <w:szCs w:val="23"/>
        </w:rPr>
        <w:t xml:space="preserve">the drivers behind emergencies occurring and </w:t>
      </w:r>
      <w:r w:rsidR="00496EF9" w:rsidRPr="00496EF9">
        <w:rPr>
          <w:rFonts w:cs="Arial"/>
          <w:color w:val="0B0C0C"/>
          <w:sz w:val="23"/>
          <w:szCs w:val="23"/>
        </w:rPr>
        <w:t>the risk</w:t>
      </w:r>
      <w:r w:rsidR="001B511F">
        <w:rPr>
          <w:rFonts w:cs="Arial"/>
          <w:color w:val="0B0C0C"/>
          <w:sz w:val="23"/>
          <w:szCs w:val="23"/>
        </w:rPr>
        <w:t>/likelihood of these</w:t>
      </w:r>
      <w:r w:rsidR="00496EF9" w:rsidRPr="00496EF9">
        <w:rPr>
          <w:rFonts w:cs="Arial"/>
          <w:color w:val="0B0C0C"/>
          <w:sz w:val="23"/>
          <w:szCs w:val="23"/>
        </w:rPr>
        <w:t xml:space="preserve"> emergencies occurring</w:t>
      </w:r>
      <w:r w:rsidR="001B511F">
        <w:rPr>
          <w:rFonts w:cs="Arial"/>
          <w:color w:val="0B0C0C"/>
          <w:sz w:val="23"/>
          <w:szCs w:val="23"/>
        </w:rPr>
        <w:t xml:space="preserve">, using this information to </w:t>
      </w:r>
      <w:r w:rsidR="00496EF9" w:rsidRPr="00496EF9">
        <w:rPr>
          <w:rFonts w:cs="Arial"/>
          <w:color w:val="0B0C0C"/>
          <w:sz w:val="23"/>
          <w:szCs w:val="23"/>
        </w:rPr>
        <w:t xml:space="preserve">inform </w:t>
      </w:r>
      <w:r w:rsidR="001B511F">
        <w:rPr>
          <w:rFonts w:cs="Arial"/>
          <w:color w:val="0B0C0C"/>
          <w:sz w:val="23"/>
          <w:szCs w:val="23"/>
        </w:rPr>
        <w:t xml:space="preserve">and develop risk based </w:t>
      </w:r>
      <w:r w:rsidR="00496EF9" w:rsidRPr="00496EF9">
        <w:rPr>
          <w:rFonts w:cs="Arial"/>
          <w:color w:val="0B0C0C"/>
          <w:sz w:val="23"/>
          <w:szCs w:val="23"/>
        </w:rPr>
        <w:t>contingency planning</w:t>
      </w:r>
      <w:r>
        <w:rPr>
          <w:rFonts w:cs="Arial"/>
          <w:color w:val="0B0C0C"/>
          <w:sz w:val="23"/>
          <w:szCs w:val="23"/>
        </w:rPr>
        <w:t xml:space="preserve"> including:</w:t>
      </w:r>
    </w:p>
    <w:p w14:paraId="7DCB4449" w14:textId="2ED206AA" w:rsidR="00496EF9" w:rsidRPr="00496EF9" w:rsidRDefault="001B511F" w:rsidP="00436A1C">
      <w:pPr>
        <w:pStyle w:val="ListParagraph"/>
        <w:numPr>
          <w:ilvl w:val="1"/>
          <w:numId w:val="6"/>
        </w:numPr>
        <w:spacing w:after="200" w:line="276" w:lineRule="auto"/>
        <w:jc w:val="both"/>
        <w:rPr>
          <w:rFonts w:cs="Arial"/>
          <w:sz w:val="23"/>
          <w:szCs w:val="23"/>
        </w:rPr>
      </w:pPr>
      <w:r>
        <w:rPr>
          <w:rFonts w:cs="Arial"/>
          <w:color w:val="0B0C0C"/>
          <w:sz w:val="23"/>
          <w:szCs w:val="23"/>
        </w:rPr>
        <w:t>Overarching</w:t>
      </w:r>
      <w:r w:rsidR="00BE333D">
        <w:rPr>
          <w:rFonts w:cs="Arial"/>
          <w:color w:val="0B0C0C"/>
          <w:sz w:val="23"/>
          <w:szCs w:val="23"/>
        </w:rPr>
        <w:t xml:space="preserve"> strategies and plans</w:t>
      </w:r>
    </w:p>
    <w:p w14:paraId="7A079E5A" w14:textId="3B2FA20E" w:rsidR="00496EF9" w:rsidRPr="00496EF9" w:rsidRDefault="00BE333D" w:rsidP="00436A1C">
      <w:pPr>
        <w:pStyle w:val="ListParagraph"/>
        <w:numPr>
          <w:ilvl w:val="1"/>
          <w:numId w:val="6"/>
        </w:numPr>
        <w:spacing w:after="200" w:line="276" w:lineRule="auto"/>
        <w:jc w:val="both"/>
        <w:rPr>
          <w:rFonts w:cs="Arial"/>
          <w:sz w:val="23"/>
          <w:szCs w:val="23"/>
        </w:rPr>
      </w:pPr>
      <w:r>
        <w:rPr>
          <w:rFonts w:cs="Arial"/>
          <w:color w:val="0B0C0C"/>
          <w:sz w:val="23"/>
          <w:szCs w:val="23"/>
        </w:rPr>
        <w:t>E</w:t>
      </w:r>
      <w:r w:rsidR="00496EF9" w:rsidRPr="00496EF9">
        <w:rPr>
          <w:rFonts w:cs="Arial"/>
          <w:color w:val="0B0C0C"/>
          <w:sz w:val="23"/>
          <w:szCs w:val="23"/>
        </w:rPr>
        <w:t>mergency plans</w:t>
      </w:r>
    </w:p>
    <w:p w14:paraId="1152CA06" w14:textId="2D68C4D3" w:rsidR="00496EF9" w:rsidRPr="00496EF9" w:rsidRDefault="00BE333D" w:rsidP="00436A1C">
      <w:pPr>
        <w:pStyle w:val="ListParagraph"/>
        <w:numPr>
          <w:ilvl w:val="1"/>
          <w:numId w:val="6"/>
        </w:numPr>
        <w:spacing w:after="200" w:line="276" w:lineRule="auto"/>
        <w:jc w:val="both"/>
        <w:rPr>
          <w:rFonts w:cs="Arial"/>
          <w:sz w:val="23"/>
          <w:szCs w:val="23"/>
        </w:rPr>
      </w:pPr>
      <w:r>
        <w:rPr>
          <w:rFonts w:cs="Arial"/>
          <w:color w:val="0B0C0C"/>
          <w:sz w:val="23"/>
          <w:szCs w:val="23"/>
        </w:rPr>
        <w:t>B</w:t>
      </w:r>
      <w:r w:rsidR="00496EF9" w:rsidRPr="00496EF9">
        <w:rPr>
          <w:rFonts w:cs="Arial"/>
          <w:color w:val="0B0C0C"/>
          <w:sz w:val="23"/>
          <w:szCs w:val="23"/>
        </w:rPr>
        <w:t>usiness continuity management arrangements</w:t>
      </w:r>
    </w:p>
    <w:p w14:paraId="301D0E3D" w14:textId="2753A3BA" w:rsidR="00496EF9" w:rsidRPr="00496EF9" w:rsidRDefault="00BE333D" w:rsidP="00997FB9">
      <w:pPr>
        <w:pStyle w:val="ListParagraph"/>
        <w:numPr>
          <w:ilvl w:val="0"/>
          <w:numId w:val="6"/>
        </w:numPr>
        <w:spacing w:after="200" w:line="276" w:lineRule="auto"/>
        <w:jc w:val="both"/>
        <w:rPr>
          <w:rFonts w:cs="Arial"/>
          <w:sz w:val="23"/>
          <w:szCs w:val="23"/>
        </w:rPr>
      </w:pPr>
      <w:r>
        <w:rPr>
          <w:rFonts w:cs="Arial"/>
          <w:color w:val="0B0C0C"/>
          <w:sz w:val="23"/>
          <w:szCs w:val="23"/>
        </w:rPr>
        <w:t>Have</w:t>
      </w:r>
      <w:r w:rsidR="00496EF9" w:rsidRPr="00496EF9">
        <w:rPr>
          <w:rFonts w:cs="Arial"/>
          <w:color w:val="0B0C0C"/>
          <w:sz w:val="23"/>
          <w:szCs w:val="23"/>
        </w:rPr>
        <w:t xml:space="preserve"> arrangements </w:t>
      </w:r>
      <w:r>
        <w:rPr>
          <w:rFonts w:cs="Arial"/>
          <w:color w:val="0B0C0C"/>
          <w:sz w:val="23"/>
          <w:szCs w:val="23"/>
        </w:rPr>
        <w:t xml:space="preserve">in place </w:t>
      </w:r>
      <w:r w:rsidR="00496EF9" w:rsidRPr="00496EF9">
        <w:rPr>
          <w:rFonts w:cs="Arial"/>
          <w:color w:val="0B0C0C"/>
          <w:sz w:val="23"/>
          <w:szCs w:val="23"/>
        </w:rPr>
        <w:t>to make information available to the public about civil protection matters and maintain arrangements to warn, inform and advise the public in the event of an emergency</w:t>
      </w:r>
    </w:p>
    <w:p w14:paraId="65B80DA1" w14:textId="4EBCDE93" w:rsidR="00496EF9" w:rsidRPr="00496EF9" w:rsidRDefault="00496EF9" w:rsidP="00997FB9">
      <w:pPr>
        <w:pStyle w:val="ListParagraph"/>
        <w:numPr>
          <w:ilvl w:val="0"/>
          <w:numId w:val="6"/>
        </w:numPr>
        <w:spacing w:after="200" w:line="276" w:lineRule="auto"/>
        <w:jc w:val="both"/>
        <w:rPr>
          <w:rFonts w:cs="Arial"/>
          <w:sz w:val="23"/>
          <w:szCs w:val="23"/>
        </w:rPr>
      </w:pPr>
      <w:r w:rsidRPr="00496EF9">
        <w:rPr>
          <w:rFonts w:cs="Arial"/>
          <w:color w:val="0B0C0C"/>
          <w:sz w:val="23"/>
          <w:szCs w:val="23"/>
        </w:rPr>
        <w:t>share information with other local responders to enhance co-ordinatio</w:t>
      </w:r>
      <w:r w:rsidR="00BE333D">
        <w:rPr>
          <w:rFonts w:cs="Arial"/>
          <w:color w:val="0B0C0C"/>
          <w:sz w:val="23"/>
          <w:szCs w:val="23"/>
        </w:rPr>
        <w:t>n and cooperation</w:t>
      </w:r>
    </w:p>
    <w:p w14:paraId="60EFC0AA" w14:textId="3EB39C99" w:rsidR="00496EF9" w:rsidRPr="00496EF9" w:rsidRDefault="00BE333D" w:rsidP="00997FB9">
      <w:pPr>
        <w:pStyle w:val="ListParagraph"/>
        <w:numPr>
          <w:ilvl w:val="0"/>
          <w:numId w:val="6"/>
        </w:numPr>
        <w:spacing w:after="200" w:line="276" w:lineRule="auto"/>
        <w:jc w:val="both"/>
        <w:rPr>
          <w:rFonts w:cs="Arial"/>
          <w:sz w:val="23"/>
          <w:szCs w:val="23"/>
        </w:rPr>
      </w:pPr>
      <w:r>
        <w:rPr>
          <w:rFonts w:cs="Arial"/>
          <w:sz w:val="23"/>
          <w:szCs w:val="23"/>
        </w:rPr>
        <w:t>L</w:t>
      </w:r>
      <w:r w:rsidRPr="00496EF9">
        <w:rPr>
          <w:rFonts w:cs="Arial"/>
          <w:sz w:val="23"/>
          <w:szCs w:val="23"/>
        </w:rPr>
        <w:t xml:space="preserve">ead the mobilisation of the NHS in the event of an incident or emergency </w:t>
      </w:r>
      <w:r>
        <w:rPr>
          <w:rFonts w:cs="Arial"/>
          <w:sz w:val="23"/>
          <w:szCs w:val="23"/>
        </w:rPr>
        <w:t xml:space="preserve">and support / engage with </w:t>
      </w:r>
      <w:r>
        <w:rPr>
          <w:rFonts w:cs="Arial"/>
          <w:color w:val="0B0C0C"/>
          <w:sz w:val="23"/>
          <w:szCs w:val="23"/>
        </w:rPr>
        <w:t>o</w:t>
      </w:r>
      <w:r w:rsidR="00496EF9" w:rsidRPr="00496EF9">
        <w:rPr>
          <w:rFonts w:cs="Arial"/>
          <w:color w:val="0B0C0C"/>
          <w:sz w:val="23"/>
          <w:szCs w:val="23"/>
        </w:rPr>
        <w:t xml:space="preserve">ther local responders to enhance </w:t>
      </w:r>
      <w:r>
        <w:rPr>
          <w:rFonts w:cs="Arial"/>
          <w:color w:val="0B0C0C"/>
          <w:sz w:val="23"/>
          <w:szCs w:val="23"/>
        </w:rPr>
        <w:t xml:space="preserve">system wide </w:t>
      </w:r>
      <w:r w:rsidR="00496EF9" w:rsidRPr="00496EF9">
        <w:rPr>
          <w:rFonts w:cs="Arial"/>
          <w:color w:val="0B0C0C"/>
          <w:sz w:val="23"/>
          <w:szCs w:val="23"/>
        </w:rPr>
        <w:t>co-ordination and efficiency</w:t>
      </w:r>
    </w:p>
    <w:p w14:paraId="68BF182A" w14:textId="0B8B6257" w:rsidR="00496EF9" w:rsidRPr="00496EF9" w:rsidRDefault="00496EF9" w:rsidP="00997FB9">
      <w:pPr>
        <w:shd w:val="clear" w:color="auto" w:fill="FFFFFF"/>
        <w:spacing w:after="75"/>
        <w:jc w:val="both"/>
        <w:rPr>
          <w:rFonts w:cs="Arial"/>
          <w:color w:val="0B0C0C"/>
          <w:sz w:val="23"/>
          <w:szCs w:val="23"/>
        </w:rPr>
      </w:pPr>
      <w:r w:rsidRPr="00496EF9">
        <w:rPr>
          <w:rFonts w:cs="Arial"/>
          <w:color w:val="0B0C0C"/>
          <w:sz w:val="23"/>
          <w:szCs w:val="23"/>
        </w:rPr>
        <w:t xml:space="preserve">In order to maintain these statutory requirements, the Humber and North Yorkshire </w:t>
      </w:r>
      <w:r w:rsidR="00AA74F5">
        <w:rPr>
          <w:rFonts w:cs="Arial"/>
          <w:color w:val="0B0C0C"/>
          <w:sz w:val="23"/>
          <w:szCs w:val="23"/>
        </w:rPr>
        <w:t xml:space="preserve">ICB </w:t>
      </w:r>
      <w:r w:rsidRPr="00496EF9">
        <w:rPr>
          <w:rFonts w:cs="Arial"/>
          <w:color w:val="0B0C0C"/>
          <w:sz w:val="23"/>
          <w:szCs w:val="23"/>
        </w:rPr>
        <w:t xml:space="preserve">will </w:t>
      </w:r>
      <w:r w:rsidR="002E4377">
        <w:rPr>
          <w:rFonts w:cs="Arial"/>
          <w:color w:val="0B0C0C"/>
          <w:sz w:val="23"/>
          <w:szCs w:val="23"/>
        </w:rPr>
        <w:t xml:space="preserve">have in place a dedicated EPRR Team, including EPRR subject matter experts, who will </w:t>
      </w:r>
      <w:r w:rsidRPr="00496EF9">
        <w:rPr>
          <w:rFonts w:cs="Arial"/>
          <w:color w:val="0B0C0C"/>
          <w:sz w:val="23"/>
          <w:szCs w:val="23"/>
        </w:rPr>
        <w:t>work with both health and multi-agency partners to facilitate the coordinated delivery of health resilience in the region.</w:t>
      </w:r>
    </w:p>
    <w:p w14:paraId="28CA5EE8" w14:textId="77777777" w:rsidR="00496EF9" w:rsidRPr="00496EF9" w:rsidRDefault="00496EF9" w:rsidP="00496EF9">
      <w:pPr>
        <w:pStyle w:val="Heading2"/>
        <w:numPr>
          <w:ilvl w:val="0"/>
          <w:numId w:val="0"/>
        </w:numPr>
        <w:ind w:left="851" w:hanging="851"/>
        <w:rPr>
          <w:color w:val="0070C0"/>
          <w:sz w:val="23"/>
          <w:szCs w:val="23"/>
        </w:rPr>
      </w:pPr>
      <w:r w:rsidRPr="00436A1C">
        <w:rPr>
          <w:color w:val="0070C0"/>
          <w:sz w:val="23"/>
          <w:szCs w:val="23"/>
        </w:rPr>
        <w:t>The Humber and North Yorkshire ICB EPRR team</w:t>
      </w:r>
    </w:p>
    <w:p w14:paraId="76A7B68E" w14:textId="32550995" w:rsidR="00496EF9" w:rsidRDefault="00496EF9" w:rsidP="00997FB9">
      <w:pPr>
        <w:jc w:val="both"/>
        <w:rPr>
          <w:rFonts w:cs="Arial"/>
          <w:sz w:val="23"/>
          <w:szCs w:val="23"/>
        </w:rPr>
      </w:pPr>
      <w:r w:rsidRPr="00496EF9">
        <w:rPr>
          <w:rFonts w:cs="Arial"/>
          <w:sz w:val="23"/>
          <w:szCs w:val="23"/>
        </w:rPr>
        <w:t>The Humber and North Yorkshire ICB EPRR Team reports to the</w:t>
      </w:r>
      <w:r w:rsidR="00925C67">
        <w:rPr>
          <w:rFonts w:cs="Arial"/>
          <w:sz w:val="23"/>
          <w:szCs w:val="23"/>
        </w:rPr>
        <w:t xml:space="preserve"> Director of Planning and Performance</w:t>
      </w:r>
      <w:r w:rsidR="004562C5">
        <w:rPr>
          <w:rFonts w:cs="Arial"/>
          <w:sz w:val="23"/>
          <w:szCs w:val="23"/>
        </w:rPr>
        <w:t xml:space="preserve"> but is accountable to the </w:t>
      </w:r>
      <w:r w:rsidRPr="00496EF9">
        <w:rPr>
          <w:rFonts w:cs="Arial"/>
          <w:sz w:val="23"/>
          <w:szCs w:val="23"/>
        </w:rPr>
        <w:t xml:space="preserve">ICB </w:t>
      </w:r>
      <w:r w:rsidR="00EE2DE6">
        <w:rPr>
          <w:rFonts w:cs="Arial"/>
          <w:sz w:val="23"/>
          <w:szCs w:val="23"/>
        </w:rPr>
        <w:t xml:space="preserve">Deputy Chief Executive and </w:t>
      </w:r>
      <w:r w:rsidRPr="00496EF9">
        <w:rPr>
          <w:rFonts w:cs="Arial"/>
          <w:sz w:val="23"/>
          <w:szCs w:val="23"/>
        </w:rPr>
        <w:t>Chief Operating Officer</w:t>
      </w:r>
      <w:r w:rsidR="00997FB9">
        <w:rPr>
          <w:rFonts w:cs="Arial"/>
          <w:sz w:val="23"/>
          <w:szCs w:val="23"/>
        </w:rPr>
        <w:t>, who is the organisational Accountable Emergency Officer.</w:t>
      </w:r>
      <w:r w:rsidRPr="00496EF9">
        <w:rPr>
          <w:rFonts w:cs="Arial"/>
          <w:sz w:val="23"/>
          <w:szCs w:val="23"/>
        </w:rPr>
        <w:t xml:space="preserve"> </w:t>
      </w:r>
      <w:r w:rsidR="004562C5">
        <w:rPr>
          <w:rFonts w:cs="Arial"/>
          <w:sz w:val="23"/>
          <w:szCs w:val="23"/>
        </w:rPr>
        <w:t>The Team</w:t>
      </w:r>
      <w:r w:rsidRPr="00496EF9">
        <w:rPr>
          <w:rFonts w:cs="Arial"/>
          <w:sz w:val="23"/>
          <w:szCs w:val="23"/>
        </w:rPr>
        <w:t xml:space="preserve"> consists of a </w:t>
      </w:r>
      <w:r w:rsidR="002E4377">
        <w:rPr>
          <w:rFonts w:cs="Arial"/>
          <w:sz w:val="23"/>
          <w:szCs w:val="23"/>
        </w:rPr>
        <w:t xml:space="preserve">range of </w:t>
      </w:r>
      <w:r w:rsidRPr="00496EF9">
        <w:rPr>
          <w:rFonts w:cs="Arial"/>
          <w:sz w:val="23"/>
          <w:szCs w:val="23"/>
        </w:rPr>
        <w:t xml:space="preserve">managers, with experience in the field of EPRR / BCM who coordinate </w:t>
      </w:r>
      <w:r w:rsidR="002E4377">
        <w:rPr>
          <w:rFonts w:cs="Arial"/>
          <w:sz w:val="23"/>
          <w:szCs w:val="23"/>
        </w:rPr>
        <w:t xml:space="preserve">and promote </w:t>
      </w:r>
      <w:r w:rsidRPr="00496EF9">
        <w:rPr>
          <w:rFonts w:cs="Arial"/>
          <w:sz w:val="23"/>
          <w:szCs w:val="23"/>
        </w:rPr>
        <w:t>the ICB’s approach and response to EPRR planning and operational delivery</w:t>
      </w:r>
      <w:r w:rsidR="004562C5">
        <w:rPr>
          <w:rFonts w:cs="Arial"/>
          <w:sz w:val="23"/>
          <w:szCs w:val="23"/>
        </w:rPr>
        <w:t xml:space="preserve"> both internally and across the wider Integrated Care System.</w:t>
      </w:r>
      <w:r w:rsidRPr="00496EF9">
        <w:rPr>
          <w:rFonts w:cs="Arial"/>
          <w:sz w:val="23"/>
          <w:szCs w:val="23"/>
        </w:rPr>
        <w:t xml:space="preserve"> The team will act as a focal point for contacts with partner organisations and for internal contacts</w:t>
      </w:r>
      <w:r w:rsidR="004562C5">
        <w:rPr>
          <w:rFonts w:cs="Arial"/>
          <w:sz w:val="23"/>
          <w:szCs w:val="23"/>
        </w:rPr>
        <w:t xml:space="preserve"> regarding the use and implementation of EPRR principles, plans and approaches.</w:t>
      </w:r>
    </w:p>
    <w:p w14:paraId="11CC004B" w14:textId="68B5EE17" w:rsidR="004562C5" w:rsidRDefault="00E526D8" w:rsidP="00997FB9">
      <w:pPr>
        <w:jc w:val="both"/>
        <w:rPr>
          <w:rFonts w:cs="Arial"/>
          <w:sz w:val="23"/>
          <w:szCs w:val="23"/>
        </w:rPr>
      </w:pPr>
      <w:r>
        <w:rPr>
          <w:rFonts w:cs="Arial"/>
          <w:noProof/>
          <w:sz w:val="23"/>
          <w:szCs w:val="23"/>
        </w:rPr>
        <mc:AlternateContent>
          <mc:Choice Requires="wps">
            <w:drawing>
              <wp:anchor distT="0" distB="0" distL="114300" distR="114300" simplePos="0" relativeHeight="251654656" behindDoc="0" locked="0" layoutInCell="1" allowOverlap="1" wp14:anchorId="1E3D7927" wp14:editId="4177FC2A">
                <wp:simplePos x="0" y="0"/>
                <wp:positionH relativeFrom="column">
                  <wp:posOffset>1442085</wp:posOffset>
                </wp:positionH>
                <wp:positionV relativeFrom="paragraph">
                  <wp:posOffset>147320</wp:posOffset>
                </wp:positionV>
                <wp:extent cx="2447925" cy="647700"/>
                <wp:effectExtent l="0" t="0" r="28575" b="19050"/>
                <wp:wrapNone/>
                <wp:docPr id="490323928" name="Rectangle: Rounded Corners 11"/>
                <wp:cNvGraphicFramePr/>
                <a:graphic xmlns:a="http://schemas.openxmlformats.org/drawingml/2006/main">
                  <a:graphicData uri="http://schemas.microsoft.com/office/word/2010/wordprocessingShape">
                    <wps:wsp>
                      <wps:cNvSpPr/>
                      <wps:spPr>
                        <a:xfrm>
                          <a:off x="0" y="0"/>
                          <a:ext cx="2447925" cy="64770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7E7CDB0" w14:textId="4EF878E0" w:rsidR="00E526D8" w:rsidRDefault="00E526D8" w:rsidP="00F868D4">
                            <w:pPr>
                              <w:jc w:val="center"/>
                            </w:pPr>
                            <w:r>
                              <w:t>Deputy Chief Executive and Chief Operating Officer (AEO)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E3D7927" id="Rectangle: Rounded Corners 11" o:spid="_x0000_s1026" style="position:absolute;left:0;text-align:left;margin-left:113.55pt;margin-top:11.6pt;width:192.75pt;height:51pt;z-index:2516546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" fillcolor="#4f81bd [3204]" strokecolor="#0a121c [484]" strokeweight="2pt">
                <v:textbox>
                  <w:txbxContent>
                    <w:p w14:paraId="77E7CDB0" w14:textId="4EF878E0" w:rsidR="00E526D8" w:rsidRDefault="00E526D8" w:rsidP="00F868D4">
                      <w:pPr>
                        <w:jc w:val="center"/>
                      </w:pPr>
                      <w:r>
                        <w:t>Deputy Chief Executive and Chief Operating Officer (AEO)</w:t>
                      </w:r>
                    </w:p>
                  </w:txbxContent>
                </v:textbox>
              </v:roundrect>
            </w:pict>
          </mc:Fallback>
        </mc:AlternateContent>
      </w:r>
    </w:p>
    <w:p w14:paraId="084B48B3" w14:textId="035D5A78" w:rsidR="00AB67C4" w:rsidRDefault="00AB67C4" w:rsidP="00997FB9">
      <w:pPr>
        <w:jc w:val="both"/>
        <w:rPr>
          <w:rFonts w:cs="Arial"/>
          <w:sz w:val="23"/>
          <w:szCs w:val="23"/>
        </w:rPr>
      </w:pPr>
    </w:p>
    <w:p w14:paraId="3226D68C" w14:textId="44FD1287" w:rsidR="006167C0" w:rsidRDefault="006167C0" w:rsidP="00496EF9">
      <w:pPr>
        <w:rPr>
          <w:rFonts w:cs="Arial"/>
          <w:sz w:val="23"/>
          <w:szCs w:val="23"/>
        </w:rPr>
      </w:pPr>
    </w:p>
    <w:p w14:paraId="2F40D2E9" w14:textId="0FF2BB36" w:rsidR="006167C0" w:rsidRDefault="006167C0" w:rsidP="00496EF9">
      <w:pPr>
        <w:rPr>
          <w:rFonts w:cs="Arial"/>
          <w:sz w:val="23"/>
          <w:szCs w:val="23"/>
        </w:rPr>
      </w:pPr>
    </w:p>
    <w:p w14:paraId="35E23853" w14:textId="7C20C1C3" w:rsidR="006167C0" w:rsidRDefault="00A17897" w:rsidP="00496EF9">
      <w:pPr>
        <w:rPr>
          <w:rFonts w:cs="Arial"/>
          <w:sz w:val="23"/>
          <w:szCs w:val="23"/>
        </w:rPr>
      </w:pPr>
      <w:r>
        <w:rPr>
          <w:rFonts w:cs="Arial"/>
          <w:noProof/>
          <w:sz w:val="23"/>
          <w:szCs w:val="23"/>
        </w:rPr>
        <mc:AlternateContent>
          <mc:Choice Requires="wps">
            <w:drawing>
              <wp:anchor distT="0" distB="0" distL="114300" distR="114300" simplePos="0" relativeHeight="251685888" behindDoc="0" locked="0" layoutInCell="1" allowOverlap="1" wp14:anchorId="0FB64E7A" wp14:editId="08D2A2D2">
                <wp:simplePos x="0" y="0"/>
                <wp:positionH relativeFrom="column">
                  <wp:posOffset>2575560</wp:posOffset>
                </wp:positionH>
                <wp:positionV relativeFrom="paragraph">
                  <wp:posOffset>123190</wp:posOffset>
                </wp:positionV>
                <wp:extent cx="0" cy="142875"/>
                <wp:effectExtent l="76200" t="0" r="57150" b="47625"/>
                <wp:wrapNone/>
                <wp:docPr id="2082974033" name="Straight Arrow Connector 12"/>
                <wp:cNvGraphicFramePr/>
                <a:graphic xmlns:a="http://schemas.openxmlformats.org/drawingml/2006/main">
                  <a:graphicData uri="http://schemas.microsoft.com/office/word/2010/wordprocessingShape">
                    <wps:wsp>
                      <wps:cNvCnPr/>
                      <wps:spPr>
                        <a:xfrm>
                          <a:off x="0" y="0"/>
                          <a:ext cx="0" cy="142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8D3C891" id="_x0000_t32" coordsize="21600,21600" o:spt="32" o:oned="t" path="m,l21600,21600e" filled="f">
                <v:path arrowok="t" fillok="f" o:connecttype="none"/>
                <o:lock v:ext="edit" shapetype="t"/>
              </v:shapetype>
              <v:shape id="Straight Arrow Connector 12" o:spid="_x0000_s1026" type="#_x0000_t32" style="position:absolute;margin-left:202.8pt;margin-top:9.7pt;width:0;height:11.2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" strokecolor="#4579b8 [3044]">
                <v:stroke endarrow="block"/>
              </v:shape>
            </w:pict>
          </mc:Fallback>
        </mc:AlternateContent>
      </w:r>
    </w:p>
    <w:p w14:paraId="4A5D0AEA" w14:textId="2F64700E" w:rsidR="006167C0" w:rsidRDefault="00A17897" w:rsidP="00496EF9">
      <w:pPr>
        <w:rPr>
          <w:rFonts w:cs="Arial"/>
          <w:sz w:val="23"/>
          <w:szCs w:val="23"/>
        </w:rPr>
      </w:pPr>
      <w:r>
        <w:rPr>
          <w:rFonts w:cs="Arial"/>
          <w:noProof/>
          <w:sz w:val="23"/>
          <w:szCs w:val="23"/>
        </w:rPr>
        <mc:AlternateContent>
          <mc:Choice Requires="wps">
            <w:drawing>
              <wp:anchor distT="0" distB="0" distL="114300" distR="114300" simplePos="0" relativeHeight="251657728" behindDoc="0" locked="0" layoutInCell="1" allowOverlap="1" wp14:anchorId="366D9395" wp14:editId="587C9384">
                <wp:simplePos x="0" y="0"/>
                <wp:positionH relativeFrom="column">
                  <wp:posOffset>1442085</wp:posOffset>
                </wp:positionH>
                <wp:positionV relativeFrom="paragraph">
                  <wp:posOffset>97790</wp:posOffset>
                </wp:positionV>
                <wp:extent cx="2447925" cy="647700"/>
                <wp:effectExtent l="0" t="0" r="28575" b="19050"/>
                <wp:wrapNone/>
                <wp:docPr id="1122800141" name="Rectangle: Rounded Corners 11"/>
                <wp:cNvGraphicFramePr/>
                <a:graphic xmlns:a="http://schemas.openxmlformats.org/drawingml/2006/main">
                  <a:graphicData uri="http://schemas.microsoft.com/office/word/2010/wordprocessingShape">
                    <wps:wsp>
                      <wps:cNvSpPr/>
                      <wps:spPr>
                        <a:xfrm>
                          <a:off x="0" y="0"/>
                          <a:ext cx="2447925" cy="64770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6D69325" w14:textId="1D8F073F" w:rsidR="00E526D8" w:rsidRDefault="00E526D8" w:rsidP="00F868D4">
                            <w:pPr>
                              <w:jc w:val="center"/>
                            </w:pPr>
                            <w:r>
                              <w:t>Director of Planning and Performance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66D9395" id="_x0000_s1027" style="position:absolute;margin-left:113.55pt;margin-top:7.7pt;width:192.75pt;height:51pt;z-index:2516577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" fillcolor="#4f81bd [3204]" strokecolor="#0a121c [484]" strokeweight="2pt">
                <v:textbox>
                  <w:txbxContent>
                    <w:p w14:paraId="56D69325" w14:textId="1D8F073F" w:rsidR="00E526D8" w:rsidRDefault="00E526D8" w:rsidP="00F868D4">
                      <w:pPr>
                        <w:jc w:val="center"/>
                      </w:pPr>
                      <w:r>
                        <w:t>Director of Planning and Performance</w:t>
                      </w:r>
                    </w:p>
                  </w:txbxContent>
                </v:textbox>
              </v:roundrect>
            </w:pict>
          </mc:Fallback>
        </mc:AlternateContent>
      </w:r>
    </w:p>
    <w:p w14:paraId="24B1509F" w14:textId="0578AA83" w:rsidR="006167C0" w:rsidRDefault="00A17897" w:rsidP="00496EF9">
      <w:pPr>
        <w:rPr>
          <w:rFonts w:cs="Arial"/>
          <w:sz w:val="23"/>
          <w:szCs w:val="23"/>
        </w:rPr>
      </w:pPr>
      <w:r>
        <w:rPr>
          <w:rFonts w:cs="Arial"/>
          <w:noProof/>
          <w:sz w:val="23"/>
          <w:szCs w:val="23"/>
        </w:rPr>
        <mc:AlternateContent>
          <mc:Choice Requires="wps">
            <w:drawing>
              <wp:anchor distT="0" distB="0" distL="114300" distR="114300" simplePos="0" relativeHeight="251678208" behindDoc="0" locked="0" layoutInCell="1" allowOverlap="1" wp14:anchorId="11302B33" wp14:editId="21B8CBBD">
                <wp:simplePos x="0" y="0"/>
                <wp:positionH relativeFrom="column">
                  <wp:posOffset>-167641</wp:posOffset>
                </wp:positionH>
                <wp:positionV relativeFrom="paragraph">
                  <wp:posOffset>187325</wp:posOffset>
                </wp:positionV>
                <wp:extent cx="1609725" cy="2552700"/>
                <wp:effectExtent l="38100" t="0" r="28575" b="57150"/>
                <wp:wrapNone/>
                <wp:docPr id="211965439" name="Straight Arrow Connector 16"/>
                <wp:cNvGraphicFramePr/>
                <a:graphic xmlns:a="http://schemas.openxmlformats.org/drawingml/2006/main">
                  <a:graphicData uri="http://schemas.microsoft.com/office/word/2010/wordprocessingShape">
                    <wps:wsp>
                      <wps:cNvCnPr/>
                      <wps:spPr>
                        <a:xfrm flipH="1">
                          <a:off x="0" y="0"/>
                          <a:ext cx="1609725" cy="2552700"/>
                        </a:xfrm>
                        <a:prstGeom prst="straightConnector1">
                          <a:avLst/>
                        </a:prstGeom>
                        <a:ln>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D575A5" id="Straight Arrow Connector 16" o:spid="_x0000_s1026" type="#_x0000_t32" style="position:absolute;margin-left:-13.2pt;margin-top:14.75pt;width:126.75pt;height:201pt;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" strokecolor="#4579b8 [3044]">
                <v:stroke dashstyle="dash" endarrow="block"/>
              </v:shape>
            </w:pict>
          </mc:Fallback>
        </mc:AlternateContent>
      </w:r>
    </w:p>
    <w:p w14:paraId="4F8698F6" w14:textId="3B2BA759" w:rsidR="006167C0" w:rsidRDefault="006167C0" w:rsidP="00496EF9">
      <w:pPr>
        <w:rPr>
          <w:rFonts w:cs="Arial"/>
          <w:sz w:val="23"/>
          <w:szCs w:val="23"/>
        </w:rPr>
      </w:pPr>
    </w:p>
    <w:p w14:paraId="178C2F64" w14:textId="0832E80B" w:rsidR="006167C0" w:rsidRDefault="006167C0" w:rsidP="00496EF9">
      <w:pPr>
        <w:rPr>
          <w:rFonts w:cs="Arial"/>
          <w:sz w:val="23"/>
          <w:szCs w:val="23"/>
        </w:rPr>
      </w:pPr>
    </w:p>
    <w:p w14:paraId="470BBD09" w14:textId="6DB560B0" w:rsidR="00997FB9" w:rsidRDefault="00A17897" w:rsidP="00496EF9">
      <w:pPr>
        <w:rPr>
          <w:rFonts w:cs="Arial"/>
          <w:sz w:val="23"/>
          <w:szCs w:val="23"/>
        </w:rPr>
      </w:pPr>
      <w:r>
        <w:rPr>
          <w:rFonts w:cs="Arial"/>
          <w:noProof/>
          <w:sz w:val="23"/>
          <w:szCs w:val="23"/>
        </w:rPr>
        <mc:AlternateContent>
          <mc:Choice Requires="wps">
            <w:drawing>
              <wp:anchor distT="0" distB="0" distL="114300" distR="114300" simplePos="0" relativeHeight="251686912" behindDoc="0" locked="0" layoutInCell="1" allowOverlap="1" wp14:anchorId="624B30DA" wp14:editId="583898C2">
                <wp:simplePos x="0" y="0"/>
                <wp:positionH relativeFrom="column">
                  <wp:posOffset>2575560</wp:posOffset>
                </wp:positionH>
                <wp:positionV relativeFrom="paragraph">
                  <wp:posOffset>73660</wp:posOffset>
                </wp:positionV>
                <wp:extent cx="0" cy="142875"/>
                <wp:effectExtent l="76200" t="0" r="57150" b="47625"/>
                <wp:wrapNone/>
                <wp:docPr id="855687710" name="Straight Arrow Connector 13"/>
                <wp:cNvGraphicFramePr/>
                <a:graphic xmlns:a="http://schemas.openxmlformats.org/drawingml/2006/main">
                  <a:graphicData uri="http://schemas.microsoft.com/office/word/2010/wordprocessingShape">
                    <wps:wsp>
                      <wps:cNvCnPr/>
                      <wps:spPr>
                        <a:xfrm>
                          <a:off x="0" y="0"/>
                          <a:ext cx="0" cy="142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76CA178" id="Straight Arrow Connector 13" o:spid="_x0000_s1026" type="#_x0000_t32" style="position:absolute;margin-left:202.8pt;margin-top:5.8pt;width:0;height:11.2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" strokecolor="#4579b8 [3044]">
                <v:stroke endarrow="block"/>
              </v:shape>
            </w:pict>
          </mc:Fallback>
        </mc:AlternateContent>
      </w:r>
    </w:p>
    <w:p w14:paraId="219D620B" w14:textId="14BFC824" w:rsidR="000F30F8" w:rsidRDefault="00A17897" w:rsidP="00496EF9">
      <w:pPr>
        <w:rPr>
          <w:rFonts w:cs="Arial"/>
          <w:sz w:val="23"/>
          <w:szCs w:val="23"/>
        </w:rPr>
      </w:pPr>
      <w:r>
        <w:rPr>
          <w:rFonts w:cs="Arial"/>
          <w:noProof/>
          <w:sz w:val="23"/>
          <w:szCs w:val="23"/>
        </w:rPr>
        <mc:AlternateContent>
          <mc:Choice Requires="wps">
            <w:drawing>
              <wp:anchor distT="0" distB="0" distL="114300" distR="114300" simplePos="0" relativeHeight="251691008" behindDoc="0" locked="0" layoutInCell="1" allowOverlap="1" wp14:anchorId="0CA5138D" wp14:editId="59D3E81E">
                <wp:simplePos x="0" y="0"/>
                <wp:positionH relativeFrom="column">
                  <wp:posOffset>1175385</wp:posOffset>
                </wp:positionH>
                <wp:positionV relativeFrom="paragraph">
                  <wp:posOffset>48895</wp:posOffset>
                </wp:positionV>
                <wp:extent cx="114300" cy="2257425"/>
                <wp:effectExtent l="0" t="0" r="19050" b="28575"/>
                <wp:wrapNone/>
                <wp:docPr id="588541097" name="Left Brace 17"/>
                <wp:cNvGraphicFramePr/>
                <a:graphic xmlns:a="http://schemas.openxmlformats.org/drawingml/2006/main">
                  <a:graphicData uri="http://schemas.microsoft.com/office/word/2010/wordprocessingShape">
                    <wps:wsp>
                      <wps:cNvSpPr/>
                      <wps:spPr>
                        <a:xfrm>
                          <a:off x="0" y="0"/>
                          <a:ext cx="114300" cy="225742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0DA3DB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7" o:spid="_x0000_s1026" type="#_x0000_t87" style="position:absolute;margin-left:92.55pt;margin-top:3.85pt;width:9pt;height:177.7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" adj="91" strokecolor="#4579b8 [3044]"/>
            </w:pict>
          </mc:Fallback>
        </mc:AlternateContent>
      </w:r>
      <w:r>
        <w:rPr>
          <w:rFonts w:cs="Arial"/>
          <w:noProof/>
          <w:sz w:val="23"/>
          <w:szCs w:val="23"/>
        </w:rPr>
        <mc:AlternateContent>
          <mc:Choice Requires="wps">
            <w:drawing>
              <wp:anchor distT="0" distB="0" distL="114300" distR="114300" simplePos="0" relativeHeight="251661824" behindDoc="0" locked="0" layoutInCell="1" allowOverlap="1" wp14:anchorId="0D254330" wp14:editId="7EBB35E8">
                <wp:simplePos x="0" y="0"/>
                <wp:positionH relativeFrom="column">
                  <wp:posOffset>1438275</wp:posOffset>
                </wp:positionH>
                <wp:positionV relativeFrom="paragraph">
                  <wp:posOffset>50165</wp:posOffset>
                </wp:positionV>
                <wp:extent cx="2447925" cy="647700"/>
                <wp:effectExtent l="0" t="0" r="28575" b="19050"/>
                <wp:wrapNone/>
                <wp:docPr id="942163396" name="Rectangle: Rounded Corners 11"/>
                <wp:cNvGraphicFramePr/>
                <a:graphic xmlns:a="http://schemas.openxmlformats.org/drawingml/2006/main">
                  <a:graphicData uri="http://schemas.microsoft.com/office/word/2010/wordprocessingShape">
                    <wps:wsp>
                      <wps:cNvSpPr/>
                      <wps:spPr>
                        <a:xfrm>
                          <a:off x="0" y="0"/>
                          <a:ext cx="2447925" cy="64770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6746E6A" w14:textId="1E79E19C" w:rsidR="00E526D8" w:rsidRDefault="00E526D8" w:rsidP="00F868D4">
                            <w:pPr>
                              <w:jc w:val="center"/>
                            </w:pPr>
                            <w:r>
                              <w:t>Head of Resilience and Operations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D254330" id="_x0000_s1028" style="position:absolute;margin-left:113.25pt;margin-top:3.95pt;width:192.75pt;height:51pt;z-index:2516618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" fillcolor="#4f81bd [3204]" strokecolor="#0a121c [484]" strokeweight="2pt">
                <v:textbox>
                  <w:txbxContent>
                    <w:p w14:paraId="76746E6A" w14:textId="1E79E19C" w:rsidR="00E526D8" w:rsidRDefault="00E526D8" w:rsidP="00F868D4">
                      <w:pPr>
                        <w:jc w:val="center"/>
                      </w:pPr>
                      <w:r>
                        <w:t>Head of Resilience and Operations</w:t>
                      </w:r>
                    </w:p>
                  </w:txbxContent>
                </v:textbox>
              </v:roundrect>
            </w:pict>
          </mc:Fallback>
        </mc:AlternateContent>
      </w:r>
    </w:p>
    <w:p w14:paraId="639FBF7F" w14:textId="1C6DD982" w:rsidR="006167C0" w:rsidRDefault="006167C0" w:rsidP="00496EF9">
      <w:pPr>
        <w:rPr>
          <w:rFonts w:cs="Arial"/>
          <w:sz w:val="23"/>
          <w:szCs w:val="23"/>
        </w:rPr>
      </w:pPr>
    </w:p>
    <w:p w14:paraId="5C352A20" w14:textId="7062DC5B" w:rsidR="006167C0" w:rsidRDefault="006167C0" w:rsidP="00496EF9">
      <w:pPr>
        <w:rPr>
          <w:rFonts w:cs="Arial"/>
          <w:sz w:val="23"/>
          <w:szCs w:val="23"/>
        </w:rPr>
      </w:pPr>
    </w:p>
    <w:p w14:paraId="0EFE7848" w14:textId="7609B1E5" w:rsidR="006167C0" w:rsidRDefault="006167C0" w:rsidP="00496EF9">
      <w:pPr>
        <w:rPr>
          <w:rFonts w:cs="Arial"/>
          <w:sz w:val="23"/>
          <w:szCs w:val="23"/>
        </w:rPr>
      </w:pPr>
    </w:p>
    <w:p w14:paraId="1DB66179" w14:textId="055F1443" w:rsidR="006167C0" w:rsidRDefault="00A17897" w:rsidP="00496EF9">
      <w:pPr>
        <w:rPr>
          <w:rFonts w:cs="Arial"/>
          <w:sz w:val="23"/>
          <w:szCs w:val="23"/>
        </w:rPr>
      </w:pPr>
      <w:r>
        <w:rPr>
          <w:rFonts w:cs="Arial"/>
          <w:noProof/>
          <w:sz w:val="23"/>
          <w:szCs w:val="23"/>
        </w:rPr>
        <mc:AlternateContent>
          <mc:Choice Requires="wps">
            <w:drawing>
              <wp:anchor distT="0" distB="0" distL="114300" distR="114300" simplePos="0" relativeHeight="251675136" behindDoc="0" locked="0" layoutInCell="1" allowOverlap="1" wp14:anchorId="2B98F109" wp14:editId="35DD6EAC">
                <wp:simplePos x="0" y="0"/>
                <wp:positionH relativeFrom="column">
                  <wp:posOffset>2575560</wp:posOffset>
                </wp:positionH>
                <wp:positionV relativeFrom="paragraph">
                  <wp:posOffset>24765</wp:posOffset>
                </wp:positionV>
                <wp:extent cx="0" cy="171450"/>
                <wp:effectExtent l="76200" t="0" r="57150" b="57150"/>
                <wp:wrapNone/>
                <wp:docPr id="1753435313" name="Straight Arrow Connector 14"/>
                <wp:cNvGraphicFramePr/>
                <a:graphic xmlns:a="http://schemas.openxmlformats.org/drawingml/2006/main">
                  <a:graphicData uri="http://schemas.microsoft.com/office/word/2010/wordprocessingShape">
                    <wps:wsp>
                      <wps:cNvCnPr/>
                      <wps:spPr>
                        <a:xfrm>
                          <a:off x="0" y="0"/>
                          <a:ext cx="0" cy="171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7B47FB" id="Straight Arrow Connector 14" o:spid="_x0000_s1026" type="#_x0000_t32" style="position:absolute;margin-left:202.8pt;margin-top:1.95pt;width:0;height:13.5pt;z-index:251675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" strokecolor="#4579b8 [3044]">
                <v:stroke endarrow="block"/>
              </v:shape>
            </w:pict>
          </mc:Fallback>
        </mc:AlternateContent>
      </w:r>
    </w:p>
    <w:p w14:paraId="492E8450" w14:textId="3244961F" w:rsidR="000F30F8" w:rsidRDefault="00A17897" w:rsidP="00496EF9">
      <w:pPr>
        <w:rPr>
          <w:rFonts w:cs="Arial"/>
          <w:sz w:val="23"/>
          <w:szCs w:val="23"/>
        </w:rPr>
      </w:pPr>
      <w:r>
        <w:rPr>
          <w:rFonts w:cs="Arial"/>
          <w:noProof/>
          <w:sz w:val="23"/>
          <w:szCs w:val="23"/>
        </w:rPr>
        <mc:AlternateContent>
          <mc:Choice Requires="wps">
            <w:drawing>
              <wp:anchor distT="0" distB="0" distL="114300" distR="114300" simplePos="0" relativeHeight="251692032" behindDoc="0" locked="0" layoutInCell="1" allowOverlap="1" wp14:anchorId="0C40032C" wp14:editId="1DBBFEA1">
                <wp:simplePos x="0" y="0"/>
                <wp:positionH relativeFrom="column">
                  <wp:posOffset>375284</wp:posOffset>
                </wp:positionH>
                <wp:positionV relativeFrom="paragraph">
                  <wp:posOffset>27940</wp:posOffset>
                </wp:positionV>
                <wp:extent cx="866775" cy="1152525"/>
                <wp:effectExtent l="38100" t="0" r="28575" b="47625"/>
                <wp:wrapNone/>
                <wp:docPr id="48214828" name="Straight Arrow Connector 18"/>
                <wp:cNvGraphicFramePr/>
                <a:graphic xmlns:a="http://schemas.openxmlformats.org/drawingml/2006/main">
                  <a:graphicData uri="http://schemas.microsoft.com/office/word/2010/wordprocessingShape">
                    <wps:wsp>
                      <wps:cNvCnPr/>
                      <wps:spPr>
                        <a:xfrm flipH="1">
                          <a:off x="0" y="0"/>
                          <a:ext cx="866775" cy="1152525"/>
                        </a:xfrm>
                        <a:prstGeom prst="straightConnector1">
                          <a:avLst/>
                        </a:prstGeom>
                        <a:ln>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84DE02" id="Straight Arrow Connector 18" o:spid="_x0000_s1026" type="#_x0000_t32" style="position:absolute;margin-left:29.55pt;margin-top:2.2pt;width:68.25pt;height:90.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" strokecolor="#4579b8 [3044]">
                <v:stroke dashstyle="dash" endarrow="block"/>
              </v:shape>
            </w:pict>
          </mc:Fallback>
        </mc:AlternateContent>
      </w:r>
      <w:r>
        <w:rPr>
          <w:rFonts w:cs="Arial"/>
          <w:noProof/>
          <w:sz w:val="23"/>
          <w:szCs w:val="23"/>
        </w:rPr>
        <mc:AlternateContent>
          <mc:Choice Requires="wps">
            <w:drawing>
              <wp:anchor distT="0" distB="0" distL="114300" distR="114300" simplePos="0" relativeHeight="251666944" behindDoc="0" locked="0" layoutInCell="1" allowOverlap="1" wp14:anchorId="7C7DDE68" wp14:editId="59998A84">
                <wp:simplePos x="0" y="0"/>
                <wp:positionH relativeFrom="column">
                  <wp:posOffset>1438275</wp:posOffset>
                </wp:positionH>
                <wp:positionV relativeFrom="paragraph">
                  <wp:posOffset>24130</wp:posOffset>
                </wp:positionV>
                <wp:extent cx="2447925" cy="647700"/>
                <wp:effectExtent l="0" t="0" r="28575" b="19050"/>
                <wp:wrapNone/>
                <wp:docPr id="1526428847" name="Rectangle: Rounded Corners 11"/>
                <wp:cNvGraphicFramePr/>
                <a:graphic xmlns:a="http://schemas.openxmlformats.org/drawingml/2006/main">
                  <a:graphicData uri="http://schemas.microsoft.com/office/word/2010/wordprocessingShape">
                    <wps:wsp>
                      <wps:cNvSpPr/>
                      <wps:spPr>
                        <a:xfrm>
                          <a:off x="0" y="0"/>
                          <a:ext cx="2447925" cy="64770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D456F8C" w14:textId="25B98CFB" w:rsidR="00E526D8" w:rsidRDefault="00A17897" w:rsidP="00F868D4">
                            <w:pPr>
                              <w:jc w:val="center"/>
                            </w:pPr>
                            <w:r>
                              <w:t>Senior EPRR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C7DDE68" id="_x0000_s1029" style="position:absolute;margin-left:113.25pt;margin-top:1.9pt;width:192.75pt;height:51pt;z-index:2516669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" fillcolor="#4f81bd [3204]" strokecolor="#0a121c [484]" strokeweight="2pt">
                <v:textbox>
                  <w:txbxContent>
                    <w:p w14:paraId="0D456F8C" w14:textId="25B98CFB" w:rsidR="00E526D8" w:rsidRDefault="00A17897" w:rsidP="00F868D4">
                      <w:pPr>
                        <w:jc w:val="center"/>
                      </w:pPr>
                      <w:r>
                        <w:t>Senior EPRR Manager</w:t>
                      </w:r>
                    </w:p>
                  </w:txbxContent>
                </v:textbox>
              </v:roundrect>
            </w:pict>
          </mc:Fallback>
        </mc:AlternateContent>
      </w:r>
    </w:p>
    <w:p w14:paraId="57253A27" w14:textId="0BD849B4" w:rsidR="00E526D8" w:rsidRDefault="00E526D8" w:rsidP="00496EF9">
      <w:pPr>
        <w:rPr>
          <w:rFonts w:cs="Arial"/>
          <w:sz w:val="23"/>
          <w:szCs w:val="23"/>
        </w:rPr>
      </w:pPr>
    </w:p>
    <w:p w14:paraId="375A1BC8" w14:textId="5F4D2F01" w:rsidR="00E526D8" w:rsidRDefault="00E526D8" w:rsidP="00496EF9">
      <w:pPr>
        <w:rPr>
          <w:rFonts w:cs="Arial"/>
          <w:sz w:val="23"/>
          <w:szCs w:val="23"/>
        </w:rPr>
      </w:pPr>
    </w:p>
    <w:p w14:paraId="2347BB9D" w14:textId="7E7F87DE" w:rsidR="00A17897" w:rsidRDefault="00A17897" w:rsidP="00496EF9">
      <w:pPr>
        <w:rPr>
          <w:rFonts w:cs="Arial"/>
          <w:sz w:val="23"/>
          <w:szCs w:val="23"/>
        </w:rPr>
      </w:pPr>
      <w:r>
        <w:rPr>
          <w:rFonts w:cs="Arial"/>
          <w:noProof/>
          <w:sz w:val="23"/>
          <w:szCs w:val="23"/>
        </w:rPr>
        <mc:AlternateContent>
          <mc:Choice Requires="wps">
            <w:drawing>
              <wp:anchor distT="0" distB="0" distL="114300" distR="114300" simplePos="0" relativeHeight="251676160" behindDoc="0" locked="0" layoutInCell="1" allowOverlap="1" wp14:anchorId="7D8C39D2" wp14:editId="411D9949">
                <wp:simplePos x="0" y="0"/>
                <wp:positionH relativeFrom="column">
                  <wp:posOffset>2575560</wp:posOffset>
                </wp:positionH>
                <wp:positionV relativeFrom="paragraph">
                  <wp:posOffset>172085</wp:posOffset>
                </wp:positionV>
                <wp:extent cx="0" cy="142875"/>
                <wp:effectExtent l="76200" t="0" r="57150" b="47625"/>
                <wp:wrapNone/>
                <wp:docPr id="572933576" name="Straight Arrow Connector 15"/>
                <wp:cNvGraphicFramePr/>
                <a:graphic xmlns:a="http://schemas.openxmlformats.org/drawingml/2006/main">
                  <a:graphicData uri="http://schemas.microsoft.com/office/word/2010/wordprocessingShape">
                    <wps:wsp>
                      <wps:cNvCnPr/>
                      <wps:spPr>
                        <a:xfrm>
                          <a:off x="0" y="0"/>
                          <a:ext cx="0" cy="142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1CF449" id="Straight Arrow Connector 15" o:spid="_x0000_s1026" type="#_x0000_t32" style="position:absolute;margin-left:202.8pt;margin-top:13.55pt;width:0;height:11.25pt;z-index:251676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" strokecolor="#4579b8 [3044]">
                <v:stroke endarrow="block"/>
              </v:shape>
            </w:pict>
          </mc:Fallback>
        </mc:AlternateContent>
      </w:r>
    </w:p>
    <w:p w14:paraId="0D0A644D" w14:textId="19636DD3" w:rsidR="00E526D8" w:rsidRDefault="00A17897" w:rsidP="00496EF9">
      <w:pPr>
        <w:rPr>
          <w:rFonts w:cs="Arial"/>
          <w:sz w:val="23"/>
          <w:szCs w:val="23"/>
        </w:rPr>
      </w:pPr>
      <w:r>
        <w:rPr>
          <w:rFonts w:cs="Arial"/>
          <w:noProof/>
          <w:sz w:val="23"/>
          <w:szCs w:val="23"/>
        </w:rPr>
        <mc:AlternateContent>
          <mc:Choice Requires="wps">
            <w:drawing>
              <wp:anchor distT="0" distB="0" distL="114300" distR="114300" simplePos="0" relativeHeight="251668992" behindDoc="0" locked="0" layoutInCell="1" allowOverlap="1" wp14:anchorId="0CB5F79F" wp14:editId="36E59DFA">
                <wp:simplePos x="0" y="0"/>
                <wp:positionH relativeFrom="column">
                  <wp:posOffset>1438275</wp:posOffset>
                </wp:positionH>
                <wp:positionV relativeFrom="paragraph">
                  <wp:posOffset>142875</wp:posOffset>
                </wp:positionV>
                <wp:extent cx="2447925" cy="647700"/>
                <wp:effectExtent l="0" t="0" r="28575" b="19050"/>
                <wp:wrapNone/>
                <wp:docPr id="1805132991" name="Rectangle: Rounded Corners 11"/>
                <wp:cNvGraphicFramePr/>
                <a:graphic xmlns:a="http://schemas.openxmlformats.org/drawingml/2006/main">
                  <a:graphicData uri="http://schemas.microsoft.com/office/word/2010/wordprocessingShape">
                    <wps:wsp>
                      <wps:cNvSpPr/>
                      <wps:spPr>
                        <a:xfrm>
                          <a:off x="0" y="0"/>
                          <a:ext cx="2447925" cy="64770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6FB75F1" w14:textId="62A8EA8F" w:rsidR="00A17897" w:rsidRDefault="00A17897" w:rsidP="00F868D4">
                            <w:pPr>
                              <w:jc w:val="center"/>
                            </w:pPr>
                            <w:r>
                              <w:t>EPRR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CB5F79F" id="_x0000_s1030" style="position:absolute;margin-left:113.25pt;margin-top:11.25pt;width:192.75pt;height:51pt;z-index:2516689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" fillcolor="#4f81bd [3204]" strokecolor="#0a121c [484]" strokeweight="2pt">
                <v:textbox>
                  <w:txbxContent>
                    <w:p w14:paraId="46FB75F1" w14:textId="62A8EA8F" w:rsidR="00A17897" w:rsidRDefault="00A17897" w:rsidP="00F868D4">
                      <w:pPr>
                        <w:jc w:val="center"/>
                      </w:pPr>
                      <w:r>
                        <w:t>EPRR Manager</w:t>
                      </w:r>
                    </w:p>
                  </w:txbxContent>
                </v:textbox>
              </v:roundrect>
            </w:pict>
          </mc:Fallback>
        </mc:AlternateContent>
      </w:r>
    </w:p>
    <w:p w14:paraId="6CFBB37B" w14:textId="510AB9BC" w:rsidR="002C22A0" w:rsidRDefault="002C22A0" w:rsidP="00AB67C4">
      <w:pPr>
        <w:rPr>
          <w:color w:val="0070C0"/>
          <w:sz w:val="23"/>
          <w:szCs w:val="23"/>
        </w:rPr>
      </w:pPr>
    </w:p>
    <w:p w14:paraId="063CBBAA" w14:textId="3D93F8DA" w:rsidR="00A17897" w:rsidRDefault="00A17897" w:rsidP="00AB67C4">
      <w:pPr>
        <w:rPr>
          <w:color w:val="0070C0"/>
          <w:sz w:val="23"/>
          <w:szCs w:val="23"/>
        </w:rPr>
      </w:pPr>
    </w:p>
    <w:p w14:paraId="34BFDCCA" w14:textId="6B5BCF64" w:rsidR="00A17897" w:rsidRDefault="00A17897" w:rsidP="00AB67C4">
      <w:pPr>
        <w:rPr>
          <w:color w:val="0070C0"/>
          <w:sz w:val="23"/>
          <w:szCs w:val="23"/>
        </w:rPr>
      </w:pPr>
      <w:r>
        <w:rPr>
          <w:rFonts w:cs="Arial"/>
          <w:noProof/>
          <w:sz w:val="23"/>
          <w:szCs w:val="23"/>
        </w:rPr>
        <mc:AlternateContent>
          <mc:Choice Requires="wps">
            <w:drawing>
              <wp:anchor distT="0" distB="0" distL="114300" distR="114300" simplePos="0" relativeHeight="251674112" behindDoc="0" locked="0" layoutInCell="1" allowOverlap="1" wp14:anchorId="0071A095" wp14:editId="6B0C30A7">
                <wp:simplePos x="0" y="0"/>
                <wp:positionH relativeFrom="column">
                  <wp:posOffset>-567690</wp:posOffset>
                </wp:positionH>
                <wp:positionV relativeFrom="paragraph">
                  <wp:posOffset>147955</wp:posOffset>
                </wp:positionV>
                <wp:extent cx="1676400" cy="819150"/>
                <wp:effectExtent l="0" t="0" r="19050" b="19050"/>
                <wp:wrapNone/>
                <wp:docPr id="1009661079" name="Rectangle: Rounded Corners 11"/>
                <wp:cNvGraphicFramePr/>
                <a:graphic xmlns:a="http://schemas.openxmlformats.org/drawingml/2006/main">
                  <a:graphicData uri="http://schemas.microsoft.com/office/word/2010/wordprocessingShape">
                    <wps:wsp>
                      <wps:cNvSpPr/>
                      <wps:spPr>
                        <a:xfrm>
                          <a:off x="0" y="0"/>
                          <a:ext cx="1676400" cy="8191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EBB3954" w14:textId="0D21C53A" w:rsidR="00A17897" w:rsidRDefault="00A17897" w:rsidP="00F868D4">
                            <w:pPr>
                              <w:jc w:val="center"/>
                            </w:pPr>
                            <w:r>
                              <w:t>Planning and Performance Support Assistant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71A095" id="_x0000_s1031" style="position:absolute;margin-left:-44.7pt;margin-top:11.65pt;width:132pt;height:64.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" fillcolor="#4f81bd [3204]" strokecolor="#0a121c [484]" strokeweight="2pt">
                <v:textbox>
                  <w:txbxContent>
                    <w:p w14:paraId="3EBB3954" w14:textId="0D21C53A" w:rsidR="00A17897" w:rsidRDefault="00A17897" w:rsidP="00F868D4">
                      <w:pPr>
                        <w:jc w:val="center"/>
                      </w:pPr>
                      <w:r>
                        <w:t>Planning and Performance Support Assistant</w:t>
                      </w:r>
                    </w:p>
                  </w:txbxContent>
                </v:textbox>
              </v:roundrect>
            </w:pict>
          </mc:Fallback>
        </mc:AlternateContent>
      </w:r>
    </w:p>
    <w:p w14:paraId="431C00C8" w14:textId="429F10FF" w:rsidR="00A17897" w:rsidRDefault="00A17897" w:rsidP="00AB67C4">
      <w:pPr>
        <w:rPr>
          <w:color w:val="0070C0"/>
          <w:sz w:val="23"/>
          <w:szCs w:val="23"/>
        </w:rPr>
      </w:pPr>
    </w:p>
    <w:p w14:paraId="2AF360AE" w14:textId="77777777" w:rsidR="00F868D4" w:rsidRDefault="00BE333D" w:rsidP="002C22A0">
      <w:pPr>
        <w:pStyle w:val="Heading2"/>
        <w:numPr>
          <w:ilvl w:val="0"/>
          <w:numId w:val="0"/>
        </w:numPr>
        <w:rPr>
          <w:color w:val="0070C0"/>
          <w:sz w:val="23"/>
          <w:szCs w:val="23"/>
        </w:rPr>
      </w:pPr>
      <w:r>
        <w:rPr>
          <w:color w:val="0070C0"/>
          <w:sz w:val="23"/>
          <w:szCs w:val="23"/>
        </w:rPr>
        <w:t xml:space="preserve">NHS England </w:t>
      </w:r>
    </w:p>
    <w:p w14:paraId="6D3A6B26" w14:textId="55D0CDF3" w:rsidR="00496EF9" w:rsidRPr="00496EF9" w:rsidRDefault="00496EF9" w:rsidP="002C22A0">
      <w:pPr>
        <w:pStyle w:val="Heading2"/>
        <w:numPr>
          <w:ilvl w:val="0"/>
          <w:numId w:val="0"/>
        </w:numPr>
        <w:rPr>
          <w:color w:val="0070C0"/>
          <w:sz w:val="23"/>
          <w:szCs w:val="23"/>
        </w:rPr>
      </w:pPr>
      <w:r w:rsidRPr="00496EF9">
        <w:rPr>
          <w:color w:val="0070C0"/>
          <w:sz w:val="23"/>
          <w:szCs w:val="23"/>
        </w:rPr>
        <w:t>Regional EPRR team</w:t>
      </w:r>
    </w:p>
    <w:p w14:paraId="752D8F5B" w14:textId="2DAE3003" w:rsidR="00496EF9" w:rsidRPr="00436A1C" w:rsidRDefault="00BE333D" w:rsidP="00436A1C">
      <w:pPr>
        <w:spacing w:after="200" w:line="276" w:lineRule="auto"/>
        <w:jc w:val="both"/>
        <w:rPr>
          <w:rFonts w:cs="Arial"/>
          <w:sz w:val="23"/>
          <w:szCs w:val="23"/>
        </w:rPr>
      </w:pPr>
      <w:r>
        <w:rPr>
          <w:rFonts w:cs="Arial"/>
          <w:sz w:val="23"/>
          <w:szCs w:val="23"/>
        </w:rPr>
        <w:lastRenderedPageBreak/>
        <w:t>NHS England</w:t>
      </w:r>
      <w:r w:rsidR="00496EF9" w:rsidRPr="00436A1C">
        <w:rPr>
          <w:rFonts w:cs="Arial"/>
          <w:sz w:val="23"/>
          <w:szCs w:val="23"/>
        </w:rPr>
        <w:t xml:space="preserve"> North East &amp; Yorkshire </w:t>
      </w:r>
      <w:r>
        <w:rPr>
          <w:rFonts w:cs="Arial"/>
          <w:sz w:val="23"/>
          <w:szCs w:val="23"/>
        </w:rPr>
        <w:t xml:space="preserve">(NHSE NEY) also has duties as a Category 1 responder and is the Lead strategic health organisation for incidents which span multiple ICBs. </w:t>
      </w:r>
      <w:r w:rsidR="00496EF9" w:rsidRPr="00436A1C">
        <w:rPr>
          <w:rFonts w:cs="Arial"/>
          <w:sz w:val="23"/>
          <w:szCs w:val="23"/>
        </w:rPr>
        <w:t xml:space="preserve"> </w:t>
      </w:r>
      <w:r>
        <w:rPr>
          <w:rFonts w:cs="Arial"/>
          <w:sz w:val="23"/>
          <w:szCs w:val="23"/>
        </w:rPr>
        <w:t>NHSE NEY</w:t>
      </w:r>
      <w:r w:rsidR="004562C5">
        <w:rPr>
          <w:rFonts w:cs="Arial"/>
          <w:sz w:val="23"/>
          <w:szCs w:val="23"/>
        </w:rPr>
        <w:t xml:space="preserve">’s </w:t>
      </w:r>
      <w:r w:rsidR="00496EF9" w:rsidRPr="00436A1C">
        <w:rPr>
          <w:rFonts w:cs="Arial"/>
          <w:sz w:val="23"/>
          <w:szCs w:val="23"/>
        </w:rPr>
        <w:t>EPRR team consis</w:t>
      </w:r>
      <w:r w:rsidR="004562C5">
        <w:rPr>
          <w:rFonts w:cs="Arial"/>
          <w:sz w:val="23"/>
          <w:szCs w:val="23"/>
        </w:rPr>
        <w:t>ts</w:t>
      </w:r>
      <w:r w:rsidR="00496EF9" w:rsidRPr="00436A1C">
        <w:rPr>
          <w:rFonts w:cs="Arial"/>
          <w:sz w:val="23"/>
          <w:szCs w:val="23"/>
        </w:rPr>
        <w:t xml:space="preserve"> of a number of </w:t>
      </w:r>
      <w:r w:rsidR="00997FB9" w:rsidRPr="00436A1C">
        <w:rPr>
          <w:rFonts w:cs="Arial"/>
          <w:sz w:val="23"/>
          <w:szCs w:val="23"/>
        </w:rPr>
        <w:t>s</w:t>
      </w:r>
      <w:r w:rsidR="00496EF9" w:rsidRPr="00436A1C">
        <w:rPr>
          <w:rFonts w:cs="Arial"/>
          <w:sz w:val="23"/>
          <w:szCs w:val="23"/>
        </w:rPr>
        <w:t xml:space="preserve">ubject </w:t>
      </w:r>
      <w:r w:rsidR="00997FB9" w:rsidRPr="00436A1C">
        <w:rPr>
          <w:rFonts w:cs="Arial"/>
          <w:sz w:val="23"/>
          <w:szCs w:val="23"/>
        </w:rPr>
        <w:t>m</w:t>
      </w:r>
      <w:r w:rsidR="00496EF9" w:rsidRPr="00436A1C">
        <w:rPr>
          <w:rFonts w:cs="Arial"/>
          <w:sz w:val="23"/>
          <w:szCs w:val="23"/>
        </w:rPr>
        <w:t xml:space="preserve">atter experts covering a range of Strategic, Tactical and Operational roles across the region. Each member of the team has both a topical and geographical portfolio which best meets the needs of the unique nature of </w:t>
      </w:r>
      <w:r w:rsidR="00A700C1" w:rsidRPr="00436A1C">
        <w:rPr>
          <w:rFonts w:cs="Arial"/>
          <w:sz w:val="23"/>
          <w:szCs w:val="23"/>
        </w:rPr>
        <w:t>the</w:t>
      </w:r>
      <w:r w:rsidR="00496EF9" w:rsidRPr="00436A1C">
        <w:rPr>
          <w:rFonts w:cs="Arial"/>
          <w:sz w:val="23"/>
          <w:szCs w:val="23"/>
        </w:rPr>
        <w:t xml:space="preserve"> region.</w:t>
      </w:r>
    </w:p>
    <w:p w14:paraId="3077FE71" w14:textId="47DFAB7D" w:rsidR="00997FB9" w:rsidRPr="00496EF9" w:rsidRDefault="00BE333D" w:rsidP="00997FB9">
      <w:pPr>
        <w:pStyle w:val="Heading3"/>
        <w:numPr>
          <w:ilvl w:val="0"/>
          <w:numId w:val="0"/>
        </w:numPr>
        <w:rPr>
          <w:i w:val="0"/>
          <w:iCs w:val="0"/>
          <w:color w:val="0070C0"/>
          <w:sz w:val="23"/>
          <w:szCs w:val="23"/>
        </w:rPr>
      </w:pPr>
      <w:r>
        <w:rPr>
          <w:i w:val="0"/>
          <w:iCs w:val="0"/>
          <w:color w:val="0070C0"/>
          <w:sz w:val="23"/>
          <w:szCs w:val="23"/>
        </w:rPr>
        <w:t>J</w:t>
      </w:r>
      <w:r w:rsidR="00B523D4">
        <w:rPr>
          <w:i w:val="0"/>
          <w:iCs w:val="0"/>
          <w:color w:val="0070C0"/>
          <w:sz w:val="23"/>
          <w:szCs w:val="23"/>
        </w:rPr>
        <w:t xml:space="preserve">oint </w:t>
      </w:r>
      <w:r>
        <w:rPr>
          <w:i w:val="0"/>
          <w:iCs w:val="0"/>
          <w:color w:val="0070C0"/>
          <w:sz w:val="23"/>
          <w:szCs w:val="23"/>
        </w:rPr>
        <w:t xml:space="preserve">NHSE / ICB </w:t>
      </w:r>
      <w:r w:rsidR="00997FB9" w:rsidRPr="00496EF9">
        <w:rPr>
          <w:i w:val="0"/>
          <w:iCs w:val="0"/>
          <w:color w:val="0070C0"/>
          <w:sz w:val="23"/>
          <w:szCs w:val="23"/>
        </w:rPr>
        <w:t>requirements</w:t>
      </w:r>
    </w:p>
    <w:p w14:paraId="06691124" w14:textId="2FA34695" w:rsidR="00997FB9" w:rsidRPr="00496EF9" w:rsidRDefault="00997FB9" w:rsidP="00997FB9">
      <w:pPr>
        <w:pStyle w:val="ListParagraph"/>
        <w:numPr>
          <w:ilvl w:val="0"/>
          <w:numId w:val="9"/>
        </w:numPr>
        <w:spacing w:after="200" w:line="276" w:lineRule="auto"/>
        <w:jc w:val="both"/>
        <w:rPr>
          <w:rFonts w:cs="Arial"/>
          <w:sz w:val="23"/>
          <w:szCs w:val="23"/>
        </w:rPr>
      </w:pPr>
      <w:r w:rsidRPr="00496EF9">
        <w:rPr>
          <w:rFonts w:cs="Arial"/>
          <w:sz w:val="23"/>
          <w:szCs w:val="23"/>
        </w:rPr>
        <w:t xml:space="preserve">To ensure </w:t>
      </w:r>
      <w:r w:rsidR="004562C5">
        <w:rPr>
          <w:rFonts w:cs="Arial"/>
          <w:sz w:val="23"/>
          <w:szCs w:val="23"/>
        </w:rPr>
        <w:t>s</w:t>
      </w:r>
      <w:r w:rsidRPr="00496EF9">
        <w:rPr>
          <w:rFonts w:cs="Arial"/>
          <w:sz w:val="23"/>
          <w:szCs w:val="23"/>
        </w:rPr>
        <w:t xml:space="preserve">trategic representation at both Local Resilience </w:t>
      </w:r>
      <w:r w:rsidR="00B523D4">
        <w:rPr>
          <w:rFonts w:cs="Arial"/>
          <w:sz w:val="23"/>
          <w:szCs w:val="23"/>
        </w:rPr>
        <w:t xml:space="preserve">Forums </w:t>
      </w:r>
      <w:r w:rsidRPr="00496EF9">
        <w:rPr>
          <w:rFonts w:cs="Arial"/>
          <w:sz w:val="23"/>
          <w:szCs w:val="23"/>
        </w:rPr>
        <w:t xml:space="preserve">and Local Health </w:t>
      </w:r>
      <w:r w:rsidR="00B523D4">
        <w:rPr>
          <w:rFonts w:cs="Arial"/>
          <w:sz w:val="23"/>
          <w:szCs w:val="23"/>
        </w:rPr>
        <w:t xml:space="preserve">Resilience </w:t>
      </w:r>
      <w:r w:rsidRPr="00496EF9">
        <w:rPr>
          <w:rFonts w:cs="Arial"/>
          <w:sz w:val="23"/>
          <w:szCs w:val="23"/>
        </w:rPr>
        <w:t>Partnerships</w:t>
      </w:r>
      <w:r w:rsidR="00BE333D">
        <w:rPr>
          <w:rFonts w:cs="Arial"/>
          <w:sz w:val="23"/>
          <w:szCs w:val="23"/>
        </w:rPr>
        <w:t>,</w:t>
      </w:r>
      <w:r w:rsidRPr="00496EF9">
        <w:rPr>
          <w:rFonts w:cs="Arial"/>
          <w:sz w:val="23"/>
          <w:szCs w:val="23"/>
        </w:rPr>
        <w:t xml:space="preserve"> working with partners within these fora to deliver joint planning and response agendas</w:t>
      </w:r>
    </w:p>
    <w:p w14:paraId="07C34EA0" w14:textId="2F53057A" w:rsidR="00997FB9" w:rsidRPr="00496EF9" w:rsidRDefault="00997FB9" w:rsidP="00997FB9">
      <w:pPr>
        <w:pStyle w:val="ListParagraph"/>
        <w:numPr>
          <w:ilvl w:val="0"/>
          <w:numId w:val="9"/>
        </w:numPr>
        <w:spacing w:after="200" w:line="276" w:lineRule="auto"/>
        <w:jc w:val="both"/>
        <w:rPr>
          <w:rFonts w:cs="Arial"/>
          <w:sz w:val="23"/>
          <w:szCs w:val="23"/>
        </w:rPr>
      </w:pPr>
      <w:r w:rsidRPr="00496EF9">
        <w:rPr>
          <w:rFonts w:cs="Arial"/>
          <w:sz w:val="23"/>
          <w:szCs w:val="23"/>
        </w:rPr>
        <w:t>To support the integration of plans across the region</w:t>
      </w:r>
      <w:r w:rsidR="00B523D4">
        <w:rPr>
          <w:rFonts w:cs="Arial"/>
          <w:sz w:val="23"/>
          <w:szCs w:val="23"/>
        </w:rPr>
        <w:t>, where appropriate,</w:t>
      </w:r>
      <w:r w:rsidRPr="00496EF9">
        <w:rPr>
          <w:rFonts w:cs="Arial"/>
          <w:sz w:val="23"/>
          <w:szCs w:val="23"/>
        </w:rPr>
        <w:t xml:space="preserve"> to deliver a unified NHS response, including the provision of surge capacity and mutual aid arrangements</w:t>
      </w:r>
    </w:p>
    <w:p w14:paraId="6AABFA9B" w14:textId="71D7B128" w:rsidR="00997FB9" w:rsidRPr="00496EF9" w:rsidRDefault="00997FB9" w:rsidP="00997FB9">
      <w:pPr>
        <w:pStyle w:val="ListParagraph"/>
        <w:numPr>
          <w:ilvl w:val="0"/>
          <w:numId w:val="9"/>
        </w:numPr>
        <w:spacing w:after="200" w:line="276" w:lineRule="auto"/>
        <w:jc w:val="both"/>
        <w:rPr>
          <w:rFonts w:cs="Arial"/>
          <w:sz w:val="23"/>
          <w:szCs w:val="23"/>
        </w:rPr>
      </w:pPr>
      <w:r w:rsidRPr="00496EF9">
        <w:rPr>
          <w:rFonts w:cs="Arial"/>
          <w:sz w:val="23"/>
          <w:szCs w:val="23"/>
        </w:rPr>
        <w:t>To maintain the capacity to coordinate the NHS response to an incident 24/7</w:t>
      </w:r>
    </w:p>
    <w:p w14:paraId="62BA0C22" w14:textId="61BEDBFD" w:rsidR="00997FB9" w:rsidRPr="00496EF9" w:rsidRDefault="00997FB9" w:rsidP="00997FB9">
      <w:pPr>
        <w:pStyle w:val="ListParagraph"/>
        <w:numPr>
          <w:ilvl w:val="0"/>
          <w:numId w:val="9"/>
        </w:numPr>
        <w:spacing w:after="200" w:line="276" w:lineRule="auto"/>
        <w:jc w:val="both"/>
        <w:rPr>
          <w:rFonts w:cs="Arial"/>
          <w:sz w:val="23"/>
          <w:szCs w:val="23"/>
        </w:rPr>
      </w:pPr>
      <w:r w:rsidRPr="00496EF9">
        <w:rPr>
          <w:rFonts w:cs="Arial"/>
          <w:sz w:val="23"/>
          <w:szCs w:val="23"/>
        </w:rPr>
        <w:t>To discharge their statutory responsibilities as a Category One responder</w:t>
      </w:r>
      <w:r w:rsidR="00B1665C">
        <w:rPr>
          <w:rFonts w:cs="Arial"/>
          <w:sz w:val="23"/>
          <w:szCs w:val="23"/>
        </w:rPr>
        <w:t>s</w:t>
      </w:r>
      <w:r w:rsidRPr="00496EF9">
        <w:rPr>
          <w:rFonts w:cs="Arial"/>
          <w:sz w:val="23"/>
          <w:szCs w:val="23"/>
        </w:rPr>
        <w:t xml:space="preserve"> under the CCA 2004.</w:t>
      </w:r>
    </w:p>
    <w:p w14:paraId="0890C5EC" w14:textId="06E835CE" w:rsidR="00074BC6" w:rsidRPr="00D34CD6" w:rsidRDefault="00496EF9" w:rsidP="00074BC6">
      <w:pPr>
        <w:pStyle w:val="Heading1"/>
        <w:rPr>
          <w:szCs w:val="24"/>
        </w:rPr>
      </w:pPr>
      <w:bookmarkStart w:id="32" w:name="_Toc159684774"/>
      <w:bookmarkStart w:id="33" w:name="_Toc159684775"/>
      <w:bookmarkStart w:id="34" w:name="_Toc159684776"/>
      <w:bookmarkStart w:id="35" w:name="_Toc159684777"/>
      <w:bookmarkStart w:id="36" w:name="_Toc159684778"/>
      <w:bookmarkStart w:id="37" w:name="_Toc159684779"/>
      <w:bookmarkStart w:id="38" w:name="_Toc160047250"/>
      <w:bookmarkEnd w:id="32"/>
      <w:bookmarkEnd w:id="33"/>
      <w:bookmarkEnd w:id="34"/>
      <w:bookmarkEnd w:id="35"/>
      <w:bookmarkEnd w:id="36"/>
      <w:bookmarkEnd w:id="37"/>
      <w:r w:rsidRPr="00D34CD6">
        <w:rPr>
          <w:szCs w:val="24"/>
        </w:rPr>
        <w:t>Principles for Collaborative Working in Humber and North Yorkshire</w:t>
      </w:r>
      <w:bookmarkEnd w:id="38"/>
    </w:p>
    <w:p w14:paraId="3E363220" w14:textId="48092879" w:rsidR="00496EF9" w:rsidRPr="006167C0" w:rsidRDefault="00496EF9" w:rsidP="00A024A7">
      <w:pPr>
        <w:jc w:val="both"/>
        <w:rPr>
          <w:rFonts w:cs="Arial"/>
          <w:sz w:val="23"/>
          <w:szCs w:val="23"/>
        </w:rPr>
      </w:pPr>
      <w:bookmarkStart w:id="39" w:name="_Toc89425736"/>
      <w:bookmarkStart w:id="40" w:name="_Toc89425808"/>
      <w:bookmarkStart w:id="41" w:name="_Toc89425995"/>
      <w:bookmarkStart w:id="42" w:name="_Toc89426237"/>
      <w:bookmarkStart w:id="43" w:name="_Toc2056143719"/>
      <w:bookmarkStart w:id="44" w:name="_Toc707790788"/>
      <w:bookmarkEnd w:id="26"/>
      <w:bookmarkEnd w:id="27"/>
      <w:bookmarkEnd w:id="28"/>
      <w:bookmarkEnd w:id="29"/>
      <w:bookmarkEnd w:id="30"/>
      <w:bookmarkEnd w:id="31"/>
      <w:r w:rsidRPr="006167C0">
        <w:rPr>
          <w:rFonts w:cs="Arial"/>
          <w:sz w:val="23"/>
          <w:szCs w:val="23"/>
        </w:rPr>
        <w:t xml:space="preserve">The following principles have been agreed </w:t>
      </w:r>
      <w:r w:rsidR="00941869">
        <w:rPr>
          <w:rFonts w:cs="Arial"/>
          <w:sz w:val="23"/>
          <w:szCs w:val="23"/>
        </w:rPr>
        <w:t>in partnership with NHSE</w:t>
      </w:r>
      <w:r w:rsidRPr="006167C0">
        <w:rPr>
          <w:rFonts w:cs="Arial"/>
          <w:sz w:val="23"/>
          <w:szCs w:val="23"/>
        </w:rPr>
        <w:t xml:space="preserve"> North East &amp; Yorkshire </w:t>
      </w:r>
      <w:r w:rsidR="005F1629">
        <w:rPr>
          <w:rFonts w:cs="Arial"/>
          <w:sz w:val="23"/>
          <w:szCs w:val="23"/>
        </w:rPr>
        <w:t xml:space="preserve">and partner ICBs </w:t>
      </w:r>
      <w:r w:rsidRPr="006167C0">
        <w:rPr>
          <w:rFonts w:cs="Arial"/>
          <w:sz w:val="23"/>
          <w:szCs w:val="23"/>
        </w:rPr>
        <w:t xml:space="preserve">to </w:t>
      </w:r>
      <w:r w:rsidR="005F1629">
        <w:rPr>
          <w:rFonts w:cs="Arial"/>
          <w:sz w:val="23"/>
          <w:szCs w:val="23"/>
        </w:rPr>
        <w:t xml:space="preserve">support the </w:t>
      </w:r>
      <w:r w:rsidRPr="006167C0">
        <w:rPr>
          <w:rFonts w:cs="Arial"/>
          <w:sz w:val="23"/>
          <w:szCs w:val="23"/>
        </w:rPr>
        <w:t>deliver</w:t>
      </w:r>
      <w:r w:rsidR="005F1629">
        <w:rPr>
          <w:rFonts w:cs="Arial"/>
          <w:sz w:val="23"/>
          <w:szCs w:val="23"/>
        </w:rPr>
        <w:t>y</w:t>
      </w:r>
      <w:r w:rsidRPr="006167C0">
        <w:rPr>
          <w:rFonts w:cs="Arial"/>
          <w:sz w:val="23"/>
          <w:szCs w:val="23"/>
        </w:rPr>
        <w:t xml:space="preserve"> </w:t>
      </w:r>
      <w:r w:rsidR="0000161D">
        <w:rPr>
          <w:rFonts w:cs="Arial"/>
          <w:sz w:val="23"/>
          <w:szCs w:val="23"/>
        </w:rPr>
        <w:t xml:space="preserve">of local and </w:t>
      </w:r>
      <w:r w:rsidRPr="006167C0">
        <w:rPr>
          <w:rFonts w:cs="Arial"/>
          <w:sz w:val="23"/>
          <w:szCs w:val="23"/>
        </w:rPr>
        <w:t>region</w:t>
      </w:r>
      <w:r w:rsidR="0000161D">
        <w:rPr>
          <w:rFonts w:cs="Arial"/>
          <w:sz w:val="23"/>
          <w:szCs w:val="23"/>
        </w:rPr>
        <w:t>al</w:t>
      </w:r>
      <w:r w:rsidRPr="006167C0">
        <w:rPr>
          <w:rFonts w:cs="Arial"/>
          <w:sz w:val="23"/>
          <w:szCs w:val="23"/>
        </w:rPr>
        <w:t xml:space="preserve"> EPRR Strateg</w:t>
      </w:r>
      <w:r w:rsidR="0000161D">
        <w:rPr>
          <w:rFonts w:cs="Arial"/>
          <w:sz w:val="23"/>
          <w:szCs w:val="23"/>
        </w:rPr>
        <w:t>ies and agendas</w:t>
      </w:r>
      <w:r w:rsidRPr="006167C0">
        <w:rPr>
          <w:rFonts w:cs="Arial"/>
          <w:sz w:val="23"/>
          <w:szCs w:val="23"/>
        </w:rPr>
        <w:t xml:space="preserve"> (see Appendix 1</w:t>
      </w:r>
      <w:r w:rsidR="009546ED">
        <w:rPr>
          <w:rFonts w:cs="Arial"/>
          <w:sz w:val="23"/>
          <w:szCs w:val="23"/>
        </w:rPr>
        <w:t xml:space="preserve"> for the NHSE NEY Strategic Ambition</w:t>
      </w:r>
      <w:r w:rsidRPr="006167C0">
        <w:rPr>
          <w:rFonts w:cs="Arial"/>
          <w:sz w:val="23"/>
          <w:szCs w:val="23"/>
        </w:rPr>
        <w:t>)</w:t>
      </w:r>
      <w:r w:rsidR="009546ED">
        <w:rPr>
          <w:rFonts w:cs="Arial"/>
          <w:sz w:val="23"/>
          <w:szCs w:val="23"/>
        </w:rPr>
        <w:t>:</w:t>
      </w:r>
    </w:p>
    <w:p w14:paraId="38E17560" w14:textId="77777777" w:rsidR="00496EF9" w:rsidRDefault="00496EF9" w:rsidP="00A024A7">
      <w:pPr>
        <w:jc w:val="both"/>
        <w:rPr>
          <w:rFonts w:cs="Arial"/>
        </w:rPr>
      </w:pPr>
    </w:p>
    <w:p w14:paraId="490FB755" w14:textId="4D213007" w:rsidR="00AF25E5" w:rsidRPr="00A024A7" w:rsidRDefault="00496EF9" w:rsidP="00A024A7">
      <w:pPr>
        <w:pStyle w:val="ListParagraph"/>
        <w:numPr>
          <w:ilvl w:val="0"/>
          <w:numId w:val="9"/>
        </w:numPr>
        <w:ind w:left="426"/>
        <w:jc w:val="both"/>
        <w:rPr>
          <w:rFonts w:cs="Arial"/>
          <w:i/>
          <w:iCs/>
          <w:sz w:val="23"/>
          <w:szCs w:val="23"/>
        </w:rPr>
      </w:pPr>
      <w:r w:rsidRPr="00AF25E5">
        <w:rPr>
          <w:rFonts w:cs="Arial"/>
          <w:i/>
          <w:iCs/>
          <w:color w:val="365F91" w:themeColor="accent1" w:themeShade="BF"/>
          <w:sz w:val="23"/>
          <w:szCs w:val="23"/>
        </w:rPr>
        <w:t>Equality Diversity &amp; Inclusion</w:t>
      </w:r>
      <w:r w:rsidRPr="00AF25E5">
        <w:rPr>
          <w:rFonts w:cs="Arial"/>
          <w:color w:val="365F91" w:themeColor="accent1" w:themeShade="BF"/>
          <w:sz w:val="23"/>
          <w:szCs w:val="23"/>
        </w:rPr>
        <w:t xml:space="preserve"> </w:t>
      </w:r>
      <w:r w:rsidRPr="00AF25E5">
        <w:rPr>
          <w:rFonts w:cs="Arial"/>
          <w:sz w:val="23"/>
          <w:szCs w:val="23"/>
        </w:rPr>
        <w:t xml:space="preserve">– To embed the core principles </w:t>
      </w:r>
      <w:r w:rsidRPr="00AF25E5">
        <w:rPr>
          <w:rFonts w:cs="Arial"/>
          <w:b/>
          <w:bCs/>
          <w:sz w:val="23"/>
          <w:szCs w:val="23"/>
        </w:rPr>
        <w:t>of “People, Patients &amp; Partnerships”</w:t>
      </w:r>
      <w:r w:rsidRPr="00AF25E5">
        <w:rPr>
          <w:rFonts w:cs="Arial"/>
          <w:sz w:val="23"/>
          <w:szCs w:val="23"/>
        </w:rPr>
        <w:t xml:space="preserve"> across </w:t>
      </w:r>
      <w:r w:rsidR="00A024A7">
        <w:rPr>
          <w:rFonts w:cs="Arial"/>
          <w:sz w:val="23"/>
          <w:szCs w:val="23"/>
        </w:rPr>
        <w:t>the</w:t>
      </w:r>
      <w:r w:rsidRPr="00AF25E5">
        <w:rPr>
          <w:rFonts w:cs="Arial"/>
          <w:sz w:val="23"/>
          <w:szCs w:val="23"/>
        </w:rPr>
        <w:t xml:space="preserve"> EPRR portfolio and to ensure that across all aspects of </w:t>
      </w:r>
      <w:r w:rsidR="00A024A7">
        <w:rPr>
          <w:rFonts w:cs="Arial"/>
          <w:sz w:val="23"/>
          <w:szCs w:val="23"/>
        </w:rPr>
        <w:t>the</w:t>
      </w:r>
      <w:r w:rsidRPr="00AF25E5">
        <w:rPr>
          <w:rFonts w:cs="Arial"/>
          <w:sz w:val="23"/>
          <w:szCs w:val="23"/>
        </w:rPr>
        <w:t xml:space="preserve"> planning, preparation, response and recovery work deliver</w:t>
      </w:r>
      <w:r w:rsidR="00A024A7">
        <w:rPr>
          <w:rFonts w:cs="Arial"/>
          <w:sz w:val="23"/>
          <w:szCs w:val="23"/>
        </w:rPr>
        <w:t>s</w:t>
      </w:r>
      <w:r w:rsidRPr="00AF25E5">
        <w:rPr>
          <w:rFonts w:cs="Arial"/>
          <w:b/>
          <w:bCs/>
          <w:sz w:val="23"/>
          <w:szCs w:val="23"/>
        </w:rPr>
        <w:t xml:space="preserve"> fair treatment and equality for all</w:t>
      </w:r>
      <w:r w:rsidRPr="00AF25E5">
        <w:rPr>
          <w:rFonts w:cs="Arial"/>
          <w:sz w:val="23"/>
          <w:szCs w:val="23"/>
        </w:rPr>
        <w:t xml:space="preserve"> in the event of an incident or an emergency. This will include considering the needs of the individual as well as the collective needs of staff, patients, and their families.</w:t>
      </w:r>
    </w:p>
    <w:p w14:paraId="449A5C99" w14:textId="77777777" w:rsidR="00A024A7" w:rsidRPr="00AF25E5" w:rsidRDefault="00A024A7" w:rsidP="00A024A7">
      <w:pPr>
        <w:pStyle w:val="ListParagraph"/>
        <w:ind w:left="426"/>
        <w:jc w:val="both"/>
        <w:rPr>
          <w:rFonts w:cs="Arial"/>
          <w:i/>
          <w:iCs/>
          <w:sz w:val="23"/>
          <w:szCs w:val="23"/>
        </w:rPr>
      </w:pPr>
    </w:p>
    <w:p w14:paraId="79DBD7A5" w14:textId="77777777" w:rsidR="00AF25E5" w:rsidRPr="00AF25E5" w:rsidRDefault="00496EF9" w:rsidP="00A024A7">
      <w:pPr>
        <w:pStyle w:val="ListParagraph"/>
        <w:numPr>
          <w:ilvl w:val="0"/>
          <w:numId w:val="9"/>
        </w:numPr>
        <w:ind w:left="426"/>
        <w:jc w:val="both"/>
        <w:rPr>
          <w:rFonts w:cs="Arial"/>
          <w:i/>
          <w:iCs/>
          <w:sz w:val="23"/>
          <w:szCs w:val="23"/>
        </w:rPr>
      </w:pPr>
      <w:r w:rsidRPr="00AF25E5">
        <w:rPr>
          <w:rStyle w:val="Heading4Char"/>
          <w:rFonts w:ascii="Arial" w:hAnsi="Arial" w:cs="Arial"/>
          <w:sz w:val="23"/>
          <w:szCs w:val="23"/>
        </w:rPr>
        <w:t>Preparedness and Anticipation</w:t>
      </w:r>
      <w:r w:rsidRPr="00AF25E5">
        <w:rPr>
          <w:rFonts w:cs="Arial"/>
          <w:sz w:val="23"/>
          <w:szCs w:val="23"/>
        </w:rPr>
        <w:t xml:space="preserve"> –</w:t>
      </w:r>
      <w:r w:rsidR="00AF25E5" w:rsidRPr="00AF25E5">
        <w:rPr>
          <w:rFonts w:cs="Arial"/>
          <w:sz w:val="23"/>
          <w:szCs w:val="23"/>
        </w:rPr>
        <w:t xml:space="preserve"> </w:t>
      </w:r>
      <w:r w:rsidRPr="00AF25E5">
        <w:rPr>
          <w:rFonts w:cs="Arial"/>
          <w:sz w:val="23"/>
          <w:szCs w:val="23"/>
        </w:rPr>
        <w:t>All individuals and organisations that might have to respond to incidents should be properly prepared, including having clarity of roles and responsibilities, specific and generic plans, and rehearsing arrangements periodically. All organisations should be able to demonstrate clear training and exercising schedules that deliver against this principle and which are based on a risk centred methodology</w:t>
      </w:r>
    </w:p>
    <w:p w14:paraId="73D6EAD7" w14:textId="77777777" w:rsidR="00AF25E5" w:rsidRPr="00AF25E5" w:rsidRDefault="00AF25E5" w:rsidP="00A024A7">
      <w:pPr>
        <w:pStyle w:val="ListParagraph"/>
        <w:ind w:left="426"/>
        <w:jc w:val="both"/>
        <w:rPr>
          <w:rStyle w:val="Heading4Char"/>
          <w:rFonts w:ascii="Arial" w:eastAsia="Times New Roman" w:hAnsi="Arial" w:cs="Arial"/>
          <w:color w:val="auto"/>
          <w:sz w:val="23"/>
          <w:szCs w:val="23"/>
        </w:rPr>
      </w:pPr>
    </w:p>
    <w:p w14:paraId="565FAEDB" w14:textId="77777777" w:rsidR="00AF25E5" w:rsidRPr="00AF25E5" w:rsidRDefault="00496EF9" w:rsidP="00A024A7">
      <w:pPr>
        <w:pStyle w:val="ListParagraph"/>
        <w:numPr>
          <w:ilvl w:val="0"/>
          <w:numId w:val="9"/>
        </w:numPr>
        <w:ind w:left="426"/>
        <w:jc w:val="both"/>
        <w:rPr>
          <w:rFonts w:cs="Arial"/>
          <w:i/>
          <w:iCs/>
          <w:sz w:val="23"/>
          <w:szCs w:val="23"/>
        </w:rPr>
      </w:pPr>
      <w:r w:rsidRPr="00AF25E5">
        <w:rPr>
          <w:rStyle w:val="Heading4Char"/>
          <w:rFonts w:ascii="Arial" w:hAnsi="Arial" w:cs="Arial"/>
          <w:sz w:val="23"/>
          <w:szCs w:val="23"/>
        </w:rPr>
        <w:t>Continuity of care</w:t>
      </w:r>
      <w:r w:rsidRPr="00AF25E5">
        <w:rPr>
          <w:rFonts w:cs="Arial"/>
          <w:sz w:val="23"/>
          <w:szCs w:val="23"/>
        </w:rPr>
        <w:t xml:space="preserve"> – response arrangements should be grounded within organisations’ existing functions and familiar ways of working, albeit reflecting that the pace, scale, and level of challenge will vary substantially during a response</w:t>
      </w:r>
    </w:p>
    <w:p w14:paraId="2FC3E8BE" w14:textId="77777777" w:rsidR="00AF25E5" w:rsidRPr="00AF25E5" w:rsidRDefault="00AF25E5" w:rsidP="00A024A7">
      <w:pPr>
        <w:pStyle w:val="ListParagraph"/>
        <w:jc w:val="both"/>
        <w:rPr>
          <w:rStyle w:val="Heading4Char"/>
          <w:rFonts w:ascii="Arial" w:hAnsi="Arial" w:cs="Arial"/>
          <w:sz w:val="23"/>
          <w:szCs w:val="23"/>
        </w:rPr>
      </w:pPr>
    </w:p>
    <w:p w14:paraId="4DD30013" w14:textId="77777777" w:rsidR="00AF25E5" w:rsidRPr="00AF25E5" w:rsidRDefault="00496EF9" w:rsidP="00A024A7">
      <w:pPr>
        <w:pStyle w:val="ListParagraph"/>
        <w:numPr>
          <w:ilvl w:val="0"/>
          <w:numId w:val="9"/>
        </w:numPr>
        <w:ind w:left="426"/>
        <w:jc w:val="both"/>
        <w:rPr>
          <w:rFonts w:cs="Arial"/>
          <w:i/>
          <w:iCs/>
          <w:sz w:val="23"/>
          <w:szCs w:val="23"/>
        </w:rPr>
      </w:pPr>
      <w:r w:rsidRPr="00AF25E5">
        <w:rPr>
          <w:rStyle w:val="Heading4Char"/>
          <w:rFonts w:ascii="Arial" w:hAnsi="Arial" w:cs="Arial"/>
          <w:sz w:val="23"/>
          <w:szCs w:val="23"/>
        </w:rPr>
        <w:t>Subsidiarity</w:t>
      </w:r>
      <w:r w:rsidRPr="00AF25E5">
        <w:rPr>
          <w:rFonts w:cs="Arial"/>
          <w:sz w:val="23"/>
          <w:szCs w:val="23"/>
        </w:rPr>
        <w:t xml:space="preserve"> – decisions should be taken at the lowest appropriate level, with coordination at the highest necessary level. Local responders should be the building block of response for an incident of any scale</w:t>
      </w:r>
    </w:p>
    <w:p w14:paraId="32B6A4E1" w14:textId="77777777" w:rsidR="00AF25E5" w:rsidRPr="00AF25E5" w:rsidRDefault="00AF25E5" w:rsidP="00A024A7">
      <w:pPr>
        <w:pStyle w:val="ListParagraph"/>
        <w:jc w:val="both"/>
        <w:rPr>
          <w:rStyle w:val="Heading4Char"/>
          <w:rFonts w:ascii="Arial" w:hAnsi="Arial" w:cs="Arial"/>
          <w:sz w:val="23"/>
          <w:szCs w:val="23"/>
        </w:rPr>
      </w:pPr>
    </w:p>
    <w:p w14:paraId="7968623F" w14:textId="77777777" w:rsidR="00AF25E5" w:rsidRPr="00AF25E5" w:rsidRDefault="00496EF9" w:rsidP="00A024A7">
      <w:pPr>
        <w:pStyle w:val="ListParagraph"/>
        <w:numPr>
          <w:ilvl w:val="0"/>
          <w:numId w:val="9"/>
        </w:numPr>
        <w:ind w:left="426"/>
        <w:jc w:val="both"/>
        <w:rPr>
          <w:rFonts w:cs="Arial"/>
          <w:i/>
          <w:iCs/>
          <w:sz w:val="23"/>
          <w:szCs w:val="23"/>
        </w:rPr>
      </w:pPr>
      <w:r w:rsidRPr="00AF25E5">
        <w:rPr>
          <w:rStyle w:val="Heading4Char"/>
          <w:rFonts w:ascii="Arial" w:hAnsi="Arial" w:cs="Arial"/>
          <w:sz w:val="23"/>
          <w:szCs w:val="23"/>
        </w:rPr>
        <w:t>Communication</w:t>
      </w:r>
      <w:r w:rsidRPr="00AF25E5">
        <w:rPr>
          <w:rFonts w:cs="Arial"/>
          <w:sz w:val="23"/>
          <w:szCs w:val="23"/>
        </w:rPr>
        <w:t xml:space="preserve"> – communication is critical to an effective response. Reliable information must be passed correctly and without delay between those who need to know and consider the requirements to warn and inform the public</w:t>
      </w:r>
    </w:p>
    <w:p w14:paraId="348E0206" w14:textId="77777777" w:rsidR="00AF25E5" w:rsidRPr="00AF25E5" w:rsidRDefault="00AF25E5" w:rsidP="00A024A7">
      <w:pPr>
        <w:pStyle w:val="ListParagraph"/>
        <w:jc w:val="both"/>
        <w:rPr>
          <w:rStyle w:val="Heading4Char"/>
          <w:rFonts w:ascii="Arial" w:hAnsi="Arial" w:cs="Arial"/>
          <w:sz w:val="23"/>
          <w:szCs w:val="23"/>
        </w:rPr>
      </w:pPr>
    </w:p>
    <w:p w14:paraId="32622C9C" w14:textId="0D3C6CB7" w:rsidR="00AF25E5" w:rsidRPr="00AF25E5" w:rsidRDefault="00496EF9" w:rsidP="00A024A7">
      <w:pPr>
        <w:pStyle w:val="ListParagraph"/>
        <w:numPr>
          <w:ilvl w:val="0"/>
          <w:numId w:val="9"/>
        </w:numPr>
        <w:ind w:left="426"/>
        <w:jc w:val="both"/>
        <w:rPr>
          <w:rFonts w:cs="Arial"/>
          <w:i/>
          <w:iCs/>
          <w:sz w:val="23"/>
          <w:szCs w:val="23"/>
        </w:rPr>
      </w:pPr>
      <w:r w:rsidRPr="00AF25E5">
        <w:rPr>
          <w:rStyle w:val="Heading4Char"/>
          <w:rFonts w:ascii="Arial" w:hAnsi="Arial" w:cs="Arial"/>
          <w:sz w:val="23"/>
          <w:szCs w:val="23"/>
        </w:rPr>
        <w:t xml:space="preserve">Cooperation and Integration </w:t>
      </w:r>
      <w:r w:rsidRPr="00AF25E5">
        <w:rPr>
          <w:rFonts w:cs="Arial"/>
          <w:sz w:val="23"/>
          <w:szCs w:val="23"/>
        </w:rPr>
        <w:t xml:space="preserve">– positive engagement based on mutual trust and understanding, information sharing, effective and open relationships will remain a corner stone </w:t>
      </w:r>
      <w:r w:rsidR="00A024A7">
        <w:rPr>
          <w:rFonts w:cs="Arial"/>
          <w:sz w:val="23"/>
          <w:szCs w:val="23"/>
        </w:rPr>
        <w:t>supporting integrated</w:t>
      </w:r>
      <w:r w:rsidRPr="00AF25E5">
        <w:rPr>
          <w:rFonts w:cs="Arial"/>
          <w:sz w:val="23"/>
          <w:szCs w:val="23"/>
        </w:rPr>
        <w:t xml:space="preserve"> ways of working</w:t>
      </w:r>
    </w:p>
    <w:p w14:paraId="7B562965" w14:textId="77777777" w:rsidR="00AF25E5" w:rsidRPr="00AF25E5" w:rsidRDefault="00AF25E5" w:rsidP="00AF25E5">
      <w:pPr>
        <w:pStyle w:val="ListParagraph"/>
        <w:rPr>
          <w:rStyle w:val="Heading4Char"/>
          <w:rFonts w:ascii="Arial" w:hAnsi="Arial" w:cs="Arial"/>
          <w:sz w:val="23"/>
          <w:szCs w:val="23"/>
        </w:rPr>
      </w:pPr>
    </w:p>
    <w:p w14:paraId="28E6FD8C" w14:textId="77777777" w:rsidR="009546ED" w:rsidRPr="009546ED" w:rsidRDefault="00496EF9" w:rsidP="009546ED">
      <w:pPr>
        <w:pStyle w:val="ListParagraph"/>
        <w:numPr>
          <w:ilvl w:val="0"/>
          <w:numId w:val="9"/>
        </w:numPr>
        <w:ind w:left="426"/>
        <w:jc w:val="both"/>
        <w:rPr>
          <w:rFonts w:cs="Arial"/>
          <w:i/>
          <w:iCs/>
          <w:sz w:val="23"/>
          <w:szCs w:val="23"/>
        </w:rPr>
      </w:pPr>
      <w:r w:rsidRPr="00AF25E5">
        <w:rPr>
          <w:rStyle w:val="Heading4Char"/>
          <w:rFonts w:ascii="Arial" w:hAnsi="Arial" w:cs="Arial"/>
          <w:sz w:val="23"/>
          <w:szCs w:val="23"/>
        </w:rPr>
        <w:t>Our Strategy</w:t>
      </w:r>
      <w:r w:rsidRPr="00AF25E5">
        <w:rPr>
          <w:rFonts w:cs="Arial"/>
          <w:sz w:val="23"/>
          <w:szCs w:val="23"/>
        </w:rPr>
        <w:t xml:space="preserve"> </w:t>
      </w:r>
      <w:r w:rsidR="00A024A7">
        <w:rPr>
          <w:rFonts w:cs="Arial"/>
          <w:sz w:val="23"/>
          <w:szCs w:val="23"/>
        </w:rPr>
        <w:t>–</w:t>
      </w:r>
      <w:r w:rsidRPr="00AF25E5">
        <w:rPr>
          <w:rFonts w:cs="Arial"/>
          <w:sz w:val="23"/>
          <w:szCs w:val="23"/>
        </w:rPr>
        <w:t xml:space="preserve"> </w:t>
      </w:r>
      <w:r w:rsidR="00A024A7">
        <w:rPr>
          <w:rFonts w:cs="Arial"/>
          <w:sz w:val="23"/>
          <w:szCs w:val="23"/>
        </w:rPr>
        <w:t>the ICB’s</w:t>
      </w:r>
      <w:r w:rsidRPr="00AF25E5">
        <w:rPr>
          <w:rFonts w:cs="Arial"/>
          <w:sz w:val="23"/>
          <w:szCs w:val="23"/>
        </w:rPr>
        <w:t xml:space="preserve"> strategic aim and supporting objectives should be agreed and collectively understood by all involved in health resilience supported by a strong capacity in Humber and North Yorkshire to oversee and facilitate joint health service working</w:t>
      </w:r>
    </w:p>
    <w:p w14:paraId="40999AC8" w14:textId="77777777" w:rsidR="009546ED" w:rsidRPr="009546ED" w:rsidRDefault="009546ED" w:rsidP="009546ED">
      <w:pPr>
        <w:pStyle w:val="ListParagraph"/>
        <w:rPr>
          <w:rStyle w:val="Heading4Char"/>
          <w:rFonts w:ascii="Arial" w:hAnsi="Arial" w:cs="Arial"/>
          <w:sz w:val="23"/>
          <w:szCs w:val="23"/>
        </w:rPr>
      </w:pPr>
    </w:p>
    <w:p w14:paraId="33046DAF" w14:textId="77777777" w:rsidR="005B23FA" w:rsidRPr="00F868D4" w:rsidRDefault="00496EF9" w:rsidP="009546ED">
      <w:pPr>
        <w:pStyle w:val="ListParagraph"/>
        <w:numPr>
          <w:ilvl w:val="0"/>
          <w:numId w:val="9"/>
        </w:numPr>
        <w:ind w:left="426"/>
        <w:jc w:val="both"/>
        <w:rPr>
          <w:rFonts w:cs="Arial"/>
          <w:i/>
          <w:iCs/>
          <w:sz w:val="23"/>
          <w:szCs w:val="23"/>
        </w:rPr>
      </w:pPr>
      <w:r w:rsidRPr="009546ED">
        <w:rPr>
          <w:rStyle w:val="Heading4Char"/>
          <w:rFonts w:ascii="Arial" w:hAnsi="Arial" w:cs="Arial"/>
          <w:sz w:val="23"/>
          <w:szCs w:val="23"/>
        </w:rPr>
        <w:t>Developing</w:t>
      </w:r>
      <w:r w:rsidR="00A024A7" w:rsidRPr="009546ED">
        <w:rPr>
          <w:rStyle w:val="Heading4Char"/>
          <w:rFonts w:ascii="Arial" w:hAnsi="Arial" w:cs="Arial"/>
          <w:sz w:val="23"/>
          <w:szCs w:val="23"/>
        </w:rPr>
        <w:t xml:space="preserve"> the</w:t>
      </w:r>
      <w:r w:rsidRPr="009546ED">
        <w:rPr>
          <w:rStyle w:val="Heading4Char"/>
          <w:rFonts w:ascii="Arial" w:hAnsi="Arial" w:cs="Arial"/>
          <w:sz w:val="23"/>
          <w:szCs w:val="23"/>
        </w:rPr>
        <w:t xml:space="preserve"> ICB</w:t>
      </w:r>
      <w:r w:rsidR="004C20C5">
        <w:rPr>
          <w:rStyle w:val="Heading4Char"/>
          <w:rFonts w:ascii="Arial" w:hAnsi="Arial" w:cs="Arial"/>
          <w:sz w:val="23"/>
          <w:szCs w:val="23"/>
        </w:rPr>
        <w:t>’s</w:t>
      </w:r>
      <w:r w:rsidRPr="009546ED">
        <w:rPr>
          <w:rFonts w:cs="Arial"/>
          <w:sz w:val="23"/>
          <w:szCs w:val="23"/>
        </w:rPr>
        <w:t xml:space="preserve"> - A core focus will be to further develop and enhance the function of </w:t>
      </w:r>
      <w:r w:rsidR="00A024A7" w:rsidRPr="009546ED">
        <w:rPr>
          <w:rFonts w:cs="Arial"/>
          <w:sz w:val="23"/>
          <w:szCs w:val="23"/>
        </w:rPr>
        <w:t>the</w:t>
      </w:r>
      <w:r w:rsidRPr="009546ED">
        <w:rPr>
          <w:rFonts w:cs="Arial"/>
          <w:sz w:val="23"/>
          <w:szCs w:val="23"/>
        </w:rPr>
        <w:t xml:space="preserve"> ICB</w:t>
      </w:r>
      <w:r w:rsidR="005B23FA">
        <w:rPr>
          <w:rFonts w:cs="Arial"/>
          <w:sz w:val="23"/>
          <w:szCs w:val="23"/>
        </w:rPr>
        <w:t xml:space="preserve"> with continuing support in:</w:t>
      </w:r>
    </w:p>
    <w:p w14:paraId="4BF099FB" w14:textId="77777777" w:rsidR="005B23FA" w:rsidRPr="00F868D4" w:rsidRDefault="005B23FA" w:rsidP="00F868D4">
      <w:pPr>
        <w:pStyle w:val="ListParagraph"/>
        <w:rPr>
          <w:rFonts w:cs="Arial"/>
          <w:sz w:val="23"/>
          <w:szCs w:val="23"/>
        </w:rPr>
      </w:pPr>
    </w:p>
    <w:p w14:paraId="6EEF5CBD" w14:textId="32315CC4" w:rsidR="005B23FA" w:rsidRPr="00F868D4" w:rsidRDefault="005B23FA" w:rsidP="005B23FA">
      <w:pPr>
        <w:pStyle w:val="ListParagraph"/>
        <w:numPr>
          <w:ilvl w:val="1"/>
          <w:numId w:val="9"/>
        </w:numPr>
        <w:jc w:val="both"/>
        <w:rPr>
          <w:rFonts w:cs="Arial"/>
          <w:i/>
          <w:iCs/>
          <w:sz w:val="23"/>
          <w:szCs w:val="23"/>
        </w:rPr>
      </w:pPr>
      <w:r>
        <w:rPr>
          <w:rFonts w:cs="Arial"/>
          <w:i/>
          <w:iCs/>
          <w:sz w:val="23"/>
          <w:szCs w:val="23"/>
        </w:rPr>
        <w:t xml:space="preserve">Developing their Category One responsibilities, civil protection duties and supporting ICB </w:t>
      </w:r>
      <w:r w:rsidR="00F439A0">
        <w:rPr>
          <w:rFonts w:cs="Arial"/>
          <w:i/>
          <w:iCs/>
          <w:sz w:val="23"/>
          <w:szCs w:val="23"/>
        </w:rPr>
        <w:t>EPRR Leads/teams into new ways of working and the associated wider programme of work</w:t>
      </w:r>
    </w:p>
    <w:p w14:paraId="6702BBCF" w14:textId="7FBF74C3" w:rsidR="00496EF9" w:rsidRPr="009546ED" w:rsidRDefault="00860F79" w:rsidP="00F868D4">
      <w:pPr>
        <w:pStyle w:val="ListParagraph"/>
        <w:numPr>
          <w:ilvl w:val="1"/>
          <w:numId w:val="9"/>
        </w:numPr>
        <w:jc w:val="both"/>
        <w:rPr>
          <w:rFonts w:cs="Arial"/>
          <w:i/>
          <w:iCs/>
          <w:sz w:val="23"/>
          <w:szCs w:val="23"/>
        </w:rPr>
      </w:pPr>
      <w:r w:rsidRPr="009546ED">
        <w:rPr>
          <w:rFonts w:cs="Arial"/>
          <w:sz w:val="23"/>
          <w:szCs w:val="23"/>
        </w:rPr>
        <w:t xml:space="preserve"> by</w:t>
      </w:r>
      <w:r w:rsidR="00496EF9" w:rsidRPr="009546ED">
        <w:rPr>
          <w:rFonts w:cs="Arial"/>
          <w:sz w:val="23"/>
          <w:szCs w:val="23"/>
        </w:rPr>
        <w:t xml:space="preserve"> </w:t>
      </w:r>
      <w:r w:rsidRPr="009546ED">
        <w:rPr>
          <w:rFonts w:cs="Arial"/>
          <w:sz w:val="23"/>
          <w:szCs w:val="23"/>
        </w:rPr>
        <w:t>e</w:t>
      </w:r>
      <w:r w:rsidR="00496EF9" w:rsidRPr="009546ED">
        <w:rPr>
          <w:rFonts w:cs="Arial"/>
          <w:sz w:val="23"/>
          <w:szCs w:val="23"/>
        </w:rPr>
        <w:t>xploring</w:t>
      </w:r>
      <w:r w:rsidR="00BD2B01" w:rsidRPr="009546ED">
        <w:rPr>
          <w:rFonts w:cs="Arial"/>
          <w:sz w:val="23"/>
          <w:szCs w:val="23"/>
        </w:rPr>
        <w:t xml:space="preserve"> opportunities for </w:t>
      </w:r>
      <w:r w:rsidR="00496EF9" w:rsidRPr="009546ED">
        <w:rPr>
          <w:rFonts w:cs="Arial"/>
          <w:sz w:val="23"/>
          <w:szCs w:val="23"/>
        </w:rPr>
        <w:t xml:space="preserve">integration </w:t>
      </w:r>
      <w:r w:rsidR="00BD2B01" w:rsidRPr="009546ED">
        <w:rPr>
          <w:rFonts w:cs="Arial"/>
          <w:sz w:val="23"/>
          <w:szCs w:val="23"/>
        </w:rPr>
        <w:t xml:space="preserve">and joint working </w:t>
      </w:r>
      <w:r w:rsidR="00496EF9" w:rsidRPr="009546ED">
        <w:rPr>
          <w:rFonts w:cs="Arial"/>
          <w:sz w:val="23"/>
          <w:szCs w:val="23"/>
        </w:rPr>
        <w:t>with Local Authority partners (across both social care and public health) to deliver a future ready integrated resilience function across the breadth of health and care provision – recognising that the transitional model for EPRR will likely evolve over the next 5 years.</w:t>
      </w:r>
    </w:p>
    <w:p w14:paraId="6EEBE484" w14:textId="77777777" w:rsidR="00496EF9" w:rsidRPr="00AF25E5" w:rsidRDefault="00496EF9" w:rsidP="00496EF9">
      <w:pPr>
        <w:pStyle w:val="ListParagraph"/>
        <w:ind w:left="1440"/>
        <w:rPr>
          <w:rFonts w:cs="Arial"/>
          <w:sz w:val="23"/>
          <w:szCs w:val="23"/>
        </w:rPr>
      </w:pPr>
    </w:p>
    <w:p w14:paraId="3F01183E" w14:textId="77777777" w:rsidR="00AF25E5" w:rsidRPr="00AF25E5" w:rsidRDefault="00496EF9" w:rsidP="008D0800">
      <w:pPr>
        <w:pStyle w:val="ListParagraph"/>
        <w:numPr>
          <w:ilvl w:val="0"/>
          <w:numId w:val="10"/>
        </w:numPr>
        <w:spacing w:after="200" w:line="276" w:lineRule="auto"/>
        <w:ind w:left="426"/>
        <w:jc w:val="both"/>
        <w:rPr>
          <w:rFonts w:cs="Arial"/>
          <w:sz w:val="23"/>
          <w:szCs w:val="23"/>
        </w:rPr>
      </w:pPr>
      <w:r w:rsidRPr="00AF25E5">
        <w:rPr>
          <w:rStyle w:val="Heading4Char"/>
          <w:rFonts w:ascii="Arial" w:hAnsi="Arial" w:cs="Arial"/>
          <w:sz w:val="23"/>
          <w:szCs w:val="23"/>
        </w:rPr>
        <w:t xml:space="preserve">Collaboration </w:t>
      </w:r>
      <w:r w:rsidRPr="00AF25E5">
        <w:rPr>
          <w:rFonts w:cs="Arial"/>
          <w:sz w:val="23"/>
          <w:szCs w:val="23"/>
        </w:rPr>
        <w:t xml:space="preserve">– Workstreams will be jointly agreed to prevent duplication and support delivery: e.g. where a piece of work is ICB level specific or affects organisations solely within an ICB boundary this will be led by the ICB team, where a piece of work has an impact on multiple ICB’s or there is a regional coordination role, the regional EPRR team will lead on the work programme supported by ICB colleagues. </w:t>
      </w:r>
    </w:p>
    <w:p w14:paraId="67EF8607" w14:textId="77777777" w:rsidR="00AF25E5" w:rsidRPr="00AF25E5" w:rsidRDefault="00AF25E5" w:rsidP="008D0800">
      <w:pPr>
        <w:pStyle w:val="ListParagraph"/>
        <w:spacing w:after="200" w:line="276" w:lineRule="auto"/>
        <w:ind w:left="426"/>
        <w:jc w:val="both"/>
        <w:rPr>
          <w:rStyle w:val="Heading4Char"/>
          <w:rFonts w:ascii="Arial" w:eastAsia="Times New Roman" w:hAnsi="Arial" w:cs="Arial"/>
          <w:i w:val="0"/>
          <w:iCs w:val="0"/>
          <w:color w:val="auto"/>
          <w:sz w:val="23"/>
          <w:szCs w:val="23"/>
        </w:rPr>
      </w:pPr>
    </w:p>
    <w:p w14:paraId="14DFA411" w14:textId="76661CD7" w:rsidR="00AF25E5" w:rsidRPr="00AF25E5" w:rsidRDefault="00496EF9" w:rsidP="008D0800">
      <w:pPr>
        <w:pStyle w:val="ListParagraph"/>
        <w:numPr>
          <w:ilvl w:val="0"/>
          <w:numId w:val="10"/>
        </w:numPr>
        <w:spacing w:after="200" w:line="276" w:lineRule="auto"/>
        <w:ind w:left="426"/>
        <w:jc w:val="both"/>
        <w:rPr>
          <w:rFonts w:cs="Arial"/>
          <w:sz w:val="23"/>
          <w:szCs w:val="23"/>
        </w:rPr>
      </w:pPr>
      <w:r w:rsidRPr="00AF25E5">
        <w:rPr>
          <w:rStyle w:val="Heading4Char"/>
          <w:rFonts w:ascii="Arial" w:hAnsi="Arial" w:cs="Arial"/>
          <w:sz w:val="23"/>
          <w:szCs w:val="23"/>
        </w:rPr>
        <w:t>Risk based approach</w:t>
      </w:r>
      <w:r w:rsidRPr="00AF25E5">
        <w:rPr>
          <w:rFonts w:cs="Arial"/>
          <w:sz w:val="23"/>
          <w:szCs w:val="23"/>
        </w:rPr>
        <w:t xml:space="preserve"> - All workstreams will be based on a risk based methodology to ensure that we are focusing on those areas of work where there is the greatest risk or likelihood </w:t>
      </w:r>
      <w:r w:rsidR="00451869">
        <w:rPr>
          <w:rFonts w:cs="Arial"/>
          <w:sz w:val="23"/>
          <w:szCs w:val="23"/>
        </w:rPr>
        <w:t xml:space="preserve">and recognising </w:t>
      </w:r>
      <w:r w:rsidR="00FB6AFE">
        <w:rPr>
          <w:rFonts w:cs="Arial"/>
          <w:sz w:val="23"/>
          <w:szCs w:val="23"/>
        </w:rPr>
        <w:t xml:space="preserve">its ongoing incident response requirements and associated demands on the resilience community. </w:t>
      </w:r>
    </w:p>
    <w:p w14:paraId="62A5DBBE" w14:textId="77777777" w:rsidR="00AF25E5" w:rsidRPr="00AF25E5" w:rsidRDefault="00AF25E5" w:rsidP="008D0800">
      <w:pPr>
        <w:pStyle w:val="ListParagraph"/>
        <w:jc w:val="both"/>
        <w:rPr>
          <w:rStyle w:val="Heading4Char"/>
          <w:rFonts w:ascii="Arial" w:hAnsi="Arial" w:cs="Arial"/>
          <w:sz w:val="23"/>
          <w:szCs w:val="23"/>
        </w:rPr>
      </w:pPr>
    </w:p>
    <w:p w14:paraId="4DBDCDA4" w14:textId="3D3E0E31" w:rsidR="00AF25E5" w:rsidRPr="00AF25E5" w:rsidRDefault="00496EF9" w:rsidP="008D0800">
      <w:pPr>
        <w:pStyle w:val="ListParagraph"/>
        <w:numPr>
          <w:ilvl w:val="0"/>
          <w:numId w:val="10"/>
        </w:numPr>
        <w:spacing w:after="200" w:line="276" w:lineRule="auto"/>
        <w:ind w:left="426"/>
        <w:jc w:val="both"/>
        <w:rPr>
          <w:rFonts w:cs="Arial"/>
          <w:sz w:val="23"/>
          <w:szCs w:val="23"/>
        </w:rPr>
      </w:pPr>
      <w:r w:rsidRPr="00AF25E5">
        <w:rPr>
          <w:rStyle w:val="Heading4Char"/>
          <w:rFonts w:ascii="Arial" w:hAnsi="Arial" w:cs="Arial"/>
          <w:sz w:val="23"/>
          <w:szCs w:val="23"/>
        </w:rPr>
        <w:t>Lessons identified</w:t>
      </w:r>
      <w:r w:rsidRPr="00AF25E5">
        <w:rPr>
          <w:rFonts w:cs="Arial"/>
          <w:sz w:val="23"/>
          <w:szCs w:val="23"/>
        </w:rPr>
        <w:t xml:space="preserve"> - Capturing learning from incidents </w:t>
      </w:r>
      <w:r w:rsidR="00FB6AFE">
        <w:rPr>
          <w:rFonts w:cs="Arial"/>
          <w:sz w:val="23"/>
          <w:szCs w:val="23"/>
        </w:rPr>
        <w:t xml:space="preserve">and inquiries (e.g. Covid-19, Manchester etc.) </w:t>
      </w:r>
      <w:r w:rsidRPr="00AF25E5">
        <w:rPr>
          <w:rFonts w:cs="Arial"/>
          <w:sz w:val="23"/>
          <w:szCs w:val="23"/>
        </w:rPr>
        <w:t xml:space="preserve">will form an integral part of ways of working and response structures moving </w:t>
      </w:r>
      <w:r w:rsidR="00FB6AFE" w:rsidRPr="00AF25E5">
        <w:rPr>
          <w:rFonts w:cs="Arial"/>
          <w:sz w:val="23"/>
          <w:szCs w:val="23"/>
        </w:rPr>
        <w:t>forwards</w:t>
      </w:r>
      <w:r w:rsidR="00FB6AFE">
        <w:rPr>
          <w:rFonts w:cs="Arial"/>
          <w:sz w:val="23"/>
          <w:szCs w:val="23"/>
        </w:rPr>
        <w:t>,</w:t>
      </w:r>
      <w:r w:rsidR="00FB6AFE" w:rsidRPr="00AF25E5">
        <w:rPr>
          <w:rFonts w:cs="Arial"/>
          <w:sz w:val="23"/>
          <w:szCs w:val="23"/>
        </w:rPr>
        <w:t xml:space="preserve"> but</w:t>
      </w:r>
      <w:r w:rsidRPr="00AF25E5">
        <w:rPr>
          <w:rFonts w:cs="Arial"/>
          <w:sz w:val="23"/>
          <w:szCs w:val="23"/>
        </w:rPr>
        <w:t xml:space="preserve"> recognising that arrangements need to be adaptable and dynamic depending on the nature and type of incident </w:t>
      </w:r>
      <w:r w:rsidR="00A024A7">
        <w:rPr>
          <w:rFonts w:cs="Arial"/>
          <w:sz w:val="23"/>
          <w:szCs w:val="23"/>
        </w:rPr>
        <w:t>that</w:t>
      </w:r>
      <w:r w:rsidRPr="00AF25E5">
        <w:rPr>
          <w:rFonts w:cs="Arial"/>
          <w:sz w:val="23"/>
          <w:szCs w:val="23"/>
        </w:rPr>
        <w:t xml:space="preserve"> may </w:t>
      </w:r>
      <w:r w:rsidR="00A024A7">
        <w:rPr>
          <w:rFonts w:cs="Arial"/>
          <w:sz w:val="23"/>
          <w:szCs w:val="23"/>
        </w:rPr>
        <w:t xml:space="preserve">be </w:t>
      </w:r>
      <w:r w:rsidRPr="00AF25E5">
        <w:rPr>
          <w:rFonts w:cs="Arial"/>
          <w:sz w:val="23"/>
          <w:szCs w:val="23"/>
        </w:rPr>
        <w:t>respond</w:t>
      </w:r>
      <w:r w:rsidR="00A024A7">
        <w:rPr>
          <w:rFonts w:cs="Arial"/>
          <w:sz w:val="23"/>
          <w:szCs w:val="23"/>
        </w:rPr>
        <w:t>ed</w:t>
      </w:r>
      <w:r w:rsidRPr="00AF25E5">
        <w:rPr>
          <w:rFonts w:cs="Arial"/>
          <w:sz w:val="23"/>
          <w:szCs w:val="23"/>
        </w:rPr>
        <w:t xml:space="preserve"> to.</w:t>
      </w:r>
      <w:r w:rsidR="00215084">
        <w:rPr>
          <w:rFonts w:cs="Arial"/>
          <w:sz w:val="23"/>
          <w:szCs w:val="23"/>
        </w:rPr>
        <w:t xml:space="preserve"> </w:t>
      </w:r>
      <w:r w:rsidR="00933A35">
        <w:rPr>
          <w:rFonts w:cs="Arial"/>
          <w:sz w:val="23"/>
          <w:szCs w:val="23"/>
        </w:rPr>
        <w:t xml:space="preserve"> </w:t>
      </w:r>
    </w:p>
    <w:p w14:paraId="0586DF14" w14:textId="77777777" w:rsidR="00AF25E5" w:rsidRPr="00AF25E5" w:rsidRDefault="00AF25E5" w:rsidP="00AF25E5">
      <w:pPr>
        <w:pStyle w:val="ListParagraph"/>
        <w:rPr>
          <w:rStyle w:val="Heading4Char"/>
          <w:rFonts w:ascii="Arial" w:hAnsi="Arial" w:cs="Arial"/>
          <w:sz w:val="23"/>
          <w:szCs w:val="23"/>
        </w:rPr>
      </w:pPr>
    </w:p>
    <w:p w14:paraId="15F077EE" w14:textId="64B136D5" w:rsidR="00AF25E5" w:rsidRPr="00AF25E5" w:rsidRDefault="00496EF9" w:rsidP="008D0800">
      <w:pPr>
        <w:pStyle w:val="ListParagraph"/>
        <w:numPr>
          <w:ilvl w:val="0"/>
          <w:numId w:val="10"/>
        </w:numPr>
        <w:spacing w:after="200" w:line="276" w:lineRule="auto"/>
        <w:ind w:left="426"/>
        <w:jc w:val="both"/>
        <w:rPr>
          <w:rFonts w:cs="Arial"/>
          <w:sz w:val="23"/>
          <w:szCs w:val="23"/>
        </w:rPr>
      </w:pPr>
      <w:r w:rsidRPr="00AF25E5">
        <w:rPr>
          <w:rStyle w:val="Heading4Char"/>
          <w:rFonts w:ascii="Arial" w:hAnsi="Arial" w:cs="Arial"/>
          <w:sz w:val="23"/>
          <w:szCs w:val="23"/>
        </w:rPr>
        <w:t>Adaptability</w:t>
      </w:r>
      <w:r w:rsidRPr="00AF25E5">
        <w:rPr>
          <w:rFonts w:cs="Arial"/>
          <w:sz w:val="23"/>
          <w:szCs w:val="23"/>
        </w:rPr>
        <w:t xml:space="preserve"> - The work programme will need to be adaptable and dynamic to meet the requirements of local structural changes and to respond to the current National Resilience review and associated changes to Civil Protection Legislations and other resilience consultations</w:t>
      </w:r>
    </w:p>
    <w:p w14:paraId="4535B0EA" w14:textId="77777777" w:rsidR="00AF25E5" w:rsidRPr="00AF25E5" w:rsidRDefault="00AF25E5" w:rsidP="008D0800">
      <w:pPr>
        <w:pStyle w:val="ListParagraph"/>
        <w:jc w:val="both"/>
        <w:rPr>
          <w:rStyle w:val="Heading4Char"/>
          <w:rFonts w:ascii="Arial" w:hAnsi="Arial" w:cs="Arial"/>
          <w:sz w:val="23"/>
          <w:szCs w:val="23"/>
        </w:rPr>
      </w:pPr>
    </w:p>
    <w:p w14:paraId="1138D808" w14:textId="63AC75B1" w:rsidR="00496EF9" w:rsidRPr="00AF25E5" w:rsidRDefault="00496EF9" w:rsidP="008D0800">
      <w:pPr>
        <w:pStyle w:val="ListParagraph"/>
        <w:numPr>
          <w:ilvl w:val="0"/>
          <w:numId w:val="10"/>
        </w:numPr>
        <w:spacing w:after="200" w:line="276" w:lineRule="auto"/>
        <w:ind w:left="426"/>
        <w:jc w:val="both"/>
        <w:rPr>
          <w:rFonts w:cs="Arial"/>
          <w:sz w:val="23"/>
          <w:szCs w:val="23"/>
        </w:rPr>
      </w:pPr>
      <w:r w:rsidRPr="00AF25E5">
        <w:rPr>
          <w:rStyle w:val="Heading4Char"/>
          <w:rFonts w:ascii="Arial" w:hAnsi="Arial" w:cs="Arial"/>
          <w:sz w:val="23"/>
          <w:szCs w:val="23"/>
        </w:rPr>
        <w:t>Continuous Improvement</w:t>
      </w:r>
      <w:r w:rsidRPr="00AF25E5">
        <w:rPr>
          <w:rFonts w:cs="Arial"/>
          <w:sz w:val="23"/>
          <w:szCs w:val="23"/>
        </w:rPr>
        <w:t xml:space="preserve"> – As part of </w:t>
      </w:r>
      <w:r w:rsidR="00A700C1">
        <w:rPr>
          <w:rFonts w:cs="Arial"/>
          <w:sz w:val="23"/>
          <w:szCs w:val="23"/>
        </w:rPr>
        <w:t>the</w:t>
      </w:r>
      <w:r w:rsidR="00A700C1" w:rsidRPr="00AF25E5">
        <w:rPr>
          <w:rFonts w:cs="Arial"/>
          <w:sz w:val="23"/>
          <w:szCs w:val="23"/>
        </w:rPr>
        <w:t xml:space="preserve"> </w:t>
      </w:r>
      <w:r w:rsidRPr="00AF25E5">
        <w:rPr>
          <w:rFonts w:cs="Arial"/>
          <w:sz w:val="23"/>
          <w:szCs w:val="23"/>
        </w:rPr>
        <w:t xml:space="preserve">ICB strategy, and outlined in the principles agreed above, a programme of continual improvement </w:t>
      </w:r>
      <w:r w:rsidR="00A024A7">
        <w:rPr>
          <w:rFonts w:cs="Arial"/>
          <w:sz w:val="23"/>
          <w:szCs w:val="23"/>
        </w:rPr>
        <w:t xml:space="preserve">will be embedded </w:t>
      </w:r>
      <w:r w:rsidRPr="00AF25E5">
        <w:rPr>
          <w:rFonts w:cs="Arial"/>
          <w:sz w:val="23"/>
          <w:szCs w:val="23"/>
        </w:rPr>
        <w:t xml:space="preserve">in every engagement and programme of work, this will also </w:t>
      </w:r>
      <w:r w:rsidR="00A024A7">
        <w:rPr>
          <w:rFonts w:cs="Arial"/>
          <w:sz w:val="23"/>
          <w:szCs w:val="23"/>
        </w:rPr>
        <w:t xml:space="preserve">include </w:t>
      </w:r>
      <w:r w:rsidRPr="00AF25E5">
        <w:rPr>
          <w:rFonts w:cs="Arial"/>
          <w:sz w:val="23"/>
          <w:szCs w:val="23"/>
        </w:rPr>
        <w:t xml:space="preserve">the embedding of lessons and learning, as well as ensuring a proactive and adaptive response to meeting the needs of </w:t>
      </w:r>
      <w:r w:rsidR="00A024A7">
        <w:rPr>
          <w:rFonts w:cs="Arial"/>
          <w:sz w:val="23"/>
          <w:szCs w:val="23"/>
        </w:rPr>
        <w:t>the</w:t>
      </w:r>
      <w:r w:rsidRPr="00AF25E5">
        <w:rPr>
          <w:rFonts w:cs="Arial"/>
          <w:sz w:val="23"/>
          <w:szCs w:val="23"/>
        </w:rPr>
        <w:t xml:space="preserve"> local populations.</w:t>
      </w:r>
    </w:p>
    <w:p w14:paraId="0CDAF4EC" w14:textId="2347B85E" w:rsidR="00A10971" w:rsidRDefault="00A10971" w:rsidP="004B3C32">
      <w:pPr>
        <w:jc w:val="both"/>
        <w:rPr>
          <w:rFonts w:cs="Arial"/>
          <w:sz w:val="23"/>
          <w:szCs w:val="23"/>
        </w:rPr>
      </w:pPr>
      <w:r>
        <w:rPr>
          <w:rFonts w:cs="Arial"/>
          <w:sz w:val="23"/>
          <w:szCs w:val="23"/>
        </w:rPr>
        <w:t xml:space="preserve">To support the delivery of the principles there is a network of meetings, both health focussed and wider system focussed, </w:t>
      </w:r>
      <w:r w:rsidR="009546ED">
        <w:rPr>
          <w:rFonts w:cs="Arial"/>
          <w:sz w:val="23"/>
          <w:szCs w:val="23"/>
        </w:rPr>
        <w:t>to support joint working and integration</w:t>
      </w:r>
      <w:r>
        <w:rPr>
          <w:rFonts w:cs="Arial"/>
          <w:sz w:val="23"/>
          <w:szCs w:val="23"/>
        </w:rPr>
        <w:t>:</w:t>
      </w:r>
    </w:p>
    <w:p w14:paraId="5BF167E4" w14:textId="77777777" w:rsidR="00A10971" w:rsidRDefault="00A10971" w:rsidP="004B3C32">
      <w:pPr>
        <w:jc w:val="both"/>
        <w:rPr>
          <w:rFonts w:cs="Arial"/>
          <w:sz w:val="23"/>
          <w:szCs w:val="23"/>
        </w:rPr>
      </w:pPr>
    </w:p>
    <w:p w14:paraId="5BDE776E" w14:textId="3D90ECA2" w:rsidR="00A10971" w:rsidRPr="00A10971" w:rsidRDefault="00A10971" w:rsidP="00A10971">
      <w:pPr>
        <w:pStyle w:val="ListParagraph"/>
        <w:numPr>
          <w:ilvl w:val="0"/>
          <w:numId w:val="39"/>
        </w:numPr>
        <w:jc w:val="both"/>
        <w:rPr>
          <w:rFonts w:cs="Arial"/>
          <w:sz w:val="23"/>
          <w:szCs w:val="23"/>
        </w:rPr>
      </w:pPr>
      <w:r w:rsidRPr="00A10971">
        <w:rPr>
          <w:rFonts w:cs="Arial"/>
          <w:sz w:val="23"/>
          <w:szCs w:val="23"/>
        </w:rPr>
        <w:t>Local Health Resilience Partnership</w:t>
      </w:r>
      <w:r>
        <w:rPr>
          <w:rFonts w:cs="Arial"/>
          <w:sz w:val="23"/>
          <w:szCs w:val="23"/>
        </w:rPr>
        <w:t xml:space="preserve"> (HNY ICB footprint)</w:t>
      </w:r>
    </w:p>
    <w:p w14:paraId="44D59593" w14:textId="4D658839" w:rsidR="00A10971" w:rsidRDefault="00A10971" w:rsidP="00A10971">
      <w:pPr>
        <w:pStyle w:val="ListParagraph"/>
        <w:numPr>
          <w:ilvl w:val="0"/>
          <w:numId w:val="38"/>
        </w:numPr>
        <w:jc w:val="both"/>
        <w:rPr>
          <w:rFonts w:cs="Arial"/>
          <w:sz w:val="23"/>
          <w:szCs w:val="23"/>
        </w:rPr>
      </w:pPr>
      <w:r w:rsidRPr="00A10971">
        <w:rPr>
          <w:rFonts w:cs="Arial"/>
          <w:sz w:val="23"/>
          <w:szCs w:val="23"/>
        </w:rPr>
        <w:t>Regional Health Resilience Partnership</w:t>
      </w:r>
      <w:r>
        <w:rPr>
          <w:rFonts w:cs="Arial"/>
          <w:sz w:val="23"/>
          <w:szCs w:val="23"/>
        </w:rPr>
        <w:t xml:space="preserve"> (NHSE NEY footprint)</w:t>
      </w:r>
    </w:p>
    <w:p w14:paraId="50B6AA57" w14:textId="4A0F41E5" w:rsidR="00A10971" w:rsidRDefault="00A10971" w:rsidP="00A10971">
      <w:pPr>
        <w:pStyle w:val="ListParagraph"/>
        <w:numPr>
          <w:ilvl w:val="0"/>
          <w:numId w:val="38"/>
        </w:numPr>
        <w:jc w:val="both"/>
        <w:rPr>
          <w:rFonts w:cs="Arial"/>
          <w:sz w:val="23"/>
          <w:szCs w:val="23"/>
        </w:rPr>
      </w:pPr>
      <w:r>
        <w:rPr>
          <w:rFonts w:cs="Arial"/>
          <w:sz w:val="23"/>
          <w:szCs w:val="23"/>
        </w:rPr>
        <w:t>Local Resilience For</w:t>
      </w:r>
      <w:r w:rsidR="00FB6AFE">
        <w:rPr>
          <w:rFonts w:cs="Arial"/>
          <w:sz w:val="23"/>
          <w:szCs w:val="23"/>
        </w:rPr>
        <w:t>a</w:t>
      </w:r>
      <w:r>
        <w:rPr>
          <w:rFonts w:cs="Arial"/>
          <w:sz w:val="23"/>
          <w:szCs w:val="23"/>
        </w:rPr>
        <w:t xml:space="preserve"> – North Yorkshire LRF and Humber LRF</w:t>
      </w:r>
    </w:p>
    <w:p w14:paraId="6A151365" w14:textId="77777777" w:rsidR="00A10971" w:rsidRPr="00A10971" w:rsidRDefault="00A10971" w:rsidP="00F868D4">
      <w:pPr>
        <w:pStyle w:val="ListParagraph"/>
        <w:jc w:val="both"/>
        <w:rPr>
          <w:rFonts w:cs="Arial"/>
          <w:sz w:val="23"/>
          <w:szCs w:val="23"/>
        </w:rPr>
      </w:pPr>
    </w:p>
    <w:p w14:paraId="07ECF9BA" w14:textId="4595F2AA" w:rsidR="004B3C32" w:rsidRPr="00AF25E5" w:rsidRDefault="00A10971" w:rsidP="004B3C32">
      <w:pPr>
        <w:jc w:val="both"/>
        <w:rPr>
          <w:rFonts w:cs="Arial"/>
          <w:sz w:val="23"/>
          <w:szCs w:val="23"/>
        </w:rPr>
      </w:pPr>
      <w:r>
        <w:rPr>
          <w:rFonts w:cs="Arial"/>
          <w:sz w:val="23"/>
          <w:szCs w:val="23"/>
        </w:rPr>
        <w:t>This model of e</w:t>
      </w:r>
      <w:r w:rsidR="004B3C32" w:rsidRPr="00AF25E5">
        <w:rPr>
          <w:rFonts w:cs="Arial"/>
          <w:sz w:val="23"/>
          <w:szCs w:val="23"/>
        </w:rPr>
        <w:t xml:space="preserve">ngagement </w:t>
      </w:r>
      <w:r w:rsidR="004B3C32">
        <w:rPr>
          <w:rFonts w:cs="Arial"/>
          <w:sz w:val="23"/>
          <w:szCs w:val="23"/>
        </w:rPr>
        <w:t xml:space="preserve">across and between </w:t>
      </w:r>
      <w:r w:rsidR="004B3C32" w:rsidRPr="00AF25E5">
        <w:rPr>
          <w:rFonts w:cs="Arial"/>
          <w:sz w:val="23"/>
          <w:szCs w:val="23"/>
        </w:rPr>
        <w:t>health partners is well established (both formally and informally) and continue</w:t>
      </w:r>
      <w:r w:rsidR="004B3C32">
        <w:rPr>
          <w:rFonts w:cs="Arial"/>
          <w:sz w:val="23"/>
          <w:szCs w:val="23"/>
        </w:rPr>
        <w:t>s</w:t>
      </w:r>
      <w:r w:rsidR="004B3C32" w:rsidRPr="00AF25E5">
        <w:rPr>
          <w:rFonts w:cs="Arial"/>
          <w:sz w:val="23"/>
          <w:szCs w:val="23"/>
        </w:rPr>
        <w:t xml:space="preserve"> to build on existing ways of working and the strong relationships established over recent years.</w:t>
      </w:r>
      <w:r w:rsidR="00D42840">
        <w:rPr>
          <w:rFonts w:cs="Arial"/>
          <w:sz w:val="23"/>
          <w:szCs w:val="23"/>
        </w:rPr>
        <w:t xml:space="preserve"> Further detail is provided in the Prevention and Preparedness section (below)</w:t>
      </w:r>
    </w:p>
    <w:p w14:paraId="448E8BD3" w14:textId="29351C94" w:rsidR="009546ED" w:rsidRDefault="009546ED" w:rsidP="008D0800">
      <w:pPr>
        <w:jc w:val="both"/>
        <w:rPr>
          <w:rFonts w:cs="Arial"/>
          <w:sz w:val="23"/>
          <w:szCs w:val="23"/>
        </w:rPr>
      </w:pPr>
    </w:p>
    <w:p w14:paraId="0F872893" w14:textId="77777777" w:rsidR="00A10971" w:rsidRDefault="00A10971" w:rsidP="008D0800">
      <w:pPr>
        <w:jc w:val="both"/>
        <w:rPr>
          <w:rFonts w:cs="Arial"/>
          <w:sz w:val="23"/>
          <w:szCs w:val="23"/>
        </w:rPr>
      </w:pPr>
    </w:p>
    <w:p w14:paraId="501B4DA4" w14:textId="77777777" w:rsidR="00AF25E5" w:rsidRPr="00D34CD6" w:rsidRDefault="00AF25E5" w:rsidP="00AF25E5">
      <w:pPr>
        <w:pStyle w:val="Heading1"/>
        <w:spacing w:before="0"/>
        <w:rPr>
          <w:szCs w:val="24"/>
        </w:rPr>
      </w:pPr>
      <w:bookmarkStart w:id="45" w:name="_Toc160047251"/>
      <w:bookmarkEnd w:id="39"/>
      <w:bookmarkEnd w:id="40"/>
      <w:bookmarkEnd w:id="41"/>
      <w:bookmarkEnd w:id="42"/>
      <w:bookmarkEnd w:id="43"/>
      <w:bookmarkEnd w:id="44"/>
      <w:r w:rsidRPr="00D34CD6">
        <w:rPr>
          <w:spacing w:val="-1"/>
          <w:szCs w:val="24"/>
        </w:rPr>
        <w:t>Prevention and Preparedness</w:t>
      </w:r>
      <w:bookmarkEnd w:id="45"/>
      <w:r w:rsidRPr="00D34CD6">
        <w:rPr>
          <w:spacing w:val="-1"/>
          <w:szCs w:val="24"/>
        </w:rPr>
        <w:t xml:space="preserve"> </w:t>
      </w:r>
    </w:p>
    <w:p w14:paraId="196E6723" w14:textId="3D51E813" w:rsidR="00AF25E5" w:rsidRPr="00BC2F86" w:rsidRDefault="00AF25E5" w:rsidP="00BC2F86">
      <w:pPr>
        <w:rPr>
          <w:sz w:val="23"/>
          <w:szCs w:val="23"/>
        </w:rPr>
      </w:pPr>
      <w:r w:rsidRPr="00BC2F86">
        <w:rPr>
          <w:noProof/>
          <w:sz w:val="23"/>
          <w:szCs w:val="23"/>
        </w:rPr>
        <w:lastRenderedPageBreak/>
        <w:drawing>
          <wp:anchor distT="0" distB="0" distL="114300" distR="114300" simplePos="0" relativeHeight="251642880" behindDoc="1" locked="0" layoutInCell="1" allowOverlap="1" wp14:anchorId="710C7F56" wp14:editId="31DD170D">
            <wp:simplePos x="0" y="0"/>
            <wp:positionH relativeFrom="margin">
              <wp:align>right</wp:align>
            </wp:positionH>
            <wp:positionV relativeFrom="paragraph">
              <wp:posOffset>822325</wp:posOffset>
            </wp:positionV>
            <wp:extent cx="6120130" cy="1571625"/>
            <wp:effectExtent l="0" t="0" r="0" b="9525"/>
            <wp:wrapTight wrapText="bothSides">
              <wp:wrapPolygon edited="0">
                <wp:start x="0" y="0"/>
                <wp:lineTo x="0" y="21469"/>
                <wp:lineTo x="21515" y="21469"/>
                <wp:lineTo x="21515" y="0"/>
                <wp:lineTo x="0" y="0"/>
              </wp:wrapPolygon>
            </wp:wrapTight>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6120130" cy="1571625"/>
                    </a:xfrm>
                    <a:prstGeom prst="rect">
                      <a:avLst/>
                    </a:prstGeom>
                  </pic:spPr>
                </pic:pic>
              </a:graphicData>
            </a:graphic>
            <wp14:sizeRelH relativeFrom="page">
              <wp14:pctWidth>0</wp14:pctWidth>
            </wp14:sizeRelH>
            <wp14:sizeRelV relativeFrom="page">
              <wp14:pctHeight>0</wp14:pctHeight>
            </wp14:sizeRelV>
          </wp:anchor>
        </w:drawing>
      </w:r>
      <w:r w:rsidRPr="00BC2F86">
        <w:rPr>
          <w:sz w:val="23"/>
          <w:szCs w:val="23"/>
        </w:rPr>
        <w:t xml:space="preserve">A core component of the ICB’s EPRR strategy, and associated resilience methodology, is the prevention </w:t>
      </w:r>
      <w:r w:rsidR="008D0800">
        <w:rPr>
          <w:sz w:val="23"/>
          <w:szCs w:val="23"/>
        </w:rPr>
        <w:t xml:space="preserve">of </w:t>
      </w:r>
      <w:r w:rsidRPr="00BC2F86">
        <w:rPr>
          <w:sz w:val="23"/>
          <w:szCs w:val="23"/>
        </w:rPr>
        <w:t>and preparation for risks (known, unknown, direct, indirect and those emerging) which is delivered through a mixture of principles outlined in the Joint Emergency Services Interoperability Programme (JESIP):</w:t>
      </w:r>
    </w:p>
    <w:p w14:paraId="6F061C1D" w14:textId="2C5A1825" w:rsidR="00AF25E5" w:rsidRPr="00AF25E5" w:rsidRDefault="00D42840" w:rsidP="00AF25E5">
      <w:pPr>
        <w:pStyle w:val="Heading2"/>
        <w:numPr>
          <w:ilvl w:val="0"/>
          <w:numId w:val="0"/>
        </w:numPr>
        <w:ind w:left="851" w:hanging="851"/>
        <w:rPr>
          <w:color w:val="365F91" w:themeColor="accent1" w:themeShade="BF"/>
          <w:sz w:val="23"/>
          <w:szCs w:val="23"/>
        </w:rPr>
      </w:pPr>
      <w:bookmarkStart w:id="46" w:name="_Toc100902642"/>
      <w:bookmarkStart w:id="47" w:name="_Toc100902783"/>
      <w:bookmarkStart w:id="48" w:name="_Toc101269368"/>
      <w:bookmarkStart w:id="49" w:name="_Toc89425737"/>
      <w:bookmarkStart w:id="50" w:name="_Toc89425809"/>
      <w:bookmarkStart w:id="51" w:name="_Toc89425996"/>
      <w:bookmarkStart w:id="52" w:name="_Toc89426238"/>
      <w:bookmarkStart w:id="53" w:name="_Toc407729791"/>
      <w:bookmarkStart w:id="54" w:name="_Toc1159618392"/>
      <w:r>
        <w:rPr>
          <w:color w:val="365F91" w:themeColor="accent1" w:themeShade="BF"/>
          <w:sz w:val="23"/>
          <w:szCs w:val="23"/>
        </w:rPr>
        <w:t>6.1</w:t>
      </w:r>
      <w:r>
        <w:rPr>
          <w:color w:val="365F91" w:themeColor="accent1" w:themeShade="BF"/>
          <w:sz w:val="23"/>
          <w:szCs w:val="23"/>
        </w:rPr>
        <w:tab/>
      </w:r>
      <w:r w:rsidR="00AF25E5" w:rsidRPr="00AF25E5">
        <w:rPr>
          <w:color w:val="365F91" w:themeColor="accent1" w:themeShade="BF"/>
          <w:sz w:val="23"/>
          <w:szCs w:val="23"/>
        </w:rPr>
        <w:t>Joint Understanding of Risk</w:t>
      </w:r>
      <w:bookmarkEnd w:id="46"/>
      <w:bookmarkEnd w:id="47"/>
      <w:bookmarkEnd w:id="48"/>
    </w:p>
    <w:p w14:paraId="58716DBC" w14:textId="07DB7DDF" w:rsidR="00AF25E5" w:rsidRPr="00AF25E5" w:rsidRDefault="00AF25E5" w:rsidP="008D0800">
      <w:pPr>
        <w:jc w:val="both"/>
        <w:rPr>
          <w:rFonts w:cs="Arial"/>
          <w:sz w:val="23"/>
          <w:szCs w:val="23"/>
        </w:rPr>
      </w:pPr>
      <w:r w:rsidRPr="00AF25E5">
        <w:rPr>
          <w:rFonts w:cs="Arial"/>
          <w:sz w:val="23"/>
          <w:szCs w:val="23"/>
        </w:rPr>
        <w:t>Risks to health are identified through a variety of sources including the National Risk Register, local Community Risk Registers (held by LRF’s) and through specific intelligence around locations, premises, events or delivery of critical services which may affect population health or</w:t>
      </w:r>
      <w:r w:rsidR="00B97268">
        <w:rPr>
          <w:rFonts w:cs="Arial"/>
          <w:sz w:val="23"/>
          <w:szCs w:val="23"/>
        </w:rPr>
        <w:t xml:space="preserve"> the</w:t>
      </w:r>
      <w:r w:rsidRPr="00AF25E5">
        <w:rPr>
          <w:rFonts w:cs="Arial"/>
          <w:sz w:val="23"/>
          <w:szCs w:val="23"/>
        </w:rPr>
        <w:t xml:space="preserve"> delivery of patient care.</w:t>
      </w:r>
    </w:p>
    <w:p w14:paraId="54FEB7EB" w14:textId="77777777" w:rsidR="00AF25E5" w:rsidRDefault="00AF25E5" w:rsidP="008D0800">
      <w:pPr>
        <w:jc w:val="both"/>
        <w:rPr>
          <w:rFonts w:cs="Arial"/>
          <w:sz w:val="23"/>
          <w:szCs w:val="23"/>
        </w:rPr>
      </w:pPr>
    </w:p>
    <w:p w14:paraId="26C1E31A" w14:textId="0717DF22" w:rsidR="00AF25E5" w:rsidRPr="00AF25E5" w:rsidRDefault="00AF25E5" w:rsidP="008D0800">
      <w:pPr>
        <w:jc w:val="both"/>
        <w:rPr>
          <w:rFonts w:cs="Arial"/>
          <w:sz w:val="23"/>
          <w:szCs w:val="23"/>
        </w:rPr>
      </w:pPr>
      <w:r w:rsidRPr="00AF25E5">
        <w:rPr>
          <w:rFonts w:cs="Arial"/>
          <w:sz w:val="23"/>
          <w:szCs w:val="23"/>
        </w:rPr>
        <w:t xml:space="preserve">The </w:t>
      </w:r>
      <w:r w:rsidR="00B97268">
        <w:rPr>
          <w:rFonts w:cs="Arial"/>
          <w:sz w:val="23"/>
          <w:szCs w:val="23"/>
        </w:rPr>
        <w:t xml:space="preserve">EPRR </w:t>
      </w:r>
      <w:r w:rsidRPr="00AF25E5">
        <w:rPr>
          <w:rFonts w:cs="Arial"/>
          <w:sz w:val="23"/>
          <w:szCs w:val="23"/>
        </w:rPr>
        <w:t>risks which have been identified for the Humber and North Yorkshire</w:t>
      </w:r>
      <w:r w:rsidR="008227D6">
        <w:rPr>
          <w:rFonts w:cs="Arial"/>
          <w:sz w:val="23"/>
          <w:szCs w:val="23"/>
        </w:rPr>
        <w:t xml:space="preserve"> health economy</w:t>
      </w:r>
      <w:r w:rsidRPr="00AF25E5">
        <w:rPr>
          <w:rFonts w:cs="Arial"/>
          <w:sz w:val="23"/>
          <w:szCs w:val="23"/>
        </w:rPr>
        <w:t xml:space="preserve"> will be collated and will </w:t>
      </w:r>
      <w:r w:rsidR="004B3C32">
        <w:rPr>
          <w:rFonts w:cs="Arial"/>
          <w:sz w:val="23"/>
          <w:szCs w:val="23"/>
        </w:rPr>
        <w:t xml:space="preserve">be integrated internally within the ICB with the ICB risk register to ensure that those risks of significant magnitude are visible to the ICB and will also </w:t>
      </w:r>
      <w:r w:rsidRPr="00AF25E5">
        <w:rPr>
          <w:rFonts w:cs="Arial"/>
          <w:sz w:val="23"/>
          <w:szCs w:val="23"/>
        </w:rPr>
        <w:t>integrate with the</w:t>
      </w:r>
      <w:r w:rsidR="004B3C32">
        <w:rPr>
          <w:rFonts w:cs="Arial"/>
          <w:sz w:val="23"/>
          <w:szCs w:val="23"/>
        </w:rPr>
        <w:t xml:space="preserve"> NHSE</w:t>
      </w:r>
      <w:r w:rsidRPr="00AF25E5">
        <w:rPr>
          <w:rFonts w:cs="Arial"/>
          <w:sz w:val="23"/>
          <w:szCs w:val="23"/>
        </w:rPr>
        <w:t xml:space="preserve"> North East &amp; Yorkshire central </w:t>
      </w:r>
      <w:r w:rsidR="004B3C32">
        <w:rPr>
          <w:rFonts w:cs="Arial"/>
          <w:sz w:val="23"/>
          <w:szCs w:val="23"/>
        </w:rPr>
        <w:t xml:space="preserve">EPRR </w:t>
      </w:r>
      <w:r w:rsidRPr="00AF25E5">
        <w:rPr>
          <w:rFonts w:cs="Arial"/>
          <w:sz w:val="23"/>
          <w:szCs w:val="23"/>
        </w:rPr>
        <w:t>risk register</w:t>
      </w:r>
      <w:r w:rsidR="004B3C32">
        <w:rPr>
          <w:rFonts w:cs="Arial"/>
          <w:sz w:val="23"/>
          <w:szCs w:val="23"/>
        </w:rPr>
        <w:t xml:space="preserve">. </w:t>
      </w:r>
      <w:r w:rsidRPr="00AF25E5">
        <w:rPr>
          <w:rFonts w:cs="Arial"/>
          <w:sz w:val="23"/>
          <w:szCs w:val="23"/>
        </w:rPr>
        <w:t xml:space="preserve">The ICB specific and the </w:t>
      </w:r>
      <w:r w:rsidR="004B3C32">
        <w:rPr>
          <w:rFonts w:cs="Arial"/>
          <w:sz w:val="23"/>
          <w:szCs w:val="23"/>
        </w:rPr>
        <w:t xml:space="preserve">NHSE </w:t>
      </w:r>
      <w:r w:rsidRPr="00AF25E5">
        <w:rPr>
          <w:rFonts w:cs="Arial"/>
          <w:sz w:val="23"/>
          <w:szCs w:val="23"/>
        </w:rPr>
        <w:t xml:space="preserve">North East &amp; Yorkshire risk registers are used to prioritise the ICB and regional work programmes on an annual basis and will direct the prevention and preparedness work with </w:t>
      </w:r>
      <w:r w:rsidR="00A700C1">
        <w:rPr>
          <w:rFonts w:cs="Arial"/>
          <w:sz w:val="23"/>
          <w:szCs w:val="23"/>
        </w:rPr>
        <w:t>the</w:t>
      </w:r>
      <w:r w:rsidR="00A700C1" w:rsidRPr="00AF25E5">
        <w:rPr>
          <w:rFonts w:cs="Arial"/>
          <w:sz w:val="23"/>
          <w:szCs w:val="23"/>
        </w:rPr>
        <w:t xml:space="preserve"> </w:t>
      </w:r>
      <w:r w:rsidRPr="00AF25E5">
        <w:rPr>
          <w:rFonts w:cs="Arial"/>
          <w:sz w:val="23"/>
          <w:szCs w:val="23"/>
        </w:rPr>
        <w:t>multi-agency partners.</w:t>
      </w:r>
    </w:p>
    <w:p w14:paraId="735A208F" w14:textId="77777777" w:rsidR="00AF25E5" w:rsidRDefault="00AF25E5" w:rsidP="008D0800">
      <w:pPr>
        <w:jc w:val="both"/>
        <w:rPr>
          <w:rFonts w:cs="Arial"/>
          <w:sz w:val="23"/>
          <w:szCs w:val="23"/>
        </w:rPr>
      </w:pPr>
    </w:p>
    <w:p w14:paraId="23ED04AD" w14:textId="3DA36217" w:rsidR="00AF25E5" w:rsidRDefault="00AF25E5" w:rsidP="008D0800">
      <w:pPr>
        <w:jc w:val="both"/>
        <w:rPr>
          <w:rFonts w:cs="Arial"/>
          <w:sz w:val="23"/>
          <w:szCs w:val="23"/>
        </w:rPr>
      </w:pPr>
      <w:r w:rsidRPr="00AF25E5">
        <w:rPr>
          <w:rFonts w:cs="Arial"/>
          <w:sz w:val="23"/>
          <w:szCs w:val="23"/>
        </w:rPr>
        <w:t>The Humber and North Yorkshire ICB</w:t>
      </w:r>
      <w:r w:rsidR="00D42840">
        <w:rPr>
          <w:rFonts w:cs="Arial"/>
          <w:sz w:val="23"/>
          <w:szCs w:val="23"/>
        </w:rPr>
        <w:t xml:space="preserve">’s risk register will be </w:t>
      </w:r>
      <w:r w:rsidRPr="00AF25E5">
        <w:rPr>
          <w:rFonts w:cs="Arial"/>
          <w:sz w:val="23"/>
          <w:szCs w:val="23"/>
        </w:rPr>
        <w:t xml:space="preserve">reviewed </w:t>
      </w:r>
      <w:r w:rsidR="00D42840">
        <w:rPr>
          <w:rFonts w:cs="Arial"/>
          <w:sz w:val="23"/>
          <w:szCs w:val="23"/>
        </w:rPr>
        <w:t xml:space="preserve">on a minimum quarterly basis and more frequently as changes in risk levels are identified </w:t>
      </w:r>
      <w:r w:rsidRPr="00AF25E5">
        <w:rPr>
          <w:rFonts w:cs="Arial"/>
          <w:sz w:val="23"/>
          <w:szCs w:val="23"/>
        </w:rPr>
        <w:t xml:space="preserve">as part of continual improvement principles and in conjunction with updates to both national, regional, and local risk registers. </w:t>
      </w:r>
    </w:p>
    <w:p w14:paraId="63042DC5" w14:textId="77777777" w:rsidR="00AF25E5" w:rsidRDefault="00AF25E5" w:rsidP="008D0800">
      <w:pPr>
        <w:jc w:val="both"/>
        <w:rPr>
          <w:rFonts w:cs="Arial"/>
          <w:sz w:val="23"/>
          <w:szCs w:val="23"/>
        </w:rPr>
      </w:pPr>
    </w:p>
    <w:p w14:paraId="773211CB" w14:textId="6F4DF881" w:rsidR="00AF25E5" w:rsidRDefault="00AF25E5" w:rsidP="008D0800">
      <w:pPr>
        <w:jc w:val="both"/>
        <w:rPr>
          <w:rFonts w:cs="Arial"/>
          <w:sz w:val="23"/>
          <w:szCs w:val="23"/>
        </w:rPr>
      </w:pPr>
      <w:r w:rsidRPr="00620641">
        <w:rPr>
          <w:rFonts w:cs="Arial"/>
          <w:sz w:val="23"/>
          <w:szCs w:val="23"/>
        </w:rPr>
        <w:t>Due to the content of the</w:t>
      </w:r>
      <w:r w:rsidR="00D42840" w:rsidRPr="00620641">
        <w:rPr>
          <w:rFonts w:cs="Arial"/>
          <w:sz w:val="23"/>
          <w:szCs w:val="23"/>
        </w:rPr>
        <w:t xml:space="preserve"> ICB and the NHSE</w:t>
      </w:r>
      <w:r w:rsidRPr="00620641">
        <w:rPr>
          <w:rFonts w:cs="Arial"/>
          <w:sz w:val="23"/>
          <w:szCs w:val="23"/>
        </w:rPr>
        <w:t xml:space="preserve"> </w:t>
      </w:r>
      <w:r w:rsidR="008227D6" w:rsidRPr="00620641">
        <w:rPr>
          <w:rFonts w:cs="Arial"/>
          <w:sz w:val="23"/>
          <w:szCs w:val="23"/>
        </w:rPr>
        <w:t>N</w:t>
      </w:r>
      <w:r w:rsidR="00D42840" w:rsidRPr="00620641">
        <w:rPr>
          <w:rFonts w:cs="Arial"/>
          <w:sz w:val="23"/>
          <w:szCs w:val="23"/>
        </w:rPr>
        <w:t>EY</w:t>
      </w:r>
      <w:r w:rsidR="008227D6" w:rsidRPr="00620641">
        <w:rPr>
          <w:rFonts w:cs="Arial"/>
          <w:sz w:val="23"/>
          <w:szCs w:val="23"/>
        </w:rPr>
        <w:t xml:space="preserve"> </w:t>
      </w:r>
      <w:r w:rsidR="00620641">
        <w:rPr>
          <w:rFonts w:cs="Arial"/>
          <w:sz w:val="23"/>
          <w:szCs w:val="23"/>
        </w:rPr>
        <w:t xml:space="preserve">EPRR focussed </w:t>
      </w:r>
      <w:r w:rsidRPr="00620641">
        <w:rPr>
          <w:rFonts w:cs="Arial"/>
          <w:sz w:val="23"/>
          <w:szCs w:val="23"/>
        </w:rPr>
        <w:t>risk register</w:t>
      </w:r>
      <w:r w:rsidR="00D42840" w:rsidRPr="00620641">
        <w:rPr>
          <w:rFonts w:cs="Arial"/>
          <w:sz w:val="23"/>
          <w:szCs w:val="23"/>
        </w:rPr>
        <w:t>s the details in both will be held</w:t>
      </w:r>
      <w:r w:rsidRPr="00620641">
        <w:rPr>
          <w:rFonts w:cs="Arial"/>
          <w:sz w:val="23"/>
          <w:szCs w:val="23"/>
        </w:rPr>
        <w:t xml:space="preserve"> at OFFICIAL-SENSITIVE under Government Security Classifications (GSC) and access to the document will be managed by the ICB and/or Regional EPRR team</w:t>
      </w:r>
      <w:r w:rsidR="00D42840" w:rsidRPr="00620641">
        <w:rPr>
          <w:rFonts w:cs="Arial"/>
          <w:sz w:val="23"/>
          <w:szCs w:val="23"/>
        </w:rPr>
        <w:t>s respectively</w:t>
      </w:r>
      <w:r w:rsidR="00620641">
        <w:rPr>
          <w:rFonts w:cs="Arial"/>
          <w:sz w:val="23"/>
          <w:szCs w:val="23"/>
        </w:rPr>
        <w:t xml:space="preserve">. High level description of the risks identified may be presented as part of a wider risk register if they breach the risk appetite thresholds and disclosure is agreed by the AEO. </w:t>
      </w:r>
    </w:p>
    <w:p w14:paraId="557D17E9" w14:textId="77777777" w:rsidR="00080E94" w:rsidRDefault="00080E94" w:rsidP="008D0800">
      <w:pPr>
        <w:jc w:val="both"/>
        <w:rPr>
          <w:rFonts w:cs="Arial"/>
          <w:sz w:val="23"/>
          <w:szCs w:val="23"/>
        </w:rPr>
      </w:pPr>
    </w:p>
    <w:p w14:paraId="4F3AF895" w14:textId="27CA8FD1" w:rsidR="00080E94" w:rsidRDefault="00080E94" w:rsidP="008D0800">
      <w:pPr>
        <w:jc w:val="both"/>
        <w:rPr>
          <w:rFonts w:cs="Arial"/>
          <w:sz w:val="23"/>
          <w:szCs w:val="23"/>
        </w:rPr>
      </w:pPr>
      <w:r>
        <w:rPr>
          <w:rFonts w:cs="Arial"/>
          <w:sz w:val="23"/>
          <w:szCs w:val="23"/>
        </w:rPr>
        <w:t xml:space="preserve">“Risk” is a standing agenda item for </w:t>
      </w:r>
      <w:r w:rsidR="00AB5804">
        <w:rPr>
          <w:rFonts w:cs="Arial"/>
          <w:sz w:val="23"/>
          <w:szCs w:val="23"/>
        </w:rPr>
        <w:t>the Humber and North Yorkshire LHRP and will focus on:</w:t>
      </w:r>
    </w:p>
    <w:p w14:paraId="48B22F5A" w14:textId="77777777" w:rsidR="00AB5804" w:rsidRDefault="00AB5804" w:rsidP="008D0800">
      <w:pPr>
        <w:jc w:val="both"/>
        <w:rPr>
          <w:rFonts w:cs="Arial"/>
          <w:sz w:val="23"/>
          <w:szCs w:val="23"/>
        </w:rPr>
      </w:pPr>
    </w:p>
    <w:p w14:paraId="52C3B3C9" w14:textId="7E5210B3" w:rsidR="00BF3AC0" w:rsidRDefault="00BF3AC0" w:rsidP="00BF3AC0">
      <w:pPr>
        <w:pStyle w:val="ListParagraph"/>
        <w:numPr>
          <w:ilvl w:val="0"/>
          <w:numId w:val="32"/>
        </w:numPr>
        <w:jc w:val="both"/>
        <w:rPr>
          <w:rFonts w:cs="Arial"/>
          <w:sz w:val="23"/>
          <w:szCs w:val="23"/>
        </w:rPr>
      </w:pPr>
      <w:r>
        <w:rPr>
          <w:rFonts w:cs="Arial"/>
          <w:sz w:val="23"/>
          <w:szCs w:val="23"/>
        </w:rPr>
        <w:t>Review of t</w:t>
      </w:r>
      <w:r w:rsidR="00AB5804">
        <w:rPr>
          <w:rFonts w:cs="Arial"/>
          <w:sz w:val="23"/>
          <w:szCs w:val="23"/>
        </w:rPr>
        <w:t>he top five risks within the NEY Risk Register being focussed on by the LHRP determined at the start of the planning cycle</w:t>
      </w:r>
      <w:r>
        <w:rPr>
          <w:rFonts w:cs="Arial"/>
          <w:sz w:val="23"/>
          <w:szCs w:val="23"/>
        </w:rPr>
        <w:t xml:space="preserve"> in Quarter 1</w:t>
      </w:r>
    </w:p>
    <w:p w14:paraId="57351631" w14:textId="13CC19FB" w:rsidR="00BF3AC0" w:rsidRDefault="00BF3AC0" w:rsidP="00BF3AC0">
      <w:pPr>
        <w:pStyle w:val="ListParagraph"/>
        <w:numPr>
          <w:ilvl w:val="0"/>
          <w:numId w:val="32"/>
        </w:numPr>
        <w:jc w:val="both"/>
        <w:rPr>
          <w:rFonts w:cs="Arial"/>
          <w:sz w:val="23"/>
          <w:szCs w:val="23"/>
        </w:rPr>
      </w:pPr>
      <w:r>
        <w:rPr>
          <w:rFonts w:cs="Arial"/>
          <w:sz w:val="23"/>
          <w:szCs w:val="23"/>
        </w:rPr>
        <w:t>Discussion of any newly identified risks for escalation to the NEY Risk Register</w:t>
      </w:r>
    </w:p>
    <w:p w14:paraId="493A2C3F" w14:textId="232F8BA6" w:rsidR="00BF3AC0" w:rsidRPr="00AA022A" w:rsidRDefault="00D42840" w:rsidP="00AA022A">
      <w:pPr>
        <w:pStyle w:val="ListParagraph"/>
        <w:numPr>
          <w:ilvl w:val="0"/>
          <w:numId w:val="32"/>
        </w:numPr>
        <w:jc w:val="both"/>
        <w:rPr>
          <w:rFonts w:cs="Arial"/>
          <w:sz w:val="23"/>
          <w:szCs w:val="23"/>
        </w:rPr>
      </w:pPr>
      <w:r>
        <w:rPr>
          <w:rFonts w:cs="Arial"/>
          <w:sz w:val="23"/>
          <w:szCs w:val="23"/>
        </w:rPr>
        <w:t>Proposed or actual a</w:t>
      </w:r>
      <w:r w:rsidR="00BF3AC0">
        <w:rPr>
          <w:rFonts w:cs="Arial"/>
          <w:sz w:val="23"/>
          <w:szCs w:val="23"/>
        </w:rPr>
        <w:t>mendment</w:t>
      </w:r>
      <w:r>
        <w:rPr>
          <w:rFonts w:cs="Arial"/>
          <w:sz w:val="23"/>
          <w:szCs w:val="23"/>
        </w:rPr>
        <w:t>s</w:t>
      </w:r>
      <w:r w:rsidR="00BF3AC0">
        <w:rPr>
          <w:rFonts w:cs="Arial"/>
          <w:sz w:val="23"/>
          <w:szCs w:val="23"/>
        </w:rPr>
        <w:t xml:space="preserve"> to any of the risks on the NEY Risk Register. </w:t>
      </w:r>
    </w:p>
    <w:p w14:paraId="4B070C56" w14:textId="77777777" w:rsidR="008227D6" w:rsidRDefault="008227D6" w:rsidP="008D0800">
      <w:pPr>
        <w:jc w:val="both"/>
        <w:rPr>
          <w:rFonts w:cs="Arial"/>
          <w:sz w:val="23"/>
          <w:szCs w:val="23"/>
        </w:rPr>
      </w:pPr>
    </w:p>
    <w:p w14:paraId="4186CFC8" w14:textId="130BA236" w:rsidR="00D10405" w:rsidRDefault="00E77745" w:rsidP="008D0800">
      <w:pPr>
        <w:jc w:val="both"/>
        <w:rPr>
          <w:rFonts w:cs="Arial"/>
          <w:sz w:val="23"/>
          <w:szCs w:val="23"/>
        </w:rPr>
      </w:pPr>
      <w:r>
        <w:rPr>
          <w:rFonts w:cs="Arial"/>
          <w:sz w:val="23"/>
          <w:szCs w:val="23"/>
        </w:rPr>
        <w:t xml:space="preserve">Management and process for the </w:t>
      </w:r>
      <w:r w:rsidRPr="00620641">
        <w:rPr>
          <w:rFonts w:cs="Arial"/>
          <w:sz w:val="23"/>
          <w:szCs w:val="23"/>
        </w:rPr>
        <w:t>ICB’s internal EPRR Risks can be found at Section 9.</w:t>
      </w:r>
      <w:r>
        <w:rPr>
          <w:rFonts w:cs="Arial"/>
          <w:sz w:val="23"/>
          <w:szCs w:val="23"/>
        </w:rPr>
        <w:t xml:space="preserve"> </w:t>
      </w:r>
      <w:r w:rsidR="009F7B01">
        <w:rPr>
          <w:rFonts w:cs="Arial"/>
          <w:sz w:val="23"/>
          <w:szCs w:val="23"/>
        </w:rPr>
        <w:t xml:space="preserve"> </w:t>
      </w:r>
    </w:p>
    <w:p w14:paraId="4FEE91B0" w14:textId="77777777" w:rsidR="00D34CD6" w:rsidRDefault="00D34CD6" w:rsidP="008D0800">
      <w:pPr>
        <w:jc w:val="both"/>
        <w:rPr>
          <w:rFonts w:cs="Arial"/>
          <w:sz w:val="23"/>
          <w:szCs w:val="23"/>
        </w:rPr>
      </w:pPr>
    </w:p>
    <w:p w14:paraId="23D8A084" w14:textId="6F1EF033" w:rsidR="00AF25E5" w:rsidRPr="00AF25E5" w:rsidRDefault="00D42840" w:rsidP="00AF25E5">
      <w:pPr>
        <w:pStyle w:val="Heading2"/>
        <w:numPr>
          <w:ilvl w:val="0"/>
          <w:numId w:val="0"/>
        </w:numPr>
        <w:ind w:left="851" w:hanging="851"/>
        <w:rPr>
          <w:color w:val="365F91" w:themeColor="accent1" w:themeShade="BF"/>
          <w:sz w:val="23"/>
          <w:szCs w:val="23"/>
        </w:rPr>
      </w:pPr>
      <w:bookmarkStart w:id="55" w:name="_Toc100902643"/>
      <w:bookmarkStart w:id="56" w:name="_Toc100902784"/>
      <w:bookmarkStart w:id="57" w:name="_Toc101269369"/>
      <w:r>
        <w:rPr>
          <w:color w:val="365F91" w:themeColor="accent1" w:themeShade="BF"/>
          <w:sz w:val="23"/>
          <w:szCs w:val="23"/>
        </w:rPr>
        <w:t>6.2</w:t>
      </w:r>
      <w:r>
        <w:rPr>
          <w:color w:val="365F91" w:themeColor="accent1" w:themeShade="BF"/>
          <w:sz w:val="23"/>
          <w:szCs w:val="23"/>
        </w:rPr>
        <w:tab/>
      </w:r>
      <w:r w:rsidR="00AF25E5" w:rsidRPr="00AF25E5">
        <w:rPr>
          <w:color w:val="365F91" w:themeColor="accent1" w:themeShade="BF"/>
          <w:sz w:val="23"/>
          <w:szCs w:val="23"/>
        </w:rPr>
        <w:t>Shared Situational Awareness</w:t>
      </w:r>
      <w:bookmarkEnd w:id="55"/>
      <w:bookmarkEnd w:id="56"/>
      <w:bookmarkEnd w:id="57"/>
      <w:r w:rsidR="003A3E08">
        <w:rPr>
          <w:color w:val="365F91" w:themeColor="accent1" w:themeShade="BF"/>
          <w:sz w:val="23"/>
          <w:szCs w:val="23"/>
        </w:rPr>
        <w:t xml:space="preserve"> – Strategic Groups</w:t>
      </w:r>
    </w:p>
    <w:p w14:paraId="4892A026" w14:textId="2D8CA453" w:rsidR="00AF25E5" w:rsidRDefault="00AF25E5" w:rsidP="008D0800">
      <w:pPr>
        <w:jc w:val="both"/>
        <w:rPr>
          <w:rFonts w:cs="Arial"/>
          <w:sz w:val="23"/>
          <w:szCs w:val="23"/>
        </w:rPr>
      </w:pPr>
      <w:r w:rsidRPr="00AF25E5">
        <w:rPr>
          <w:rFonts w:cs="Arial"/>
          <w:sz w:val="23"/>
          <w:szCs w:val="23"/>
        </w:rPr>
        <w:t xml:space="preserve">Strategic fora for delivering joint health planning are known as Health Resilience Partnerships (HRPs). </w:t>
      </w:r>
      <w:r w:rsidR="00A10971">
        <w:rPr>
          <w:rFonts w:cs="Arial"/>
          <w:sz w:val="23"/>
          <w:szCs w:val="23"/>
        </w:rPr>
        <w:t xml:space="preserve">Covering </w:t>
      </w:r>
      <w:r w:rsidR="00000370">
        <w:rPr>
          <w:rFonts w:cs="Arial"/>
          <w:sz w:val="23"/>
          <w:szCs w:val="23"/>
        </w:rPr>
        <w:t>Humber and North Yorkshire</w:t>
      </w:r>
      <w:r w:rsidR="00A10971">
        <w:rPr>
          <w:rFonts w:cs="Arial"/>
          <w:sz w:val="23"/>
          <w:szCs w:val="23"/>
        </w:rPr>
        <w:t xml:space="preserve"> </w:t>
      </w:r>
      <w:r w:rsidR="008D0800">
        <w:rPr>
          <w:rFonts w:cs="Arial"/>
          <w:sz w:val="23"/>
          <w:szCs w:val="23"/>
        </w:rPr>
        <w:t>there are</w:t>
      </w:r>
      <w:r w:rsidRPr="00AF25E5">
        <w:rPr>
          <w:rFonts w:cs="Arial"/>
          <w:sz w:val="23"/>
          <w:szCs w:val="23"/>
        </w:rPr>
        <w:t xml:space="preserve"> two</w:t>
      </w:r>
      <w:r w:rsidR="00A10971">
        <w:rPr>
          <w:rFonts w:cs="Arial"/>
          <w:sz w:val="23"/>
          <w:szCs w:val="23"/>
        </w:rPr>
        <w:t xml:space="preserve"> </w:t>
      </w:r>
      <w:r w:rsidRPr="00AF25E5">
        <w:rPr>
          <w:rFonts w:cs="Arial"/>
          <w:sz w:val="23"/>
          <w:szCs w:val="23"/>
        </w:rPr>
        <w:t xml:space="preserve">health resilience partnerships </w:t>
      </w:r>
      <w:r w:rsidR="00A10971">
        <w:rPr>
          <w:rFonts w:cs="Arial"/>
          <w:sz w:val="23"/>
          <w:szCs w:val="23"/>
        </w:rPr>
        <w:t>operating covering different footprints; Local Health Resilience Partnership which covers the ICB footprint and Regional Health Resilience Partnership which covers the NHSE NEY footprint.</w:t>
      </w:r>
    </w:p>
    <w:p w14:paraId="3E3DB68B" w14:textId="77777777" w:rsidR="00D42840" w:rsidRPr="00AF25E5" w:rsidRDefault="00D42840" w:rsidP="008D0800">
      <w:pPr>
        <w:jc w:val="both"/>
        <w:rPr>
          <w:rFonts w:cs="Arial"/>
          <w:sz w:val="23"/>
          <w:szCs w:val="23"/>
        </w:rPr>
      </w:pPr>
    </w:p>
    <w:p w14:paraId="1FB3982B" w14:textId="77777777" w:rsidR="00D42840" w:rsidRDefault="00D42840" w:rsidP="00D42840">
      <w:pPr>
        <w:rPr>
          <w:b/>
          <w:bCs/>
          <w:sz w:val="23"/>
          <w:szCs w:val="23"/>
        </w:rPr>
      </w:pPr>
      <w:bookmarkStart w:id="58" w:name="_Toc100902645"/>
      <w:bookmarkStart w:id="59" w:name="_Toc100902786"/>
      <w:bookmarkStart w:id="60" w:name="_Toc101269371"/>
      <w:bookmarkStart w:id="61" w:name="_Toc100902644"/>
      <w:bookmarkStart w:id="62" w:name="_Toc100902785"/>
      <w:bookmarkStart w:id="63" w:name="_Toc101269370"/>
      <w:r w:rsidRPr="00D42840">
        <w:rPr>
          <w:b/>
          <w:bCs/>
          <w:sz w:val="23"/>
          <w:szCs w:val="23"/>
        </w:rPr>
        <w:t>Local Health Resilience Partnerships (LHRPs)</w:t>
      </w:r>
      <w:bookmarkEnd w:id="58"/>
      <w:bookmarkEnd w:id="59"/>
      <w:bookmarkEnd w:id="60"/>
    </w:p>
    <w:p w14:paraId="1B6C6DBF" w14:textId="77777777" w:rsidR="00D34CD6" w:rsidRPr="00D42840" w:rsidRDefault="00D34CD6" w:rsidP="00D42840">
      <w:pPr>
        <w:rPr>
          <w:b/>
          <w:bCs/>
          <w:sz w:val="23"/>
          <w:szCs w:val="23"/>
        </w:rPr>
      </w:pPr>
    </w:p>
    <w:p w14:paraId="411BBFF4" w14:textId="559A6ECE" w:rsidR="00D10405" w:rsidRDefault="00D42840" w:rsidP="00D10405">
      <w:pPr>
        <w:pStyle w:val="ListParagraph"/>
        <w:ind w:left="0"/>
        <w:jc w:val="both"/>
        <w:rPr>
          <w:rFonts w:cs="Arial"/>
          <w:sz w:val="23"/>
          <w:szCs w:val="23"/>
        </w:rPr>
      </w:pPr>
      <w:r w:rsidRPr="00AF25E5">
        <w:rPr>
          <w:rFonts w:cs="Arial"/>
          <w:sz w:val="23"/>
          <w:szCs w:val="23"/>
        </w:rPr>
        <w:t>The Local Health Resilience Partnerships (LHRPs) are coterminous with ICB boundaries</w:t>
      </w:r>
      <w:r>
        <w:rPr>
          <w:rFonts w:cs="Arial"/>
          <w:sz w:val="23"/>
          <w:szCs w:val="23"/>
        </w:rPr>
        <w:t xml:space="preserve">. HNY ICB has an LHRP to bring together partners </w:t>
      </w:r>
      <w:r w:rsidR="00D10405">
        <w:rPr>
          <w:rFonts w:cs="Arial"/>
          <w:sz w:val="23"/>
          <w:szCs w:val="23"/>
        </w:rPr>
        <w:t xml:space="preserve">to support collaboration, shared awareness and joint planning across the ICB footprint. </w:t>
      </w:r>
      <w:r w:rsidR="00D10405" w:rsidRPr="00D10405">
        <w:rPr>
          <w:rFonts w:cs="Arial"/>
          <w:sz w:val="23"/>
          <w:szCs w:val="23"/>
        </w:rPr>
        <w:t>The LHRP</w:t>
      </w:r>
      <w:r w:rsidR="00D10405">
        <w:rPr>
          <w:rFonts w:cs="Arial"/>
          <w:sz w:val="23"/>
          <w:szCs w:val="23"/>
        </w:rPr>
        <w:t xml:space="preserve"> i</w:t>
      </w:r>
      <w:r w:rsidR="00D10405" w:rsidRPr="00D10405">
        <w:rPr>
          <w:rFonts w:cs="Arial"/>
          <w:sz w:val="23"/>
          <w:szCs w:val="23"/>
        </w:rPr>
        <w:t xml:space="preserve">s chaired by the ICB AEO </w:t>
      </w:r>
      <w:r w:rsidR="00D10405">
        <w:rPr>
          <w:rFonts w:cs="Arial"/>
          <w:sz w:val="23"/>
          <w:szCs w:val="23"/>
        </w:rPr>
        <w:t xml:space="preserve">and acts </w:t>
      </w:r>
      <w:r w:rsidR="00D10405" w:rsidRPr="00D10405">
        <w:rPr>
          <w:rFonts w:cs="Arial"/>
          <w:sz w:val="23"/>
          <w:szCs w:val="23"/>
        </w:rPr>
        <w:t>as a Strategic forum across health and care (NHS Health, Public Health and Social Care) to</w:t>
      </w:r>
      <w:r w:rsidR="00D10405">
        <w:rPr>
          <w:rFonts w:cs="Arial"/>
          <w:sz w:val="23"/>
          <w:szCs w:val="23"/>
        </w:rPr>
        <w:t xml:space="preserve"> develop:</w:t>
      </w:r>
    </w:p>
    <w:p w14:paraId="68B85333" w14:textId="77777777" w:rsidR="00D34CD6" w:rsidRDefault="00D34CD6" w:rsidP="00D10405">
      <w:pPr>
        <w:pStyle w:val="ListParagraph"/>
        <w:ind w:left="0"/>
        <w:jc w:val="both"/>
        <w:rPr>
          <w:rFonts w:cs="Arial"/>
          <w:sz w:val="23"/>
          <w:szCs w:val="23"/>
        </w:rPr>
      </w:pPr>
    </w:p>
    <w:p w14:paraId="51F48FAE" w14:textId="29798994" w:rsidR="00D10405" w:rsidRDefault="00D10405" w:rsidP="00D10405">
      <w:pPr>
        <w:pStyle w:val="ListParagraph"/>
        <w:numPr>
          <w:ilvl w:val="0"/>
          <w:numId w:val="34"/>
        </w:numPr>
        <w:jc w:val="both"/>
        <w:rPr>
          <w:rFonts w:cs="Arial"/>
          <w:sz w:val="23"/>
          <w:szCs w:val="23"/>
        </w:rPr>
      </w:pPr>
      <w:r>
        <w:rPr>
          <w:rFonts w:cs="Arial"/>
          <w:sz w:val="23"/>
          <w:szCs w:val="23"/>
        </w:rPr>
        <w:t>Joint understanding of the EPRR risks in and impact on the different sectors</w:t>
      </w:r>
    </w:p>
    <w:p w14:paraId="46108F04" w14:textId="77777777" w:rsidR="00D10405" w:rsidRDefault="00D10405" w:rsidP="00D10405">
      <w:pPr>
        <w:pStyle w:val="ListParagraph"/>
        <w:numPr>
          <w:ilvl w:val="0"/>
          <w:numId w:val="34"/>
        </w:numPr>
        <w:jc w:val="both"/>
        <w:rPr>
          <w:rFonts w:cs="Arial"/>
          <w:sz w:val="23"/>
          <w:szCs w:val="23"/>
        </w:rPr>
      </w:pPr>
      <w:r>
        <w:rPr>
          <w:rFonts w:cs="Arial"/>
          <w:sz w:val="23"/>
          <w:szCs w:val="23"/>
        </w:rPr>
        <w:t>Integrated plans and risk management / mitigation strategies to support the whole system to respond</w:t>
      </w:r>
    </w:p>
    <w:p w14:paraId="710D99E3" w14:textId="77777777" w:rsidR="00D10405" w:rsidRDefault="00D10405" w:rsidP="00D10405">
      <w:pPr>
        <w:pStyle w:val="ListParagraph"/>
        <w:numPr>
          <w:ilvl w:val="0"/>
          <w:numId w:val="34"/>
        </w:numPr>
        <w:jc w:val="both"/>
        <w:rPr>
          <w:rFonts w:cs="Arial"/>
          <w:sz w:val="23"/>
          <w:szCs w:val="23"/>
        </w:rPr>
      </w:pPr>
      <w:r>
        <w:rPr>
          <w:rFonts w:cs="Arial"/>
          <w:sz w:val="23"/>
          <w:szCs w:val="23"/>
        </w:rPr>
        <w:t>Integrated delivery of strategies and plans to proactively prepare for and respond to incidents</w:t>
      </w:r>
    </w:p>
    <w:p w14:paraId="1E659CBE" w14:textId="77777777" w:rsidR="00D10405" w:rsidRDefault="00D10405" w:rsidP="00D42840">
      <w:pPr>
        <w:pStyle w:val="ListParagraph"/>
        <w:ind w:left="0"/>
        <w:jc w:val="both"/>
        <w:rPr>
          <w:rFonts w:cs="Arial"/>
          <w:sz w:val="23"/>
          <w:szCs w:val="23"/>
        </w:rPr>
      </w:pPr>
    </w:p>
    <w:p w14:paraId="0FAD52C2" w14:textId="58D0532F" w:rsidR="00D10405" w:rsidRDefault="00D10405" w:rsidP="00D42840">
      <w:pPr>
        <w:pStyle w:val="ListParagraph"/>
        <w:ind w:left="0"/>
        <w:jc w:val="both"/>
        <w:rPr>
          <w:rFonts w:cs="Arial"/>
          <w:sz w:val="23"/>
          <w:szCs w:val="23"/>
        </w:rPr>
      </w:pPr>
      <w:r>
        <w:rPr>
          <w:rFonts w:cs="Arial"/>
          <w:sz w:val="23"/>
          <w:szCs w:val="23"/>
        </w:rPr>
        <w:t>Each ICB chairs an LHRP and our key partner LHRPs are:</w:t>
      </w:r>
    </w:p>
    <w:p w14:paraId="726A9BAC" w14:textId="77777777" w:rsidR="00D34CD6" w:rsidRDefault="00D34CD6" w:rsidP="00D42840">
      <w:pPr>
        <w:pStyle w:val="ListParagraph"/>
        <w:ind w:left="0"/>
        <w:jc w:val="both"/>
        <w:rPr>
          <w:rFonts w:cs="Arial"/>
          <w:sz w:val="23"/>
          <w:szCs w:val="23"/>
        </w:rPr>
      </w:pPr>
    </w:p>
    <w:p w14:paraId="31975CCE" w14:textId="0788D621" w:rsidR="00D42840" w:rsidRPr="00AF25E5" w:rsidRDefault="00D42840" w:rsidP="00D10405">
      <w:pPr>
        <w:pStyle w:val="ListParagraph"/>
        <w:numPr>
          <w:ilvl w:val="1"/>
          <w:numId w:val="35"/>
        </w:numPr>
        <w:spacing w:after="200" w:line="276" w:lineRule="auto"/>
        <w:jc w:val="both"/>
        <w:rPr>
          <w:rFonts w:cs="Arial"/>
          <w:sz w:val="23"/>
          <w:szCs w:val="23"/>
        </w:rPr>
      </w:pPr>
      <w:r w:rsidRPr="00AF25E5">
        <w:rPr>
          <w:rFonts w:cs="Arial"/>
          <w:sz w:val="23"/>
          <w:szCs w:val="23"/>
        </w:rPr>
        <w:t xml:space="preserve">North </w:t>
      </w:r>
      <w:r w:rsidR="00F96E49">
        <w:rPr>
          <w:rFonts w:cs="Arial"/>
          <w:sz w:val="23"/>
          <w:szCs w:val="23"/>
        </w:rPr>
        <w:t>East and North Cumbria</w:t>
      </w:r>
    </w:p>
    <w:p w14:paraId="16D01ACA" w14:textId="77777777" w:rsidR="00D42840" w:rsidRPr="00AF25E5" w:rsidRDefault="00D42840" w:rsidP="00D10405">
      <w:pPr>
        <w:pStyle w:val="ListParagraph"/>
        <w:numPr>
          <w:ilvl w:val="1"/>
          <w:numId w:val="35"/>
        </w:numPr>
        <w:spacing w:after="200" w:line="276" w:lineRule="auto"/>
        <w:jc w:val="both"/>
        <w:rPr>
          <w:rFonts w:cs="Arial"/>
          <w:sz w:val="23"/>
          <w:szCs w:val="23"/>
        </w:rPr>
      </w:pPr>
      <w:r w:rsidRPr="00AF25E5">
        <w:rPr>
          <w:rFonts w:cs="Arial"/>
          <w:sz w:val="23"/>
          <w:szCs w:val="23"/>
        </w:rPr>
        <w:t xml:space="preserve">South Yorkshire, and </w:t>
      </w:r>
    </w:p>
    <w:p w14:paraId="48A06397" w14:textId="77777777" w:rsidR="00D42840" w:rsidRPr="00AF25E5" w:rsidRDefault="00D42840" w:rsidP="00D10405">
      <w:pPr>
        <w:pStyle w:val="ListParagraph"/>
        <w:numPr>
          <w:ilvl w:val="1"/>
          <w:numId w:val="35"/>
        </w:numPr>
        <w:spacing w:after="200" w:line="276" w:lineRule="auto"/>
        <w:jc w:val="both"/>
        <w:rPr>
          <w:rFonts w:cs="Arial"/>
          <w:sz w:val="23"/>
          <w:szCs w:val="23"/>
        </w:rPr>
      </w:pPr>
      <w:r w:rsidRPr="00AF25E5">
        <w:rPr>
          <w:rFonts w:cs="Arial"/>
          <w:sz w:val="23"/>
          <w:szCs w:val="23"/>
        </w:rPr>
        <w:t>West Yorkshire</w:t>
      </w:r>
    </w:p>
    <w:p w14:paraId="45F4C0D9" w14:textId="77777777" w:rsidR="0079057B" w:rsidRPr="00F868D4" w:rsidRDefault="0079057B" w:rsidP="00F868D4">
      <w:pPr>
        <w:jc w:val="both"/>
        <w:rPr>
          <w:rFonts w:cs="Arial"/>
          <w:sz w:val="23"/>
          <w:szCs w:val="23"/>
        </w:rPr>
      </w:pPr>
    </w:p>
    <w:p w14:paraId="4E16DB5A" w14:textId="77777777" w:rsidR="00AF25E5" w:rsidRDefault="00AF25E5" w:rsidP="00D42840">
      <w:pPr>
        <w:rPr>
          <w:b/>
          <w:bCs/>
          <w:sz w:val="23"/>
          <w:szCs w:val="23"/>
        </w:rPr>
      </w:pPr>
      <w:r w:rsidRPr="00D42840">
        <w:rPr>
          <w:b/>
          <w:bCs/>
          <w:sz w:val="23"/>
          <w:szCs w:val="23"/>
        </w:rPr>
        <w:t>Regional Health Resilience Partnership (RHRP)</w:t>
      </w:r>
      <w:bookmarkEnd w:id="61"/>
      <w:bookmarkEnd w:id="62"/>
      <w:bookmarkEnd w:id="63"/>
    </w:p>
    <w:p w14:paraId="665550B5" w14:textId="77777777" w:rsidR="00D34CD6" w:rsidRPr="00D42840" w:rsidRDefault="00D34CD6" w:rsidP="00D42840">
      <w:pPr>
        <w:rPr>
          <w:b/>
          <w:bCs/>
          <w:sz w:val="23"/>
          <w:szCs w:val="23"/>
        </w:rPr>
      </w:pPr>
    </w:p>
    <w:p w14:paraId="5DE9F185" w14:textId="729F3D66" w:rsidR="00AF25E5" w:rsidRPr="00AF25E5" w:rsidRDefault="00AF25E5" w:rsidP="00D10405">
      <w:pPr>
        <w:pStyle w:val="ListParagraph"/>
        <w:ind w:left="0"/>
        <w:jc w:val="both"/>
        <w:rPr>
          <w:rFonts w:cs="Arial"/>
          <w:sz w:val="23"/>
          <w:szCs w:val="23"/>
        </w:rPr>
      </w:pPr>
      <w:r w:rsidRPr="00AF25E5">
        <w:rPr>
          <w:rFonts w:cs="Arial"/>
          <w:sz w:val="23"/>
          <w:szCs w:val="23"/>
        </w:rPr>
        <w:t xml:space="preserve">The Regional Health Resilience Partnership (RHRP) is coterminous with the NHS England Regional teams’ boundaries and covers North Cumbria, the North East, Yorkshire and the Humber. </w:t>
      </w:r>
    </w:p>
    <w:p w14:paraId="72E375BF" w14:textId="77777777" w:rsidR="00AF25E5" w:rsidRPr="00AF25E5" w:rsidRDefault="00AF25E5" w:rsidP="00D10405">
      <w:pPr>
        <w:pStyle w:val="ListParagraph"/>
        <w:ind w:left="0"/>
        <w:jc w:val="both"/>
        <w:rPr>
          <w:rFonts w:cs="Arial"/>
          <w:sz w:val="23"/>
          <w:szCs w:val="23"/>
        </w:rPr>
      </w:pPr>
    </w:p>
    <w:p w14:paraId="1B2918F3" w14:textId="77777777" w:rsidR="00AF25E5" w:rsidRPr="00AF25E5" w:rsidRDefault="00AF25E5" w:rsidP="00D10405">
      <w:pPr>
        <w:pStyle w:val="ListParagraph"/>
        <w:ind w:left="0"/>
        <w:jc w:val="both"/>
        <w:rPr>
          <w:rFonts w:cs="Arial"/>
          <w:sz w:val="23"/>
          <w:szCs w:val="23"/>
        </w:rPr>
      </w:pPr>
      <w:r w:rsidRPr="00AF25E5">
        <w:rPr>
          <w:rFonts w:cs="Arial"/>
          <w:sz w:val="23"/>
          <w:szCs w:val="23"/>
        </w:rPr>
        <w:t>The RHRP acts as the Strategic Forum across the four North East &amp; Yorkshire ICS footprints and provides a single collaborative forum between National EPRR work programmes and work and planning undertaken at a locality level.</w:t>
      </w:r>
    </w:p>
    <w:p w14:paraId="57025A13" w14:textId="77777777" w:rsidR="00AF25E5" w:rsidRDefault="00AF25E5" w:rsidP="008D0800">
      <w:pPr>
        <w:jc w:val="both"/>
        <w:rPr>
          <w:rFonts w:cs="Arial"/>
          <w:sz w:val="23"/>
          <w:szCs w:val="23"/>
        </w:rPr>
      </w:pPr>
    </w:p>
    <w:p w14:paraId="221353B7" w14:textId="05DE3CA9" w:rsidR="00AF25E5" w:rsidRDefault="00AF25E5" w:rsidP="008D0800">
      <w:pPr>
        <w:jc w:val="both"/>
        <w:rPr>
          <w:rFonts w:cs="Arial"/>
          <w:sz w:val="23"/>
          <w:szCs w:val="23"/>
        </w:rPr>
      </w:pPr>
      <w:r w:rsidRPr="00AF25E5">
        <w:rPr>
          <w:rFonts w:cs="Arial"/>
          <w:sz w:val="23"/>
          <w:szCs w:val="23"/>
        </w:rPr>
        <w:t xml:space="preserve">The Terms of Reference and Agendas for both the </w:t>
      </w:r>
      <w:r w:rsidR="00D10405">
        <w:rPr>
          <w:rFonts w:cs="Arial"/>
          <w:sz w:val="23"/>
          <w:szCs w:val="23"/>
        </w:rPr>
        <w:t xml:space="preserve">LHRP and the </w:t>
      </w:r>
      <w:r w:rsidRPr="00AF25E5">
        <w:rPr>
          <w:rFonts w:cs="Arial"/>
          <w:sz w:val="23"/>
          <w:szCs w:val="23"/>
        </w:rPr>
        <w:t>RHRP are included as Appendix 2 and 3 to this policy respectively.</w:t>
      </w:r>
    </w:p>
    <w:p w14:paraId="673074B8" w14:textId="77777777" w:rsidR="0029026A" w:rsidRDefault="0029026A" w:rsidP="008D0800">
      <w:pPr>
        <w:jc w:val="both"/>
        <w:rPr>
          <w:rFonts w:cs="Arial"/>
          <w:sz w:val="23"/>
          <w:szCs w:val="23"/>
        </w:rPr>
      </w:pPr>
    </w:p>
    <w:p w14:paraId="34F46841" w14:textId="77777777" w:rsidR="0029026A" w:rsidRDefault="0029026A" w:rsidP="0029026A">
      <w:pPr>
        <w:jc w:val="both"/>
        <w:rPr>
          <w:rFonts w:cs="Arial"/>
          <w:b/>
          <w:bCs/>
          <w:sz w:val="23"/>
          <w:szCs w:val="23"/>
        </w:rPr>
      </w:pPr>
      <w:r>
        <w:rPr>
          <w:rFonts w:cs="Arial"/>
          <w:b/>
          <w:bCs/>
          <w:sz w:val="23"/>
          <w:szCs w:val="23"/>
        </w:rPr>
        <w:t>Operational Subgroups</w:t>
      </w:r>
    </w:p>
    <w:p w14:paraId="3AB630FD" w14:textId="77777777" w:rsidR="00D34CD6" w:rsidRDefault="00D34CD6" w:rsidP="0029026A">
      <w:pPr>
        <w:jc w:val="both"/>
        <w:rPr>
          <w:rFonts w:cs="Arial"/>
          <w:b/>
          <w:bCs/>
          <w:sz w:val="23"/>
          <w:szCs w:val="23"/>
        </w:rPr>
      </w:pPr>
    </w:p>
    <w:p w14:paraId="75D88CF0" w14:textId="7E390D6F" w:rsidR="0029026A" w:rsidRDefault="0029026A" w:rsidP="008D0800">
      <w:pPr>
        <w:jc w:val="both"/>
        <w:rPr>
          <w:rFonts w:cs="Arial"/>
          <w:sz w:val="23"/>
          <w:szCs w:val="23"/>
        </w:rPr>
      </w:pPr>
      <w:r>
        <w:rPr>
          <w:rFonts w:cs="Arial"/>
          <w:sz w:val="23"/>
          <w:szCs w:val="23"/>
        </w:rPr>
        <w:t xml:space="preserve">The Strategic </w:t>
      </w:r>
      <w:r w:rsidR="008F1384">
        <w:rPr>
          <w:rFonts w:cs="Arial"/>
          <w:sz w:val="23"/>
          <w:szCs w:val="23"/>
        </w:rPr>
        <w:t>Groups mentioned above focus on the strategic aims and objectives for EPRR at local and regional level, however the collaboration and responsibility for delivering them sit at a Tactical and Operational level. The ICB therefore has a</w:t>
      </w:r>
      <w:r w:rsidR="00011C53">
        <w:rPr>
          <w:rFonts w:cs="Arial"/>
          <w:sz w:val="23"/>
          <w:szCs w:val="23"/>
        </w:rPr>
        <w:t xml:space="preserve">n Operational EPRR Group sitting under the LHRP, which brings together local health organisations to collaborate and deliver the strategic aim and objectives. This group is chaired by the Head of Resilience and Operations. </w:t>
      </w:r>
    </w:p>
    <w:p w14:paraId="6B070E31" w14:textId="77777777" w:rsidR="0008606A" w:rsidRDefault="0008606A" w:rsidP="008D0800">
      <w:pPr>
        <w:jc w:val="both"/>
        <w:rPr>
          <w:rFonts w:cs="Arial"/>
          <w:sz w:val="23"/>
          <w:szCs w:val="23"/>
        </w:rPr>
      </w:pPr>
    </w:p>
    <w:p w14:paraId="39392C94" w14:textId="06DC016E" w:rsidR="0008606A" w:rsidRDefault="0008606A" w:rsidP="008D0800">
      <w:pPr>
        <w:jc w:val="both"/>
        <w:rPr>
          <w:rFonts w:cs="Arial"/>
          <w:sz w:val="23"/>
          <w:szCs w:val="23"/>
        </w:rPr>
      </w:pPr>
      <w:r>
        <w:rPr>
          <w:rFonts w:cs="Arial"/>
          <w:sz w:val="23"/>
          <w:szCs w:val="23"/>
        </w:rPr>
        <w:t xml:space="preserve">Other subgroups or working groups may be stood up as required for focus pieces of work (for example, Vulnerable Persons Working Group or </w:t>
      </w:r>
      <w:r w:rsidR="00964C20">
        <w:rPr>
          <w:rFonts w:cs="Arial"/>
          <w:sz w:val="23"/>
          <w:szCs w:val="23"/>
        </w:rPr>
        <w:t xml:space="preserve">Outbreak Management Working Group). </w:t>
      </w:r>
    </w:p>
    <w:p w14:paraId="2180BD1F" w14:textId="688981DF" w:rsidR="00964C20" w:rsidRDefault="00964C20" w:rsidP="008D0800">
      <w:pPr>
        <w:jc w:val="both"/>
        <w:rPr>
          <w:rFonts w:cs="Arial"/>
          <w:sz w:val="23"/>
          <w:szCs w:val="23"/>
        </w:rPr>
      </w:pPr>
    </w:p>
    <w:p w14:paraId="59B5230E" w14:textId="3E83D248" w:rsidR="006834DF" w:rsidRDefault="00964C20" w:rsidP="008D0800">
      <w:pPr>
        <w:jc w:val="both"/>
        <w:rPr>
          <w:rFonts w:cs="Arial"/>
          <w:sz w:val="23"/>
          <w:szCs w:val="23"/>
        </w:rPr>
      </w:pPr>
      <w:r>
        <w:rPr>
          <w:rFonts w:cs="Arial"/>
          <w:sz w:val="23"/>
          <w:szCs w:val="23"/>
        </w:rPr>
        <w:t xml:space="preserve">Documentation produced by any of the subgroups ought to be reviewed by the Operational EPRR Group and then progressed to LHRP. </w:t>
      </w:r>
      <w:r w:rsidR="006834DF">
        <w:rPr>
          <w:rFonts w:cs="Arial"/>
          <w:sz w:val="23"/>
          <w:szCs w:val="23"/>
        </w:rPr>
        <w:t xml:space="preserve">Both the RHRP and LHRP also fulfil a wider governance function in relation to a collaborative approach to planning and preparedness. </w:t>
      </w:r>
    </w:p>
    <w:p w14:paraId="6F787BE3" w14:textId="77777777" w:rsidR="00D34CD6" w:rsidRDefault="00D34CD6" w:rsidP="008D0800">
      <w:pPr>
        <w:jc w:val="both"/>
        <w:rPr>
          <w:rFonts w:cs="Arial"/>
          <w:sz w:val="23"/>
          <w:szCs w:val="23"/>
        </w:rPr>
      </w:pPr>
    </w:p>
    <w:p w14:paraId="33F27098" w14:textId="77777777" w:rsidR="00D34CD6" w:rsidRDefault="00D34CD6" w:rsidP="008D0800">
      <w:pPr>
        <w:jc w:val="both"/>
        <w:rPr>
          <w:rFonts w:cs="Arial"/>
          <w:sz w:val="23"/>
          <w:szCs w:val="23"/>
        </w:rPr>
      </w:pPr>
    </w:p>
    <w:p w14:paraId="12E5ACAE" w14:textId="77777777" w:rsidR="00D34CD6" w:rsidRDefault="00D34CD6" w:rsidP="008D0800">
      <w:pPr>
        <w:jc w:val="both"/>
        <w:rPr>
          <w:rFonts w:cs="Arial"/>
          <w:sz w:val="23"/>
          <w:szCs w:val="23"/>
        </w:rPr>
      </w:pPr>
    </w:p>
    <w:p w14:paraId="7CF49DD8" w14:textId="77777777" w:rsidR="00D10405" w:rsidRDefault="00D10405" w:rsidP="008D0800">
      <w:pPr>
        <w:jc w:val="both"/>
        <w:rPr>
          <w:rFonts w:cs="Arial"/>
          <w:sz w:val="23"/>
          <w:szCs w:val="23"/>
        </w:rPr>
      </w:pPr>
    </w:p>
    <w:p w14:paraId="24A6B9B9" w14:textId="3A30B5B8" w:rsidR="00D10405" w:rsidRDefault="00D10405" w:rsidP="008D0800">
      <w:pPr>
        <w:jc w:val="both"/>
        <w:rPr>
          <w:rFonts w:cs="Arial"/>
          <w:b/>
          <w:bCs/>
          <w:sz w:val="23"/>
          <w:szCs w:val="23"/>
        </w:rPr>
      </w:pPr>
      <w:r w:rsidRPr="00480A40">
        <w:rPr>
          <w:rFonts w:cs="Arial"/>
          <w:b/>
          <w:bCs/>
          <w:sz w:val="23"/>
          <w:szCs w:val="23"/>
        </w:rPr>
        <w:t>L</w:t>
      </w:r>
      <w:r w:rsidR="00480A40" w:rsidRPr="00480A40">
        <w:rPr>
          <w:rFonts w:cs="Arial"/>
          <w:b/>
          <w:bCs/>
          <w:sz w:val="23"/>
          <w:szCs w:val="23"/>
        </w:rPr>
        <w:t>ocal Resilience For</w:t>
      </w:r>
      <w:r w:rsidR="00BE05DD">
        <w:rPr>
          <w:rFonts w:cs="Arial"/>
          <w:b/>
          <w:bCs/>
          <w:sz w:val="23"/>
          <w:szCs w:val="23"/>
        </w:rPr>
        <w:t>ums</w:t>
      </w:r>
    </w:p>
    <w:p w14:paraId="77C27FA3" w14:textId="77777777" w:rsidR="00D34CD6" w:rsidRPr="00480A40" w:rsidRDefault="00D34CD6" w:rsidP="008D0800">
      <w:pPr>
        <w:jc w:val="both"/>
        <w:rPr>
          <w:rFonts w:cs="Arial"/>
          <w:b/>
          <w:bCs/>
          <w:sz w:val="23"/>
          <w:szCs w:val="23"/>
        </w:rPr>
      </w:pPr>
    </w:p>
    <w:p w14:paraId="7087AB85" w14:textId="527B699D" w:rsidR="00480A40" w:rsidRDefault="00D10405" w:rsidP="00D10405">
      <w:pPr>
        <w:jc w:val="both"/>
        <w:rPr>
          <w:rFonts w:cs="Arial"/>
          <w:sz w:val="23"/>
          <w:szCs w:val="23"/>
        </w:rPr>
      </w:pPr>
      <w:r w:rsidRPr="00AF25E5">
        <w:rPr>
          <w:rFonts w:cs="Arial"/>
          <w:sz w:val="23"/>
          <w:szCs w:val="23"/>
        </w:rPr>
        <w:t xml:space="preserve">In </w:t>
      </w:r>
      <w:r w:rsidR="00480A40">
        <w:rPr>
          <w:rFonts w:cs="Arial"/>
          <w:sz w:val="23"/>
          <w:szCs w:val="23"/>
        </w:rPr>
        <w:t xml:space="preserve">order to deliver the ICB’s </w:t>
      </w:r>
      <w:r w:rsidRPr="00AF25E5">
        <w:rPr>
          <w:rFonts w:cs="Arial"/>
          <w:sz w:val="23"/>
          <w:szCs w:val="23"/>
        </w:rPr>
        <w:t>statutory responsibility to work collaboratively with partners</w:t>
      </w:r>
      <w:r w:rsidR="00B97268">
        <w:rPr>
          <w:rFonts w:cs="Arial"/>
          <w:sz w:val="23"/>
          <w:szCs w:val="23"/>
        </w:rPr>
        <w:t>,</w:t>
      </w:r>
      <w:r w:rsidR="00480A40">
        <w:rPr>
          <w:rFonts w:cs="Arial"/>
          <w:sz w:val="23"/>
          <w:szCs w:val="23"/>
        </w:rPr>
        <w:t xml:space="preserve"> the work undertaken with Local Resilience For</w:t>
      </w:r>
      <w:r w:rsidR="00BE05DD">
        <w:rPr>
          <w:rFonts w:cs="Arial"/>
          <w:sz w:val="23"/>
          <w:szCs w:val="23"/>
        </w:rPr>
        <w:t>ums</w:t>
      </w:r>
      <w:r w:rsidR="00480A40">
        <w:rPr>
          <w:rFonts w:cs="Arial"/>
          <w:sz w:val="23"/>
          <w:szCs w:val="23"/>
        </w:rPr>
        <w:t xml:space="preserve"> (LRF) is key due to the multi-agency breadth of services, knowledge and skills that are present. The ICB works with two LRFs: </w:t>
      </w:r>
    </w:p>
    <w:p w14:paraId="5B9E5C73" w14:textId="77777777" w:rsidR="00D10405" w:rsidRPr="00AF25E5" w:rsidRDefault="00D10405" w:rsidP="00D10405">
      <w:pPr>
        <w:pStyle w:val="ListParagraph"/>
        <w:numPr>
          <w:ilvl w:val="0"/>
          <w:numId w:val="12"/>
        </w:numPr>
        <w:spacing w:after="200" w:line="276" w:lineRule="auto"/>
        <w:jc w:val="both"/>
        <w:rPr>
          <w:rFonts w:cs="Arial"/>
          <w:sz w:val="23"/>
          <w:szCs w:val="23"/>
        </w:rPr>
      </w:pPr>
      <w:r w:rsidRPr="00AF25E5">
        <w:rPr>
          <w:rFonts w:cs="Arial"/>
          <w:sz w:val="23"/>
          <w:szCs w:val="23"/>
        </w:rPr>
        <w:lastRenderedPageBreak/>
        <w:t>Humber LRF</w:t>
      </w:r>
    </w:p>
    <w:p w14:paraId="654DA175" w14:textId="6F551C45" w:rsidR="00D10405" w:rsidRPr="00AF25E5" w:rsidRDefault="0066497A" w:rsidP="00D10405">
      <w:pPr>
        <w:pStyle w:val="ListParagraph"/>
        <w:numPr>
          <w:ilvl w:val="0"/>
          <w:numId w:val="12"/>
        </w:numPr>
        <w:spacing w:after="200" w:line="276" w:lineRule="auto"/>
        <w:jc w:val="both"/>
        <w:rPr>
          <w:rFonts w:cs="Arial"/>
          <w:sz w:val="23"/>
          <w:szCs w:val="23"/>
        </w:rPr>
      </w:pPr>
      <w:r>
        <w:rPr>
          <w:rFonts w:cs="Arial"/>
          <w:sz w:val="23"/>
          <w:szCs w:val="23"/>
        </w:rPr>
        <w:t>North Yorkshire LRF</w:t>
      </w:r>
    </w:p>
    <w:p w14:paraId="6E38051B" w14:textId="1D2737E7" w:rsidR="00D10405" w:rsidRPr="00AF25E5" w:rsidRDefault="00480A40" w:rsidP="00D10405">
      <w:pPr>
        <w:jc w:val="both"/>
        <w:rPr>
          <w:rFonts w:cs="Arial"/>
          <w:sz w:val="23"/>
          <w:szCs w:val="23"/>
        </w:rPr>
      </w:pPr>
      <w:r>
        <w:rPr>
          <w:rFonts w:cs="Arial"/>
          <w:sz w:val="23"/>
          <w:szCs w:val="23"/>
        </w:rPr>
        <w:t>The</w:t>
      </w:r>
      <w:r w:rsidR="00D10405">
        <w:rPr>
          <w:rFonts w:cs="Arial"/>
          <w:sz w:val="23"/>
          <w:szCs w:val="23"/>
        </w:rPr>
        <w:t xml:space="preserve"> ICB</w:t>
      </w:r>
      <w:r>
        <w:rPr>
          <w:rFonts w:cs="Arial"/>
          <w:sz w:val="23"/>
          <w:szCs w:val="23"/>
        </w:rPr>
        <w:t xml:space="preserve"> engages, and </w:t>
      </w:r>
      <w:r w:rsidR="00D10405" w:rsidRPr="00AF25E5">
        <w:rPr>
          <w:rFonts w:cs="Arial"/>
          <w:sz w:val="23"/>
          <w:szCs w:val="23"/>
        </w:rPr>
        <w:t>collaborat</w:t>
      </w:r>
      <w:r>
        <w:rPr>
          <w:rFonts w:cs="Arial"/>
          <w:sz w:val="23"/>
          <w:szCs w:val="23"/>
        </w:rPr>
        <w:t xml:space="preserve">es, </w:t>
      </w:r>
      <w:r w:rsidR="00D10405" w:rsidRPr="00AF25E5">
        <w:rPr>
          <w:rFonts w:cs="Arial"/>
          <w:sz w:val="23"/>
          <w:szCs w:val="23"/>
        </w:rPr>
        <w:t xml:space="preserve">with </w:t>
      </w:r>
      <w:r w:rsidR="00D10405">
        <w:rPr>
          <w:rFonts w:cs="Arial"/>
          <w:sz w:val="23"/>
          <w:szCs w:val="23"/>
        </w:rPr>
        <w:t>the</w:t>
      </w:r>
      <w:r w:rsidR="00D10405" w:rsidRPr="00AF25E5">
        <w:rPr>
          <w:rFonts w:cs="Arial"/>
          <w:sz w:val="23"/>
          <w:szCs w:val="23"/>
        </w:rPr>
        <w:t xml:space="preserve"> LRF partners </w:t>
      </w:r>
      <w:r>
        <w:rPr>
          <w:rFonts w:cs="Arial"/>
          <w:sz w:val="23"/>
          <w:szCs w:val="23"/>
        </w:rPr>
        <w:t xml:space="preserve">as part of a health </w:t>
      </w:r>
      <w:r w:rsidR="00D10405" w:rsidRPr="00AF25E5">
        <w:rPr>
          <w:rFonts w:cs="Arial"/>
          <w:sz w:val="23"/>
          <w:szCs w:val="23"/>
        </w:rPr>
        <w:t xml:space="preserve">triumvirate </w:t>
      </w:r>
      <w:r>
        <w:rPr>
          <w:rFonts w:cs="Arial"/>
          <w:sz w:val="23"/>
          <w:szCs w:val="23"/>
        </w:rPr>
        <w:t>of representatives covering:</w:t>
      </w:r>
    </w:p>
    <w:p w14:paraId="7628C375" w14:textId="77777777" w:rsidR="00D10405" w:rsidRPr="00AF25E5" w:rsidRDefault="00D10405" w:rsidP="00D10405">
      <w:pPr>
        <w:pStyle w:val="ListParagraph"/>
        <w:numPr>
          <w:ilvl w:val="0"/>
          <w:numId w:val="13"/>
        </w:numPr>
        <w:spacing w:after="200" w:line="276" w:lineRule="auto"/>
        <w:jc w:val="both"/>
        <w:rPr>
          <w:rFonts w:cs="Arial"/>
          <w:sz w:val="23"/>
          <w:szCs w:val="23"/>
        </w:rPr>
      </w:pPr>
      <w:r w:rsidRPr="00AF25E5">
        <w:rPr>
          <w:rFonts w:cs="Arial"/>
          <w:sz w:val="23"/>
          <w:szCs w:val="23"/>
        </w:rPr>
        <w:t>Ambulance Services – as a Category One responder and blue light service</w:t>
      </w:r>
    </w:p>
    <w:p w14:paraId="14DF5A04" w14:textId="77777777" w:rsidR="00D10405" w:rsidRPr="00AF25E5" w:rsidRDefault="00D10405" w:rsidP="00D10405">
      <w:pPr>
        <w:pStyle w:val="ListParagraph"/>
        <w:numPr>
          <w:ilvl w:val="0"/>
          <w:numId w:val="13"/>
        </w:numPr>
        <w:spacing w:after="200" w:line="276" w:lineRule="auto"/>
        <w:jc w:val="both"/>
        <w:rPr>
          <w:rFonts w:cs="Arial"/>
          <w:sz w:val="23"/>
          <w:szCs w:val="23"/>
        </w:rPr>
      </w:pPr>
      <w:r w:rsidRPr="00AF25E5">
        <w:rPr>
          <w:rFonts w:cs="Arial"/>
          <w:sz w:val="23"/>
          <w:szCs w:val="23"/>
        </w:rPr>
        <w:t xml:space="preserve">ICB’s – as Category One responders to represent health in their ICB, </w:t>
      </w:r>
    </w:p>
    <w:p w14:paraId="578CFE54" w14:textId="2F47BA92" w:rsidR="00D10405" w:rsidRPr="00AF25E5" w:rsidRDefault="00D10405" w:rsidP="00D10405">
      <w:pPr>
        <w:pStyle w:val="ListParagraph"/>
        <w:numPr>
          <w:ilvl w:val="0"/>
          <w:numId w:val="13"/>
        </w:numPr>
        <w:spacing w:after="200" w:line="276" w:lineRule="auto"/>
        <w:jc w:val="both"/>
        <w:rPr>
          <w:rFonts w:cs="Arial"/>
          <w:sz w:val="23"/>
          <w:szCs w:val="23"/>
        </w:rPr>
      </w:pPr>
      <w:r w:rsidRPr="00AF25E5">
        <w:rPr>
          <w:rFonts w:cs="Arial"/>
          <w:sz w:val="23"/>
          <w:szCs w:val="23"/>
        </w:rPr>
        <w:t xml:space="preserve">Regional EPRR – as a Category One responder </w:t>
      </w:r>
      <w:r w:rsidR="00480A40">
        <w:rPr>
          <w:rFonts w:cs="Arial"/>
          <w:sz w:val="23"/>
          <w:szCs w:val="23"/>
        </w:rPr>
        <w:t>to represent the wider health impacts and resources outside of the ICB</w:t>
      </w:r>
    </w:p>
    <w:p w14:paraId="4F8BC483" w14:textId="77777777" w:rsidR="00A10971" w:rsidRPr="00A10971" w:rsidRDefault="00A10971" w:rsidP="00A10971">
      <w:bookmarkStart w:id="64" w:name="_Toc100902648"/>
      <w:bookmarkStart w:id="65" w:name="_Toc100902789"/>
      <w:bookmarkStart w:id="66" w:name="_Toc101269374"/>
    </w:p>
    <w:p w14:paraId="3ADB8FC8" w14:textId="4AEADF53" w:rsidR="00AF25E5" w:rsidRPr="00565D24" w:rsidRDefault="00AF25E5" w:rsidP="00565D24">
      <w:pPr>
        <w:rPr>
          <w:i/>
          <w:iCs/>
          <w:color w:val="365F91" w:themeColor="accent1" w:themeShade="BF"/>
          <w:sz w:val="23"/>
          <w:szCs w:val="23"/>
        </w:rPr>
      </w:pPr>
      <w:r w:rsidRPr="00565D24">
        <w:rPr>
          <w:i/>
          <w:iCs/>
          <w:color w:val="365F91" w:themeColor="accent1" w:themeShade="BF"/>
          <w:sz w:val="23"/>
          <w:szCs w:val="23"/>
        </w:rPr>
        <w:t>Representation at the LRF’s</w:t>
      </w:r>
      <w:bookmarkEnd w:id="64"/>
      <w:bookmarkEnd w:id="65"/>
      <w:bookmarkEnd w:id="66"/>
    </w:p>
    <w:p w14:paraId="1427BAEF" w14:textId="2F2A6752" w:rsidR="00AF25E5" w:rsidRDefault="00AF25E5" w:rsidP="00AF25E5">
      <w:pPr>
        <w:rPr>
          <w:rFonts w:cs="Arial"/>
          <w:sz w:val="23"/>
          <w:szCs w:val="23"/>
        </w:rPr>
      </w:pPr>
    </w:p>
    <w:p w14:paraId="77AA30B5" w14:textId="08CA9021" w:rsidR="00FE34B3" w:rsidRDefault="00FE34B3" w:rsidP="00FE34B3">
      <w:pPr>
        <w:jc w:val="both"/>
        <w:rPr>
          <w:rFonts w:cs="Arial"/>
          <w:sz w:val="23"/>
          <w:szCs w:val="23"/>
        </w:rPr>
      </w:pPr>
      <w:r w:rsidRPr="00F868D4">
        <w:rPr>
          <w:rFonts w:cs="Arial"/>
          <w:sz w:val="23"/>
          <w:szCs w:val="23"/>
        </w:rPr>
        <w:t xml:space="preserve">Each LRF has a number of meetings which the triumvirate partnership attends to ensure that health is fully engaged in planning, preparing, training, exercising, and responding to the full breadth of potential emergencies. </w:t>
      </w:r>
    </w:p>
    <w:p w14:paraId="09D27286" w14:textId="77777777" w:rsidR="00FE34B3" w:rsidRPr="00F868D4" w:rsidRDefault="00FE34B3" w:rsidP="00F868D4">
      <w:pPr>
        <w:jc w:val="both"/>
        <w:rPr>
          <w:rFonts w:cs="Arial"/>
          <w:sz w:val="23"/>
          <w:szCs w:val="23"/>
        </w:rPr>
      </w:pPr>
    </w:p>
    <w:p w14:paraId="1BBEAC70" w14:textId="77777777" w:rsidR="00C14524" w:rsidRPr="00F868D4" w:rsidRDefault="00C14524" w:rsidP="00C14524">
      <w:pPr>
        <w:pStyle w:val="ListParagraph"/>
        <w:numPr>
          <w:ilvl w:val="0"/>
          <w:numId w:val="14"/>
        </w:numPr>
        <w:spacing w:after="200" w:line="276" w:lineRule="auto"/>
        <w:rPr>
          <w:rFonts w:cs="Arial"/>
          <w:sz w:val="23"/>
          <w:szCs w:val="23"/>
        </w:rPr>
      </w:pPr>
      <w:r w:rsidRPr="00F868D4">
        <w:rPr>
          <w:rFonts w:cs="Arial"/>
          <w:color w:val="1F497D" w:themeColor="text2"/>
          <w:sz w:val="23"/>
          <w:szCs w:val="23"/>
        </w:rPr>
        <w:t xml:space="preserve">Strategic Groups </w:t>
      </w:r>
      <w:r w:rsidRPr="00F868D4">
        <w:rPr>
          <w:rFonts w:cs="Arial"/>
          <w:sz w:val="23"/>
          <w:szCs w:val="23"/>
        </w:rPr>
        <w:t>– Each LRF has a Strategic meeting (Executive/Board) which meets to agree the strategic aim and objectives of the LRF and to drive the resilience agenda within the LRF</w:t>
      </w:r>
    </w:p>
    <w:p w14:paraId="7CEA0965" w14:textId="5E3A3AA0" w:rsidR="00C14524" w:rsidRPr="00F868D4" w:rsidRDefault="00C14524" w:rsidP="00C14524">
      <w:pPr>
        <w:pStyle w:val="ListParagraph"/>
        <w:numPr>
          <w:ilvl w:val="0"/>
          <w:numId w:val="14"/>
        </w:numPr>
        <w:spacing w:after="200" w:line="276" w:lineRule="auto"/>
        <w:rPr>
          <w:rFonts w:cs="Arial"/>
          <w:sz w:val="23"/>
          <w:szCs w:val="23"/>
        </w:rPr>
      </w:pPr>
      <w:r w:rsidRPr="00F868D4">
        <w:rPr>
          <w:rFonts w:cs="Arial"/>
          <w:color w:val="1F497D" w:themeColor="text2"/>
          <w:sz w:val="23"/>
          <w:szCs w:val="23"/>
        </w:rPr>
        <w:t xml:space="preserve">Tactical Groups </w:t>
      </w:r>
      <w:r w:rsidRPr="00F868D4">
        <w:rPr>
          <w:rFonts w:cs="Arial"/>
          <w:sz w:val="23"/>
          <w:szCs w:val="23"/>
        </w:rPr>
        <w:t>– Each LRF has a Tactical meeting (Coordination/Working group) who meet to determine how to deliver the aim and objectives set by the LRF and to ensure and assure on the delivery of the LRF work programme</w:t>
      </w:r>
      <w:r w:rsidR="00F868D4">
        <w:rPr>
          <w:rFonts w:cs="Arial"/>
          <w:sz w:val="23"/>
          <w:szCs w:val="23"/>
        </w:rPr>
        <w:t>. The reference in the below diagram to the Head of EPRR is to the Head of Resilience and Operations in Humber and North Yorkshire ICB.</w:t>
      </w:r>
    </w:p>
    <w:p w14:paraId="3977572F" w14:textId="77777777" w:rsidR="00C14524" w:rsidRPr="00F868D4" w:rsidRDefault="00C14524" w:rsidP="00C14524">
      <w:pPr>
        <w:pStyle w:val="ListParagraph"/>
        <w:numPr>
          <w:ilvl w:val="0"/>
          <w:numId w:val="14"/>
        </w:numPr>
        <w:spacing w:after="200" w:line="276" w:lineRule="auto"/>
        <w:rPr>
          <w:rFonts w:cs="Arial"/>
          <w:sz w:val="23"/>
          <w:szCs w:val="23"/>
        </w:rPr>
      </w:pPr>
      <w:r w:rsidRPr="00F868D4">
        <w:rPr>
          <w:rFonts w:cs="Arial"/>
          <w:color w:val="1F497D" w:themeColor="text2"/>
          <w:sz w:val="23"/>
          <w:szCs w:val="23"/>
        </w:rPr>
        <w:t xml:space="preserve">Operational Groups </w:t>
      </w:r>
      <w:r w:rsidRPr="00F868D4">
        <w:rPr>
          <w:rFonts w:cs="Arial"/>
          <w:sz w:val="23"/>
          <w:szCs w:val="23"/>
        </w:rPr>
        <w:t>– Each LRF has a number of operational groups which undertake the delivery of key workstreams (for example Business Continuity, Training &amp; Exercising, Warning &amp; Informing) who report into the tactical groups</w:t>
      </w:r>
    </w:p>
    <w:p w14:paraId="533B1D0B" w14:textId="1E3910CD" w:rsidR="00AF25E5" w:rsidRDefault="00E660E4" w:rsidP="00AF25E5">
      <w:pPr>
        <w:rPr>
          <w:rFonts w:cs="Arial"/>
          <w:sz w:val="23"/>
          <w:szCs w:val="23"/>
        </w:rPr>
      </w:pPr>
      <w:r w:rsidRPr="003E6650">
        <w:rPr>
          <w:rFonts w:cs="Arial"/>
          <w:sz w:val="23"/>
          <w:szCs w:val="23"/>
        </w:rPr>
        <w:t>Within Humber and North Yorkshire there will be robust engagement with the LRF partners, whilst providing consistent attendance and engagement from the Health Triumvirate with the LRF workstreams. The diagram below sets out the LRF general structure.</w:t>
      </w:r>
    </w:p>
    <w:p w14:paraId="3168F1D1" w14:textId="1DD189DB" w:rsidR="003E542B" w:rsidRDefault="003E542B" w:rsidP="00AF25E5">
      <w:pPr>
        <w:rPr>
          <w:rFonts w:cs="Arial"/>
          <w:sz w:val="23"/>
          <w:szCs w:val="23"/>
        </w:rPr>
      </w:pPr>
    </w:p>
    <w:p w14:paraId="6D15C96E" w14:textId="0AA2640A" w:rsidR="003E542B" w:rsidRPr="00AF25E5" w:rsidRDefault="00D34CD6" w:rsidP="00AF25E5">
      <w:pPr>
        <w:rPr>
          <w:rFonts w:cs="Arial"/>
          <w:sz w:val="23"/>
          <w:szCs w:val="23"/>
        </w:rPr>
      </w:pPr>
      <w:r w:rsidRPr="003E542B">
        <w:rPr>
          <w:rFonts w:cs="Arial"/>
          <w:noProof/>
          <w:sz w:val="23"/>
          <w:szCs w:val="23"/>
        </w:rPr>
        <w:drawing>
          <wp:anchor distT="0" distB="0" distL="114300" distR="114300" simplePos="0" relativeHeight="251693056" behindDoc="0" locked="0" layoutInCell="1" allowOverlap="1" wp14:anchorId="0F9F331F" wp14:editId="71288224">
            <wp:simplePos x="0" y="0"/>
            <wp:positionH relativeFrom="column">
              <wp:posOffset>461010</wp:posOffset>
            </wp:positionH>
            <wp:positionV relativeFrom="paragraph">
              <wp:posOffset>-45720</wp:posOffset>
            </wp:positionV>
            <wp:extent cx="5277472" cy="3086100"/>
            <wp:effectExtent l="0" t="0" r="0" b="0"/>
            <wp:wrapSquare wrapText="bothSides"/>
            <wp:docPr id="1128906999" name="Picture 1" descr="A diagram of a group of patie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906999" name="Picture 1" descr="A diagram of a group of patients&#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5277472" cy="3086100"/>
                    </a:xfrm>
                    <a:prstGeom prst="rect">
                      <a:avLst/>
                    </a:prstGeom>
                  </pic:spPr>
                </pic:pic>
              </a:graphicData>
            </a:graphic>
          </wp:anchor>
        </w:drawing>
      </w:r>
    </w:p>
    <w:p w14:paraId="46D2EE94" w14:textId="77777777" w:rsidR="00BC1101" w:rsidRDefault="00BC1101" w:rsidP="00BC1101"/>
    <w:p w14:paraId="5925CD61" w14:textId="77777777" w:rsidR="00480A40" w:rsidRDefault="00480A40" w:rsidP="00A700C1">
      <w:pPr>
        <w:jc w:val="both"/>
        <w:rPr>
          <w:rFonts w:cs="Arial"/>
          <w:sz w:val="23"/>
          <w:szCs w:val="23"/>
        </w:rPr>
      </w:pPr>
    </w:p>
    <w:p w14:paraId="2A1C222D" w14:textId="1EF81E16" w:rsidR="00AF25E5" w:rsidRDefault="00AF25E5" w:rsidP="00A700C1">
      <w:pPr>
        <w:jc w:val="both"/>
        <w:rPr>
          <w:rFonts w:cs="Arial"/>
          <w:sz w:val="23"/>
          <w:szCs w:val="23"/>
        </w:rPr>
      </w:pPr>
      <w:r w:rsidRPr="00AF25E5">
        <w:rPr>
          <w:rFonts w:cs="Arial"/>
          <w:sz w:val="23"/>
          <w:szCs w:val="23"/>
        </w:rPr>
        <w:t xml:space="preserve">It is critical that as part of </w:t>
      </w:r>
      <w:r w:rsidR="00A700C1">
        <w:rPr>
          <w:rFonts w:cs="Arial"/>
          <w:sz w:val="23"/>
          <w:szCs w:val="23"/>
        </w:rPr>
        <w:t>the</w:t>
      </w:r>
      <w:r w:rsidRPr="00AF25E5">
        <w:rPr>
          <w:rFonts w:cs="Arial"/>
          <w:sz w:val="23"/>
          <w:szCs w:val="23"/>
        </w:rPr>
        <w:t xml:space="preserve"> Health Resilience and Local Resilience Forum partnerships that a consistent and interoperable engagement </w:t>
      </w:r>
      <w:r w:rsidR="00A700C1">
        <w:rPr>
          <w:rFonts w:cs="Arial"/>
          <w:sz w:val="23"/>
          <w:szCs w:val="23"/>
        </w:rPr>
        <w:t>is maintained which</w:t>
      </w:r>
      <w:r w:rsidRPr="00AF25E5">
        <w:rPr>
          <w:rFonts w:cs="Arial"/>
          <w:sz w:val="23"/>
          <w:szCs w:val="23"/>
        </w:rPr>
        <w:t xml:space="preserve"> fosters sharing of information and joint working. By combining the above model with the revised health resilience structures, we have a continual feedback mechanism between both health and multi-agency partners which ensures</w:t>
      </w:r>
      <w:r>
        <w:rPr>
          <w:rFonts w:cs="Arial"/>
          <w:sz w:val="23"/>
          <w:szCs w:val="23"/>
        </w:rPr>
        <w:t>:</w:t>
      </w:r>
    </w:p>
    <w:p w14:paraId="306F2BDB" w14:textId="77777777" w:rsidR="00AF25E5" w:rsidRPr="00AF25E5" w:rsidRDefault="00AF25E5" w:rsidP="00A700C1">
      <w:pPr>
        <w:jc w:val="both"/>
        <w:rPr>
          <w:rFonts w:cs="Arial"/>
          <w:sz w:val="23"/>
          <w:szCs w:val="23"/>
        </w:rPr>
      </w:pPr>
    </w:p>
    <w:p w14:paraId="1457E168" w14:textId="254C0329" w:rsidR="00AF25E5" w:rsidRPr="00AF25E5" w:rsidRDefault="00AF25E5" w:rsidP="00A700C1">
      <w:pPr>
        <w:pStyle w:val="ListParagraph"/>
        <w:numPr>
          <w:ilvl w:val="0"/>
          <w:numId w:val="15"/>
        </w:numPr>
        <w:spacing w:after="200" w:line="276" w:lineRule="auto"/>
        <w:jc w:val="both"/>
        <w:rPr>
          <w:rFonts w:cs="Arial"/>
          <w:sz w:val="23"/>
          <w:szCs w:val="23"/>
        </w:rPr>
      </w:pPr>
      <w:r w:rsidRPr="00AF25E5">
        <w:rPr>
          <w:rFonts w:cs="Arial"/>
          <w:b/>
          <w:bCs/>
          <w:sz w:val="23"/>
          <w:szCs w:val="23"/>
        </w:rPr>
        <w:t>Autonomy</w:t>
      </w:r>
      <w:r w:rsidRPr="00AF25E5">
        <w:rPr>
          <w:rFonts w:cs="Arial"/>
          <w:sz w:val="23"/>
          <w:szCs w:val="23"/>
        </w:rPr>
        <w:t xml:space="preserve"> - ensuring the right representation at the right meetings (clear delineation between Strategic, Tactical and Operational to ensure that all aspects of the health and LRF agendas are delivered)</w:t>
      </w:r>
    </w:p>
    <w:p w14:paraId="0A6F0A15" w14:textId="4ADE6F63" w:rsidR="00AF25E5" w:rsidRPr="00AF25E5" w:rsidRDefault="00AF25E5" w:rsidP="00A700C1">
      <w:pPr>
        <w:pStyle w:val="ListParagraph"/>
        <w:numPr>
          <w:ilvl w:val="0"/>
          <w:numId w:val="15"/>
        </w:numPr>
        <w:spacing w:after="200" w:line="276" w:lineRule="auto"/>
        <w:jc w:val="both"/>
        <w:rPr>
          <w:rFonts w:cs="Arial"/>
          <w:sz w:val="23"/>
          <w:szCs w:val="23"/>
        </w:rPr>
      </w:pPr>
      <w:r w:rsidRPr="00AF25E5">
        <w:rPr>
          <w:rFonts w:cs="Arial"/>
          <w:b/>
          <w:bCs/>
          <w:sz w:val="23"/>
          <w:szCs w:val="23"/>
        </w:rPr>
        <w:t>Subsidiarity</w:t>
      </w:r>
      <w:r w:rsidRPr="00AF25E5">
        <w:rPr>
          <w:rFonts w:cs="Arial"/>
          <w:sz w:val="23"/>
          <w:szCs w:val="23"/>
        </w:rPr>
        <w:t xml:space="preserve"> – ensuring better align</w:t>
      </w:r>
      <w:r w:rsidR="00A700C1">
        <w:rPr>
          <w:rFonts w:cs="Arial"/>
          <w:sz w:val="23"/>
          <w:szCs w:val="23"/>
        </w:rPr>
        <w:t>ment</w:t>
      </w:r>
      <w:r w:rsidRPr="00AF25E5">
        <w:rPr>
          <w:rFonts w:cs="Arial"/>
          <w:sz w:val="23"/>
          <w:szCs w:val="23"/>
        </w:rPr>
        <w:t xml:space="preserve"> with local planning and ensur</w:t>
      </w:r>
      <w:r w:rsidR="00A700C1">
        <w:rPr>
          <w:rFonts w:cs="Arial"/>
          <w:sz w:val="23"/>
          <w:szCs w:val="23"/>
        </w:rPr>
        <w:t>ing</w:t>
      </w:r>
      <w:r w:rsidRPr="00AF25E5">
        <w:rPr>
          <w:rFonts w:cs="Arial"/>
          <w:sz w:val="23"/>
          <w:szCs w:val="23"/>
        </w:rPr>
        <w:t xml:space="preserve"> decisions and actions are taken at the appropriate level and are the building blocks to </w:t>
      </w:r>
      <w:r w:rsidR="00A700C1">
        <w:rPr>
          <w:rFonts w:cs="Arial"/>
          <w:sz w:val="23"/>
          <w:szCs w:val="23"/>
        </w:rPr>
        <w:t>the</w:t>
      </w:r>
      <w:r w:rsidRPr="00AF25E5">
        <w:rPr>
          <w:rFonts w:cs="Arial"/>
          <w:sz w:val="23"/>
          <w:szCs w:val="23"/>
        </w:rPr>
        <w:t xml:space="preserve"> local response</w:t>
      </w:r>
    </w:p>
    <w:p w14:paraId="60E27D0D" w14:textId="526401E7" w:rsidR="00AF25E5" w:rsidRPr="00AF25E5" w:rsidRDefault="00AF25E5" w:rsidP="00A700C1">
      <w:pPr>
        <w:pStyle w:val="ListParagraph"/>
        <w:numPr>
          <w:ilvl w:val="0"/>
          <w:numId w:val="15"/>
        </w:numPr>
        <w:spacing w:after="200" w:line="276" w:lineRule="auto"/>
        <w:jc w:val="both"/>
        <w:rPr>
          <w:rFonts w:cs="Arial"/>
          <w:sz w:val="23"/>
          <w:szCs w:val="23"/>
        </w:rPr>
      </w:pPr>
      <w:r w:rsidRPr="00AF25E5">
        <w:rPr>
          <w:rFonts w:cs="Arial"/>
          <w:b/>
          <w:bCs/>
          <w:sz w:val="23"/>
          <w:szCs w:val="23"/>
        </w:rPr>
        <w:t>Interoperability</w:t>
      </w:r>
      <w:r w:rsidRPr="00AF25E5">
        <w:rPr>
          <w:rFonts w:cs="Arial"/>
          <w:sz w:val="23"/>
          <w:szCs w:val="23"/>
        </w:rPr>
        <w:t xml:space="preserve"> – ensuring consistency for health planning and response to deliver a coordinated response to health EPRR when incidents or events will cross multiple ICB/LRF footprints</w:t>
      </w:r>
    </w:p>
    <w:p w14:paraId="7378C0C8" w14:textId="1514869C" w:rsidR="005A5739" w:rsidRPr="00F868D4" w:rsidRDefault="005A5739" w:rsidP="00F868D4">
      <w:pPr>
        <w:ind w:left="360"/>
        <w:rPr>
          <w:sz w:val="23"/>
          <w:szCs w:val="23"/>
        </w:rPr>
      </w:pPr>
      <w:r w:rsidRPr="00F868D4">
        <w:rPr>
          <w:sz w:val="23"/>
          <w:szCs w:val="23"/>
        </w:rPr>
        <w:t xml:space="preserve">Appendix 4 demonstrates how the RHRP/LHRP model, alongside the above attendance model at Local Resilience Fora, will provide continuous improvement and ensure health engagement. </w:t>
      </w:r>
    </w:p>
    <w:p w14:paraId="2AF32AE2" w14:textId="77777777" w:rsidR="005A5739" w:rsidRDefault="005A5739" w:rsidP="00A700C1">
      <w:pPr>
        <w:jc w:val="both"/>
        <w:rPr>
          <w:rFonts w:cs="Arial"/>
          <w:sz w:val="23"/>
          <w:szCs w:val="23"/>
        </w:rPr>
      </w:pPr>
    </w:p>
    <w:p w14:paraId="31B25346" w14:textId="77777777" w:rsidR="003A3E08" w:rsidRDefault="003A3E08" w:rsidP="00AF25E5">
      <w:pPr>
        <w:rPr>
          <w:rFonts w:cs="Arial"/>
        </w:rPr>
      </w:pPr>
    </w:p>
    <w:p w14:paraId="5EFDE003" w14:textId="1AB85EEA" w:rsidR="00A261AC" w:rsidRPr="00D34CD6" w:rsidRDefault="00AF25E5" w:rsidP="002F58D0">
      <w:pPr>
        <w:pStyle w:val="Heading1"/>
        <w:spacing w:before="0"/>
        <w:rPr>
          <w:szCs w:val="24"/>
        </w:rPr>
      </w:pPr>
      <w:bookmarkStart w:id="67" w:name="_Toc160047252"/>
      <w:r w:rsidRPr="00D34CD6">
        <w:rPr>
          <w:spacing w:val="-1"/>
          <w:szCs w:val="24"/>
        </w:rPr>
        <w:t>Response and Recovery</w:t>
      </w:r>
      <w:bookmarkEnd w:id="67"/>
    </w:p>
    <w:p w14:paraId="5C1D5F37" w14:textId="362E3255" w:rsidR="00AF25E5" w:rsidRPr="00AF25E5" w:rsidRDefault="00AF25E5" w:rsidP="00983C7E">
      <w:pPr>
        <w:jc w:val="both"/>
        <w:rPr>
          <w:rFonts w:cs="Arial"/>
          <w:sz w:val="23"/>
          <w:szCs w:val="23"/>
        </w:rPr>
      </w:pPr>
      <w:r w:rsidRPr="00AF25E5">
        <w:rPr>
          <w:rFonts w:cs="Arial"/>
          <w:sz w:val="23"/>
          <w:szCs w:val="23"/>
        </w:rPr>
        <w:t>In addition to its responsibility to anticipate, assess, prepare, and plan for incidents and events as a Category one responder</w:t>
      </w:r>
      <w:r w:rsidR="0073357A">
        <w:rPr>
          <w:rFonts w:cs="Arial"/>
          <w:sz w:val="23"/>
          <w:szCs w:val="23"/>
        </w:rPr>
        <w:t>,</w:t>
      </w:r>
      <w:r w:rsidRPr="00AF25E5">
        <w:rPr>
          <w:rFonts w:cs="Arial"/>
          <w:sz w:val="23"/>
          <w:szCs w:val="23"/>
        </w:rPr>
        <w:t xml:space="preserve"> the NHS is required to have arrangements in place to respond to </w:t>
      </w:r>
      <w:r w:rsidR="00983C7E">
        <w:rPr>
          <w:rFonts w:cs="Arial"/>
          <w:sz w:val="23"/>
          <w:szCs w:val="23"/>
        </w:rPr>
        <w:t xml:space="preserve">and recover from </w:t>
      </w:r>
      <w:r w:rsidRPr="00AF25E5">
        <w:rPr>
          <w:rFonts w:cs="Arial"/>
          <w:sz w:val="23"/>
          <w:szCs w:val="23"/>
        </w:rPr>
        <w:t>such incidents should they occur.</w:t>
      </w:r>
    </w:p>
    <w:p w14:paraId="460D8F3B" w14:textId="77777777" w:rsidR="00AF25E5" w:rsidRDefault="00AF25E5" w:rsidP="00983C7E">
      <w:pPr>
        <w:jc w:val="both"/>
        <w:rPr>
          <w:rFonts w:cs="Arial"/>
          <w:sz w:val="23"/>
          <w:szCs w:val="23"/>
        </w:rPr>
      </w:pPr>
    </w:p>
    <w:p w14:paraId="6DDAB63E" w14:textId="17A59338" w:rsidR="00AF25E5" w:rsidRPr="00AF25E5" w:rsidRDefault="00AF25E5" w:rsidP="00983C7E">
      <w:pPr>
        <w:jc w:val="both"/>
        <w:rPr>
          <w:rFonts w:cs="Arial"/>
          <w:sz w:val="23"/>
          <w:szCs w:val="23"/>
        </w:rPr>
      </w:pPr>
      <w:r w:rsidRPr="00AF25E5">
        <w:rPr>
          <w:rFonts w:cs="Arial"/>
          <w:sz w:val="23"/>
          <w:szCs w:val="23"/>
        </w:rPr>
        <w:t xml:space="preserve">Whilst each NHS organisation has its own statutory responsibility to have arrangements in place to respond to an incident, the coordination of that response will vary dependent on the nature, type, and scale of the incident. </w:t>
      </w:r>
    </w:p>
    <w:p w14:paraId="5BF8BFCF" w14:textId="77777777" w:rsidR="00AF25E5" w:rsidRDefault="00AF25E5" w:rsidP="00983C7E">
      <w:pPr>
        <w:jc w:val="both"/>
        <w:rPr>
          <w:rFonts w:cs="Arial"/>
          <w:sz w:val="23"/>
          <w:szCs w:val="23"/>
        </w:rPr>
      </w:pPr>
    </w:p>
    <w:p w14:paraId="7B376FEF" w14:textId="6500C72E" w:rsidR="00DE5385" w:rsidRDefault="00AF25E5" w:rsidP="00983C7E">
      <w:pPr>
        <w:jc w:val="both"/>
        <w:rPr>
          <w:rFonts w:cs="Arial"/>
          <w:sz w:val="23"/>
          <w:szCs w:val="23"/>
        </w:rPr>
      </w:pPr>
      <w:r w:rsidRPr="00AF25E5">
        <w:rPr>
          <w:rFonts w:cs="Arial"/>
          <w:sz w:val="23"/>
          <w:szCs w:val="23"/>
        </w:rPr>
        <w:t>This means that the incident could be managed by an organisation alone, with system coordination, regional coordination or even national coordination as seen in the COVID-19 pandemic. This hierarchy of coordination is described by the NHS England Incident Response Levels</w:t>
      </w:r>
      <w:r w:rsidR="00AB67C4">
        <w:rPr>
          <w:rFonts w:cs="Arial"/>
          <w:sz w:val="23"/>
          <w:szCs w:val="23"/>
        </w:rPr>
        <w:t xml:space="preserve"> (</w:t>
      </w:r>
      <w:r w:rsidR="00D34CD6">
        <w:rPr>
          <w:rFonts w:cs="Arial"/>
          <w:sz w:val="23"/>
          <w:szCs w:val="23"/>
        </w:rPr>
        <w:t>table and diagram at the</w:t>
      </w:r>
      <w:r w:rsidR="00AB67C4">
        <w:rPr>
          <w:rFonts w:cs="Arial"/>
          <w:sz w:val="23"/>
          <w:szCs w:val="23"/>
        </w:rPr>
        <w:t xml:space="preserve"> top of next page).</w:t>
      </w:r>
    </w:p>
    <w:p w14:paraId="4A5EB643" w14:textId="77777777" w:rsidR="00AB67C4" w:rsidRDefault="00AB67C4" w:rsidP="00983C7E">
      <w:pPr>
        <w:jc w:val="both"/>
        <w:rPr>
          <w:rFonts w:cs="Arial"/>
          <w:sz w:val="23"/>
          <w:szCs w:val="23"/>
        </w:rPr>
      </w:pPr>
    </w:p>
    <w:p w14:paraId="4DFF1136" w14:textId="77777777" w:rsidR="00AB67C4" w:rsidRDefault="00AB67C4" w:rsidP="00AB67C4">
      <w:pPr>
        <w:jc w:val="both"/>
        <w:rPr>
          <w:rFonts w:cs="Arial"/>
          <w:sz w:val="23"/>
          <w:szCs w:val="23"/>
        </w:rPr>
      </w:pPr>
      <w:r w:rsidRPr="00AF25E5">
        <w:rPr>
          <w:rFonts w:cs="Arial"/>
          <w:sz w:val="23"/>
          <w:szCs w:val="23"/>
        </w:rPr>
        <w:t xml:space="preserve">Further detail on how the NHS responds to an incident, the definitions and actions available for ICB staff and relevant support documents which should be utilised in responding to an incident are detailed in the Humber and North Yorkshire </w:t>
      </w:r>
      <w:r>
        <w:rPr>
          <w:rFonts w:cs="Arial"/>
          <w:sz w:val="23"/>
          <w:szCs w:val="23"/>
        </w:rPr>
        <w:t>Command and Control</w:t>
      </w:r>
      <w:r w:rsidRPr="00AF25E5">
        <w:rPr>
          <w:rFonts w:cs="Arial"/>
          <w:sz w:val="23"/>
          <w:szCs w:val="23"/>
        </w:rPr>
        <w:t xml:space="preserve"> Framework. This document should be used as guidance and direction for all staff within the ICB team when responding to an incident or event which requires support or coordination at an ICB level.</w:t>
      </w:r>
    </w:p>
    <w:p w14:paraId="7ED2B2CE" w14:textId="77777777" w:rsidR="00C4636D" w:rsidRDefault="00C4636D" w:rsidP="00AB67C4">
      <w:pPr>
        <w:jc w:val="both"/>
        <w:rPr>
          <w:rFonts w:cs="Arial"/>
          <w:sz w:val="23"/>
          <w:szCs w:val="23"/>
        </w:rPr>
      </w:pPr>
    </w:p>
    <w:p w14:paraId="2C275174" w14:textId="77777777" w:rsidR="00C4636D" w:rsidRDefault="00C4636D" w:rsidP="00AB67C4">
      <w:pPr>
        <w:jc w:val="both"/>
        <w:rPr>
          <w:rFonts w:cs="Arial"/>
          <w:sz w:val="23"/>
          <w:szCs w:val="23"/>
        </w:rPr>
      </w:pPr>
    </w:p>
    <w:p w14:paraId="167D7025" w14:textId="77777777" w:rsidR="00C4636D" w:rsidRDefault="00C4636D" w:rsidP="00AB67C4">
      <w:pPr>
        <w:jc w:val="both"/>
        <w:rPr>
          <w:rFonts w:cs="Arial"/>
          <w:sz w:val="23"/>
          <w:szCs w:val="23"/>
        </w:rPr>
      </w:pPr>
    </w:p>
    <w:p w14:paraId="5366A4D3" w14:textId="77777777" w:rsidR="00C4636D" w:rsidRDefault="00C4636D" w:rsidP="00AB67C4">
      <w:pPr>
        <w:jc w:val="both"/>
        <w:rPr>
          <w:rFonts w:cs="Arial"/>
          <w:sz w:val="23"/>
          <w:szCs w:val="23"/>
        </w:rPr>
      </w:pPr>
    </w:p>
    <w:p w14:paraId="77DA7E14" w14:textId="77777777" w:rsidR="00C4636D" w:rsidRDefault="00C4636D" w:rsidP="00AB67C4">
      <w:pPr>
        <w:jc w:val="both"/>
        <w:rPr>
          <w:rFonts w:cs="Arial"/>
          <w:sz w:val="23"/>
          <w:szCs w:val="23"/>
        </w:rPr>
      </w:pPr>
    </w:p>
    <w:p w14:paraId="24B8E946" w14:textId="77777777" w:rsidR="00C4636D" w:rsidRDefault="00C4636D" w:rsidP="00AB67C4">
      <w:pPr>
        <w:jc w:val="both"/>
        <w:rPr>
          <w:rFonts w:cs="Arial"/>
          <w:sz w:val="23"/>
          <w:szCs w:val="23"/>
        </w:rPr>
      </w:pPr>
    </w:p>
    <w:p w14:paraId="472639CA" w14:textId="77777777" w:rsidR="00C4636D" w:rsidRDefault="00C4636D" w:rsidP="00AB67C4">
      <w:pPr>
        <w:jc w:val="both"/>
        <w:rPr>
          <w:rFonts w:cs="Arial"/>
          <w:sz w:val="23"/>
          <w:szCs w:val="23"/>
        </w:rPr>
      </w:pPr>
    </w:p>
    <w:p w14:paraId="66B164CD" w14:textId="77777777" w:rsidR="00C4636D" w:rsidRDefault="00C4636D" w:rsidP="00AB67C4">
      <w:pPr>
        <w:jc w:val="both"/>
        <w:rPr>
          <w:rFonts w:cs="Arial"/>
          <w:sz w:val="23"/>
          <w:szCs w:val="23"/>
        </w:rPr>
      </w:pPr>
    </w:p>
    <w:p w14:paraId="1611ABA4" w14:textId="77777777" w:rsidR="00C4636D" w:rsidRDefault="00C4636D" w:rsidP="00AB67C4">
      <w:pPr>
        <w:jc w:val="both"/>
        <w:rPr>
          <w:rFonts w:cs="Arial"/>
          <w:sz w:val="23"/>
          <w:szCs w:val="23"/>
        </w:rPr>
      </w:pPr>
    </w:p>
    <w:p w14:paraId="5FD7A956" w14:textId="77777777" w:rsidR="00C4636D" w:rsidRDefault="00C4636D" w:rsidP="00AB67C4">
      <w:pPr>
        <w:jc w:val="both"/>
        <w:rPr>
          <w:rFonts w:cs="Arial"/>
          <w:sz w:val="23"/>
          <w:szCs w:val="23"/>
        </w:rPr>
      </w:pPr>
    </w:p>
    <w:p w14:paraId="684938D8" w14:textId="77777777" w:rsidR="00C4636D" w:rsidRDefault="00C4636D" w:rsidP="00AB67C4">
      <w:pPr>
        <w:jc w:val="both"/>
        <w:rPr>
          <w:rFonts w:cs="Arial"/>
          <w:sz w:val="23"/>
          <w:szCs w:val="23"/>
        </w:rPr>
      </w:pPr>
    </w:p>
    <w:p w14:paraId="0E9CEA7A" w14:textId="77777777" w:rsidR="00C4636D" w:rsidRDefault="00C4636D" w:rsidP="00AB67C4">
      <w:pPr>
        <w:jc w:val="both"/>
        <w:rPr>
          <w:rFonts w:cs="Arial"/>
          <w:sz w:val="23"/>
          <w:szCs w:val="23"/>
        </w:rPr>
      </w:pPr>
    </w:p>
    <w:p w14:paraId="10E2771B" w14:textId="77777777" w:rsidR="00C4636D" w:rsidRDefault="00C4636D" w:rsidP="00AB67C4">
      <w:pPr>
        <w:jc w:val="both"/>
        <w:rPr>
          <w:rFonts w:cs="Arial"/>
          <w:sz w:val="23"/>
          <w:szCs w:val="23"/>
        </w:rPr>
      </w:pPr>
    </w:p>
    <w:p w14:paraId="1070693F" w14:textId="77777777" w:rsidR="00C4636D" w:rsidRDefault="00C4636D" w:rsidP="00AB67C4">
      <w:pPr>
        <w:jc w:val="both"/>
        <w:rPr>
          <w:rFonts w:cs="Arial"/>
          <w:sz w:val="23"/>
          <w:szCs w:val="23"/>
        </w:rPr>
      </w:pPr>
    </w:p>
    <w:p w14:paraId="3C3B154C" w14:textId="77777777" w:rsidR="00C4636D" w:rsidRDefault="00C4636D" w:rsidP="00AB67C4">
      <w:pPr>
        <w:jc w:val="both"/>
        <w:rPr>
          <w:rFonts w:cs="Arial"/>
          <w:sz w:val="23"/>
          <w:szCs w:val="23"/>
        </w:rPr>
      </w:pPr>
    </w:p>
    <w:p w14:paraId="1CB7C664" w14:textId="77777777" w:rsidR="00C4636D" w:rsidRDefault="00C4636D" w:rsidP="00AB67C4">
      <w:pPr>
        <w:jc w:val="both"/>
        <w:rPr>
          <w:rFonts w:cs="Arial"/>
          <w:sz w:val="23"/>
          <w:szCs w:val="23"/>
        </w:rPr>
      </w:pPr>
    </w:p>
    <w:p w14:paraId="2364E1FA" w14:textId="77777777" w:rsidR="00C4636D" w:rsidRDefault="00C4636D" w:rsidP="00AB67C4">
      <w:pPr>
        <w:jc w:val="both"/>
        <w:rPr>
          <w:rFonts w:cs="Arial"/>
          <w:sz w:val="23"/>
          <w:szCs w:val="23"/>
        </w:rPr>
      </w:pPr>
    </w:p>
    <w:p w14:paraId="5D83478E" w14:textId="77777777" w:rsidR="00C4636D" w:rsidRDefault="00C4636D" w:rsidP="00AB67C4">
      <w:pPr>
        <w:jc w:val="both"/>
        <w:rPr>
          <w:rFonts w:cs="Arial"/>
          <w:sz w:val="23"/>
          <w:szCs w:val="23"/>
        </w:rPr>
      </w:pPr>
    </w:p>
    <w:p w14:paraId="7187ADCD" w14:textId="77777777" w:rsidR="00C4636D" w:rsidRDefault="00C4636D" w:rsidP="00AB67C4">
      <w:pPr>
        <w:jc w:val="both"/>
        <w:rPr>
          <w:rFonts w:cs="Arial"/>
          <w:sz w:val="23"/>
          <w:szCs w:val="23"/>
        </w:rPr>
      </w:pPr>
    </w:p>
    <w:p w14:paraId="0F597E84" w14:textId="77777777" w:rsidR="00C4636D" w:rsidRDefault="00C4636D" w:rsidP="00AB67C4">
      <w:pPr>
        <w:jc w:val="both"/>
        <w:rPr>
          <w:rFonts w:cs="Arial"/>
          <w:sz w:val="23"/>
          <w:szCs w:val="23"/>
        </w:rPr>
      </w:pPr>
    </w:p>
    <w:p w14:paraId="3EEDF4BE" w14:textId="77777777" w:rsidR="00C4636D" w:rsidRDefault="00C4636D" w:rsidP="00AB67C4">
      <w:pPr>
        <w:jc w:val="both"/>
        <w:rPr>
          <w:rFonts w:cs="Arial"/>
          <w:sz w:val="23"/>
          <w:szCs w:val="23"/>
        </w:rPr>
      </w:pPr>
    </w:p>
    <w:p w14:paraId="000F2C53" w14:textId="7F81A55D" w:rsidR="00AF25E5" w:rsidRPr="00D34CD6" w:rsidRDefault="000817F3" w:rsidP="00AF25E5">
      <w:pPr>
        <w:pStyle w:val="Heading2"/>
        <w:numPr>
          <w:ilvl w:val="0"/>
          <w:numId w:val="0"/>
        </w:numPr>
        <w:ind w:left="851" w:hanging="851"/>
        <w:rPr>
          <w:color w:val="006B96"/>
          <w:sz w:val="23"/>
          <w:szCs w:val="23"/>
        </w:rPr>
      </w:pPr>
      <w:bookmarkStart w:id="68" w:name="_Toc100902650"/>
      <w:bookmarkStart w:id="69" w:name="_Toc100902791"/>
      <w:bookmarkStart w:id="70" w:name="_Toc101269376"/>
      <w:r w:rsidRPr="00D34CD6">
        <w:rPr>
          <w:color w:val="006B96"/>
          <w:sz w:val="23"/>
          <w:szCs w:val="23"/>
        </w:rPr>
        <w:lastRenderedPageBreak/>
        <w:t>I</w:t>
      </w:r>
      <w:r w:rsidR="00AF25E5" w:rsidRPr="00D34CD6">
        <w:rPr>
          <w:color w:val="006B96"/>
          <w:sz w:val="23"/>
          <w:szCs w:val="23"/>
        </w:rPr>
        <w:t>ncident Levels</w:t>
      </w:r>
      <w:bookmarkEnd w:id="68"/>
      <w:bookmarkEnd w:id="69"/>
      <w:bookmarkEnd w:id="70"/>
    </w:p>
    <w:p w14:paraId="00646C0C" w14:textId="21B3CBE0" w:rsidR="00AF25E5" w:rsidRDefault="00AF25E5" w:rsidP="00F20974">
      <w:pPr>
        <w:rPr>
          <w:rFonts w:cs="Arial"/>
          <w:sz w:val="23"/>
          <w:szCs w:val="23"/>
        </w:rPr>
      </w:pPr>
    </w:p>
    <w:tbl>
      <w:tblPr>
        <w:tblStyle w:val="TableGrid"/>
        <w:tblW w:w="9639" w:type="dxa"/>
        <w:tblInd w:w="-5" w:type="dxa"/>
        <w:tblLook w:val="04A0" w:firstRow="1" w:lastRow="0" w:firstColumn="1" w:lastColumn="0" w:noHBand="0" w:noVBand="1"/>
      </w:tblPr>
      <w:tblGrid>
        <w:gridCol w:w="917"/>
        <w:gridCol w:w="5604"/>
        <w:gridCol w:w="3118"/>
      </w:tblGrid>
      <w:tr w:rsidR="00AF25E5" w:rsidRPr="003A3E08" w14:paraId="310159A6" w14:textId="77777777" w:rsidTr="00D34CD6">
        <w:trPr>
          <w:trHeight w:val="763"/>
        </w:trPr>
        <w:tc>
          <w:tcPr>
            <w:tcW w:w="917" w:type="dxa"/>
            <w:shd w:val="clear" w:color="auto" w:fill="0091C9"/>
          </w:tcPr>
          <w:p w14:paraId="40089F60" w14:textId="77777777" w:rsidR="00AF25E5" w:rsidRPr="003A3E08" w:rsidRDefault="00AF25E5" w:rsidP="00F35571">
            <w:pPr>
              <w:rPr>
                <w:rFonts w:cs="Arial"/>
                <w:color w:val="FFFFFF" w:themeColor="background1"/>
                <w:sz w:val="20"/>
                <w:szCs w:val="20"/>
              </w:rPr>
            </w:pPr>
            <w:r w:rsidRPr="003A3E08">
              <w:rPr>
                <w:rFonts w:cs="Arial"/>
                <w:color w:val="FFFFFF" w:themeColor="background1"/>
                <w:sz w:val="20"/>
                <w:szCs w:val="20"/>
              </w:rPr>
              <w:t>Incident Level</w:t>
            </w:r>
          </w:p>
        </w:tc>
        <w:tc>
          <w:tcPr>
            <w:tcW w:w="5604" w:type="dxa"/>
            <w:shd w:val="clear" w:color="auto" w:fill="0091C9"/>
          </w:tcPr>
          <w:p w14:paraId="25D6F560" w14:textId="77777777" w:rsidR="00AF25E5" w:rsidRPr="003A3E08" w:rsidRDefault="00AF25E5" w:rsidP="00F35571">
            <w:pPr>
              <w:rPr>
                <w:rFonts w:cs="Arial"/>
                <w:color w:val="FFFFFF" w:themeColor="background1"/>
                <w:sz w:val="20"/>
                <w:szCs w:val="20"/>
              </w:rPr>
            </w:pPr>
            <w:r w:rsidRPr="003A3E08">
              <w:rPr>
                <w:rFonts w:cs="Arial"/>
                <w:color w:val="FFFFFF" w:themeColor="background1"/>
                <w:sz w:val="20"/>
                <w:szCs w:val="20"/>
              </w:rPr>
              <w:t>Description</w:t>
            </w:r>
          </w:p>
        </w:tc>
        <w:tc>
          <w:tcPr>
            <w:tcW w:w="3118" w:type="dxa"/>
            <w:shd w:val="clear" w:color="auto" w:fill="4F81BD" w:themeFill="accent1"/>
          </w:tcPr>
          <w:p w14:paraId="42903300" w14:textId="77777777" w:rsidR="00AF25E5" w:rsidRPr="003A3E08" w:rsidRDefault="00AF25E5" w:rsidP="00F35571">
            <w:pPr>
              <w:rPr>
                <w:rFonts w:cs="Arial"/>
                <w:color w:val="FFFFFF" w:themeColor="background1"/>
                <w:sz w:val="20"/>
                <w:szCs w:val="20"/>
              </w:rPr>
            </w:pPr>
            <w:r w:rsidRPr="003A3E08">
              <w:rPr>
                <w:rFonts w:cs="Arial"/>
                <w:color w:val="FFFFFF" w:themeColor="background1"/>
                <w:sz w:val="20"/>
                <w:szCs w:val="20"/>
              </w:rPr>
              <w:t>Coordinating Organisation</w:t>
            </w:r>
          </w:p>
        </w:tc>
      </w:tr>
      <w:tr w:rsidR="00AF25E5" w:rsidRPr="003A3E08" w14:paraId="627A1BCD" w14:textId="77777777" w:rsidTr="00D34CD6">
        <w:trPr>
          <w:trHeight w:val="775"/>
        </w:trPr>
        <w:tc>
          <w:tcPr>
            <w:tcW w:w="917" w:type="dxa"/>
            <w:shd w:val="clear" w:color="auto" w:fill="92D050"/>
            <w:vAlign w:val="center"/>
          </w:tcPr>
          <w:p w14:paraId="1BD8F632" w14:textId="77777777" w:rsidR="00AF25E5" w:rsidRPr="003A3E08" w:rsidRDefault="00AF25E5" w:rsidP="00F35571">
            <w:pPr>
              <w:jc w:val="center"/>
              <w:rPr>
                <w:rFonts w:cs="Arial"/>
                <w:sz w:val="20"/>
                <w:szCs w:val="20"/>
              </w:rPr>
            </w:pPr>
            <w:r w:rsidRPr="003A3E08">
              <w:rPr>
                <w:rFonts w:cs="Arial"/>
                <w:sz w:val="20"/>
                <w:szCs w:val="20"/>
              </w:rPr>
              <w:t>1</w:t>
            </w:r>
          </w:p>
        </w:tc>
        <w:tc>
          <w:tcPr>
            <w:tcW w:w="5604" w:type="dxa"/>
            <w:vAlign w:val="center"/>
          </w:tcPr>
          <w:p w14:paraId="6D699B2D" w14:textId="5F6D99F9" w:rsidR="00AF25E5" w:rsidRPr="003A3E08" w:rsidRDefault="00AF25E5" w:rsidP="00F35571">
            <w:pPr>
              <w:rPr>
                <w:rFonts w:cs="Arial"/>
                <w:sz w:val="20"/>
                <w:szCs w:val="20"/>
              </w:rPr>
            </w:pPr>
            <w:r w:rsidRPr="003A3E08">
              <w:rPr>
                <w:rFonts w:cs="Arial"/>
                <w:sz w:val="20"/>
                <w:szCs w:val="20"/>
              </w:rPr>
              <w:t xml:space="preserve">An incident </w:t>
            </w:r>
            <w:r w:rsidR="00E94E26">
              <w:rPr>
                <w:rFonts w:cs="Arial"/>
                <w:sz w:val="20"/>
                <w:szCs w:val="20"/>
              </w:rPr>
              <w:t xml:space="preserve">that can be responded to and managed by an NHS-funded organisation within its respective business as usual capabilities and business continuity plans. </w:t>
            </w:r>
          </w:p>
        </w:tc>
        <w:tc>
          <w:tcPr>
            <w:tcW w:w="3118" w:type="dxa"/>
            <w:vAlign w:val="center"/>
          </w:tcPr>
          <w:p w14:paraId="07730456" w14:textId="0AB8C837" w:rsidR="00AF25E5" w:rsidRPr="003A3E08" w:rsidRDefault="00AF25E5" w:rsidP="00F35571">
            <w:pPr>
              <w:rPr>
                <w:rFonts w:cs="Arial"/>
                <w:sz w:val="20"/>
                <w:szCs w:val="20"/>
              </w:rPr>
            </w:pPr>
            <w:r w:rsidRPr="003A3E08">
              <w:rPr>
                <w:rFonts w:cs="Arial"/>
                <w:sz w:val="20"/>
                <w:szCs w:val="20"/>
              </w:rPr>
              <w:t xml:space="preserve">Led by affected provider organisation with support from their ICB </w:t>
            </w:r>
          </w:p>
        </w:tc>
      </w:tr>
      <w:tr w:rsidR="00AF25E5" w:rsidRPr="003A3E08" w14:paraId="7A86F28C" w14:textId="77777777" w:rsidTr="00D34CD6">
        <w:trPr>
          <w:trHeight w:val="1370"/>
        </w:trPr>
        <w:tc>
          <w:tcPr>
            <w:tcW w:w="917" w:type="dxa"/>
            <w:shd w:val="clear" w:color="auto" w:fill="FFFF00"/>
            <w:vAlign w:val="center"/>
          </w:tcPr>
          <w:p w14:paraId="01896909" w14:textId="77777777" w:rsidR="00AF25E5" w:rsidRPr="003A3E08" w:rsidRDefault="00AF25E5" w:rsidP="00F35571">
            <w:pPr>
              <w:jc w:val="center"/>
              <w:rPr>
                <w:rFonts w:cs="Arial"/>
                <w:sz w:val="20"/>
                <w:szCs w:val="20"/>
              </w:rPr>
            </w:pPr>
            <w:r w:rsidRPr="003A3E08">
              <w:rPr>
                <w:rFonts w:cs="Arial"/>
                <w:sz w:val="20"/>
                <w:szCs w:val="20"/>
              </w:rPr>
              <w:t>2</w:t>
            </w:r>
          </w:p>
        </w:tc>
        <w:tc>
          <w:tcPr>
            <w:tcW w:w="5604" w:type="dxa"/>
            <w:vAlign w:val="center"/>
          </w:tcPr>
          <w:p w14:paraId="0F8F1E6B" w14:textId="6DE5A8E4" w:rsidR="00AF25E5" w:rsidRPr="003A3E08" w:rsidRDefault="00E94E26" w:rsidP="00F35571">
            <w:pPr>
              <w:rPr>
                <w:rFonts w:cs="Arial"/>
                <w:sz w:val="20"/>
                <w:szCs w:val="20"/>
              </w:rPr>
            </w:pPr>
            <w:r>
              <w:rPr>
                <w:rFonts w:cs="Arial"/>
                <w:sz w:val="20"/>
                <w:szCs w:val="20"/>
              </w:rPr>
              <w:t>An incident that requires the response of a number of NHS-funded organisations within an IC</w:t>
            </w:r>
            <w:r w:rsidR="008932EF">
              <w:rPr>
                <w:rFonts w:cs="Arial"/>
                <w:sz w:val="20"/>
                <w:szCs w:val="20"/>
              </w:rPr>
              <w:t>S</w:t>
            </w:r>
            <w:r>
              <w:rPr>
                <w:rFonts w:cs="Arial"/>
                <w:sz w:val="20"/>
                <w:szCs w:val="20"/>
              </w:rPr>
              <w:t xml:space="preserve"> and NHS co</w:t>
            </w:r>
            <w:r w:rsidR="008932EF">
              <w:rPr>
                <w:rFonts w:cs="Arial"/>
                <w:sz w:val="20"/>
                <w:szCs w:val="20"/>
              </w:rPr>
              <w:t>ordination by the ICB in liaison with the relevant NHS England Region</w:t>
            </w:r>
          </w:p>
        </w:tc>
        <w:tc>
          <w:tcPr>
            <w:tcW w:w="3118" w:type="dxa"/>
            <w:vAlign w:val="center"/>
          </w:tcPr>
          <w:p w14:paraId="008E9F6E" w14:textId="77777777" w:rsidR="00AF25E5" w:rsidRPr="003A3E08" w:rsidRDefault="00AF25E5" w:rsidP="00F35571">
            <w:pPr>
              <w:rPr>
                <w:rFonts w:cs="Arial"/>
                <w:sz w:val="20"/>
                <w:szCs w:val="20"/>
              </w:rPr>
            </w:pPr>
            <w:r w:rsidRPr="003A3E08">
              <w:rPr>
                <w:rFonts w:cs="Arial"/>
                <w:sz w:val="20"/>
                <w:szCs w:val="20"/>
              </w:rPr>
              <w:t>Led by ICB with support from the regional EPRR team</w:t>
            </w:r>
          </w:p>
        </w:tc>
      </w:tr>
      <w:tr w:rsidR="00AF25E5" w:rsidRPr="003A3E08" w14:paraId="117B774D" w14:textId="77777777" w:rsidTr="00D34CD6">
        <w:trPr>
          <w:trHeight w:val="1336"/>
        </w:trPr>
        <w:tc>
          <w:tcPr>
            <w:tcW w:w="917" w:type="dxa"/>
            <w:shd w:val="clear" w:color="auto" w:fill="FFC000"/>
            <w:vAlign w:val="center"/>
          </w:tcPr>
          <w:p w14:paraId="2613D42B" w14:textId="77777777" w:rsidR="00AF25E5" w:rsidRPr="003A3E08" w:rsidRDefault="00AF25E5" w:rsidP="00F35571">
            <w:pPr>
              <w:jc w:val="center"/>
              <w:rPr>
                <w:rFonts w:cs="Arial"/>
                <w:sz w:val="20"/>
                <w:szCs w:val="20"/>
              </w:rPr>
            </w:pPr>
            <w:r w:rsidRPr="003A3E08">
              <w:rPr>
                <w:rFonts w:cs="Arial"/>
                <w:sz w:val="20"/>
                <w:szCs w:val="20"/>
              </w:rPr>
              <w:t>3</w:t>
            </w:r>
          </w:p>
        </w:tc>
        <w:tc>
          <w:tcPr>
            <w:tcW w:w="5604" w:type="dxa"/>
            <w:vAlign w:val="center"/>
          </w:tcPr>
          <w:p w14:paraId="61BF4139" w14:textId="2559A037" w:rsidR="00AF25E5" w:rsidRPr="003A3E08" w:rsidRDefault="008932EF" w:rsidP="00F35571">
            <w:pPr>
              <w:rPr>
                <w:rFonts w:cs="Arial"/>
                <w:sz w:val="20"/>
                <w:szCs w:val="20"/>
              </w:rPr>
            </w:pPr>
            <w:r>
              <w:rPr>
                <w:rFonts w:cs="Arial"/>
                <w:sz w:val="20"/>
                <w:szCs w:val="20"/>
              </w:rPr>
              <w:t>An incident that requires a number of NHS-funded organisations within the NHS England region to respond. NHS England to co-ordinate the NHS response in collaboration with the ICB. Support may be provided by the NHS England Incident Management Team (National)</w:t>
            </w:r>
          </w:p>
        </w:tc>
        <w:tc>
          <w:tcPr>
            <w:tcW w:w="3118" w:type="dxa"/>
            <w:vAlign w:val="center"/>
          </w:tcPr>
          <w:p w14:paraId="01360C1D" w14:textId="77777777" w:rsidR="00AF25E5" w:rsidRPr="003A3E08" w:rsidRDefault="00AF25E5" w:rsidP="00F35571">
            <w:pPr>
              <w:rPr>
                <w:rFonts w:cs="Arial"/>
                <w:sz w:val="20"/>
                <w:szCs w:val="20"/>
              </w:rPr>
            </w:pPr>
            <w:r w:rsidRPr="003A3E08">
              <w:rPr>
                <w:rFonts w:cs="Arial"/>
                <w:sz w:val="20"/>
                <w:szCs w:val="20"/>
              </w:rPr>
              <w:t>Led by NHS England North East &amp; Yorkshire regional team</w:t>
            </w:r>
          </w:p>
        </w:tc>
      </w:tr>
      <w:tr w:rsidR="00AF25E5" w:rsidRPr="003A3E08" w14:paraId="3E32FB93" w14:textId="77777777" w:rsidTr="00D34CD6">
        <w:trPr>
          <w:trHeight w:val="1269"/>
        </w:trPr>
        <w:tc>
          <w:tcPr>
            <w:tcW w:w="917" w:type="dxa"/>
            <w:shd w:val="clear" w:color="auto" w:fill="FF0000"/>
            <w:vAlign w:val="center"/>
          </w:tcPr>
          <w:p w14:paraId="489C7261" w14:textId="77777777" w:rsidR="00AF25E5" w:rsidRPr="003A3E08" w:rsidRDefault="00AF25E5" w:rsidP="00F35571">
            <w:pPr>
              <w:jc w:val="center"/>
              <w:rPr>
                <w:rFonts w:cs="Arial"/>
                <w:sz w:val="20"/>
                <w:szCs w:val="20"/>
              </w:rPr>
            </w:pPr>
            <w:r w:rsidRPr="003A3E08">
              <w:rPr>
                <w:rFonts w:cs="Arial"/>
                <w:sz w:val="20"/>
                <w:szCs w:val="20"/>
              </w:rPr>
              <w:t>4</w:t>
            </w:r>
          </w:p>
        </w:tc>
        <w:tc>
          <w:tcPr>
            <w:tcW w:w="5604" w:type="dxa"/>
            <w:vAlign w:val="center"/>
          </w:tcPr>
          <w:p w14:paraId="34DCDB6D" w14:textId="7A642CA7" w:rsidR="00AF25E5" w:rsidRPr="003A3E08" w:rsidRDefault="00912576" w:rsidP="00F35571">
            <w:pPr>
              <w:rPr>
                <w:rFonts w:cs="Arial"/>
                <w:sz w:val="20"/>
                <w:szCs w:val="20"/>
              </w:rPr>
            </w:pPr>
            <w:r>
              <w:rPr>
                <w:rFonts w:cs="Arial"/>
                <w:sz w:val="20"/>
                <w:szCs w:val="20"/>
              </w:rPr>
              <w:t xml:space="preserve">An incident that requires NHS England national command and control to lead the NHS response. NHS England Incident Management Team (National) to co-ordinate the NHS response at the strategic level. NHS England (Region) to coordinate the NHS response, in collaboration with the ICB, at the tactical level. </w:t>
            </w:r>
          </w:p>
        </w:tc>
        <w:tc>
          <w:tcPr>
            <w:tcW w:w="3118" w:type="dxa"/>
            <w:vAlign w:val="center"/>
          </w:tcPr>
          <w:p w14:paraId="17DAC136" w14:textId="77777777" w:rsidR="00AF25E5" w:rsidRPr="003A3E08" w:rsidRDefault="00AF25E5" w:rsidP="00F35571">
            <w:pPr>
              <w:rPr>
                <w:rFonts w:cs="Arial"/>
                <w:sz w:val="20"/>
                <w:szCs w:val="20"/>
              </w:rPr>
            </w:pPr>
            <w:r w:rsidRPr="003A3E08">
              <w:rPr>
                <w:rFonts w:cs="Arial"/>
                <w:sz w:val="20"/>
                <w:szCs w:val="20"/>
              </w:rPr>
              <w:t>Led by NHS England national team</w:t>
            </w:r>
          </w:p>
        </w:tc>
      </w:tr>
    </w:tbl>
    <w:p w14:paraId="5E154FC1" w14:textId="4160BB1E" w:rsidR="00AF25E5" w:rsidRDefault="00AF25E5" w:rsidP="00F20974">
      <w:pPr>
        <w:rPr>
          <w:rFonts w:cs="Arial"/>
          <w:sz w:val="23"/>
          <w:szCs w:val="23"/>
        </w:rPr>
      </w:pPr>
    </w:p>
    <w:p w14:paraId="07D7AB6F" w14:textId="77777777" w:rsidR="00AF25E5" w:rsidRPr="00AF25E5" w:rsidRDefault="00AF25E5" w:rsidP="00983C7E">
      <w:pPr>
        <w:jc w:val="both"/>
        <w:rPr>
          <w:rFonts w:cs="Arial"/>
          <w:sz w:val="23"/>
          <w:szCs w:val="23"/>
        </w:rPr>
      </w:pPr>
    </w:p>
    <w:p w14:paraId="23DA10F9" w14:textId="77777777" w:rsidR="00AF25E5" w:rsidRPr="00AF25E5" w:rsidRDefault="00AF25E5" w:rsidP="00AF25E5">
      <w:pPr>
        <w:pStyle w:val="Heading2"/>
        <w:numPr>
          <w:ilvl w:val="0"/>
          <w:numId w:val="0"/>
        </w:numPr>
        <w:ind w:left="851" w:hanging="851"/>
        <w:rPr>
          <w:color w:val="365F91" w:themeColor="accent1" w:themeShade="BF"/>
          <w:sz w:val="23"/>
          <w:szCs w:val="23"/>
        </w:rPr>
      </w:pPr>
      <w:bookmarkStart w:id="71" w:name="_Toc100902651"/>
      <w:bookmarkStart w:id="72" w:name="_Toc100902792"/>
      <w:bookmarkStart w:id="73" w:name="_Toc101269377"/>
      <w:r w:rsidRPr="00AF25E5">
        <w:rPr>
          <w:color w:val="365F91" w:themeColor="accent1" w:themeShade="BF"/>
          <w:sz w:val="23"/>
          <w:szCs w:val="23"/>
        </w:rPr>
        <w:t>Incident Response Arrangements with Multi-agency partners</w:t>
      </w:r>
      <w:bookmarkEnd w:id="71"/>
      <w:bookmarkEnd w:id="72"/>
      <w:bookmarkEnd w:id="73"/>
    </w:p>
    <w:p w14:paraId="7FB71F42" w14:textId="746C946F" w:rsidR="00AF25E5" w:rsidRPr="00AF25E5" w:rsidRDefault="00AF25E5" w:rsidP="006167C0">
      <w:pPr>
        <w:jc w:val="both"/>
        <w:rPr>
          <w:rFonts w:cs="Arial"/>
          <w:sz w:val="23"/>
          <w:szCs w:val="23"/>
        </w:rPr>
      </w:pPr>
      <w:r w:rsidRPr="00AF25E5">
        <w:rPr>
          <w:rFonts w:cs="Arial"/>
          <w:sz w:val="23"/>
          <w:szCs w:val="23"/>
        </w:rPr>
        <w:t>In responding to a health specific incident which requires support from multi-agency partners, or where an incident or event is one that automatically triggers a multiagency response the coordination and leadership of the NHS will vary depending on what level of NHS Incident Level the incident falls into.</w:t>
      </w:r>
      <w:r w:rsidR="00983C7E">
        <w:rPr>
          <w:rFonts w:cs="Arial"/>
          <w:sz w:val="23"/>
          <w:szCs w:val="23"/>
        </w:rPr>
        <w:t xml:space="preserve"> </w:t>
      </w:r>
      <w:r w:rsidRPr="00AF25E5">
        <w:rPr>
          <w:rFonts w:cs="Arial"/>
          <w:sz w:val="23"/>
          <w:szCs w:val="23"/>
        </w:rPr>
        <w:t xml:space="preserve">The </w:t>
      </w:r>
      <w:r w:rsidR="00886083">
        <w:rPr>
          <w:rFonts w:cs="Arial"/>
          <w:sz w:val="23"/>
          <w:szCs w:val="23"/>
        </w:rPr>
        <w:t>below table details</w:t>
      </w:r>
      <w:r w:rsidRPr="00AF25E5">
        <w:rPr>
          <w:rFonts w:cs="Arial"/>
          <w:sz w:val="23"/>
          <w:szCs w:val="23"/>
        </w:rPr>
        <w:t xml:space="preserve"> at what level the leadership and coordination responsibility sit when responding to an incident where either a Strategic Coordination Group (SCG) or Tactical Coordination Group (TCG) is called</w:t>
      </w:r>
      <w:r>
        <w:rPr>
          <w:rFonts w:cs="Arial"/>
          <w:sz w:val="23"/>
          <w:szCs w:val="23"/>
        </w:rPr>
        <w:t>.</w:t>
      </w:r>
    </w:p>
    <w:p w14:paraId="2F372CE0" w14:textId="04874F01" w:rsidR="00AF25E5" w:rsidRDefault="00AF25E5" w:rsidP="00AF25E5">
      <w:pPr>
        <w:rPr>
          <w:rFonts w:cs="Arial"/>
        </w:rPr>
      </w:pPr>
    </w:p>
    <w:p w14:paraId="64FC591E" w14:textId="11108A6D" w:rsidR="00A128FA" w:rsidRDefault="00A128FA" w:rsidP="00AF25E5">
      <w:pPr>
        <w:rPr>
          <w:rFonts w:cs="Arial"/>
        </w:rPr>
      </w:pPr>
      <w:r w:rsidRPr="002648BA">
        <w:rPr>
          <w:rFonts w:cs="Arial"/>
          <w:noProof/>
        </w:rPr>
        <w:drawing>
          <wp:inline distT="0" distB="0" distL="0" distR="0" wp14:anchorId="429B2980" wp14:editId="5593EC4A">
            <wp:extent cx="5495925" cy="2491107"/>
            <wp:effectExtent l="0" t="0" r="0" b="4445"/>
            <wp:docPr id="2101590512" name="Picture 1" descr="A group of colorful rectangular labe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590512" name="Picture 1" descr="A group of colorful rectangular labels&#10;&#10;Description automatically generated with medium confidence"/>
                    <pic:cNvPicPr/>
                  </pic:nvPicPr>
                  <pic:blipFill>
                    <a:blip r:embed="rId21"/>
                    <a:stretch>
                      <a:fillRect/>
                    </a:stretch>
                  </pic:blipFill>
                  <pic:spPr>
                    <a:xfrm>
                      <a:off x="0" y="0"/>
                      <a:ext cx="5513231" cy="2498951"/>
                    </a:xfrm>
                    <a:prstGeom prst="rect">
                      <a:avLst/>
                    </a:prstGeom>
                  </pic:spPr>
                </pic:pic>
              </a:graphicData>
            </a:graphic>
          </wp:inline>
        </w:drawing>
      </w:r>
    </w:p>
    <w:p w14:paraId="217FD04A" w14:textId="4EA6B58D" w:rsidR="00AF25E5" w:rsidRDefault="00AF25E5" w:rsidP="00F20974">
      <w:pPr>
        <w:rPr>
          <w:rFonts w:cs="Arial"/>
          <w:sz w:val="23"/>
          <w:szCs w:val="23"/>
        </w:rPr>
      </w:pPr>
    </w:p>
    <w:p w14:paraId="6C8FB88A" w14:textId="5494369E" w:rsidR="00AF25E5" w:rsidRDefault="006C6570" w:rsidP="006C6570">
      <w:pPr>
        <w:pStyle w:val="Heading2"/>
        <w:numPr>
          <w:ilvl w:val="0"/>
          <w:numId w:val="0"/>
        </w:numPr>
        <w:ind w:left="851" w:hanging="851"/>
        <w:rPr>
          <w:color w:val="365F91" w:themeColor="accent1" w:themeShade="BF"/>
          <w:sz w:val="23"/>
          <w:szCs w:val="23"/>
        </w:rPr>
      </w:pPr>
      <w:r w:rsidRPr="006C6570">
        <w:rPr>
          <w:color w:val="365F91" w:themeColor="accent1" w:themeShade="BF"/>
          <w:sz w:val="23"/>
          <w:szCs w:val="23"/>
        </w:rPr>
        <w:t>Lessons identified from incidents</w:t>
      </w:r>
    </w:p>
    <w:p w14:paraId="4EAE2FB7" w14:textId="09CAEAB8" w:rsidR="00E23766" w:rsidRPr="000A20F6" w:rsidRDefault="009D7C6F" w:rsidP="00E23766">
      <w:pPr>
        <w:jc w:val="both"/>
        <w:rPr>
          <w:rFonts w:cs="Arial"/>
          <w:sz w:val="23"/>
          <w:szCs w:val="23"/>
        </w:rPr>
      </w:pPr>
      <w:r>
        <w:rPr>
          <w:rFonts w:cs="Arial"/>
          <w:sz w:val="23"/>
          <w:szCs w:val="23"/>
        </w:rPr>
        <w:t xml:space="preserve">Where the ICB is involved an incident (whether for the ICB itself or one of its provider organisations), lessons </w:t>
      </w:r>
      <w:r w:rsidR="00197FBD">
        <w:rPr>
          <w:rFonts w:cs="Arial"/>
          <w:sz w:val="23"/>
          <w:szCs w:val="23"/>
        </w:rPr>
        <w:t>identified will be shared via</w:t>
      </w:r>
      <w:r>
        <w:rPr>
          <w:rFonts w:cs="Arial"/>
          <w:sz w:val="23"/>
          <w:szCs w:val="23"/>
        </w:rPr>
        <w:t xml:space="preserve"> EPRR</w:t>
      </w:r>
      <w:r w:rsidR="00E23766" w:rsidRPr="000A20F6">
        <w:rPr>
          <w:rFonts w:cs="Arial"/>
          <w:sz w:val="23"/>
          <w:szCs w:val="23"/>
        </w:rPr>
        <w:t xml:space="preserve"> Health Partnership arrangements as part of continual improvement process.</w:t>
      </w:r>
    </w:p>
    <w:p w14:paraId="0B695D5F" w14:textId="77777777" w:rsidR="00E23766" w:rsidRDefault="00E23766" w:rsidP="00E23766">
      <w:pPr>
        <w:jc w:val="both"/>
        <w:rPr>
          <w:rFonts w:cs="Arial"/>
          <w:sz w:val="23"/>
          <w:szCs w:val="23"/>
        </w:rPr>
      </w:pPr>
    </w:p>
    <w:p w14:paraId="12CE333F" w14:textId="5E7B17A1" w:rsidR="00000537" w:rsidRDefault="00000537" w:rsidP="00E23766">
      <w:pPr>
        <w:jc w:val="both"/>
        <w:rPr>
          <w:rFonts w:cs="Arial"/>
          <w:sz w:val="23"/>
          <w:szCs w:val="23"/>
        </w:rPr>
      </w:pPr>
      <w:r>
        <w:rPr>
          <w:rFonts w:cs="Arial"/>
          <w:sz w:val="23"/>
          <w:szCs w:val="23"/>
        </w:rPr>
        <w:t>The Command and Control Framework outlines full requirements for</w:t>
      </w:r>
      <w:r w:rsidR="00EA073D">
        <w:rPr>
          <w:rFonts w:cs="Arial"/>
          <w:sz w:val="23"/>
          <w:szCs w:val="23"/>
        </w:rPr>
        <w:t xml:space="preserve"> the</w:t>
      </w:r>
      <w:r>
        <w:rPr>
          <w:rFonts w:cs="Arial"/>
          <w:sz w:val="23"/>
          <w:szCs w:val="23"/>
        </w:rPr>
        <w:t xml:space="preserve"> debriefing</w:t>
      </w:r>
      <w:r w:rsidR="00EA073D">
        <w:rPr>
          <w:rFonts w:cs="Arial"/>
          <w:sz w:val="23"/>
          <w:szCs w:val="23"/>
        </w:rPr>
        <w:t xml:space="preserve"> process, including a specific action card and links to the Incident Debrief Form. Providers will be invited to share reports or lessons they identify following any internal </w:t>
      </w:r>
      <w:r w:rsidR="00206C64">
        <w:rPr>
          <w:rFonts w:cs="Arial"/>
          <w:sz w:val="23"/>
          <w:szCs w:val="23"/>
        </w:rPr>
        <w:t>incidents and those requiring a systemwide response.</w:t>
      </w:r>
    </w:p>
    <w:p w14:paraId="6E505ADD" w14:textId="77777777" w:rsidR="007C437C" w:rsidRPr="00A261AC" w:rsidRDefault="007C437C" w:rsidP="00F20974">
      <w:pPr>
        <w:rPr>
          <w:rFonts w:eastAsia="Calibri"/>
          <w:sz w:val="23"/>
          <w:szCs w:val="23"/>
        </w:rPr>
      </w:pPr>
    </w:p>
    <w:p w14:paraId="7769DAD9" w14:textId="7CF0C0C9" w:rsidR="00EF6071" w:rsidRPr="00D34CD6" w:rsidRDefault="000A20F6" w:rsidP="000A20F6">
      <w:pPr>
        <w:pStyle w:val="Heading1"/>
        <w:spacing w:before="0" w:after="0"/>
        <w:rPr>
          <w:szCs w:val="24"/>
        </w:rPr>
      </w:pPr>
      <w:bookmarkStart w:id="74" w:name="_Toc160047253"/>
      <w:r w:rsidRPr="00D34CD6">
        <w:rPr>
          <w:szCs w:val="24"/>
        </w:rPr>
        <w:t>On-Call Arrangements</w:t>
      </w:r>
      <w:bookmarkEnd w:id="74"/>
    </w:p>
    <w:p w14:paraId="130AB872" w14:textId="77777777" w:rsidR="000A20F6" w:rsidRPr="000A20F6" w:rsidRDefault="000A20F6" w:rsidP="000A20F6">
      <w:pPr>
        <w:rPr>
          <w:rFonts w:eastAsia="Calibri"/>
          <w:sz w:val="23"/>
          <w:szCs w:val="23"/>
        </w:rPr>
      </w:pPr>
    </w:p>
    <w:p w14:paraId="1D52BB7E" w14:textId="21062B3C" w:rsidR="000A20F6" w:rsidRPr="000A20F6" w:rsidRDefault="000A20F6" w:rsidP="00983C7E">
      <w:pPr>
        <w:jc w:val="both"/>
        <w:rPr>
          <w:rFonts w:eastAsia="Calibri"/>
          <w:sz w:val="23"/>
          <w:szCs w:val="23"/>
        </w:rPr>
      </w:pPr>
      <w:r w:rsidRPr="000A20F6">
        <w:rPr>
          <w:rFonts w:eastAsia="Calibri"/>
          <w:sz w:val="23"/>
          <w:szCs w:val="23"/>
        </w:rPr>
        <w:t>The ICB is responsible for ensuring appropriate leadership during emergencies and other times of pressure. Incidents, emergencies, and peaks in demand can occur at any time of day or night, so each organisation must have an appropriate out of hours on-call system with the ability to represent and lead the NHS at both Strategic and Tactical levels.</w:t>
      </w:r>
      <w:r w:rsidR="00C80E39">
        <w:rPr>
          <w:rFonts w:eastAsia="Calibri"/>
          <w:sz w:val="23"/>
          <w:szCs w:val="23"/>
        </w:rPr>
        <w:t xml:space="preserve"> </w:t>
      </w:r>
    </w:p>
    <w:p w14:paraId="7A7D86D6" w14:textId="77777777" w:rsidR="000A20F6" w:rsidRDefault="000A20F6" w:rsidP="00983C7E">
      <w:pPr>
        <w:jc w:val="both"/>
        <w:rPr>
          <w:rFonts w:eastAsia="Calibri"/>
          <w:sz w:val="23"/>
          <w:szCs w:val="23"/>
        </w:rPr>
      </w:pPr>
    </w:p>
    <w:p w14:paraId="594C6E99" w14:textId="5AE2F0EC" w:rsidR="00517F81" w:rsidRDefault="000A20F6" w:rsidP="00983C7E">
      <w:pPr>
        <w:jc w:val="both"/>
        <w:rPr>
          <w:rFonts w:eastAsia="Calibri"/>
          <w:sz w:val="23"/>
          <w:szCs w:val="23"/>
        </w:rPr>
      </w:pPr>
      <w:r w:rsidRPr="000A20F6">
        <w:rPr>
          <w:rFonts w:eastAsia="Calibri"/>
          <w:sz w:val="23"/>
          <w:szCs w:val="23"/>
        </w:rPr>
        <w:t xml:space="preserve">Details of the ICB on call arrangements can be found in the </w:t>
      </w:r>
      <w:r w:rsidR="004A7905">
        <w:rPr>
          <w:rFonts w:eastAsia="Calibri"/>
          <w:sz w:val="23"/>
          <w:szCs w:val="23"/>
        </w:rPr>
        <w:t>Humber</w:t>
      </w:r>
      <w:r w:rsidRPr="000A20F6">
        <w:rPr>
          <w:rFonts w:eastAsia="Calibri"/>
          <w:sz w:val="23"/>
          <w:szCs w:val="23"/>
        </w:rPr>
        <w:t xml:space="preserve"> &amp; </w:t>
      </w:r>
      <w:r w:rsidR="004A7905">
        <w:rPr>
          <w:rFonts w:eastAsia="Calibri"/>
          <w:sz w:val="23"/>
          <w:szCs w:val="23"/>
        </w:rPr>
        <w:t xml:space="preserve">North </w:t>
      </w:r>
      <w:r w:rsidRPr="000A20F6">
        <w:rPr>
          <w:rFonts w:eastAsia="Calibri"/>
          <w:sz w:val="23"/>
          <w:szCs w:val="23"/>
        </w:rPr>
        <w:t xml:space="preserve">Yorkshire </w:t>
      </w:r>
      <w:r w:rsidR="004A7905">
        <w:rPr>
          <w:rFonts w:eastAsia="Calibri"/>
          <w:sz w:val="23"/>
          <w:szCs w:val="23"/>
        </w:rPr>
        <w:t>ICB</w:t>
      </w:r>
      <w:r w:rsidRPr="000A20F6">
        <w:rPr>
          <w:rFonts w:eastAsia="Calibri"/>
          <w:sz w:val="23"/>
          <w:szCs w:val="23"/>
        </w:rPr>
        <w:t xml:space="preserve"> On</w:t>
      </w:r>
      <w:r w:rsidR="00983C7E">
        <w:rPr>
          <w:rFonts w:eastAsia="Calibri"/>
          <w:sz w:val="23"/>
          <w:szCs w:val="23"/>
        </w:rPr>
        <w:t>-</w:t>
      </w:r>
      <w:r w:rsidRPr="000A20F6">
        <w:rPr>
          <w:rFonts w:eastAsia="Calibri"/>
          <w:sz w:val="23"/>
          <w:szCs w:val="23"/>
        </w:rPr>
        <w:t xml:space="preserve">Call </w:t>
      </w:r>
      <w:r w:rsidR="00C80E39">
        <w:rPr>
          <w:rFonts w:eastAsia="Calibri"/>
          <w:sz w:val="23"/>
          <w:szCs w:val="23"/>
        </w:rPr>
        <w:t xml:space="preserve">Arrangements </w:t>
      </w:r>
      <w:r w:rsidRPr="000A20F6">
        <w:rPr>
          <w:rFonts w:eastAsia="Calibri"/>
          <w:sz w:val="23"/>
          <w:szCs w:val="23"/>
        </w:rPr>
        <w:t>Policy.</w:t>
      </w:r>
      <w:r w:rsidR="00C80E39">
        <w:rPr>
          <w:rFonts w:eastAsia="Calibri"/>
          <w:sz w:val="23"/>
          <w:szCs w:val="23"/>
        </w:rPr>
        <w:t xml:space="preserve"> In summary at all times there is a Strategic Health Commander and up to three Tactical Health Commanders available to respond to incidents wherever they occur. During office hours the ICB EPRR Team will integrate with and supplement the on-call capacity as required.</w:t>
      </w:r>
    </w:p>
    <w:p w14:paraId="7E8F6D47" w14:textId="059E4494" w:rsidR="000A20F6" w:rsidRDefault="000A20F6" w:rsidP="000A20F6">
      <w:pPr>
        <w:rPr>
          <w:rFonts w:eastAsia="Calibri"/>
          <w:sz w:val="23"/>
          <w:szCs w:val="23"/>
        </w:rPr>
      </w:pPr>
    </w:p>
    <w:p w14:paraId="0AFC2CC6" w14:textId="6A8C7C65" w:rsidR="00166E25" w:rsidRPr="00D34CD6" w:rsidRDefault="00166E25" w:rsidP="00AA022A">
      <w:pPr>
        <w:pStyle w:val="Heading1"/>
        <w:spacing w:before="0" w:after="0"/>
        <w:rPr>
          <w:szCs w:val="24"/>
        </w:rPr>
      </w:pPr>
      <w:bookmarkStart w:id="75" w:name="_Toc160047254"/>
      <w:r w:rsidRPr="00D34CD6">
        <w:rPr>
          <w:szCs w:val="24"/>
        </w:rPr>
        <w:t>Risk</w:t>
      </w:r>
      <w:bookmarkEnd w:id="75"/>
    </w:p>
    <w:p w14:paraId="5CBAA246" w14:textId="77777777" w:rsidR="00166E25" w:rsidRDefault="00166E25" w:rsidP="000A20F6">
      <w:pPr>
        <w:rPr>
          <w:rFonts w:eastAsia="Calibri"/>
          <w:sz w:val="23"/>
          <w:szCs w:val="23"/>
        </w:rPr>
      </w:pPr>
    </w:p>
    <w:p w14:paraId="07682537" w14:textId="74613EF7" w:rsidR="007939DF" w:rsidRDefault="009F7B01" w:rsidP="009023E8">
      <w:pPr>
        <w:jc w:val="both"/>
        <w:rPr>
          <w:rFonts w:eastAsia="Calibri"/>
          <w:sz w:val="23"/>
          <w:szCs w:val="23"/>
        </w:rPr>
      </w:pPr>
      <w:r w:rsidRPr="77FFC266">
        <w:rPr>
          <w:rFonts w:eastAsia="Calibri"/>
          <w:sz w:val="23"/>
          <w:szCs w:val="23"/>
        </w:rPr>
        <w:t xml:space="preserve">As per the </w:t>
      </w:r>
      <w:r w:rsidR="00E77745" w:rsidRPr="77FFC266">
        <w:rPr>
          <w:rFonts w:eastAsia="Calibri"/>
          <w:sz w:val="23"/>
          <w:szCs w:val="23"/>
        </w:rPr>
        <w:t xml:space="preserve">joint understanding of risk principles outlined in Section 6, </w:t>
      </w:r>
      <w:r w:rsidR="00D7038A" w:rsidRPr="77FFC266">
        <w:rPr>
          <w:rFonts w:eastAsia="Calibri"/>
          <w:sz w:val="23"/>
          <w:szCs w:val="23"/>
        </w:rPr>
        <w:t xml:space="preserve">Humber and North Yorkshire LHRP is responsible for horizon scanning for risks affecting the health economy in </w:t>
      </w:r>
      <w:r w:rsidR="22B27F05" w:rsidRPr="77FFC266">
        <w:rPr>
          <w:rFonts w:eastAsia="Calibri"/>
          <w:sz w:val="23"/>
          <w:szCs w:val="23"/>
        </w:rPr>
        <w:t>its</w:t>
      </w:r>
      <w:r w:rsidR="00D7038A" w:rsidRPr="77FFC266">
        <w:rPr>
          <w:rFonts w:eastAsia="Calibri"/>
          <w:sz w:val="23"/>
          <w:szCs w:val="23"/>
        </w:rPr>
        <w:t xml:space="preserve"> geographical footprint and escalating them to be placed on the NEY Risk Register for monitoring. </w:t>
      </w:r>
    </w:p>
    <w:p w14:paraId="3499742C" w14:textId="77777777" w:rsidR="007939DF" w:rsidRDefault="007939DF" w:rsidP="009023E8">
      <w:pPr>
        <w:jc w:val="both"/>
        <w:rPr>
          <w:rFonts w:eastAsia="Calibri"/>
          <w:sz w:val="23"/>
          <w:szCs w:val="23"/>
        </w:rPr>
      </w:pPr>
    </w:p>
    <w:p w14:paraId="59961A14" w14:textId="06CE42BD" w:rsidR="00166E25" w:rsidRDefault="007939DF" w:rsidP="009023E8">
      <w:pPr>
        <w:jc w:val="both"/>
        <w:rPr>
          <w:rFonts w:eastAsia="Calibri"/>
          <w:sz w:val="23"/>
          <w:szCs w:val="23"/>
        </w:rPr>
      </w:pPr>
      <w:r>
        <w:rPr>
          <w:rFonts w:eastAsia="Calibri"/>
          <w:sz w:val="23"/>
          <w:szCs w:val="23"/>
        </w:rPr>
        <w:t>Humber and North Yorkshire ICB is still required, as an individual organisation, to have a process for recording and escalating internal risks</w:t>
      </w:r>
      <w:r w:rsidR="00AE1702">
        <w:rPr>
          <w:rFonts w:eastAsia="Calibri"/>
          <w:sz w:val="23"/>
          <w:szCs w:val="23"/>
        </w:rPr>
        <w:t>, or internal perspectives on shared risks; e.g. climate impacts; which will have organisation specific controls and mitigations to reflect the specific working arrangements</w:t>
      </w:r>
      <w:r w:rsidR="00BE05DD">
        <w:rPr>
          <w:rFonts w:eastAsia="Calibri"/>
          <w:sz w:val="23"/>
          <w:szCs w:val="23"/>
        </w:rPr>
        <w:t>.</w:t>
      </w:r>
      <w:r w:rsidR="00AE1702">
        <w:rPr>
          <w:rFonts w:eastAsia="Calibri"/>
          <w:sz w:val="23"/>
          <w:szCs w:val="23"/>
        </w:rPr>
        <w:t xml:space="preserve"> For example</w:t>
      </w:r>
      <w:r w:rsidR="00BE05DD">
        <w:rPr>
          <w:rFonts w:eastAsia="Calibri"/>
          <w:sz w:val="23"/>
          <w:szCs w:val="23"/>
        </w:rPr>
        <w:t>,</w:t>
      </w:r>
      <w:r w:rsidR="00AE1702">
        <w:rPr>
          <w:rFonts w:eastAsia="Calibri"/>
          <w:sz w:val="23"/>
          <w:szCs w:val="23"/>
        </w:rPr>
        <w:t xml:space="preserve"> as the organisation has a flexible approach to working arrangements combining both remote and office based working, this is a positive factor when infection control measures are considered, but a negative factor when IT failure is being considered. This will enable a clear thread </w:t>
      </w:r>
      <w:r w:rsidR="00111DCE">
        <w:rPr>
          <w:rFonts w:eastAsia="Calibri"/>
          <w:sz w:val="23"/>
          <w:szCs w:val="23"/>
        </w:rPr>
        <w:t>to be demonstrated around EPRR risks from an I</w:t>
      </w:r>
      <w:r w:rsidR="00AE1702">
        <w:rPr>
          <w:rFonts w:eastAsia="Calibri"/>
          <w:sz w:val="23"/>
          <w:szCs w:val="23"/>
        </w:rPr>
        <w:t>CB risk</w:t>
      </w:r>
      <w:r w:rsidR="00111DCE">
        <w:rPr>
          <w:rFonts w:eastAsia="Calibri"/>
          <w:sz w:val="23"/>
          <w:szCs w:val="23"/>
        </w:rPr>
        <w:t xml:space="preserve"> perspective through</w:t>
      </w:r>
      <w:r w:rsidR="00AE1702">
        <w:rPr>
          <w:rFonts w:eastAsia="Calibri"/>
          <w:sz w:val="23"/>
          <w:szCs w:val="23"/>
        </w:rPr>
        <w:t xml:space="preserve"> LHRP risk</w:t>
      </w:r>
      <w:r w:rsidR="00111DCE">
        <w:rPr>
          <w:rFonts w:eastAsia="Calibri"/>
          <w:sz w:val="23"/>
          <w:szCs w:val="23"/>
        </w:rPr>
        <w:t>, RHRP risks and to national risks</w:t>
      </w:r>
      <w:r>
        <w:rPr>
          <w:rFonts w:eastAsia="Calibri"/>
          <w:sz w:val="23"/>
          <w:szCs w:val="23"/>
        </w:rPr>
        <w:t xml:space="preserve"> </w:t>
      </w:r>
    </w:p>
    <w:p w14:paraId="3E1081C4" w14:textId="77777777" w:rsidR="00443C79" w:rsidRDefault="00443C79" w:rsidP="009023E8">
      <w:pPr>
        <w:jc w:val="both"/>
        <w:rPr>
          <w:rFonts w:eastAsia="Calibri"/>
          <w:sz w:val="23"/>
          <w:szCs w:val="23"/>
        </w:rPr>
      </w:pPr>
    </w:p>
    <w:p w14:paraId="08D470F3" w14:textId="7CDBBF13" w:rsidR="00111DCE" w:rsidRPr="007B29D6" w:rsidRDefault="00A76F51" w:rsidP="009023E8">
      <w:pPr>
        <w:jc w:val="both"/>
        <w:rPr>
          <w:rFonts w:eastAsia="Calibri"/>
          <w:sz w:val="23"/>
          <w:szCs w:val="23"/>
        </w:rPr>
      </w:pPr>
      <w:r w:rsidRPr="007B29D6">
        <w:rPr>
          <w:rFonts w:eastAsia="Calibri"/>
          <w:sz w:val="23"/>
          <w:szCs w:val="23"/>
        </w:rPr>
        <w:t>Humber and North Yorkshire ICB’s</w:t>
      </w:r>
      <w:r w:rsidR="00BE05DD" w:rsidRPr="007B29D6">
        <w:rPr>
          <w:rFonts w:eastAsia="Calibri"/>
          <w:sz w:val="23"/>
          <w:szCs w:val="23"/>
        </w:rPr>
        <w:t xml:space="preserve"> organisational</w:t>
      </w:r>
      <w:r w:rsidRPr="007B29D6">
        <w:rPr>
          <w:rFonts w:eastAsia="Calibri"/>
          <w:sz w:val="23"/>
          <w:szCs w:val="23"/>
        </w:rPr>
        <w:t xml:space="preserve"> risks are managed in accordance with the </w:t>
      </w:r>
      <w:r w:rsidR="00B07978" w:rsidRPr="00F868D4">
        <w:rPr>
          <w:rFonts w:eastAsia="Calibri"/>
          <w:sz w:val="23"/>
          <w:szCs w:val="23"/>
        </w:rPr>
        <w:t>ICB’s Risk Management Policy</w:t>
      </w:r>
      <w:r w:rsidR="00EE14C8" w:rsidRPr="007B29D6">
        <w:rPr>
          <w:rFonts w:eastAsia="Calibri"/>
          <w:sz w:val="23"/>
          <w:szCs w:val="23"/>
        </w:rPr>
        <w:t xml:space="preserve">; which </w:t>
      </w:r>
      <w:r w:rsidR="00111DCE" w:rsidRPr="007B29D6">
        <w:rPr>
          <w:rFonts w:eastAsia="Calibri"/>
          <w:sz w:val="23"/>
          <w:szCs w:val="23"/>
        </w:rPr>
        <w:t xml:space="preserve">utilises </w:t>
      </w:r>
      <w:r w:rsidR="00AE2B73" w:rsidRPr="007B29D6">
        <w:rPr>
          <w:rFonts w:eastAsia="Calibri"/>
          <w:sz w:val="23"/>
          <w:szCs w:val="23"/>
        </w:rPr>
        <w:t>pre-determined Risk Appet</w:t>
      </w:r>
      <w:r w:rsidR="00D21DD1" w:rsidRPr="007B29D6">
        <w:rPr>
          <w:rFonts w:eastAsia="Calibri"/>
          <w:sz w:val="23"/>
          <w:szCs w:val="23"/>
        </w:rPr>
        <w:t>ite Scores</w:t>
      </w:r>
      <w:r w:rsidR="00111DCE" w:rsidRPr="007B29D6">
        <w:rPr>
          <w:rFonts w:eastAsia="Calibri"/>
          <w:sz w:val="23"/>
          <w:szCs w:val="23"/>
        </w:rPr>
        <w:t xml:space="preserve"> to determine the type and level of response / monitoring.</w:t>
      </w:r>
      <w:r w:rsidR="00D21DD1" w:rsidRPr="007B29D6">
        <w:rPr>
          <w:rFonts w:eastAsia="Calibri"/>
          <w:sz w:val="23"/>
          <w:szCs w:val="23"/>
        </w:rPr>
        <w:t xml:space="preserve"> </w:t>
      </w:r>
      <w:r w:rsidR="00364B5B" w:rsidRPr="007B29D6">
        <w:rPr>
          <w:rFonts w:eastAsia="Calibri"/>
          <w:sz w:val="23"/>
          <w:szCs w:val="23"/>
        </w:rPr>
        <w:t>Those identified as out of the pre-determined Risk Appetite Scores will be escalated to the Corporate Risk Register (CRR)</w:t>
      </w:r>
      <w:r w:rsidR="00B87B0E" w:rsidRPr="007B29D6">
        <w:rPr>
          <w:rFonts w:eastAsia="Calibri"/>
          <w:sz w:val="23"/>
          <w:szCs w:val="23"/>
        </w:rPr>
        <w:t>; and all risks which are identified as threatening the delivery of the ICB’s strategic objectives will be reflected on the Board Assurance Framework.</w:t>
      </w:r>
      <w:r w:rsidR="00111DCE" w:rsidRPr="007B29D6">
        <w:rPr>
          <w:rFonts w:eastAsia="Calibri"/>
          <w:sz w:val="23"/>
          <w:szCs w:val="23"/>
        </w:rPr>
        <w:t xml:space="preserve"> </w:t>
      </w:r>
    </w:p>
    <w:p w14:paraId="1ED9139C" w14:textId="77777777" w:rsidR="00111DCE" w:rsidRDefault="00111DCE" w:rsidP="009023E8">
      <w:pPr>
        <w:jc w:val="both"/>
        <w:rPr>
          <w:rFonts w:eastAsia="Calibri"/>
          <w:sz w:val="23"/>
          <w:szCs w:val="23"/>
        </w:rPr>
      </w:pPr>
    </w:p>
    <w:p w14:paraId="498CF6BE" w14:textId="58FDE222" w:rsidR="00443C79" w:rsidRDefault="00111DCE" w:rsidP="009023E8">
      <w:pPr>
        <w:jc w:val="both"/>
        <w:rPr>
          <w:rFonts w:eastAsia="Calibri"/>
          <w:sz w:val="23"/>
          <w:szCs w:val="23"/>
        </w:rPr>
      </w:pPr>
      <w:r>
        <w:rPr>
          <w:rFonts w:eastAsia="Calibri"/>
          <w:sz w:val="23"/>
          <w:szCs w:val="23"/>
        </w:rPr>
        <w:t>General principles to be applied to EPRR risks are:</w:t>
      </w:r>
    </w:p>
    <w:p w14:paraId="4ED63B84" w14:textId="55EE8366" w:rsidR="00FA124E" w:rsidRDefault="00FA124E" w:rsidP="009023E8">
      <w:pPr>
        <w:pStyle w:val="ListParagraph"/>
        <w:numPr>
          <w:ilvl w:val="0"/>
          <w:numId w:val="40"/>
        </w:numPr>
        <w:jc w:val="both"/>
        <w:rPr>
          <w:rFonts w:eastAsia="Calibri"/>
          <w:sz w:val="23"/>
          <w:szCs w:val="23"/>
        </w:rPr>
      </w:pPr>
      <w:r>
        <w:rPr>
          <w:rFonts w:eastAsia="Calibri"/>
          <w:sz w:val="23"/>
          <w:szCs w:val="23"/>
        </w:rPr>
        <w:t xml:space="preserve">Any EPRR associated risks </w:t>
      </w:r>
      <w:r w:rsidR="00111DCE">
        <w:rPr>
          <w:rFonts w:eastAsia="Calibri"/>
          <w:sz w:val="23"/>
          <w:szCs w:val="23"/>
        </w:rPr>
        <w:t xml:space="preserve">should be notified </w:t>
      </w:r>
      <w:r>
        <w:rPr>
          <w:rFonts w:eastAsia="Calibri"/>
          <w:sz w:val="23"/>
          <w:szCs w:val="23"/>
        </w:rPr>
        <w:t>EPRR team in the first instance</w:t>
      </w:r>
      <w:r w:rsidR="00111DCE">
        <w:rPr>
          <w:rFonts w:eastAsia="Calibri"/>
          <w:sz w:val="23"/>
          <w:szCs w:val="23"/>
        </w:rPr>
        <w:t xml:space="preserve">, for review by </w:t>
      </w:r>
      <w:r w:rsidR="001C32EF">
        <w:rPr>
          <w:rFonts w:eastAsia="Calibri"/>
          <w:sz w:val="23"/>
          <w:szCs w:val="23"/>
        </w:rPr>
        <w:t>Head of Resilience and Operations</w:t>
      </w:r>
      <w:r>
        <w:rPr>
          <w:rFonts w:eastAsia="Calibri"/>
          <w:sz w:val="23"/>
          <w:szCs w:val="23"/>
        </w:rPr>
        <w:t xml:space="preserve">. This will be recorded on the HNYICB EPRR Team Risk Register. </w:t>
      </w:r>
    </w:p>
    <w:p w14:paraId="6C024D58" w14:textId="0A375C76" w:rsidR="008850F5" w:rsidRDefault="008850F5" w:rsidP="009023E8">
      <w:pPr>
        <w:pStyle w:val="ListParagraph"/>
        <w:numPr>
          <w:ilvl w:val="0"/>
          <w:numId w:val="40"/>
        </w:numPr>
        <w:jc w:val="both"/>
        <w:rPr>
          <w:rFonts w:eastAsia="Calibri"/>
          <w:sz w:val="23"/>
          <w:szCs w:val="23"/>
        </w:rPr>
      </w:pPr>
      <w:r>
        <w:rPr>
          <w:rFonts w:eastAsia="Calibri"/>
          <w:sz w:val="23"/>
          <w:szCs w:val="23"/>
        </w:rPr>
        <w:t xml:space="preserve">If the risk requires immediate escalation and response, the Head of Resilience and Operations should discuss this with the AEO and Director of Planning and Performance to determine </w:t>
      </w:r>
      <w:r w:rsidR="002B4A22">
        <w:rPr>
          <w:rFonts w:eastAsia="Calibri"/>
          <w:sz w:val="23"/>
          <w:szCs w:val="23"/>
        </w:rPr>
        <w:t xml:space="preserve">whether an immediate response is required under the ICB’s Command and Control Framework or whether immediate measures need to be put in place to mitigate the risk. </w:t>
      </w:r>
    </w:p>
    <w:p w14:paraId="37D0394E" w14:textId="3A33B613" w:rsidR="00CC7F6B" w:rsidRDefault="00CC7F6B" w:rsidP="009023E8">
      <w:pPr>
        <w:pStyle w:val="ListParagraph"/>
        <w:numPr>
          <w:ilvl w:val="0"/>
          <w:numId w:val="40"/>
        </w:numPr>
        <w:jc w:val="both"/>
        <w:rPr>
          <w:rFonts w:eastAsia="Calibri"/>
          <w:sz w:val="23"/>
          <w:szCs w:val="23"/>
        </w:rPr>
      </w:pPr>
      <w:r>
        <w:rPr>
          <w:rFonts w:eastAsia="Calibri"/>
          <w:sz w:val="23"/>
          <w:szCs w:val="23"/>
        </w:rPr>
        <w:t>Th</w:t>
      </w:r>
      <w:r w:rsidR="002B4A22">
        <w:rPr>
          <w:rFonts w:eastAsia="Calibri"/>
          <w:sz w:val="23"/>
          <w:szCs w:val="23"/>
        </w:rPr>
        <w:t>is and any other</w:t>
      </w:r>
      <w:r>
        <w:rPr>
          <w:rFonts w:eastAsia="Calibri"/>
          <w:sz w:val="23"/>
          <w:szCs w:val="23"/>
        </w:rPr>
        <w:t xml:space="preserve"> </w:t>
      </w:r>
      <w:r w:rsidR="002B4A22">
        <w:rPr>
          <w:rFonts w:eastAsia="Calibri"/>
          <w:sz w:val="23"/>
          <w:szCs w:val="23"/>
        </w:rPr>
        <w:t xml:space="preserve">EPRR </w:t>
      </w:r>
      <w:r>
        <w:rPr>
          <w:rFonts w:eastAsia="Calibri"/>
          <w:sz w:val="23"/>
          <w:szCs w:val="23"/>
        </w:rPr>
        <w:t>risk</w:t>
      </w:r>
      <w:r w:rsidR="002B4A22">
        <w:rPr>
          <w:rFonts w:eastAsia="Calibri"/>
          <w:sz w:val="23"/>
          <w:szCs w:val="23"/>
        </w:rPr>
        <w:t>s</w:t>
      </w:r>
      <w:r>
        <w:rPr>
          <w:rFonts w:eastAsia="Calibri"/>
          <w:sz w:val="23"/>
          <w:szCs w:val="23"/>
        </w:rPr>
        <w:t xml:space="preserve"> will be discussed with the</w:t>
      </w:r>
      <w:r w:rsidR="001C32EF">
        <w:rPr>
          <w:rFonts w:eastAsia="Calibri"/>
          <w:sz w:val="23"/>
          <w:szCs w:val="23"/>
        </w:rPr>
        <w:t xml:space="preserve"> ICB’s</w:t>
      </w:r>
      <w:r>
        <w:rPr>
          <w:rFonts w:eastAsia="Calibri"/>
          <w:sz w:val="23"/>
          <w:szCs w:val="23"/>
        </w:rPr>
        <w:t xml:space="preserve"> AEO at the AEO EPRR Governance meeting held every quarter prior to LHRP. The AEO can either decide that</w:t>
      </w:r>
    </w:p>
    <w:p w14:paraId="73554E0C" w14:textId="4EE06853" w:rsidR="00CC7F6B" w:rsidRDefault="00CC7F6B" w:rsidP="009023E8">
      <w:pPr>
        <w:pStyle w:val="ListParagraph"/>
        <w:numPr>
          <w:ilvl w:val="1"/>
          <w:numId w:val="31"/>
        </w:numPr>
        <w:ind w:left="993" w:hanging="284"/>
        <w:jc w:val="both"/>
        <w:rPr>
          <w:rFonts w:eastAsia="Calibri"/>
          <w:sz w:val="23"/>
          <w:szCs w:val="23"/>
        </w:rPr>
      </w:pPr>
      <w:r>
        <w:rPr>
          <w:rFonts w:eastAsia="Calibri"/>
          <w:sz w:val="23"/>
          <w:szCs w:val="23"/>
        </w:rPr>
        <w:t xml:space="preserve">The risk </w:t>
      </w:r>
      <w:r w:rsidR="00856B6F">
        <w:rPr>
          <w:rFonts w:eastAsia="Calibri"/>
          <w:sz w:val="23"/>
          <w:szCs w:val="23"/>
        </w:rPr>
        <w:t>has the potential to affect other organisations and therefore needs to be escalate</w:t>
      </w:r>
      <w:r w:rsidR="005C66D5">
        <w:rPr>
          <w:rFonts w:eastAsia="Calibri"/>
          <w:sz w:val="23"/>
          <w:szCs w:val="23"/>
        </w:rPr>
        <w:t>d</w:t>
      </w:r>
      <w:r w:rsidR="00856B6F">
        <w:rPr>
          <w:rFonts w:eastAsia="Calibri"/>
          <w:sz w:val="23"/>
          <w:szCs w:val="23"/>
        </w:rPr>
        <w:t xml:space="preserve"> to LHRP. </w:t>
      </w:r>
      <w:r w:rsidR="00044D6B">
        <w:rPr>
          <w:rFonts w:eastAsia="Calibri"/>
          <w:sz w:val="23"/>
          <w:szCs w:val="23"/>
        </w:rPr>
        <w:t xml:space="preserve">The LHRP will follow the process described </w:t>
      </w:r>
      <w:r w:rsidR="00A95A25">
        <w:rPr>
          <w:rFonts w:eastAsia="Calibri"/>
          <w:sz w:val="23"/>
          <w:szCs w:val="23"/>
        </w:rPr>
        <w:t>in Section 6.</w:t>
      </w:r>
    </w:p>
    <w:p w14:paraId="154587E2" w14:textId="6910F1B1" w:rsidR="00BF3AC0" w:rsidRDefault="00BF3AC0" w:rsidP="009023E8">
      <w:pPr>
        <w:pStyle w:val="ListParagraph"/>
        <w:numPr>
          <w:ilvl w:val="1"/>
          <w:numId w:val="31"/>
        </w:numPr>
        <w:ind w:left="993" w:hanging="284"/>
        <w:jc w:val="both"/>
        <w:rPr>
          <w:rFonts w:eastAsia="Calibri"/>
          <w:sz w:val="23"/>
          <w:szCs w:val="23"/>
        </w:rPr>
      </w:pPr>
      <w:r>
        <w:rPr>
          <w:rFonts w:eastAsia="Calibri"/>
          <w:sz w:val="23"/>
          <w:szCs w:val="23"/>
        </w:rPr>
        <w:t xml:space="preserve">The risk </w:t>
      </w:r>
      <w:r w:rsidR="00B919F8">
        <w:rPr>
          <w:rFonts w:eastAsia="Calibri"/>
          <w:sz w:val="23"/>
          <w:szCs w:val="23"/>
        </w:rPr>
        <w:t xml:space="preserve">only affects HNYICB and </w:t>
      </w:r>
      <w:r>
        <w:rPr>
          <w:rFonts w:eastAsia="Calibri"/>
          <w:sz w:val="23"/>
          <w:szCs w:val="23"/>
        </w:rPr>
        <w:t>can be managed by the EPRR Team with the appropriate links to place. Updates will be required to the AEO at the AEO EPRR Governance meeting every quarter.</w:t>
      </w:r>
    </w:p>
    <w:p w14:paraId="16C12422" w14:textId="477964B7" w:rsidR="00B919F8" w:rsidRPr="00AA022A" w:rsidRDefault="00B919F8" w:rsidP="009023E8">
      <w:pPr>
        <w:pStyle w:val="ListParagraph"/>
        <w:numPr>
          <w:ilvl w:val="1"/>
          <w:numId w:val="31"/>
        </w:numPr>
        <w:ind w:left="993" w:hanging="284"/>
        <w:jc w:val="both"/>
        <w:rPr>
          <w:rFonts w:eastAsia="Calibri"/>
          <w:sz w:val="23"/>
          <w:szCs w:val="23"/>
        </w:rPr>
      </w:pPr>
      <w:r>
        <w:rPr>
          <w:rFonts w:eastAsia="Calibri"/>
          <w:sz w:val="23"/>
          <w:szCs w:val="23"/>
        </w:rPr>
        <w:lastRenderedPageBreak/>
        <w:t xml:space="preserve">The risk only affects HNYICB but requires escalation to the HNYICB Executive Team for discussion and possible escalation in accordance with the ICB’s Risk Management Policy. </w:t>
      </w:r>
    </w:p>
    <w:p w14:paraId="3C55CAAD" w14:textId="77777777" w:rsidR="00AF04BE" w:rsidRDefault="00AF04BE" w:rsidP="000A20F6">
      <w:pPr>
        <w:rPr>
          <w:rFonts w:eastAsia="Calibri"/>
          <w:sz w:val="23"/>
          <w:szCs w:val="23"/>
        </w:rPr>
      </w:pPr>
    </w:p>
    <w:p w14:paraId="23B990BF" w14:textId="77777777" w:rsidR="000A20F6" w:rsidRDefault="000A20F6" w:rsidP="000A20F6">
      <w:pPr>
        <w:rPr>
          <w:rFonts w:eastAsia="Calibri"/>
          <w:sz w:val="23"/>
          <w:szCs w:val="23"/>
        </w:rPr>
      </w:pPr>
    </w:p>
    <w:p w14:paraId="1B69DFFF" w14:textId="55A34F00" w:rsidR="00A66E06" w:rsidRPr="009023E8" w:rsidRDefault="00213D20" w:rsidP="00AA022A">
      <w:pPr>
        <w:pStyle w:val="Heading1"/>
        <w:spacing w:before="0" w:after="0"/>
        <w:rPr>
          <w:szCs w:val="24"/>
        </w:rPr>
      </w:pPr>
      <w:bookmarkStart w:id="76" w:name="_Toc160047255"/>
      <w:r w:rsidRPr="009023E8">
        <w:rPr>
          <w:szCs w:val="24"/>
        </w:rPr>
        <w:t>Annual Workplan and Governance</w:t>
      </w:r>
      <w:bookmarkEnd w:id="76"/>
    </w:p>
    <w:p w14:paraId="17E21CAA" w14:textId="77777777" w:rsidR="00A66E06" w:rsidRDefault="00A66E06" w:rsidP="000A20F6">
      <w:pPr>
        <w:rPr>
          <w:rFonts w:eastAsia="Calibri"/>
          <w:sz w:val="23"/>
          <w:szCs w:val="23"/>
        </w:rPr>
      </w:pPr>
    </w:p>
    <w:p w14:paraId="120BBE8E" w14:textId="796C179C" w:rsidR="00111DCE" w:rsidRDefault="0045008A" w:rsidP="009023E8">
      <w:pPr>
        <w:jc w:val="both"/>
        <w:rPr>
          <w:rFonts w:eastAsia="Calibri"/>
          <w:sz w:val="23"/>
          <w:szCs w:val="23"/>
        </w:rPr>
      </w:pPr>
      <w:r>
        <w:rPr>
          <w:rFonts w:eastAsia="Calibri"/>
          <w:sz w:val="23"/>
          <w:szCs w:val="23"/>
        </w:rPr>
        <w:t xml:space="preserve">The ICB is required to participate in the annual self-assessment process against the NHS Core Standards for EPRR. This self-assessment process will usually produce an action plan where the organisation is either partially or non-compliant with a specific standard. </w:t>
      </w:r>
      <w:r w:rsidR="006A6320">
        <w:rPr>
          <w:rFonts w:eastAsia="Calibri"/>
          <w:sz w:val="23"/>
          <w:szCs w:val="23"/>
        </w:rPr>
        <w:t xml:space="preserve">This workplan will be entered onto the </w:t>
      </w:r>
      <w:r w:rsidR="00111DCE">
        <w:rPr>
          <w:rFonts w:eastAsia="Calibri"/>
          <w:sz w:val="23"/>
          <w:szCs w:val="23"/>
        </w:rPr>
        <w:t>m</w:t>
      </w:r>
      <w:r w:rsidR="006A6320">
        <w:rPr>
          <w:rFonts w:eastAsia="Calibri"/>
          <w:sz w:val="23"/>
          <w:szCs w:val="23"/>
        </w:rPr>
        <w:t xml:space="preserve">aster EPRR </w:t>
      </w:r>
      <w:r w:rsidR="00111DCE">
        <w:rPr>
          <w:rFonts w:eastAsia="Calibri"/>
          <w:sz w:val="23"/>
          <w:szCs w:val="23"/>
        </w:rPr>
        <w:t>a</w:t>
      </w:r>
      <w:r w:rsidR="006A6320">
        <w:rPr>
          <w:rFonts w:eastAsia="Calibri"/>
          <w:sz w:val="23"/>
          <w:szCs w:val="23"/>
        </w:rPr>
        <w:t xml:space="preserve">ction </w:t>
      </w:r>
      <w:r w:rsidR="00111DCE">
        <w:rPr>
          <w:rFonts w:eastAsia="Calibri"/>
          <w:sz w:val="23"/>
          <w:szCs w:val="23"/>
        </w:rPr>
        <w:t>t</w:t>
      </w:r>
      <w:r w:rsidR="006A6320">
        <w:rPr>
          <w:rFonts w:eastAsia="Calibri"/>
          <w:sz w:val="23"/>
          <w:szCs w:val="23"/>
        </w:rPr>
        <w:t xml:space="preserve">racker </w:t>
      </w:r>
      <w:r w:rsidR="00111DCE">
        <w:rPr>
          <w:rFonts w:eastAsia="Calibri"/>
          <w:sz w:val="23"/>
          <w:szCs w:val="23"/>
        </w:rPr>
        <w:t xml:space="preserve">held and monitored by </w:t>
      </w:r>
      <w:r w:rsidR="006A6320">
        <w:rPr>
          <w:rFonts w:eastAsia="Calibri"/>
          <w:sz w:val="23"/>
          <w:szCs w:val="23"/>
        </w:rPr>
        <w:t xml:space="preserve">the EPRR Team. </w:t>
      </w:r>
    </w:p>
    <w:p w14:paraId="19921B36" w14:textId="77777777" w:rsidR="00111DCE" w:rsidRDefault="00111DCE" w:rsidP="009023E8">
      <w:pPr>
        <w:jc w:val="both"/>
        <w:rPr>
          <w:rFonts w:eastAsia="Calibri"/>
          <w:sz w:val="23"/>
          <w:szCs w:val="23"/>
        </w:rPr>
      </w:pPr>
    </w:p>
    <w:p w14:paraId="29A3B05E" w14:textId="672496BA" w:rsidR="00111DCE" w:rsidRDefault="00111DCE" w:rsidP="009023E8">
      <w:pPr>
        <w:jc w:val="both"/>
        <w:rPr>
          <w:rFonts w:eastAsia="Calibri"/>
          <w:sz w:val="23"/>
          <w:szCs w:val="23"/>
        </w:rPr>
      </w:pPr>
      <w:r>
        <w:rPr>
          <w:rFonts w:eastAsia="Calibri"/>
          <w:sz w:val="23"/>
          <w:szCs w:val="23"/>
        </w:rPr>
        <w:t>A</w:t>
      </w:r>
      <w:r w:rsidR="006A6320">
        <w:rPr>
          <w:rFonts w:eastAsia="Calibri"/>
          <w:sz w:val="23"/>
          <w:szCs w:val="23"/>
        </w:rPr>
        <w:t xml:space="preserve">ny actions associated with </w:t>
      </w:r>
      <w:r>
        <w:rPr>
          <w:rFonts w:eastAsia="Calibri"/>
          <w:sz w:val="23"/>
          <w:szCs w:val="23"/>
        </w:rPr>
        <w:t xml:space="preserve">EPRR led meetings; including the </w:t>
      </w:r>
      <w:r w:rsidR="006A6320">
        <w:rPr>
          <w:rFonts w:eastAsia="Calibri"/>
          <w:sz w:val="23"/>
          <w:szCs w:val="23"/>
        </w:rPr>
        <w:t>LHRP, health operational groups</w:t>
      </w:r>
      <w:r>
        <w:rPr>
          <w:rFonts w:eastAsia="Calibri"/>
          <w:sz w:val="23"/>
          <w:szCs w:val="23"/>
        </w:rPr>
        <w:t xml:space="preserve">; or with </w:t>
      </w:r>
      <w:r w:rsidR="006A6320">
        <w:rPr>
          <w:rFonts w:eastAsia="Calibri"/>
          <w:sz w:val="23"/>
          <w:szCs w:val="23"/>
        </w:rPr>
        <w:t>exercises, incidents or training sessions</w:t>
      </w:r>
      <w:r>
        <w:rPr>
          <w:rFonts w:eastAsia="Calibri"/>
          <w:sz w:val="23"/>
          <w:szCs w:val="23"/>
        </w:rPr>
        <w:t xml:space="preserve"> will also be tracked via the EPRR action tracker.</w:t>
      </w:r>
    </w:p>
    <w:p w14:paraId="6D70C1D5" w14:textId="77777777" w:rsidR="00111DCE" w:rsidRDefault="00111DCE" w:rsidP="009023E8">
      <w:pPr>
        <w:jc w:val="both"/>
        <w:rPr>
          <w:rFonts w:eastAsia="Calibri"/>
          <w:sz w:val="23"/>
          <w:szCs w:val="23"/>
        </w:rPr>
      </w:pPr>
    </w:p>
    <w:p w14:paraId="50FF2468" w14:textId="55C1E026" w:rsidR="00111DCE" w:rsidRDefault="00111DCE" w:rsidP="009023E8">
      <w:pPr>
        <w:jc w:val="both"/>
        <w:rPr>
          <w:rFonts w:eastAsia="Calibri"/>
          <w:sz w:val="23"/>
          <w:szCs w:val="23"/>
        </w:rPr>
      </w:pPr>
      <w:r>
        <w:rPr>
          <w:rFonts w:eastAsia="Calibri"/>
          <w:sz w:val="23"/>
          <w:szCs w:val="23"/>
        </w:rPr>
        <w:t xml:space="preserve">Progress against the workplan will be reviewed in the most appropriate forum (LHRP or Operational Groups as required) and in the EPRR AEO Governance Meeting every quarter prior to the LHRP. </w:t>
      </w:r>
    </w:p>
    <w:p w14:paraId="4B91F99C" w14:textId="77777777" w:rsidR="00111DCE" w:rsidRDefault="00111DCE" w:rsidP="009023E8">
      <w:pPr>
        <w:jc w:val="both"/>
        <w:rPr>
          <w:rFonts w:eastAsia="Calibri"/>
          <w:sz w:val="23"/>
          <w:szCs w:val="23"/>
        </w:rPr>
      </w:pPr>
    </w:p>
    <w:p w14:paraId="38626B25" w14:textId="1F09AD24" w:rsidR="0045008A" w:rsidRDefault="00111DCE" w:rsidP="009023E8">
      <w:pPr>
        <w:jc w:val="both"/>
        <w:rPr>
          <w:rFonts w:eastAsia="Calibri"/>
          <w:sz w:val="23"/>
          <w:szCs w:val="23"/>
        </w:rPr>
      </w:pPr>
      <w:r>
        <w:rPr>
          <w:rFonts w:eastAsia="Calibri"/>
          <w:sz w:val="23"/>
          <w:szCs w:val="23"/>
        </w:rPr>
        <w:t>The combination of the actions arising from the risk assessments to minimise or remove the risk and the m</w:t>
      </w:r>
      <w:r w:rsidR="00D47107">
        <w:rPr>
          <w:rFonts w:eastAsia="Calibri"/>
          <w:sz w:val="23"/>
          <w:szCs w:val="23"/>
        </w:rPr>
        <w:t xml:space="preserve">aster EPRR </w:t>
      </w:r>
      <w:r>
        <w:rPr>
          <w:rFonts w:eastAsia="Calibri"/>
          <w:sz w:val="23"/>
          <w:szCs w:val="23"/>
        </w:rPr>
        <w:t>a</w:t>
      </w:r>
      <w:r w:rsidR="00D47107">
        <w:rPr>
          <w:rFonts w:eastAsia="Calibri"/>
          <w:sz w:val="23"/>
          <w:szCs w:val="23"/>
        </w:rPr>
        <w:t xml:space="preserve">ction </w:t>
      </w:r>
      <w:r>
        <w:rPr>
          <w:rFonts w:eastAsia="Calibri"/>
          <w:sz w:val="23"/>
          <w:szCs w:val="23"/>
        </w:rPr>
        <w:t>t</w:t>
      </w:r>
      <w:r w:rsidR="00D47107">
        <w:rPr>
          <w:rFonts w:eastAsia="Calibri"/>
          <w:sz w:val="23"/>
          <w:szCs w:val="23"/>
        </w:rPr>
        <w:t xml:space="preserve">racker </w:t>
      </w:r>
      <w:r>
        <w:rPr>
          <w:rFonts w:eastAsia="Calibri"/>
          <w:sz w:val="23"/>
          <w:szCs w:val="23"/>
        </w:rPr>
        <w:t>will be combined to frame a risk based EPRR workplan</w:t>
      </w:r>
      <w:r w:rsidR="00D47107">
        <w:rPr>
          <w:rFonts w:eastAsia="Calibri"/>
          <w:sz w:val="23"/>
          <w:szCs w:val="23"/>
        </w:rPr>
        <w:t>.</w:t>
      </w:r>
    </w:p>
    <w:p w14:paraId="4D816FD6" w14:textId="77777777" w:rsidR="006A6320" w:rsidRDefault="006A6320" w:rsidP="000A20F6">
      <w:pPr>
        <w:rPr>
          <w:rFonts w:eastAsia="Calibri"/>
          <w:sz w:val="23"/>
          <w:szCs w:val="23"/>
        </w:rPr>
      </w:pPr>
    </w:p>
    <w:p w14:paraId="52562731" w14:textId="77777777" w:rsidR="00A66E06" w:rsidRDefault="00A66E06" w:rsidP="000A20F6">
      <w:pPr>
        <w:rPr>
          <w:rFonts w:eastAsia="Calibri"/>
          <w:sz w:val="23"/>
          <w:szCs w:val="23"/>
        </w:rPr>
      </w:pPr>
    </w:p>
    <w:p w14:paraId="13AD9C56" w14:textId="1574D794" w:rsidR="000A20F6" w:rsidRPr="007A490F" w:rsidRDefault="000A20F6" w:rsidP="000A20F6">
      <w:pPr>
        <w:pStyle w:val="Heading1"/>
        <w:spacing w:before="0" w:after="0"/>
        <w:rPr>
          <w:szCs w:val="24"/>
        </w:rPr>
      </w:pPr>
      <w:bookmarkStart w:id="77" w:name="_Toc160047256"/>
      <w:r w:rsidRPr="007A490F">
        <w:rPr>
          <w:szCs w:val="24"/>
        </w:rPr>
        <w:t>Training and Exercising</w:t>
      </w:r>
      <w:bookmarkEnd w:id="77"/>
    </w:p>
    <w:p w14:paraId="06533F33" w14:textId="77777777" w:rsidR="000A20F6" w:rsidRPr="000A20F6" w:rsidRDefault="000A20F6" w:rsidP="000A20F6">
      <w:pPr>
        <w:rPr>
          <w:rFonts w:eastAsia="Calibri"/>
          <w:sz w:val="23"/>
          <w:szCs w:val="23"/>
        </w:rPr>
      </w:pPr>
    </w:p>
    <w:p w14:paraId="6F1FEFB2" w14:textId="1D96B936" w:rsidR="005548E4" w:rsidRDefault="000A20F6" w:rsidP="007A490F">
      <w:pPr>
        <w:jc w:val="both"/>
        <w:rPr>
          <w:rFonts w:cs="Arial"/>
          <w:sz w:val="23"/>
          <w:szCs w:val="23"/>
        </w:rPr>
      </w:pPr>
      <w:r w:rsidRPr="000A20F6">
        <w:rPr>
          <w:rFonts w:cs="Arial"/>
          <w:sz w:val="23"/>
          <w:szCs w:val="23"/>
        </w:rPr>
        <w:t xml:space="preserve">Training and Exercising is a critical component of delivering the ICB’s statutory responsibilities </w:t>
      </w:r>
      <w:r w:rsidR="007F6A97">
        <w:rPr>
          <w:rFonts w:cs="Arial"/>
          <w:sz w:val="23"/>
          <w:szCs w:val="23"/>
        </w:rPr>
        <w:t xml:space="preserve">around EPRR including delivery of the </w:t>
      </w:r>
      <w:r w:rsidRPr="000A20F6">
        <w:rPr>
          <w:rFonts w:cs="Arial"/>
          <w:sz w:val="23"/>
          <w:szCs w:val="23"/>
        </w:rPr>
        <w:t>EPRR Strategy</w:t>
      </w:r>
      <w:r w:rsidR="007F6A97">
        <w:rPr>
          <w:rFonts w:cs="Arial"/>
          <w:sz w:val="23"/>
          <w:szCs w:val="23"/>
        </w:rPr>
        <w:t>.</w:t>
      </w:r>
    </w:p>
    <w:p w14:paraId="3E7F0588" w14:textId="77777777" w:rsidR="000A20F6" w:rsidRPr="007A490F" w:rsidRDefault="000A20F6" w:rsidP="000A20F6">
      <w:pPr>
        <w:pStyle w:val="Heading2"/>
        <w:numPr>
          <w:ilvl w:val="0"/>
          <w:numId w:val="0"/>
        </w:numPr>
        <w:ind w:left="851" w:hanging="851"/>
        <w:rPr>
          <w:sz w:val="23"/>
          <w:szCs w:val="23"/>
        </w:rPr>
      </w:pPr>
      <w:bookmarkStart w:id="78" w:name="_Toc101269380"/>
      <w:r w:rsidRPr="007A490F">
        <w:rPr>
          <w:color w:val="365F91" w:themeColor="accent1" w:themeShade="BF"/>
          <w:sz w:val="23"/>
          <w:szCs w:val="23"/>
        </w:rPr>
        <w:t>Training</w:t>
      </w:r>
      <w:bookmarkEnd w:id="78"/>
    </w:p>
    <w:p w14:paraId="27BF08B8" w14:textId="2DF5CAE2" w:rsidR="006C5875" w:rsidRDefault="006C5875" w:rsidP="00983C7E">
      <w:pPr>
        <w:jc w:val="both"/>
        <w:rPr>
          <w:rFonts w:cs="Arial"/>
          <w:sz w:val="23"/>
          <w:szCs w:val="23"/>
        </w:rPr>
      </w:pPr>
      <w:r>
        <w:rPr>
          <w:rFonts w:cs="Arial"/>
          <w:sz w:val="23"/>
          <w:szCs w:val="23"/>
        </w:rPr>
        <w:t>All staff are</w:t>
      </w:r>
      <w:r w:rsidR="00983C7E">
        <w:rPr>
          <w:rFonts w:cs="Arial"/>
          <w:sz w:val="23"/>
          <w:szCs w:val="23"/>
        </w:rPr>
        <w:t xml:space="preserve"> responsib</w:t>
      </w:r>
      <w:r w:rsidR="007F6A97">
        <w:rPr>
          <w:rFonts w:cs="Arial"/>
          <w:sz w:val="23"/>
          <w:szCs w:val="23"/>
        </w:rPr>
        <w:t xml:space="preserve">le for ensuring they can </w:t>
      </w:r>
      <w:r w:rsidR="00983C7E">
        <w:rPr>
          <w:rFonts w:cs="Arial"/>
          <w:sz w:val="23"/>
          <w:szCs w:val="23"/>
        </w:rPr>
        <w:t>support the effective identification of a potential or actual incident/emergency</w:t>
      </w:r>
      <w:r>
        <w:rPr>
          <w:rFonts w:cs="Arial"/>
          <w:sz w:val="23"/>
          <w:szCs w:val="23"/>
        </w:rPr>
        <w:t>, including business continuity incidents,</w:t>
      </w:r>
      <w:r w:rsidR="007F6A97">
        <w:rPr>
          <w:rFonts w:cs="Arial"/>
          <w:sz w:val="23"/>
          <w:szCs w:val="23"/>
        </w:rPr>
        <w:t xml:space="preserve"> take steps to reduce the risks of a potential incident developing</w:t>
      </w:r>
      <w:r>
        <w:rPr>
          <w:rFonts w:cs="Arial"/>
          <w:sz w:val="23"/>
          <w:szCs w:val="23"/>
        </w:rPr>
        <w:t xml:space="preserve"> into an actual incident</w:t>
      </w:r>
      <w:r w:rsidR="007F6A97">
        <w:rPr>
          <w:rFonts w:cs="Arial"/>
          <w:sz w:val="23"/>
          <w:szCs w:val="23"/>
        </w:rPr>
        <w:t xml:space="preserve"> or take action</w:t>
      </w:r>
      <w:r>
        <w:rPr>
          <w:rFonts w:cs="Arial"/>
          <w:sz w:val="23"/>
          <w:szCs w:val="23"/>
        </w:rPr>
        <w:t xml:space="preserve"> in an incident</w:t>
      </w:r>
      <w:r w:rsidR="007F6A97">
        <w:rPr>
          <w:rFonts w:cs="Arial"/>
          <w:sz w:val="23"/>
          <w:szCs w:val="23"/>
        </w:rPr>
        <w:t xml:space="preserve"> in conjunction with the appropriate command and control</w:t>
      </w:r>
      <w:r w:rsidR="00983C7E">
        <w:rPr>
          <w:rFonts w:cs="Arial"/>
          <w:sz w:val="23"/>
          <w:szCs w:val="23"/>
        </w:rPr>
        <w:t xml:space="preserve"> to respond and deliver appropriate actions on behalf of the organisation.</w:t>
      </w:r>
      <w:r w:rsidR="000A20F6" w:rsidRPr="000A20F6">
        <w:rPr>
          <w:rFonts w:cs="Arial"/>
          <w:sz w:val="23"/>
          <w:szCs w:val="23"/>
        </w:rPr>
        <w:t xml:space="preserve"> </w:t>
      </w:r>
    </w:p>
    <w:p w14:paraId="2976CC4A" w14:textId="77777777" w:rsidR="006C5875" w:rsidRDefault="006C5875" w:rsidP="00983C7E">
      <w:pPr>
        <w:jc w:val="both"/>
        <w:rPr>
          <w:rFonts w:cs="Arial"/>
          <w:sz w:val="23"/>
          <w:szCs w:val="23"/>
        </w:rPr>
      </w:pPr>
    </w:p>
    <w:p w14:paraId="7A1FA9FE" w14:textId="1D7B91B3" w:rsidR="000A20F6" w:rsidRDefault="000A20F6" w:rsidP="00983C7E">
      <w:pPr>
        <w:jc w:val="both"/>
        <w:rPr>
          <w:rFonts w:cs="Arial"/>
          <w:sz w:val="23"/>
          <w:szCs w:val="23"/>
        </w:rPr>
      </w:pPr>
      <w:r w:rsidRPr="000A20F6">
        <w:rPr>
          <w:rFonts w:cs="Arial"/>
          <w:sz w:val="23"/>
          <w:szCs w:val="23"/>
        </w:rPr>
        <w:t>T</w:t>
      </w:r>
      <w:r w:rsidR="00983C7E">
        <w:rPr>
          <w:rFonts w:cs="Arial"/>
          <w:sz w:val="23"/>
          <w:szCs w:val="23"/>
        </w:rPr>
        <w:t>o support this t</w:t>
      </w:r>
      <w:r w:rsidRPr="000A20F6">
        <w:rPr>
          <w:rFonts w:cs="Arial"/>
          <w:sz w:val="23"/>
          <w:szCs w:val="23"/>
        </w:rPr>
        <w:t>here is a need to provide general training for all staff so that they understand their potential roles and responsibility in the event of an incident</w:t>
      </w:r>
      <w:r w:rsidR="006C5875">
        <w:rPr>
          <w:rFonts w:cs="Arial"/>
          <w:sz w:val="23"/>
          <w:szCs w:val="23"/>
        </w:rPr>
        <w:t xml:space="preserve"> as well as more bespoke technical training for incident commanders / responders </w:t>
      </w:r>
      <w:r w:rsidRPr="000A20F6">
        <w:rPr>
          <w:rFonts w:cs="Arial"/>
          <w:sz w:val="23"/>
          <w:szCs w:val="23"/>
        </w:rPr>
        <w:t xml:space="preserve">who have a </w:t>
      </w:r>
      <w:r w:rsidR="00983C7E">
        <w:rPr>
          <w:rFonts w:cs="Arial"/>
          <w:sz w:val="23"/>
          <w:szCs w:val="23"/>
        </w:rPr>
        <w:t xml:space="preserve">specific </w:t>
      </w:r>
      <w:r w:rsidRPr="000A20F6">
        <w:rPr>
          <w:rFonts w:cs="Arial"/>
          <w:sz w:val="23"/>
          <w:szCs w:val="23"/>
        </w:rPr>
        <w:t>response role for incidents</w:t>
      </w:r>
      <w:r w:rsidR="005D5970">
        <w:rPr>
          <w:rFonts w:cs="Arial"/>
          <w:sz w:val="23"/>
          <w:szCs w:val="23"/>
        </w:rPr>
        <w:t xml:space="preserve">. </w:t>
      </w:r>
    </w:p>
    <w:p w14:paraId="3E64C9BB" w14:textId="77777777" w:rsidR="000A20F6" w:rsidRPr="000A20F6" w:rsidRDefault="000A20F6" w:rsidP="00983C7E">
      <w:pPr>
        <w:jc w:val="both"/>
        <w:rPr>
          <w:rFonts w:cs="Arial"/>
          <w:sz w:val="23"/>
          <w:szCs w:val="23"/>
        </w:rPr>
      </w:pPr>
    </w:p>
    <w:p w14:paraId="5501D22F" w14:textId="7C9CB80A" w:rsidR="006B4648" w:rsidRDefault="005D5CCD" w:rsidP="00870F79">
      <w:pPr>
        <w:jc w:val="both"/>
        <w:rPr>
          <w:rFonts w:cs="Arial"/>
          <w:sz w:val="23"/>
          <w:szCs w:val="23"/>
        </w:rPr>
      </w:pPr>
      <w:r>
        <w:rPr>
          <w:rFonts w:cs="Arial"/>
          <w:sz w:val="23"/>
          <w:szCs w:val="23"/>
        </w:rPr>
        <w:t xml:space="preserve">Each ICB </w:t>
      </w:r>
      <w:r w:rsidR="00876C34">
        <w:rPr>
          <w:rFonts w:cs="Arial"/>
          <w:sz w:val="23"/>
          <w:szCs w:val="23"/>
        </w:rPr>
        <w:t xml:space="preserve">and provider </w:t>
      </w:r>
      <w:r>
        <w:rPr>
          <w:rFonts w:cs="Arial"/>
          <w:sz w:val="23"/>
          <w:szCs w:val="23"/>
        </w:rPr>
        <w:t xml:space="preserve">in the North East and Yorkshire Region has </w:t>
      </w:r>
      <w:r w:rsidR="006B4648">
        <w:rPr>
          <w:rFonts w:cs="Arial"/>
          <w:sz w:val="23"/>
          <w:szCs w:val="23"/>
        </w:rPr>
        <w:t>agreed to adopt the same set of Personal Development Portfolios (PDPs) authored by the NHS England NEY Regional Team</w:t>
      </w:r>
      <w:r w:rsidR="00870F79" w:rsidRPr="00870F79">
        <w:rPr>
          <w:rFonts w:cs="Arial"/>
          <w:sz w:val="23"/>
          <w:szCs w:val="23"/>
        </w:rPr>
        <w:t>.</w:t>
      </w:r>
      <w:r w:rsidR="006B4648">
        <w:rPr>
          <w:rFonts w:cs="Arial"/>
          <w:sz w:val="23"/>
          <w:szCs w:val="23"/>
        </w:rPr>
        <w:t xml:space="preserve"> These PDP’s have been based on the Minimum Occupational Standards for EPRR 2022</w:t>
      </w:r>
      <w:r w:rsidR="00455DBD">
        <w:rPr>
          <w:rFonts w:cs="Arial"/>
          <w:sz w:val="23"/>
          <w:szCs w:val="23"/>
        </w:rPr>
        <w:t>; and are currently available for three different levels of commander:</w:t>
      </w:r>
    </w:p>
    <w:p w14:paraId="156476E5" w14:textId="77777777" w:rsidR="00455DBD" w:rsidRDefault="00455DBD" w:rsidP="00870F79">
      <w:pPr>
        <w:jc w:val="both"/>
        <w:rPr>
          <w:rFonts w:cs="Arial"/>
          <w:sz w:val="23"/>
          <w:szCs w:val="23"/>
        </w:rPr>
      </w:pPr>
    </w:p>
    <w:p w14:paraId="4C991755" w14:textId="09D53B2A" w:rsidR="00455DBD" w:rsidRDefault="00455DBD" w:rsidP="00455DBD">
      <w:pPr>
        <w:pStyle w:val="ListParagraph"/>
        <w:numPr>
          <w:ilvl w:val="0"/>
          <w:numId w:val="31"/>
        </w:numPr>
        <w:jc w:val="both"/>
        <w:rPr>
          <w:rFonts w:cs="Arial"/>
          <w:sz w:val="23"/>
          <w:szCs w:val="23"/>
        </w:rPr>
      </w:pPr>
      <w:r>
        <w:rPr>
          <w:rFonts w:cs="Arial"/>
          <w:sz w:val="23"/>
          <w:szCs w:val="23"/>
        </w:rPr>
        <w:t>Strategic Commander (HNYICB Second on-call staff)</w:t>
      </w:r>
    </w:p>
    <w:p w14:paraId="6F881F5A" w14:textId="6A6B8C49" w:rsidR="00455DBD" w:rsidRDefault="00455DBD" w:rsidP="00455DBD">
      <w:pPr>
        <w:pStyle w:val="ListParagraph"/>
        <w:numPr>
          <w:ilvl w:val="0"/>
          <w:numId w:val="31"/>
        </w:numPr>
        <w:jc w:val="both"/>
        <w:rPr>
          <w:rFonts w:cs="Arial"/>
          <w:sz w:val="23"/>
          <w:szCs w:val="23"/>
        </w:rPr>
      </w:pPr>
      <w:r>
        <w:rPr>
          <w:rFonts w:cs="Arial"/>
          <w:sz w:val="23"/>
          <w:szCs w:val="23"/>
        </w:rPr>
        <w:t>Tactical Commander (HNYICB First on-call staff)</w:t>
      </w:r>
    </w:p>
    <w:p w14:paraId="207CFC36" w14:textId="08B66DB0" w:rsidR="00455DBD" w:rsidRPr="00F868D4" w:rsidRDefault="00455DBD" w:rsidP="00F868D4">
      <w:pPr>
        <w:pStyle w:val="ListParagraph"/>
        <w:numPr>
          <w:ilvl w:val="0"/>
          <w:numId w:val="31"/>
        </w:numPr>
        <w:jc w:val="both"/>
        <w:rPr>
          <w:rFonts w:cs="Arial"/>
          <w:sz w:val="23"/>
          <w:szCs w:val="23"/>
        </w:rPr>
      </w:pPr>
      <w:r>
        <w:rPr>
          <w:rFonts w:cs="Arial"/>
          <w:sz w:val="23"/>
          <w:szCs w:val="23"/>
        </w:rPr>
        <w:t>EPRR Subject Matter Expert (members of the ICB EPRR team</w:t>
      </w:r>
      <w:r w:rsidR="003276D1">
        <w:rPr>
          <w:rFonts w:cs="Arial"/>
          <w:sz w:val="23"/>
          <w:szCs w:val="23"/>
        </w:rPr>
        <w:t>)</w:t>
      </w:r>
    </w:p>
    <w:p w14:paraId="71E80D74" w14:textId="77777777" w:rsidR="006B4648" w:rsidRDefault="006B4648" w:rsidP="00870F79">
      <w:pPr>
        <w:jc w:val="both"/>
        <w:rPr>
          <w:rFonts w:cs="Arial"/>
          <w:sz w:val="23"/>
          <w:szCs w:val="23"/>
        </w:rPr>
      </w:pPr>
    </w:p>
    <w:p w14:paraId="0E66FC5B" w14:textId="6BD71F90" w:rsidR="00870F79" w:rsidRDefault="004C47EA" w:rsidP="00870F79">
      <w:pPr>
        <w:jc w:val="both"/>
        <w:rPr>
          <w:rFonts w:cs="Arial"/>
          <w:sz w:val="23"/>
          <w:szCs w:val="23"/>
        </w:rPr>
      </w:pPr>
      <w:r>
        <w:rPr>
          <w:rFonts w:cs="Arial"/>
          <w:sz w:val="23"/>
          <w:szCs w:val="23"/>
        </w:rPr>
        <w:t>The usage and assurance of personal training portfolios will be supported by the EPRR as required.</w:t>
      </w:r>
      <w:r w:rsidR="005D5970">
        <w:rPr>
          <w:rFonts w:cs="Arial"/>
          <w:sz w:val="23"/>
          <w:szCs w:val="23"/>
        </w:rPr>
        <w:t xml:space="preserve"> In </w:t>
      </w:r>
      <w:r w:rsidR="003276D1">
        <w:rPr>
          <w:rFonts w:cs="Arial"/>
          <w:sz w:val="23"/>
          <w:szCs w:val="23"/>
        </w:rPr>
        <w:t>addition,</w:t>
      </w:r>
      <w:r w:rsidR="005D5970">
        <w:rPr>
          <w:rFonts w:cs="Arial"/>
          <w:sz w:val="23"/>
          <w:szCs w:val="23"/>
        </w:rPr>
        <w:t xml:space="preserve"> a Training and Exercising Framework is being developed to support individuals with their training requirements.</w:t>
      </w:r>
      <w:r w:rsidR="003276D1">
        <w:rPr>
          <w:rFonts w:cs="Arial"/>
          <w:sz w:val="23"/>
          <w:szCs w:val="23"/>
        </w:rPr>
        <w:t xml:space="preserve"> This will mirror the </w:t>
      </w:r>
      <w:r w:rsidR="00876C34">
        <w:rPr>
          <w:rFonts w:cs="Arial"/>
          <w:sz w:val="23"/>
          <w:szCs w:val="23"/>
        </w:rPr>
        <w:t xml:space="preserve">NHS England NEY Regional Team Training and Exercising Framework. </w:t>
      </w:r>
    </w:p>
    <w:p w14:paraId="37BA6F4E" w14:textId="77777777" w:rsidR="00870F79" w:rsidRDefault="00870F79" w:rsidP="00870F79">
      <w:pPr>
        <w:jc w:val="both"/>
        <w:rPr>
          <w:rFonts w:cs="Arial"/>
          <w:sz w:val="23"/>
          <w:szCs w:val="23"/>
        </w:rPr>
      </w:pPr>
    </w:p>
    <w:p w14:paraId="4C9E0B3C" w14:textId="7DF971F5" w:rsidR="00870F79" w:rsidRDefault="00876C34" w:rsidP="00870F79">
      <w:pPr>
        <w:jc w:val="both"/>
        <w:rPr>
          <w:rFonts w:cs="Arial"/>
          <w:sz w:val="23"/>
          <w:szCs w:val="23"/>
        </w:rPr>
      </w:pPr>
      <w:r>
        <w:rPr>
          <w:rFonts w:cs="Arial"/>
          <w:sz w:val="23"/>
          <w:szCs w:val="23"/>
        </w:rPr>
        <w:t xml:space="preserve">Compliance with the mandatory courses specified in the PDPs will be monitored through LHRPs and then accordingly RHRPs every quarter to identify areas where support is required. </w:t>
      </w:r>
    </w:p>
    <w:p w14:paraId="69A096E6" w14:textId="77777777" w:rsidR="000A20F6" w:rsidRPr="000A20F6" w:rsidRDefault="000A20F6" w:rsidP="000A20F6">
      <w:pPr>
        <w:pStyle w:val="Heading2"/>
        <w:numPr>
          <w:ilvl w:val="0"/>
          <w:numId w:val="0"/>
        </w:numPr>
        <w:ind w:left="851" w:hanging="851"/>
        <w:rPr>
          <w:color w:val="365F91" w:themeColor="accent1" w:themeShade="BF"/>
          <w:sz w:val="23"/>
          <w:szCs w:val="23"/>
        </w:rPr>
      </w:pPr>
      <w:bookmarkStart w:id="79" w:name="_Toc101269381"/>
      <w:r w:rsidRPr="000A20F6">
        <w:rPr>
          <w:color w:val="365F91" w:themeColor="accent1" w:themeShade="BF"/>
          <w:sz w:val="23"/>
          <w:szCs w:val="23"/>
        </w:rPr>
        <w:lastRenderedPageBreak/>
        <w:t>Exercising</w:t>
      </w:r>
      <w:bookmarkEnd w:id="79"/>
    </w:p>
    <w:p w14:paraId="50C9F096" w14:textId="5E8E7D97" w:rsidR="000A20F6" w:rsidRDefault="000A20F6" w:rsidP="00983C7E">
      <w:pPr>
        <w:jc w:val="both"/>
        <w:rPr>
          <w:rFonts w:cs="Arial"/>
          <w:sz w:val="23"/>
          <w:szCs w:val="23"/>
        </w:rPr>
      </w:pPr>
      <w:r w:rsidRPr="000A20F6">
        <w:rPr>
          <w:rFonts w:cs="Arial"/>
          <w:sz w:val="23"/>
          <w:szCs w:val="23"/>
        </w:rPr>
        <w:t xml:space="preserve">In supporting the competence and capability of those individuals who have a role to play in both planning for and responding to a wide range of EPRR scenarios, we must supplement training with exercising. </w:t>
      </w:r>
    </w:p>
    <w:p w14:paraId="1B74FF45" w14:textId="77777777" w:rsidR="000A20F6" w:rsidRPr="000A20F6" w:rsidRDefault="000A20F6" w:rsidP="00983C7E">
      <w:pPr>
        <w:jc w:val="both"/>
        <w:rPr>
          <w:rFonts w:cs="Arial"/>
          <w:sz w:val="23"/>
          <w:szCs w:val="23"/>
        </w:rPr>
      </w:pPr>
    </w:p>
    <w:p w14:paraId="6E1F8E12" w14:textId="7271C5BE" w:rsidR="000A20F6" w:rsidRDefault="000A20F6" w:rsidP="00983C7E">
      <w:pPr>
        <w:jc w:val="both"/>
        <w:rPr>
          <w:rFonts w:cs="Arial"/>
          <w:sz w:val="23"/>
          <w:szCs w:val="23"/>
        </w:rPr>
      </w:pPr>
      <w:r w:rsidRPr="000A20F6">
        <w:rPr>
          <w:rFonts w:cs="Arial"/>
          <w:sz w:val="23"/>
          <w:szCs w:val="23"/>
        </w:rPr>
        <w:t xml:space="preserve">Roles, alongside the individuals identified to fulfil them should be exercised regularly in order to determine the effectiveness of the role/function, and to support individuals to test and play their roles within a safe environment. </w:t>
      </w:r>
    </w:p>
    <w:p w14:paraId="11BBF566" w14:textId="77777777" w:rsidR="000A20F6" w:rsidRPr="000A20F6" w:rsidRDefault="000A20F6" w:rsidP="00983C7E">
      <w:pPr>
        <w:jc w:val="both"/>
        <w:rPr>
          <w:rFonts w:cs="Arial"/>
          <w:sz w:val="23"/>
          <w:szCs w:val="23"/>
        </w:rPr>
      </w:pPr>
    </w:p>
    <w:p w14:paraId="4B9A31BD" w14:textId="033B42AD" w:rsidR="000A20F6" w:rsidRDefault="000A20F6" w:rsidP="00983C7E">
      <w:pPr>
        <w:jc w:val="both"/>
        <w:rPr>
          <w:rFonts w:cs="Arial"/>
          <w:sz w:val="23"/>
          <w:szCs w:val="23"/>
        </w:rPr>
      </w:pPr>
      <w:r w:rsidRPr="000A20F6">
        <w:rPr>
          <w:rFonts w:cs="Arial"/>
          <w:sz w:val="23"/>
          <w:szCs w:val="23"/>
        </w:rPr>
        <w:t>Through the exercising process individuals have opportunit</w:t>
      </w:r>
      <w:r w:rsidR="007A1F48">
        <w:rPr>
          <w:rFonts w:cs="Arial"/>
          <w:sz w:val="23"/>
          <w:szCs w:val="23"/>
        </w:rPr>
        <w:t>ies</w:t>
      </w:r>
      <w:r w:rsidRPr="000A20F6">
        <w:rPr>
          <w:rFonts w:cs="Arial"/>
          <w:sz w:val="23"/>
          <w:szCs w:val="23"/>
        </w:rPr>
        <w:t xml:space="preserve"> to practice their skills and increase their confidence, knowledge and skill base in preparation for responding in a live incident and it must be evident that the exercise is an opportunity to develop their skills and to test the “role” rather than the individual.</w:t>
      </w:r>
    </w:p>
    <w:p w14:paraId="18D748AF" w14:textId="77777777" w:rsidR="000A20F6" w:rsidRPr="000A20F6" w:rsidRDefault="000A20F6" w:rsidP="00983C7E">
      <w:pPr>
        <w:jc w:val="both"/>
        <w:rPr>
          <w:rFonts w:cs="Arial"/>
          <w:sz w:val="23"/>
          <w:szCs w:val="23"/>
        </w:rPr>
      </w:pPr>
    </w:p>
    <w:p w14:paraId="7572FA65" w14:textId="5945DF3A" w:rsidR="000A20F6" w:rsidRPr="000A20F6" w:rsidRDefault="000A20F6" w:rsidP="00983C7E">
      <w:pPr>
        <w:jc w:val="both"/>
        <w:rPr>
          <w:rFonts w:cs="Arial"/>
          <w:sz w:val="23"/>
          <w:szCs w:val="23"/>
        </w:rPr>
      </w:pPr>
      <w:r w:rsidRPr="000A20F6">
        <w:rPr>
          <w:rFonts w:cs="Arial"/>
          <w:sz w:val="23"/>
          <w:szCs w:val="23"/>
        </w:rPr>
        <w:t xml:space="preserve">Additionally plans which are developed to allow organisations to respond efficiently and effectively should be exercised to ensure they are fit for purpose and encapsulate all necessary functions and actions to be carried out in an incident as part of continuous improvement principles and should ensure wider health engagement and the inclusion of multi-agency partners on a regular basis in order to ensure a collaborative and interoperable response. </w:t>
      </w:r>
    </w:p>
    <w:p w14:paraId="411AE936" w14:textId="77777777" w:rsidR="000A20F6" w:rsidRPr="000A20F6" w:rsidRDefault="000A20F6" w:rsidP="000A20F6">
      <w:pPr>
        <w:pStyle w:val="Heading2"/>
        <w:numPr>
          <w:ilvl w:val="0"/>
          <w:numId w:val="0"/>
        </w:numPr>
        <w:ind w:left="851" w:hanging="851"/>
        <w:rPr>
          <w:color w:val="365F91" w:themeColor="accent1" w:themeShade="BF"/>
          <w:sz w:val="23"/>
          <w:szCs w:val="23"/>
        </w:rPr>
      </w:pPr>
      <w:bookmarkStart w:id="80" w:name="_Toc101269382"/>
      <w:r w:rsidRPr="000A20F6">
        <w:rPr>
          <w:color w:val="365F91" w:themeColor="accent1" w:themeShade="BF"/>
          <w:sz w:val="23"/>
          <w:szCs w:val="23"/>
        </w:rPr>
        <w:t>Training &amp; Exercising Requirements of NHS Organisations</w:t>
      </w:r>
      <w:bookmarkEnd w:id="80"/>
    </w:p>
    <w:p w14:paraId="40719D46" w14:textId="4AB2868A" w:rsidR="000A20F6" w:rsidRDefault="000A20F6" w:rsidP="005E5DD0">
      <w:pPr>
        <w:jc w:val="both"/>
        <w:rPr>
          <w:rFonts w:cs="Arial"/>
          <w:sz w:val="23"/>
          <w:szCs w:val="23"/>
        </w:rPr>
      </w:pPr>
      <w:r w:rsidRPr="000A20F6">
        <w:rPr>
          <w:rFonts w:cs="Arial"/>
          <w:sz w:val="23"/>
          <w:szCs w:val="23"/>
        </w:rPr>
        <w:t>Each NHS funded organisation has a set of minimum requirements identified in regard to training and exercising (detailed in the NHS England EPRR Framework and EPRR Core Standards).</w:t>
      </w:r>
    </w:p>
    <w:p w14:paraId="3DE03599" w14:textId="77777777" w:rsidR="000A20F6" w:rsidRPr="000A20F6" w:rsidRDefault="000A20F6" w:rsidP="005E5DD0">
      <w:pPr>
        <w:jc w:val="both"/>
        <w:rPr>
          <w:rFonts w:cs="Arial"/>
          <w:sz w:val="23"/>
          <w:szCs w:val="23"/>
        </w:rPr>
      </w:pPr>
    </w:p>
    <w:p w14:paraId="61AB6C68" w14:textId="2625EAD4" w:rsidR="000A20F6" w:rsidRDefault="000A20F6" w:rsidP="005E5DD0">
      <w:pPr>
        <w:jc w:val="both"/>
        <w:rPr>
          <w:rFonts w:cs="Arial"/>
          <w:sz w:val="23"/>
          <w:szCs w:val="23"/>
        </w:rPr>
      </w:pPr>
      <w:r w:rsidRPr="000A20F6">
        <w:rPr>
          <w:rFonts w:cs="Arial"/>
          <w:sz w:val="23"/>
          <w:szCs w:val="23"/>
        </w:rPr>
        <w:t xml:space="preserve">As a minimum, organisations are required to undertake the following: </w:t>
      </w:r>
    </w:p>
    <w:p w14:paraId="17AE96BE" w14:textId="77777777" w:rsidR="00983C7E" w:rsidRPr="000A20F6" w:rsidRDefault="00983C7E" w:rsidP="000A20F6">
      <w:pPr>
        <w:rPr>
          <w:rFonts w:cs="Arial"/>
          <w:sz w:val="23"/>
          <w:szCs w:val="23"/>
        </w:rPr>
      </w:pPr>
    </w:p>
    <w:tbl>
      <w:tblPr>
        <w:tblStyle w:val="TableGrid"/>
        <w:tblW w:w="0" w:type="auto"/>
        <w:tblLook w:val="04A0" w:firstRow="1" w:lastRow="0" w:firstColumn="1" w:lastColumn="0" w:noHBand="0" w:noVBand="1"/>
      </w:tblPr>
      <w:tblGrid>
        <w:gridCol w:w="1929"/>
        <w:gridCol w:w="2035"/>
        <w:gridCol w:w="5664"/>
      </w:tblGrid>
      <w:tr w:rsidR="000A20F6" w:rsidRPr="000A20F6" w14:paraId="25E1F3CF" w14:textId="77777777" w:rsidTr="00DE5385">
        <w:trPr>
          <w:cantSplit/>
          <w:trHeight w:val="389"/>
          <w:tblHeader/>
        </w:trPr>
        <w:tc>
          <w:tcPr>
            <w:tcW w:w="1929" w:type="dxa"/>
            <w:shd w:val="clear" w:color="auto" w:fill="0091C9"/>
          </w:tcPr>
          <w:p w14:paraId="086AB3CB" w14:textId="77777777" w:rsidR="000A20F6" w:rsidRPr="000A20F6" w:rsidRDefault="000A20F6" w:rsidP="00F35571">
            <w:pPr>
              <w:rPr>
                <w:rFonts w:cs="Arial"/>
                <w:color w:val="FFFFFF" w:themeColor="background1"/>
                <w:sz w:val="23"/>
                <w:szCs w:val="23"/>
              </w:rPr>
            </w:pPr>
            <w:r w:rsidRPr="000A20F6">
              <w:rPr>
                <w:rFonts w:cs="Arial"/>
                <w:color w:val="FFFFFF" w:themeColor="background1"/>
                <w:sz w:val="23"/>
                <w:szCs w:val="23"/>
              </w:rPr>
              <w:t>Type of exercise</w:t>
            </w:r>
          </w:p>
        </w:tc>
        <w:tc>
          <w:tcPr>
            <w:tcW w:w="2035" w:type="dxa"/>
            <w:shd w:val="clear" w:color="auto" w:fill="0091C9"/>
          </w:tcPr>
          <w:p w14:paraId="00801657" w14:textId="77777777" w:rsidR="000A20F6" w:rsidRPr="000A20F6" w:rsidRDefault="000A20F6" w:rsidP="00F35571">
            <w:pPr>
              <w:rPr>
                <w:rFonts w:cs="Arial"/>
                <w:color w:val="FFFFFF" w:themeColor="background1"/>
                <w:sz w:val="23"/>
                <w:szCs w:val="23"/>
              </w:rPr>
            </w:pPr>
            <w:r w:rsidRPr="000A20F6">
              <w:rPr>
                <w:rFonts w:cs="Arial"/>
                <w:color w:val="FFFFFF" w:themeColor="background1"/>
                <w:sz w:val="23"/>
                <w:szCs w:val="23"/>
              </w:rPr>
              <w:t>Minimum frequency</w:t>
            </w:r>
          </w:p>
        </w:tc>
        <w:tc>
          <w:tcPr>
            <w:tcW w:w="5664" w:type="dxa"/>
            <w:shd w:val="clear" w:color="auto" w:fill="0091C9"/>
          </w:tcPr>
          <w:p w14:paraId="4CE5C5CC" w14:textId="77777777" w:rsidR="000A20F6" w:rsidRPr="000A20F6" w:rsidRDefault="000A20F6" w:rsidP="00F35571">
            <w:pPr>
              <w:rPr>
                <w:rFonts w:cs="Arial"/>
                <w:color w:val="FFFFFF" w:themeColor="background1"/>
                <w:sz w:val="23"/>
                <w:szCs w:val="23"/>
              </w:rPr>
            </w:pPr>
            <w:r w:rsidRPr="000A20F6">
              <w:rPr>
                <w:rFonts w:cs="Arial"/>
                <w:color w:val="FFFFFF" w:themeColor="background1"/>
                <w:sz w:val="23"/>
                <w:szCs w:val="23"/>
              </w:rPr>
              <w:t>Overview</w:t>
            </w:r>
          </w:p>
        </w:tc>
      </w:tr>
      <w:tr w:rsidR="000A20F6" w:rsidRPr="000A20F6" w14:paraId="2A6EE218" w14:textId="77777777" w:rsidTr="00DE5385">
        <w:trPr>
          <w:cantSplit/>
          <w:trHeight w:val="1475"/>
        </w:trPr>
        <w:tc>
          <w:tcPr>
            <w:tcW w:w="1929" w:type="dxa"/>
          </w:tcPr>
          <w:p w14:paraId="68532330" w14:textId="77777777" w:rsidR="000A20F6" w:rsidRPr="000A20F6" w:rsidRDefault="000A20F6" w:rsidP="00F35571">
            <w:pPr>
              <w:rPr>
                <w:rFonts w:cs="Arial"/>
                <w:sz w:val="23"/>
                <w:szCs w:val="23"/>
              </w:rPr>
            </w:pPr>
            <w:r w:rsidRPr="000A20F6">
              <w:rPr>
                <w:rFonts w:cs="Arial"/>
                <w:sz w:val="23"/>
                <w:szCs w:val="23"/>
              </w:rPr>
              <w:t>Communications exercise</w:t>
            </w:r>
          </w:p>
        </w:tc>
        <w:tc>
          <w:tcPr>
            <w:tcW w:w="2035" w:type="dxa"/>
          </w:tcPr>
          <w:p w14:paraId="5879E438" w14:textId="77777777" w:rsidR="000A20F6" w:rsidRPr="000A20F6" w:rsidRDefault="000A20F6" w:rsidP="00F35571">
            <w:pPr>
              <w:rPr>
                <w:rFonts w:cs="Arial"/>
                <w:sz w:val="23"/>
                <w:szCs w:val="23"/>
              </w:rPr>
            </w:pPr>
            <w:r w:rsidRPr="000A20F6">
              <w:rPr>
                <w:rFonts w:cs="Arial"/>
                <w:sz w:val="23"/>
                <w:szCs w:val="23"/>
              </w:rPr>
              <w:t>every six months</w:t>
            </w:r>
          </w:p>
        </w:tc>
        <w:tc>
          <w:tcPr>
            <w:tcW w:w="5664" w:type="dxa"/>
          </w:tcPr>
          <w:p w14:paraId="573514E1" w14:textId="77777777" w:rsidR="000A20F6" w:rsidRPr="000A20F6" w:rsidRDefault="000A20F6" w:rsidP="00F35571">
            <w:pPr>
              <w:rPr>
                <w:rFonts w:cs="Arial"/>
                <w:sz w:val="23"/>
                <w:szCs w:val="23"/>
              </w:rPr>
            </w:pPr>
            <w:r w:rsidRPr="000A20F6">
              <w:rPr>
                <w:rFonts w:cs="Arial"/>
                <w:sz w:val="23"/>
                <w:szCs w:val="23"/>
              </w:rPr>
              <w:t>To test the ability of the organisation to contact key staff, other NHS, and partner organisations. This should include any communications methods or technology used as part of their response and be conducted both in-hours out-of-hours on a rotational basis and should be unannounced</w:t>
            </w:r>
          </w:p>
        </w:tc>
      </w:tr>
      <w:tr w:rsidR="000A20F6" w:rsidRPr="000A20F6" w14:paraId="0C2BB727" w14:textId="77777777" w:rsidTr="00DE5385">
        <w:trPr>
          <w:cantSplit/>
          <w:trHeight w:val="1867"/>
        </w:trPr>
        <w:tc>
          <w:tcPr>
            <w:tcW w:w="1929" w:type="dxa"/>
          </w:tcPr>
          <w:p w14:paraId="7AE46AD6" w14:textId="77777777" w:rsidR="000A20F6" w:rsidRPr="000A20F6" w:rsidRDefault="000A20F6" w:rsidP="00F35571">
            <w:pPr>
              <w:rPr>
                <w:rFonts w:cs="Arial"/>
                <w:sz w:val="23"/>
                <w:szCs w:val="23"/>
              </w:rPr>
            </w:pPr>
            <w:r w:rsidRPr="000A20F6">
              <w:rPr>
                <w:rFonts w:cs="Arial"/>
                <w:sz w:val="23"/>
                <w:szCs w:val="23"/>
              </w:rPr>
              <w:t>Table-top exercise</w:t>
            </w:r>
          </w:p>
        </w:tc>
        <w:tc>
          <w:tcPr>
            <w:tcW w:w="2035" w:type="dxa"/>
          </w:tcPr>
          <w:p w14:paraId="27E395D2" w14:textId="77777777" w:rsidR="000A20F6" w:rsidRPr="000A20F6" w:rsidRDefault="000A20F6" w:rsidP="00F35571">
            <w:pPr>
              <w:rPr>
                <w:rFonts w:cs="Arial"/>
                <w:sz w:val="23"/>
                <w:szCs w:val="23"/>
              </w:rPr>
            </w:pPr>
            <w:r w:rsidRPr="000A20F6">
              <w:rPr>
                <w:rFonts w:cs="Arial"/>
                <w:sz w:val="23"/>
                <w:szCs w:val="23"/>
              </w:rPr>
              <w:t>every 12 months</w:t>
            </w:r>
          </w:p>
        </w:tc>
        <w:tc>
          <w:tcPr>
            <w:tcW w:w="5664" w:type="dxa"/>
          </w:tcPr>
          <w:p w14:paraId="60F7595A" w14:textId="77777777" w:rsidR="000A20F6" w:rsidRPr="000A20F6" w:rsidRDefault="000A20F6" w:rsidP="00F35571">
            <w:pPr>
              <w:rPr>
                <w:rFonts w:cs="Arial"/>
                <w:sz w:val="23"/>
                <w:szCs w:val="23"/>
              </w:rPr>
            </w:pPr>
            <w:r w:rsidRPr="000A20F6">
              <w:rPr>
                <w:rFonts w:cs="Arial"/>
                <w:sz w:val="23"/>
                <w:szCs w:val="23"/>
              </w:rPr>
              <w:t>The table-top exercise brings together relevant staff, and partners as required, to discuss the response, or specific element of a response, to an incident. They work through a particular scenario and can provide validation to a new or revised plan. Participants are able to interact and gain knowledge of their own, and partner organisations’ roles and responsibilities</w:t>
            </w:r>
          </w:p>
        </w:tc>
      </w:tr>
      <w:tr w:rsidR="000A20F6" w:rsidRPr="000A20F6" w14:paraId="3301DEBE" w14:textId="77777777" w:rsidTr="00DE5385">
        <w:trPr>
          <w:cantSplit/>
        </w:trPr>
        <w:tc>
          <w:tcPr>
            <w:tcW w:w="1929" w:type="dxa"/>
          </w:tcPr>
          <w:p w14:paraId="041E0466" w14:textId="77777777" w:rsidR="000A20F6" w:rsidRPr="000A20F6" w:rsidRDefault="000A20F6" w:rsidP="00F35571">
            <w:pPr>
              <w:rPr>
                <w:rFonts w:cs="Arial"/>
                <w:sz w:val="23"/>
                <w:szCs w:val="23"/>
              </w:rPr>
            </w:pPr>
            <w:r w:rsidRPr="000A20F6">
              <w:rPr>
                <w:rFonts w:cs="Arial"/>
                <w:sz w:val="23"/>
                <w:szCs w:val="23"/>
              </w:rPr>
              <w:t>Command post exercise</w:t>
            </w:r>
          </w:p>
        </w:tc>
        <w:tc>
          <w:tcPr>
            <w:tcW w:w="2035" w:type="dxa"/>
          </w:tcPr>
          <w:p w14:paraId="0E9B7D7F" w14:textId="77777777" w:rsidR="000A20F6" w:rsidRPr="000A20F6" w:rsidRDefault="000A20F6" w:rsidP="00F35571">
            <w:pPr>
              <w:rPr>
                <w:rFonts w:cs="Arial"/>
                <w:sz w:val="23"/>
                <w:szCs w:val="23"/>
              </w:rPr>
            </w:pPr>
            <w:r w:rsidRPr="000A20F6">
              <w:rPr>
                <w:rFonts w:cs="Arial"/>
                <w:sz w:val="23"/>
                <w:szCs w:val="23"/>
              </w:rPr>
              <w:t>every 3 years</w:t>
            </w:r>
          </w:p>
        </w:tc>
        <w:tc>
          <w:tcPr>
            <w:tcW w:w="5664" w:type="dxa"/>
          </w:tcPr>
          <w:p w14:paraId="7E2A2CB4" w14:textId="77777777" w:rsidR="000A20F6" w:rsidRPr="000A20F6" w:rsidRDefault="000A20F6" w:rsidP="00F35571">
            <w:pPr>
              <w:rPr>
                <w:rFonts w:cs="Arial"/>
                <w:sz w:val="23"/>
                <w:szCs w:val="23"/>
              </w:rPr>
            </w:pPr>
            <w:r w:rsidRPr="000A20F6">
              <w:rPr>
                <w:rFonts w:cs="Arial"/>
                <w:sz w:val="23"/>
                <w:szCs w:val="23"/>
              </w:rPr>
              <w:t>The command post exercise (CPX) tests the operational element of command and control and requires the setting up of the Incident Coordination Centre (ICC). This provides a practical test of equipment, facilities and processes and provides familiarity to those undertaking roles within the ICC. It can be incorporated into other types of exercise, such as the communications or live play exercises</w:t>
            </w:r>
          </w:p>
        </w:tc>
      </w:tr>
      <w:tr w:rsidR="000A20F6" w:rsidRPr="000A20F6" w14:paraId="6EB600A7" w14:textId="77777777" w:rsidTr="00DE5385">
        <w:trPr>
          <w:cantSplit/>
        </w:trPr>
        <w:tc>
          <w:tcPr>
            <w:tcW w:w="1929" w:type="dxa"/>
          </w:tcPr>
          <w:p w14:paraId="69CAE17C" w14:textId="77777777" w:rsidR="000A20F6" w:rsidRPr="000A20F6" w:rsidRDefault="000A20F6" w:rsidP="00F35571">
            <w:pPr>
              <w:rPr>
                <w:rFonts w:cs="Arial"/>
                <w:sz w:val="23"/>
                <w:szCs w:val="23"/>
              </w:rPr>
            </w:pPr>
            <w:r w:rsidRPr="000A20F6">
              <w:rPr>
                <w:rFonts w:cs="Arial"/>
                <w:sz w:val="23"/>
                <w:szCs w:val="23"/>
              </w:rPr>
              <w:t>Live play exercise</w:t>
            </w:r>
          </w:p>
        </w:tc>
        <w:tc>
          <w:tcPr>
            <w:tcW w:w="2035" w:type="dxa"/>
          </w:tcPr>
          <w:p w14:paraId="2739304F" w14:textId="77777777" w:rsidR="000A20F6" w:rsidRPr="000A20F6" w:rsidRDefault="000A20F6" w:rsidP="00F35571">
            <w:pPr>
              <w:rPr>
                <w:rFonts w:cs="Arial"/>
                <w:sz w:val="23"/>
                <w:szCs w:val="23"/>
              </w:rPr>
            </w:pPr>
            <w:r w:rsidRPr="000A20F6">
              <w:rPr>
                <w:rFonts w:cs="Arial"/>
                <w:sz w:val="23"/>
                <w:szCs w:val="23"/>
              </w:rPr>
              <w:t>every three years</w:t>
            </w:r>
          </w:p>
        </w:tc>
        <w:tc>
          <w:tcPr>
            <w:tcW w:w="5664" w:type="dxa"/>
          </w:tcPr>
          <w:p w14:paraId="57FF0D81" w14:textId="77777777" w:rsidR="000A20F6" w:rsidRPr="000A20F6" w:rsidRDefault="000A20F6" w:rsidP="00F35571">
            <w:pPr>
              <w:rPr>
                <w:rFonts w:cs="Arial"/>
                <w:sz w:val="23"/>
                <w:szCs w:val="23"/>
              </w:rPr>
            </w:pPr>
            <w:r w:rsidRPr="000A20F6">
              <w:rPr>
                <w:rFonts w:cs="Arial"/>
                <w:sz w:val="23"/>
                <w:szCs w:val="23"/>
              </w:rPr>
              <w:t>The live play exercise is a live test of arrangements and includes the operational and practical elements of an incident response. For example: simulated casualties being brought to an emergency department or the setting up of a mass countermeasure centre, or mass evacuation.</w:t>
            </w:r>
          </w:p>
        </w:tc>
      </w:tr>
    </w:tbl>
    <w:p w14:paraId="14C8AB13" w14:textId="77777777" w:rsidR="005E5DD0" w:rsidRDefault="005E5DD0" w:rsidP="000A20F6">
      <w:pPr>
        <w:rPr>
          <w:rFonts w:cs="Arial"/>
          <w:sz w:val="23"/>
          <w:szCs w:val="23"/>
        </w:rPr>
      </w:pPr>
    </w:p>
    <w:p w14:paraId="5743EAFF" w14:textId="63B7947F" w:rsidR="000A20F6" w:rsidRPr="000A20F6" w:rsidRDefault="000A20F6" w:rsidP="005E5DD0">
      <w:pPr>
        <w:jc w:val="both"/>
        <w:rPr>
          <w:rFonts w:cs="Arial"/>
          <w:sz w:val="23"/>
          <w:szCs w:val="23"/>
        </w:rPr>
      </w:pPr>
      <w:r w:rsidRPr="000A20F6">
        <w:rPr>
          <w:rFonts w:cs="Arial"/>
          <w:sz w:val="23"/>
          <w:szCs w:val="23"/>
        </w:rPr>
        <w:lastRenderedPageBreak/>
        <w:t xml:space="preserve">If an organisation activates its plan for response to a live incident or activates their ICC this replaces the need to run an exercise, providing lessons are identified and logged and an action plan developed. </w:t>
      </w:r>
    </w:p>
    <w:p w14:paraId="64A2DC4E" w14:textId="77777777" w:rsidR="000A20F6" w:rsidRDefault="000A20F6" w:rsidP="005E5DD0">
      <w:pPr>
        <w:jc w:val="both"/>
        <w:rPr>
          <w:rFonts w:cs="Arial"/>
          <w:sz w:val="23"/>
          <w:szCs w:val="23"/>
        </w:rPr>
      </w:pPr>
    </w:p>
    <w:p w14:paraId="639B1ADE" w14:textId="2C39CF42" w:rsidR="000A20F6" w:rsidRPr="000A20F6" w:rsidRDefault="000A20F6" w:rsidP="005E5DD0">
      <w:pPr>
        <w:jc w:val="both"/>
        <w:rPr>
          <w:rFonts w:cs="Arial"/>
          <w:sz w:val="23"/>
          <w:szCs w:val="23"/>
        </w:rPr>
      </w:pPr>
      <w:r w:rsidRPr="000A20F6">
        <w:rPr>
          <w:rFonts w:cs="Arial"/>
          <w:sz w:val="23"/>
          <w:szCs w:val="23"/>
        </w:rPr>
        <w:t xml:space="preserve">As part of </w:t>
      </w:r>
      <w:r w:rsidR="00A700C1">
        <w:rPr>
          <w:rFonts w:cs="Arial"/>
          <w:sz w:val="23"/>
          <w:szCs w:val="23"/>
        </w:rPr>
        <w:t>the</w:t>
      </w:r>
      <w:r w:rsidR="00A700C1" w:rsidRPr="000A20F6">
        <w:rPr>
          <w:rFonts w:cs="Arial"/>
          <w:sz w:val="23"/>
          <w:szCs w:val="23"/>
        </w:rPr>
        <w:t xml:space="preserve"> </w:t>
      </w:r>
      <w:r w:rsidRPr="000A20F6">
        <w:rPr>
          <w:rFonts w:cs="Arial"/>
          <w:sz w:val="23"/>
          <w:szCs w:val="23"/>
        </w:rPr>
        <w:t xml:space="preserve">Humber and North Yorkshire EPRR Principles there is an expectation to enhance and maintain interoperability between health organisations and multi-agency partners, including the LRF. Wherever possible, opportunities to engage wider partners in training and exercising opportunities should also be explored including opportunities to exercise with partner Integrated Care Boards and their local health partners (this should also include testing communication arrangements and information flows). </w:t>
      </w:r>
    </w:p>
    <w:p w14:paraId="710E746A" w14:textId="77777777" w:rsidR="000A20F6" w:rsidRPr="000A20F6" w:rsidRDefault="000A20F6" w:rsidP="000A20F6">
      <w:pPr>
        <w:pStyle w:val="Heading2"/>
        <w:numPr>
          <w:ilvl w:val="0"/>
          <w:numId w:val="0"/>
        </w:numPr>
        <w:ind w:left="851" w:hanging="851"/>
        <w:rPr>
          <w:color w:val="365F91" w:themeColor="accent1" w:themeShade="BF"/>
          <w:sz w:val="23"/>
          <w:szCs w:val="23"/>
        </w:rPr>
      </w:pPr>
      <w:bookmarkStart w:id="81" w:name="_Toc101269383"/>
      <w:r w:rsidRPr="000A20F6">
        <w:rPr>
          <w:color w:val="365F91" w:themeColor="accent1" w:themeShade="BF"/>
          <w:sz w:val="23"/>
          <w:szCs w:val="23"/>
        </w:rPr>
        <w:t>Lessons identified from training and exercising</w:t>
      </w:r>
      <w:bookmarkEnd w:id="81"/>
    </w:p>
    <w:p w14:paraId="5294FEB1" w14:textId="26946310" w:rsidR="000A20F6" w:rsidRPr="000A20F6" w:rsidRDefault="000A20F6" w:rsidP="005E5DD0">
      <w:pPr>
        <w:jc w:val="both"/>
        <w:rPr>
          <w:rFonts w:cs="Arial"/>
          <w:sz w:val="23"/>
          <w:szCs w:val="23"/>
        </w:rPr>
      </w:pPr>
      <w:r w:rsidRPr="000A20F6">
        <w:rPr>
          <w:rFonts w:cs="Arial"/>
          <w:sz w:val="23"/>
          <w:szCs w:val="23"/>
        </w:rPr>
        <w:t>Lessons identified from both training and exercising within the ICB, and wider where appropriate, will be shared through EPRR Health Partnership arrangements as part of continual improvement process.</w:t>
      </w:r>
    </w:p>
    <w:p w14:paraId="443D5E11" w14:textId="77777777" w:rsidR="000A20F6" w:rsidRDefault="000A20F6" w:rsidP="005E5DD0">
      <w:pPr>
        <w:jc w:val="both"/>
        <w:rPr>
          <w:rFonts w:cs="Arial"/>
          <w:sz w:val="23"/>
          <w:szCs w:val="23"/>
        </w:rPr>
      </w:pPr>
    </w:p>
    <w:p w14:paraId="38FBB3A1" w14:textId="24FBC3AF" w:rsidR="000A20F6" w:rsidRDefault="00024E8A" w:rsidP="005E5DD0">
      <w:pPr>
        <w:jc w:val="both"/>
        <w:rPr>
          <w:rFonts w:cs="Arial"/>
          <w:sz w:val="23"/>
          <w:szCs w:val="23"/>
        </w:rPr>
      </w:pPr>
      <w:r>
        <w:rPr>
          <w:rFonts w:cs="Arial"/>
          <w:sz w:val="23"/>
          <w:szCs w:val="23"/>
        </w:rPr>
        <w:t xml:space="preserve">Following an exercise or training event, the </w:t>
      </w:r>
      <w:r w:rsidR="00BA07D2">
        <w:rPr>
          <w:rFonts w:cs="Arial"/>
          <w:sz w:val="23"/>
          <w:szCs w:val="23"/>
        </w:rPr>
        <w:t xml:space="preserve">Exercise Feedback and Findings Form should be completed by the attendee </w:t>
      </w:r>
      <w:r w:rsidR="007F53C7">
        <w:rPr>
          <w:rFonts w:cs="Arial"/>
          <w:sz w:val="23"/>
          <w:szCs w:val="23"/>
        </w:rPr>
        <w:t xml:space="preserve">(link </w:t>
      </w:r>
      <w:hyperlink r:id="rId22" w:history="1">
        <w:r w:rsidR="007F53C7" w:rsidRPr="007F53C7">
          <w:rPr>
            <w:rStyle w:val="Hyperlink"/>
            <w:rFonts w:cs="Arial"/>
            <w:sz w:val="23"/>
            <w:szCs w:val="23"/>
          </w:rPr>
          <w:t>HNYICB Exercise Evaluation and Feedback Form</w:t>
        </w:r>
        <w:r w:rsidR="007F53C7">
          <w:rPr>
            <w:rStyle w:val="Hyperlink"/>
            <w:rFonts w:cs="Arial"/>
            <w:sz w:val="23"/>
            <w:szCs w:val="23"/>
          </w:rPr>
          <w:t>)</w:t>
        </w:r>
      </w:hyperlink>
      <w:r w:rsidR="007F53C7">
        <w:rPr>
          <w:rFonts w:cs="Arial"/>
          <w:sz w:val="23"/>
          <w:szCs w:val="23"/>
        </w:rPr>
        <w:t xml:space="preserve">. </w:t>
      </w:r>
      <w:r w:rsidR="00BA07D2" w:rsidRPr="00AA022A">
        <w:rPr>
          <w:rFonts w:cs="Arial"/>
          <w:sz w:val="23"/>
          <w:szCs w:val="23"/>
        </w:rPr>
        <w:t>The EPRR Team will also log the event on the Exercise Log</w:t>
      </w:r>
      <w:r w:rsidR="004A001D">
        <w:rPr>
          <w:rFonts w:cs="Arial"/>
          <w:sz w:val="23"/>
          <w:szCs w:val="23"/>
        </w:rPr>
        <w:t>.</w:t>
      </w:r>
      <w:r w:rsidR="00DF19FA" w:rsidRPr="00AA022A">
        <w:rPr>
          <w:rFonts w:cs="Arial"/>
          <w:sz w:val="23"/>
          <w:szCs w:val="23"/>
        </w:rPr>
        <w:t xml:space="preserve"> Any actions outlined on the Exercise Feedback and Findings Form will be entered onto the Master EPRR Action Plan. Actions are review quarterly with the AEO at the AEO and EPRR Governance Meeting prior to the LHRP. </w:t>
      </w:r>
    </w:p>
    <w:p w14:paraId="53C30B50" w14:textId="77777777" w:rsidR="00E13ADD" w:rsidRDefault="00E13ADD" w:rsidP="005E5DD0">
      <w:pPr>
        <w:jc w:val="both"/>
        <w:rPr>
          <w:rFonts w:cs="Arial"/>
          <w:sz w:val="23"/>
          <w:szCs w:val="23"/>
        </w:rPr>
      </w:pPr>
    </w:p>
    <w:p w14:paraId="18339EF0" w14:textId="77777777" w:rsidR="00E13ADD" w:rsidRPr="007A490F" w:rsidRDefault="00E13ADD" w:rsidP="00E13ADD">
      <w:pPr>
        <w:pStyle w:val="Heading1"/>
        <w:spacing w:before="0" w:after="0"/>
        <w:rPr>
          <w:szCs w:val="24"/>
        </w:rPr>
      </w:pPr>
      <w:r w:rsidRPr="007A490F">
        <w:rPr>
          <w:szCs w:val="24"/>
        </w:rPr>
        <w:t>Assurance</w:t>
      </w:r>
    </w:p>
    <w:p w14:paraId="297F29A6" w14:textId="77777777" w:rsidR="00B50581" w:rsidRPr="007A490F" w:rsidRDefault="00B50581" w:rsidP="007A490F">
      <w:pPr>
        <w:jc w:val="both"/>
        <w:rPr>
          <w:rFonts w:cs="Arial"/>
          <w:sz w:val="23"/>
          <w:szCs w:val="23"/>
        </w:rPr>
      </w:pPr>
      <w:r w:rsidRPr="007A490F">
        <w:rPr>
          <w:rFonts w:cs="Arial"/>
          <w:sz w:val="23"/>
          <w:szCs w:val="23"/>
        </w:rPr>
        <w:t xml:space="preserve">The minimum requirements which NHS funded organisations must meet are set out in the Core Standards. These standards are in accordance with the CCA 2004, the NHS Act 2006 (as amended) and the Cabinet Office Expectations and Indicators of Good Practice set for Category 1 and 2 Responders. </w:t>
      </w:r>
    </w:p>
    <w:p w14:paraId="012F6AAE" w14:textId="77777777" w:rsidR="00B50581" w:rsidRPr="007A490F" w:rsidRDefault="00B50581" w:rsidP="007A490F">
      <w:pPr>
        <w:jc w:val="both"/>
        <w:rPr>
          <w:rFonts w:cs="Arial"/>
          <w:sz w:val="23"/>
          <w:szCs w:val="23"/>
        </w:rPr>
      </w:pPr>
    </w:p>
    <w:p w14:paraId="1761D52A" w14:textId="77777777" w:rsidR="00B50581" w:rsidRPr="007A490F" w:rsidRDefault="00B50581" w:rsidP="007A490F">
      <w:pPr>
        <w:jc w:val="both"/>
        <w:rPr>
          <w:rFonts w:cs="Arial"/>
          <w:sz w:val="23"/>
          <w:szCs w:val="23"/>
        </w:rPr>
      </w:pPr>
      <w:r w:rsidRPr="007A490F">
        <w:rPr>
          <w:rFonts w:cs="Arial"/>
          <w:sz w:val="23"/>
          <w:szCs w:val="23"/>
        </w:rPr>
        <w:t>Annually each NHS organisations is required to undertake a self-assessment against this set of minimum standards culminating in their Board to issuing a Statement of EPRR Compliance which must be published in their annual report.</w:t>
      </w:r>
    </w:p>
    <w:p w14:paraId="7A814006" w14:textId="77777777" w:rsidR="00B50581" w:rsidRPr="007A490F" w:rsidRDefault="00B50581" w:rsidP="007A490F">
      <w:pPr>
        <w:jc w:val="both"/>
        <w:rPr>
          <w:rFonts w:cs="Arial"/>
          <w:sz w:val="23"/>
          <w:szCs w:val="23"/>
        </w:rPr>
      </w:pPr>
    </w:p>
    <w:p w14:paraId="32B0098A" w14:textId="77777777" w:rsidR="00793F0C" w:rsidRPr="007A490F" w:rsidRDefault="009713E8" w:rsidP="007A490F">
      <w:pPr>
        <w:jc w:val="both"/>
        <w:rPr>
          <w:rFonts w:cs="Arial"/>
          <w:sz w:val="23"/>
          <w:szCs w:val="23"/>
        </w:rPr>
      </w:pPr>
      <w:r w:rsidRPr="007A490F">
        <w:rPr>
          <w:rFonts w:cs="Arial"/>
          <w:sz w:val="23"/>
          <w:szCs w:val="23"/>
        </w:rPr>
        <w:t>A revised process for core standards assurance for 2024 was agreed prior to the commencement of the process</w:t>
      </w:r>
      <w:r w:rsidR="00793F0C" w:rsidRPr="007A490F">
        <w:rPr>
          <w:rFonts w:cs="Arial"/>
          <w:sz w:val="23"/>
          <w:szCs w:val="23"/>
        </w:rPr>
        <w:t>, comprising of:</w:t>
      </w:r>
    </w:p>
    <w:p w14:paraId="5848F5F2" w14:textId="77777777" w:rsidR="00793F0C" w:rsidRPr="007A490F" w:rsidRDefault="00793F0C" w:rsidP="007A490F">
      <w:pPr>
        <w:jc w:val="both"/>
        <w:rPr>
          <w:rFonts w:cs="Arial"/>
          <w:sz w:val="23"/>
          <w:szCs w:val="23"/>
        </w:rPr>
      </w:pPr>
    </w:p>
    <w:p w14:paraId="2CF13ACD" w14:textId="77777777" w:rsidR="00793F0C" w:rsidRPr="007A490F" w:rsidRDefault="00793F0C" w:rsidP="007A490F">
      <w:pPr>
        <w:pStyle w:val="ListParagraph"/>
        <w:numPr>
          <w:ilvl w:val="0"/>
          <w:numId w:val="31"/>
        </w:numPr>
        <w:jc w:val="both"/>
        <w:rPr>
          <w:rFonts w:cs="Arial"/>
          <w:sz w:val="23"/>
          <w:szCs w:val="23"/>
        </w:rPr>
      </w:pPr>
      <w:r w:rsidRPr="007A490F">
        <w:rPr>
          <w:rFonts w:cs="Arial"/>
          <w:sz w:val="23"/>
          <w:szCs w:val="23"/>
        </w:rPr>
        <w:t>Initial organisational self-assessment and subsequent informal peer review</w:t>
      </w:r>
    </w:p>
    <w:p w14:paraId="66C7467F" w14:textId="0E81641D" w:rsidR="00A44719" w:rsidRPr="007A490F" w:rsidRDefault="00A44719" w:rsidP="007A490F">
      <w:pPr>
        <w:pStyle w:val="ListParagraph"/>
        <w:numPr>
          <w:ilvl w:val="0"/>
          <w:numId w:val="31"/>
        </w:numPr>
        <w:jc w:val="both"/>
        <w:rPr>
          <w:rFonts w:cs="Arial"/>
          <w:sz w:val="23"/>
          <w:szCs w:val="23"/>
        </w:rPr>
      </w:pPr>
      <w:r w:rsidRPr="007A490F">
        <w:rPr>
          <w:rFonts w:cs="Arial"/>
          <w:sz w:val="23"/>
          <w:szCs w:val="23"/>
        </w:rPr>
        <w:t xml:space="preserve">AEO sign off and submission of organisational self-assessments. </w:t>
      </w:r>
    </w:p>
    <w:p w14:paraId="78B20CFB" w14:textId="7A5D8AAC" w:rsidR="00E13ADD" w:rsidRPr="007A490F" w:rsidRDefault="00793F0C" w:rsidP="007A490F">
      <w:pPr>
        <w:pStyle w:val="ListParagraph"/>
        <w:numPr>
          <w:ilvl w:val="0"/>
          <w:numId w:val="31"/>
        </w:numPr>
        <w:jc w:val="both"/>
        <w:rPr>
          <w:rFonts w:cs="Arial"/>
          <w:sz w:val="23"/>
          <w:szCs w:val="23"/>
        </w:rPr>
      </w:pPr>
      <w:r w:rsidRPr="007A490F">
        <w:rPr>
          <w:rFonts w:cs="Arial"/>
          <w:sz w:val="23"/>
          <w:szCs w:val="23"/>
        </w:rPr>
        <w:t>1:1 meetings between the ICB and submitting organisation (comprising of the AEO and Head of EPRR from both the ICB and the organisation)</w:t>
      </w:r>
      <w:r w:rsidR="00E13ADD" w:rsidRPr="007A490F">
        <w:rPr>
          <w:rFonts w:cs="Arial"/>
          <w:sz w:val="23"/>
          <w:szCs w:val="23"/>
        </w:rPr>
        <w:t xml:space="preserve"> </w:t>
      </w:r>
      <w:r w:rsidR="00A44719" w:rsidRPr="007A490F">
        <w:rPr>
          <w:rFonts w:cs="Arial"/>
          <w:sz w:val="23"/>
          <w:szCs w:val="23"/>
        </w:rPr>
        <w:t xml:space="preserve">to </w:t>
      </w:r>
      <w:r w:rsidR="00DC224C" w:rsidRPr="007A490F">
        <w:rPr>
          <w:rFonts w:cs="Arial"/>
          <w:sz w:val="23"/>
          <w:szCs w:val="23"/>
        </w:rPr>
        <w:t>discuss evidence of any progress made and provide</w:t>
      </w:r>
      <w:r w:rsidR="00A44719" w:rsidRPr="007A490F">
        <w:rPr>
          <w:rFonts w:cs="Arial"/>
          <w:sz w:val="23"/>
          <w:szCs w:val="23"/>
        </w:rPr>
        <w:t xml:space="preserve"> any challenge to the organisational self-assessment. </w:t>
      </w:r>
    </w:p>
    <w:p w14:paraId="32933E1B" w14:textId="71B8EDC0" w:rsidR="00A44719" w:rsidRPr="007A490F" w:rsidRDefault="00DC224C" w:rsidP="007A490F">
      <w:pPr>
        <w:pStyle w:val="ListParagraph"/>
        <w:numPr>
          <w:ilvl w:val="0"/>
          <w:numId w:val="31"/>
        </w:numPr>
        <w:jc w:val="both"/>
        <w:rPr>
          <w:rFonts w:cs="Arial"/>
          <w:sz w:val="23"/>
          <w:szCs w:val="23"/>
        </w:rPr>
      </w:pPr>
      <w:r w:rsidRPr="007A490F">
        <w:rPr>
          <w:rFonts w:cs="Arial"/>
          <w:sz w:val="23"/>
          <w:szCs w:val="23"/>
        </w:rPr>
        <w:t>Confirm and challenge sessions through LHRP</w:t>
      </w:r>
    </w:p>
    <w:p w14:paraId="5AD2E73A" w14:textId="2EAFB220" w:rsidR="00DC224C" w:rsidRPr="007A490F" w:rsidRDefault="00DC224C" w:rsidP="007A490F">
      <w:pPr>
        <w:pStyle w:val="ListParagraph"/>
        <w:numPr>
          <w:ilvl w:val="0"/>
          <w:numId w:val="31"/>
        </w:numPr>
        <w:jc w:val="both"/>
        <w:rPr>
          <w:rFonts w:cs="Arial"/>
          <w:sz w:val="23"/>
          <w:szCs w:val="23"/>
        </w:rPr>
      </w:pPr>
      <w:r w:rsidRPr="007A490F">
        <w:rPr>
          <w:rFonts w:cs="Arial"/>
          <w:sz w:val="23"/>
          <w:szCs w:val="23"/>
        </w:rPr>
        <w:t xml:space="preserve">Final submissions to boards with statement of compliance. </w:t>
      </w:r>
    </w:p>
    <w:p w14:paraId="50E1AC3C" w14:textId="77777777" w:rsidR="00DC224C" w:rsidRPr="007A490F" w:rsidRDefault="00DC224C" w:rsidP="007A490F">
      <w:pPr>
        <w:jc w:val="both"/>
        <w:rPr>
          <w:rFonts w:cs="Arial"/>
          <w:sz w:val="23"/>
          <w:szCs w:val="23"/>
        </w:rPr>
      </w:pPr>
    </w:p>
    <w:p w14:paraId="73613F4F" w14:textId="0A2AD308" w:rsidR="00DC224C" w:rsidRPr="007A490F" w:rsidRDefault="00DC224C" w:rsidP="007A490F">
      <w:pPr>
        <w:jc w:val="both"/>
        <w:rPr>
          <w:rFonts w:cs="Arial"/>
          <w:sz w:val="23"/>
          <w:szCs w:val="23"/>
        </w:rPr>
      </w:pPr>
      <w:r w:rsidRPr="007A490F">
        <w:rPr>
          <w:rFonts w:cs="Arial"/>
          <w:sz w:val="23"/>
          <w:szCs w:val="23"/>
        </w:rPr>
        <w:t xml:space="preserve">There will also be required regional arrangements, for example an ICB-to-ICB peer review and RHRP confirm and challenge with ICBs. </w:t>
      </w:r>
    </w:p>
    <w:p w14:paraId="1D7E4815" w14:textId="77777777" w:rsidR="005548E4" w:rsidRPr="007A490F" w:rsidRDefault="005548E4" w:rsidP="000A20F6">
      <w:pPr>
        <w:rPr>
          <w:rFonts w:eastAsia="Calibri"/>
          <w:b/>
          <w:bCs/>
        </w:rPr>
      </w:pPr>
    </w:p>
    <w:p w14:paraId="5207DD27" w14:textId="2DE608B1" w:rsidR="000A20F6" w:rsidRPr="007A490F" w:rsidRDefault="000A20F6" w:rsidP="000A20F6">
      <w:pPr>
        <w:pStyle w:val="Heading1"/>
        <w:spacing w:before="0" w:after="0"/>
        <w:rPr>
          <w:szCs w:val="24"/>
        </w:rPr>
      </w:pPr>
      <w:bookmarkStart w:id="82" w:name="_Toc160047257"/>
      <w:r w:rsidRPr="007A490F">
        <w:rPr>
          <w:szCs w:val="24"/>
        </w:rPr>
        <w:t>Financial Requirements</w:t>
      </w:r>
      <w:bookmarkEnd w:id="82"/>
    </w:p>
    <w:p w14:paraId="12BBFF0E" w14:textId="77777777" w:rsidR="000A20F6" w:rsidRPr="000A20F6" w:rsidRDefault="000A20F6" w:rsidP="000A20F6">
      <w:pPr>
        <w:rPr>
          <w:rFonts w:eastAsia="Calibri"/>
          <w:sz w:val="23"/>
          <w:szCs w:val="23"/>
        </w:rPr>
      </w:pPr>
    </w:p>
    <w:p w14:paraId="28E3679E" w14:textId="6C3BCE2C" w:rsidR="00BB431E" w:rsidRDefault="3BAC10B8" w:rsidP="77FFC266">
      <w:pPr>
        <w:jc w:val="both"/>
        <w:rPr>
          <w:rFonts w:cs="Arial"/>
          <w:sz w:val="23"/>
          <w:szCs w:val="23"/>
        </w:rPr>
      </w:pPr>
      <w:r w:rsidRPr="77FFC266">
        <w:rPr>
          <w:rFonts w:cs="Arial"/>
          <w:sz w:val="23"/>
          <w:szCs w:val="23"/>
        </w:rPr>
        <w:t>The ICB is responsible for identifying</w:t>
      </w:r>
      <w:r w:rsidR="00BB431E">
        <w:rPr>
          <w:rFonts w:cs="Arial"/>
          <w:sz w:val="23"/>
          <w:szCs w:val="23"/>
        </w:rPr>
        <w:t xml:space="preserve"> and budgeting for </w:t>
      </w:r>
      <w:r w:rsidR="2BCE3FB4" w:rsidRPr="77FFC266">
        <w:rPr>
          <w:rFonts w:cs="Arial"/>
          <w:sz w:val="23"/>
          <w:szCs w:val="23"/>
        </w:rPr>
        <w:t>its</w:t>
      </w:r>
      <w:r w:rsidRPr="77FFC266">
        <w:rPr>
          <w:rFonts w:cs="Arial"/>
          <w:sz w:val="23"/>
          <w:szCs w:val="23"/>
        </w:rPr>
        <w:t xml:space="preserve"> financial commitments regarding </w:t>
      </w:r>
      <w:r w:rsidR="00BB431E">
        <w:rPr>
          <w:rFonts w:cs="Arial"/>
          <w:sz w:val="23"/>
          <w:szCs w:val="23"/>
        </w:rPr>
        <w:t>delivery of the EPRR agenda. This includes:</w:t>
      </w:r>
    </w:p>
    <w:p w14:paraId="29212EFC" w14:textId="77777777" w:rsidR="00BB431E" w:rsidRDefault="00BB431E" w:rsidP="77FFC266">
      <w:pPr>
        <w:jc w:val="both"/>
        <w:rPr>
          <w:rFonts w:cs="Arial"/>
          <w:sz w:val="23"/>
          <w:szCs w:val="23"/>
        </w:rPr>
      </w:pPr>
    </w:p>
    <w:p w14:paraId="1AFDF814" w14:textId="77777777" w:rsidR="00BB431E" w:rsidRDefault="00BB431E" w:rsidP="77FFC266">
      <w:pPr>
        <w:jc w:val="both"/>
        <w:rPr>
          <w:rFonts w:cs="Arial"/>
          <w:sz w:val="23"/>
          <w:szCs w:val="23"/>
        </w:rPr>
      </w:pPr>
    </w:p>
    <w:p w14:paraId="7C9F3AD1" w14:textId="33B3535F" w:rsidR="00BB431E" w:rsidRDefault="00BB431E" w:rsidP="00BB431E">
      <w:pPr>
        <w:pStyle w:val="ListParagraph"/>
        <w:numPr>
          <w:ilvl w:val="0"/>
          <w:numId w:val="41"/>
        </w:numPr>
        <w:jc w:val="both"/>
        <w:rPr>
          <w:rFonts w:cs="Arial"/>
          <w:sz w:val="23"/>
          <w:szCs w:val="23"/>
        </w:rPr>
      </w:pPr>
      <w:r w:rsidRPr="00BB431E">
        <w:rPr>
          <w:rFonts w:cs="Arial"/>
          <w:sz w:val="23"/>
          <w:szCs w:val="23"/>
        </w:rPr>
        <w:t xml:space="preserve">Funding of the </w:t>
      </w:r>
      <w:r w:rsidR="007B54CE">
        <w:rPr>
          <w:rFonts w:cs="Arial"/>
          <w:sz w:val="23"/>
          <w:szCs w:val="23"/>
        </w:rPr>
        <w:t xml:space="preserve">internal </w:t>
      </w:r>
      <w:r w:rsidRPr="00BB431E">
        <w:rPr>
          <w:rFonts w:cs="Arial"/>
          <w:sz w:val="23"/>
          <w:szCs w:val="23"/>
        </w:rPr>
        <w:t xml:space="preserve">EPRR </w:t>
      </w:r>
      <w:r w:rsidR="007B54CE">
        <w:rPr>
          <w:rFonts w:cs="Arial"/>
          <w:sz w:val="23"/>
          <w:szCs w:val="23"/>
        </w:rPr>
        <w:t xml:space="preserve">staffing costs including the EPRR </w:t>
      </w:r>
      <w:r w:rsidRPr="00BB431E">
        <w:rPr>
          <w:rFonts w:cs="Arial"/>
          <w:sz w:val="23"/>
          <w:szCs w:val="23"/>
        </w:rPr>
        <w:t>Team</w:t>
      </w:r>
      <w:r w:rsidR="007B54CE">
        <w:rPr>
          <w:rFonts w:cs="Arial"/>
          <w:sz w:val="23"/>
          <w:szCs w:val="23"/>
        </w:rPr>
        <w:t xml:space="preserve"> and the on-call response</w:t>
      </w:r>
    </w:p>
    <w:p w14:paraId="06E02C2E" w14:textId="3E103537" w:rsidR="00BB431E" w:rsidRDefault="00BB431E" w:rsidP="00BB431E">
      <w:pPr>
        <w:pStyle w:val="ListParagraph"/>
        <w:numPr>
          <w:ilvl w:val="0"/>
          <w:numId w:val="41"/>
        </w:numPr>
        <w:jc w:val="both"/>
        <w:rPr>
          <w:rFonts w:cs="Arial"/>
          <w:sz w:val="23"/>
          <w:szCs w:val="23"/>
        </w:rPr>
      </w:pPr>
      <w:r>
        <w:rPr>
          <w:rFonts w:cs="Arial"/>
          <w:sz w:val="23"/>
          <w:szCs w:val="23"/>
        </w:rPr>
        <w:t>Agreeing funding contributions to North Yorkshire LRF and Humberside LRF paid by the ICB on behalf of the whole ICS health system</w:t>
      </w:r>
    </w:p>
    <w:p w14:paraId="3A8AEF65" w14:textId="7D45B5E8" w:rsidR="00BB431E" w:rsidRDefault="00BB431E" w:rsidP="00F41D43">
      <w:pPr>
        <w:pStyle w:val="ListParagraph"/>
        <w:numPr>
          <w:ilvl w:val="0"/>
          <w:numId w:val="41"/>
        </w:numPr>
        <w:jc w:val="both"/>
        <w:rPr>
          <w:rFonts w:cs="Arial"/>
          <w:sz w:val="23"/>
          <w:szCs w:val="23"/>
        </w:rPr>
      </w:pPr>
      <w:r w:rsidRPr="00BB431E">
        <w:rPr>
          <w:rFonts w:cs="Arial"/>
          <w:sz w:val="23"/>
          <w:szCs w:val="23"/>
        </w:rPr>
        <w:lastRenderedPageBreak/>
        <w:t xml:space="preserve">Identifying and tracking the ICB’s financial impacts and contributions </w:t>
      </w:r>
      <w:r>
        <w:rPr>
          <w:rFonts w:cs="Arial"/>
          <w:sz w:val="23"/>
          <w:szCs w:val="23"/>
        </w:rPr>
        <w:t>at times of r</w:t>
      </w:r>
      <w:r w:rsidR="62039533" w:rsidRPr="00BB431E">
        <w:rPr>
          <w:rFonts w:cs="Arial"/>
          <w:sz w:val="23"/>
          <w:szCs w:val="23"/>
        </w:rPr>
        <w:t>esponse to an incident</w:t>
      </w:r>
    </w:p>
    <w:p w14:paraId="7B68B360" w14:textId="00D5A9FF" w:rsidR="00BB431E" w:rsidRDefault="00BB431E" w:rsidP="00F41D43">
      <w:pPr>
        <w:pStyle w:val="ListParagraph"/>
        <w:numPr>
          <w:ilvl w:val="0"/>
          <w:numId w:val="41"/>
        </w:numPr>
        <w:jc w:val="both"/>
        <w:rPr>
          <w:rFonts w:cs="Arial"/>
          <w:sz w:val="23"/>
          <w:szCs w:val="23"/>
        </w:rPr>
      </w:pPr>
      <w:r>
        <w:rPr>
          <w:rFonts w:cs="Arial"/>
          <w:sz w:val="23"/>
          <w:szCs w:val="23"/>
        </w:rPr>
        <w:t>Working with partner organisations, generally NHSE and Local Authorities, at times of an incident to establish an equitable funding regime – part of this may be delivered through the provision of commissioned services to support incident response</w:t>
      </w:r>
    </w:p>
    <w:p w14:paraId="0BEBEE42" w14:textId="77554001" w:rsidR="000A20F6" w:rsidRPr="000A20F6" w:rsidRDefault="007B54CE" w:rsidP="000A20F6">
      <w:pPr>
        <w:pStyle w:val="Heading2"/>
        <w:numPr>
          <w:ilvl w:val="0"/>
          <w:numId w:val="0"/>
        </w:numPr>
        <w:ind w:left="851" w:hanging="851"/>
        <w:rPr>
          <w:color w:val="365F91" w:themeColor="accent1" w:themeShade="BF"/>
          <w:sz w:val="23"/>
          <w:szCs w:val="23"/>
        </w:rPr>
      </w:pPr>
      <w:bookmarkStart w:id="83" w:name="_Toc101269386"/>
      <w:r>
        <w:rPr>
          <w:color w:val="365F91" w:themeColor="accent1" w:themeShade="BF"/>
          <w:sz w:val="23"/>
          <w:szCs w:val="23"/>
        </w:rPr>
        <w:t xml:space="preserve">Financial Impacts of </w:t>
      </w:r>
      <w:r w:rsidR="000A20F6" w:rsidRPr="000A20F6">
        <w:rPr>
          <w:color w:val="365F91" w:themeColor="accent1" w:themeShade="BF"/>
          <w:sz w:val="23"/>
          <w:szCs w:val="23"/>
        </w:rPr>
        <w:t>Incidents</w:t>
      </w:r>
      <w:bookmarkEnd w:id="83"/>
    </w:p>
    <w:p w14:paraId="75200462" w14:textId="7FE6D687" w:rsidR="000A20F6" w:rsidRPr="000A20F6" w:rsidRDefault="000A20F6" w:rsidP="005E5DD0">
      <w:pPr>
        <w:jc w:val="both"/>
        <w:rPr>
          <w:rFonts w:cs="Arial"/>
          <w:sz w:val="23"/>
          <w:szCs w:val="23"/>
        </w:rPr>
      </w:pPr>
      <w:r w:rsidRPr="000A20F6">
        <w:rPr>
          <w:rFonts w:cs="Arial"/>
          <w:sz w:val="23"/>
          <w:szCs w:val="23"/>
        </w:rPr>
        <w:t>In the event of responding to an incident or event</w:t>
      </w:r>
      <w:r w:rsidR="00A90504">
        <w:rPr>
          <w:rFonts w:cs="Arial"/>
          <w:sz w:val="23"/>
          <w:szCs w:val="23"/>
        </w:rPr>
        <w:t>,</w:t>
      </w:r>
      <w:r w:rsidRPr="000A20F6">
        <w:rPr>
          <w:rFonts w:cs="Arial"/>
          <w:sz w:val="23"/>
          <w:szCs w:val="23"/>
        </w:rPr>
        <w:t xml:space="preserve"> it is expected that financial considerations should not impact on the speed or scale of the response required. </w:t>
      </w:r>
    </w:p>
    <w:p w14:paraId="2BA4D869" w14:textId="77777777" w:rsidR="000A20F6" w:rsidRDefault="000A20F6" w:rsidP="005E5DD0">
      <w:pPr>
        <w:jc w:val="both"/>
        <w:rPr>
          <w:rFonts w:cs="Arial"/>
          <w:sz w:val="23"/>
          <w:szCs w:val="23"/>
        </w:rPr>
      </w:pPr>
    </w:p>
    <w:p w14:paraId="68551C75" w14:textId="279FA083" w:rsidR="000A20F6" w:rsidRPr="000A20F6" w:rsidRDefault="000A20F6" w:rsidP="005E5DD0">
      <w:pPr>
        <w:jc w:val="both"/>
        <w:rPr>
          <w:rFonts w:cs="Arial"/>
          <w:sz w:val="23"/>
          <w:szCs w:val="23"/>
        </w:rPr>
      </w:pPr>
      <w:r w:rsidRPr="000A20F6">
        <w:rPr>
          <w:rFonts w:cs="Arial"/>
          <w:sz w:val="23"/>
          <w:szCs w:val="23"/>
        </w:rPr>
        <w:t xml:space="preserve">Each organisation has a requirement to </w:t>
      </w:r>
      <w:r w:rsidR="007B54CE">
        <w:rPr>
          <w:rFonts w:cs="Arial"/>
          <w:sz w:val="23"/>
          <w:szCs w:val="23"/>
        </w:rPr>
        <w:t>monitor and assess its own financial impacts associated with the response to an incident</w:t>
      </w:r>
      <w:r w:rsidRPr="000A20F6">
        <w:rPr>
          <w:rFonts w:cs="Arial"/>
          <w:sz w:val="23"/>
          <w:szCs w:val="23"/>
        </w:rPr>
        <w:t xml:space="preserve"> and will </w:t>
      </w:r>
      <w:r w:rsidR="007B54CE">
        <w:rPr>
          <w:rFonts w:cs="Arial"/>
          <w:sz w:val="23"/>
          <w:szCs w:val="23"/>
        </w:rPr>
        <w:t xml:space="preserve">then </w:t>
      </w:r>
      <w:r w:rsidRPr="000A20F6">
        <w:rPr>
          <w:rFonts w:cs="Arial"/>
          <w:sz w:val="23"/>
          <w:szCs w:val="23"/>
        </w:rPr>
        <w:t xml:space="preserve">work with the Integrated Care Board to determine </w:t>
      </w:r>
      <w:r w:rsidR="007B54CE">
        <w:rPr>
          <w:rFonts w:cs="Arial"/>
          <w:sz w:val="23"/>
          <w:szCs w:val="23"/>
        </w:rPr>
        <w:t xml:space="preserve">any funding </w:t>
      </w:r>
      <w:r w:rsidRPr="000A20F6">
        <w:rPr>
          <w:rFonts w:cs="Arial"/>
          <w:sz w:val="23"/>
          <w:szCs w:val="23"/>
        </w:rPr>
        <w:t>arrangements</w:t>
      </w:r>
      <w:r w:rsidR="007B54CE">
        <w:rPr>
          <w:rFonts w:cs="Arial"/>
          <w:sz w:val="23"/>
          <w:szCs w:val="23"/>
        </w:rPr>
        <w:t>, noting that unless an incident moves to national level 4 response there is limited likelihood of</w:t>
      </w:r>
      <w:r w:rsidRPr="000A20F6">
        <w:rPr>
          <w:rFonts w:cs="Arial"/>
          <w:sz w:val="23"/>
          <w:szCs w:val="23"/>
        </w:rPr>
        <w:t xml:space="preserve"> additional funding to made available through the Department of Health &amp; Social Care.</w:t>
      </w:r>
      <w:r w:rsidR="007B54CE">
        <w:rPr>
          <w:rFonts w:cs="Arial"/>
          <w:sz w:val="23"/>
          <w:szCs w:val="23"/>
        </w:rPr>
        <w:t xml:space="preserve"> Therefore, funding will have to be identified from existing resources. If a national level 4 incident is declared</w:t>
      </w:r>
      <w:r w:rsidR="00A90504">
        <w:rPr>
          <w:rFonts w:cs="Arial"/>
          <w:sz w:val="23"/>
          <w:szCs w:val="23"/>
        </w:rPr>
        <w:t>,</w:t>
      </w:r>
      <w:r w:rsidR="007B54CE">
        <w:rPr>
          <w:rFonts w:cs="Arial"/>
          <w:sz w:val="23"/>
          <w:szCs w:val="23"/>
        </w:rPr>
        <w:t xml:space="preserve"> and additional funding identified</w:t>
      </w:r>
      <w:r w:rsidR="00A90504">
        <w:rPr>
          <w:rFonts w:cs="Arial"/>
          <w:sz w:val="23"/>
          <w:szCs w:val="23"/>
        </w:rPr>
        <w:t>,</w:t>
      </w:r>
      <w:r w:rsidR="007B54CE">
        <w:rPr>
          <w:rFonts w:cs="Arial"/>
          <w:sz w:val="23"/>
          <w:szCs w:val="23"/>
        </w:rPr>
        <w:t xml:space="preserve"> t</w:t>
      </w:r>
      <w:r w:rsidRPr="000A20F6">
        <w:rPr>
          <w:rFonts w:cs="Arial"/>
          <w:sz w:val="23"/>
          <w:szCs w:val="23"/>
        </w:rPr>
        <w:t>his will be coordinated by the regional finance team.</w:t>
      </w:r>
    </w:p>
    <w:p w14:paraId="51565CB4" w14:textId="77777777" w:rsidR="000A20F6" w:rsidRDefault="000A20F6" w:rsidP="000A20F6">
      <w:pPr>
        <w:rPr>
          <w:rFonts w:cs="Arial"/>
          <w:sz w:val="23"/>
          <w:szCs w:val="23"/>
          <w:highlight w:val="yellow"/>
        </w:rPr>
      </w:pPr>
    </w:p>
    <w:p w14:paraId="2431B442" w14:textId="7185AE02" w:rsidR="000A20F6" w:rsidRDefault="00073522" w:rsidP="005E5DD0">
      <w:pPr>
        <w:jc w:val="both"/>
        <w:rPr>
          <w:rFonts w:cs="Arial"/>
          <w:sz w:val="23"/>
          <w:szCs w:val="23"/>
        </w:rPr>
      </w:pPr>
      <w:r>
        <w:rPr>
          <w:rFonts w:cs="Arial"/>
          <w:sz w:val="23"/>
          <w:szCs w:val="23"/>
        </w:rPr>
        <w:t xml:space="preserve">Humber and North Yorkshire ICB </w:t>
      </w:r>
      <w:r w:rsidR="005903E4">
        <w:rPr>
          <w:rFonts w:cs="Arial"/>
          <w:sz w:val="23"/>
          <w:szCs w:val="23"/>
        </w:rPr>
        <w:t xml:space="preserve">are responsible for financing the response to </w:t>
      </w:r>
      <w:r w:rsidR="009E47EA">
        <w:rPr>
          <w:rFonts w:cs="Arial"/>
          <w:sz w:val="23"/>
          <w:szCs w:val="23"/>
        </w:rPr>
        <w:t>incidents affecting the health</w:t>
      </w:r>
      <w:r w:rsidR="007B54CE">
        <w:rPr>
          <w:rFonts w:cs="Arial"/>
          <w:sz w:val="23"/>
          <w:szCs w:val="23"/>
        </w:rPr>
        <w:t xml:space="preserve"> and care</w:t>
      </w:r>
      <w:r w:rsidR="009E47EA">
        <w:rPr>
          <w:rFonts w:cs="Arial"/>
          <w:sz w:val="23"/>
          <w:szCs w:val="23"/>
        </w:rPr>
        <w:t xml:space="preserve"> service</w:t>
      </w:r>
      <w:r w:rsidR="007B54CE">
        <w:rPr>
          <w:rFonts w:cs="Arial"/>
          <w:sz w:val="23"/>
          <w:szCs w:val="23"/>
        </w:rPr>
        <w:t xml:space="preserve">s and population </w:t>
      </w:r>
      <w:r w:rsidR="009E47EA">
        <w:rPr>
          <w:rFonts w:cs="Arial"/>
          <w:sz w:val="23"/>
          <w:szCs w:val="23"/>
        </w:rPr>
        <w:t>in their geography alongside the relevant local authorit</w:t>
      </w:r>
      <w:r w:rsidR="00330F00">
        <w:rPr>
          <w:rFonts w:cs="Arial"/>
          <w:sz w:val="23"/>
          <w:szCs w:val="23"/>
        </w:rPr>
        <w:t>y</w:t>
      </w:r>
      <w:r w:rsidR="00B66A8F">
        <w:rPr>
          <w:rFonts w:cs="Arial"/>
          <w:sz w:val="23"/>
          <w:szCs w:val="23"/>
        </w:rPr>
        <w:t xml:space="preserve"> (see arrangements for responding to health protection incidents specifically, below). </w:t>
      </w:r>
      <w:r w:rsidR="00F868D4" w:rsidRPr="00F868D4">
        <w:rPr>
          <w:rFonts w:cs="Arial"/>
          <w:sz w:val="23"/>
          <w:szCs w:val="23"/>
        </w:rPr>
        <w:t>Robust work is taking place to review the existing arrangements to respond to health incidents across HNY, with some resulting recommendations expected in the next few months</w:t>
      </w:r>
      <w:r w:rsidR="007A490F">
        <w:rPr>
          <w:rFonts w:cs="Arial"/>
          <w:sz w:val="23"/>
          <w:szCs w:val="23"/>
        </w:rPr>
        <w:t>.</w:t>
      </w:r>
    </w:p>
    <w:p w14:paraId="39A994A5" w14:textId="2F5BBEEC" w:rsidR="000A20F6" w:rsidRPr="000A20F6" w:rsidRDefault="000A20F6" w:rsidP="000A20F6">
      <w:pPr>
        <w:pStyle w:val="Heading2"/>
        <w:numPr>
          <w:ilvl w:val="0"/>
          <w:numId w:val="0"/>
        </w:numPr>
        <w:ind w:left="851" w:hanging="851"/>
        <w:rPr>
          <w:color w:val="365F91" w:themeColor="accent1" w:themeShade="BF"/>
          <w:sz w:val="23"/>
          <w:szCs w:val="23"/>
        </w:rPr>
      </w:pPr>
      <w:bookmarkStart w:id="84" w:name="_Toc101269387"/>
      <w:r w:rsidRPr="000A20F6">
        <w:rPr>
          <w:color w:val="365F91" w:themeColor="accent1" w:themeShade="BF"/>
          <w:sz w:val="23"/>
          <w:szCs w:val="23"/>
        </w:rPr>
        <w:t>Local Resilience Forum contributions</w:t>
      </w:r>
      <w:bookmarkEnd w:id="84"/>
    </w:p>
    <w:p w14:paraId="39B849EB" w14:textId="11DE3228" w:rsidR="000A20F6" w:rsidRDefault="000A20F6" w:rsidP="005E5DD0">
      <w:pPr>
        <w:jc w:val="both"/>
        <w:rPr>
          <w:rFonts w:cs="Arial"/>
          <w:sz w:val="23"/>
          <w:szCs w:val="23"/>
        </w:rPr>
      </w:pPr>
      <w:r w:rsidRPr="000A20F6">
        <w:rPr>
          <w:rFonts w:cs="Arial"/>
          <w:sz w:val="23"/>
          <w:szCs w:val="23"/>
        </w:rPr>
        <w:t>The 2 Local Resilience For</w:t>
      </w:r>
      <w:r w:rsidR="00BE05DD">
        <w:rPr>
          <w:rFonts w:cs="Arial"/>
          <w:sz w:val="23"/>
          <w:szCs w:val="23"/>
        </w:rPr>
        <w:t>ums</w:t>
      </w:r>
      <w:r w:rsidRPr="000A20F6">
        <w:rPr>
          <w:rFonts w:cs="Arial"/>
          <w:sz w:val="23"/>
          <w:szCs w:val="23"/>
        </w:rPr>
        <w:t xml:space="preserve"> within the Humber and North Yorkshire require contributions from each Category One responder to resource the secretariat functions and wider programmes of training, exercising or work programme requirements.</w:t>
      </w:r>
    </w:p>
    <w:p w14:paraId="1D03CE32" w14:textId="77777777" w:rsidR="00D956D3" w:rsidRPr="000A20F6" w:rsidRDefault="00D956D3" w:rsidP="005E5DD0">
      <w:pPr>
        <w:jc w:val="both"/>
        <w:rPr>
          <w:rFonts w:cs="Arial"/>
          <w:sz w:val="23"/>
          <w:szCs w:val="23"/>
        </w:rPr>
      </w:pPr>
    </w:p>
    <w:p w14:paraId="6DF89D40" w14:textId="616FE07B" w:rsidR="000A20F6" w:rsidRPr="000A20F6" w:rsidRDefault="000A20F6" w:rsidP="005E5DD0">
      <w:pPr>
        <w:jc w:val="both"/>
        <w:rPr>
          <w:rFonts w:cs="Arial"/>
          <w:sz w:val="23"/>
          <w:szCs w:val="23"/>
        </w:rPr>
      </w:pPr>
      <w:r w:rsidRPr="000A20F6">
        <w:rPr>
          <w:rFonts w:cs="Arial"/>
          <w:sz w:val="23"/>
          <w:szCs w:val="23"/>
        </w:rPr>
        <w:t xml:space="preserve">The ICB will finance these contributions on behalf of </w:t>
      </w:r>
      <w:r w:rsidR="00BB2B94">
        <w:rPr>
          <w:rFonts w:cs="Arial"/>
          <w:sz w:val="23"/>
          <w:szCs w:val="23"/>
        </w:rPr>
        <w:t xml:space="preserve">the </w:t>
      </w:r>
      <w:r w:rsidRPr="000A20F6">
        <w:rPr>
          <w:rFonts w:cs="Arial"/>
          <w:sz w:val="23"/>
          <w:szCs w:val="23"/>
        </w:rPr>
        <w:t>wider health (excluding Ambulance Services who pay independently as a blue-light organisation)</w:t>
      </w:r>
      <w:r w:rsidR="00BB2B94">
        <w:rPr>
          <w:rFonts w:cs="Arial"/>
          <w:sz w:val="23"/>
          <w:szCs w:val="23"/>
        </w:rPr>
        <w:t xml:space="preserve"> organisations within their footprint.</w:t>
      </w:r>
    </w:p>
    <w:p w14:paraId="2C2D10B6" w14:textId="77777777" w:rsidR="000A20F6" w:rsidRDefault="000A20F6" w:rsidP="000A20F6">
      <w:pPr>
        <w:rPr>
          <w:rFonts w:cs="Arial"/>
          <w:sz w:val="23"/>
          <w:szCs w:val="23"/>
        </w:rPr>
      </w:pPr>
    </w:p>
    <w:p w14:paraId="530D3CFE" w14:textId="293332B5" w:rsidR="000A20F6" w:rsidRPr="000A20F6" w:rsidRDefault="000A20F6" w:rsidP="005E5DD0">
      <w:pPr>
        <w:jc w:val="both"/>
        <w:rPr>
          <w:rFonts w:cs="Arial"/>
          <w:sz w:val="23"/>
          <w:szCs w:val="23"/>
        </w:rPr>
      </w:pPr>
      <w:r w:rsidRPr="000A20F6">
        <w:rPr>
          <w:rFonts w:cs="Arial"/>
          <w:sz w:val="23"/>
          <w:szCs w:val="23"/>
        </w:rPr>
        <w:t>This agreement should be discussed and recorded annually through the Local Health Resilience Partnership.</w:t>
      </w:r>
    </w:p>
    <w:p w14:paraId="4D889F57" w14:textId="77777777" w:rsidR="000A20F6" w:rsidRPr="000A20F6" w:rsidRDefault="000A20F6" w:rsidP="000A20F6">
      <w:pPr>
        <w:pStyle w:val="Heading2"/>
        <w:numPr>
          <w:ilvl w:val="0"/>
          <w:numId w:val="0"/>
        </w:numPr>
        <w:ind w:left="851" w:hanging="851"/>
        <w:rPr>
          <w:color w:val="365F91" w:themeColor="accent1" w:themeShade="BF"/>
          <w:sz w:val="23"/>
          <w:szCs w:val="23"/>
        </w:rPr>
      </w:pPr>
      <w:bookmarkStart w:id="85" w:name="_Toc101269388"/>
      <w:bookmarkStart w:id="86" w:name="_Hlk160185595"/>
      <w:r w:rsidRPr="000A20F6">
        <w:rPr>
          <w:color w:val="365F91" w:themeColor="accent1" w:themeShade="BF"/>
          <w:sz w:val="23"/>
          <w:szCs w:val="23"/>
        </w:rPr>
        <w:t>Financing Health Protection Incidents</w:t>
      </w:r>
      <w:bookmarkEnd w:id="85"/>
    </w:p>
    <w:p w14:paraId="0D55A819" w14:textId="154D027A" w:rsidR="000A20F6" w:rsidRPr="000A20F6" w:rsidRDefault="000A20F6" w:rsidP="005E5DD0">
      <w:pPr>
        <w:jc w:val="both"/>
        <w:rPr>
          <w:rFonts w:cs="Arial"/>
          <w:sz w:val="23"/>
          <w:szCs w:val="23"/>
        </w:rPr>
      </w:pPr>
      <w:r w:rsidRPr="00907171">
        <w:rPr>
          <w:rFonts w:cs="Arial"/>
          <w:sz w:val="23"/>
          <w:szCs w:val="23"/>
        </w:rPr>
        <w:t xml:space="preserve">Outside of </w:t>
      </w:r>
      <w:r w:rsidR="007B54CE">
        <w:rPr>
          <w:rFonts w:cs="Arial"/>
          <w:sz w:val="23"/>
          <w:szCs w:val="23"/>
        </w:rPr>
        <w:t>any</w:t>
      </w:r>
      <w:r w:rsidRPr="00907171">
        <w:rPr>
          <w:rFonts w:cs="Arial"/>
          <w:sz w:val="23"/>
          <w:szCs w:val="23"/>
        </w:rPr>
        <w:t xml:space="preserve"> agreements outlined for responding to generic incidents, the </w:t>
      </w:r>
      <w:r w:rsidR="007B54CE">
        <w:rPr>
          <w:rFonts w:cs="Arial"/>
          <w:sz w:val="23"/>
          <w:szCs w:val="23"/>
        </w:rPr>
        <w:t xml:space="preserve">ICB continued to recognise pre-existing agreements around funding provision for </w:t>
      </w:r>
      <w:r w:rsidRPr="00907171">
        <w:rPr>
          <w:rFonts w:cs="Arial"/>
          <w:sz w:val="23"/>
          <w:szCs w:val="23"/>
        </w:rPr>
        <w:t xml:space="preserve">health protection incidents and outbreaks in order to safeguard </w:t>
      </w:r>
      <w:r w:rsidR="00A700C1">
        <w:rPr>
          <w:rFonts w:cs="Arial"/>
          <w:sz w:val="23"/>
          <w:szCs w:val="23"/>
        </w:rPr>
        <w:t>the</w:t>
      </w:r>
      <w:r w:rsidR="00A700C1" w:rsidRPr="00907171">
        <w:rPr>
          <w:rFonts w:cs="Arial"/>
          <w:sz w:val="23"/>
          <w:szCs w:val="23"/>
        </w:rPr>
        <w:t xml:space="preserve"> </w:t>
      </w:r>
      <w:r w:rsidRPr="00907171">
        <w:rPr>
          <w:rFonts w:cs="Arial"/>
          <w:sz w:val="23"/>
          <w:szCs w:val="23"/>
        </w:rPr>
        <w:t>response to outbreaks within the ICB (or the wider region).</w:t>
      </w:r>
    </w:p>
    <w:p w14:paraId="1EB1DB2B" w14:textId="77777777" w:rsidR="000A20F6" w:rsidRDefault="000A20F6" w:rsidP="005E5DD0">
      <w:pPr>
        <w:jc w:val="both"/>
        <w:rPr>
          <w:rFonts w:cs="Arial"/>
          <w:sz w:val="23"/>
          <w:szCs w:val="23"/>
        </w:rPr>
      </w:pPr>
    </w:p>
    <w:p w14:paraId="2A1E723E" w14:textId="37BC0634" w:rsidR="000A20F6" w:rsidRPr="00FB0740" w:rsidRDefault="000A20F6" w:rsidP="005E5DD0">
      <w:pPr>
        <w:jc w:val="both"/>
        <w:rPr>
          <w:rFonts w:cs="Arial"/>
          <w:sz w:val="23"/>
          <w:szCs w:val="23"/>
        </w:rPr>
      </w:pPr>
      <w:r w:rsidRPr="00FB0740">
        <w:rPr>
          <w:rFonts w:cs="Arial"/>
          <w:sz w:val="23"/>
          <w:szCs w:val="23"/>
        </w:rPr>
        <w:t xml:space="preserve">Health Protection Incidents </w:t>
      </w:r>
      <w:r w:rsidR="007B54CE" w:rsidRPr="00FB0740">
        <w:rPr>
          <w:rFonts w:cs="Arial"/>
          <w:sz w:val="23"/>
          <w:szCs w:val="23"/>
        </w:rPr>
        <w:t>will continue to be funded from three sources:</w:t>
      </w:r>
    </w:p>
    <w:p w14:paraId="6D117FF9" w14:textId="0BC0D344" w:rsidR="000A20F6" w:rsidRPr="00FB0740" w:rsidRDefault="000A20F6" w:rsidP="005E5DD0">
      <w:pPr>
        <w:pStyle w:val="ListParagraph"/>
        <w:numPr>
          <w:ilvl w:val="0"/>
          <w:numId w:val="18"/>
        </w:numPr>
        <w:spacing w:after="200" w:line="276" w:lineRule="auto"/>
        <w:jc w:val="both"/>
        <w:rPr>
          <w:rFonts w:cs="Arial"/>
          <w:sz w:val="23"/>
          <w:szCs w:val="23"/>
        </w:rPr>
      </w:pPr>
      <w:r w:rsidRPr="00FB0740">
        <w:rPr>
          <w:rFonts w:cs="Arial"/>
          <w:sz w:val="23"/>
          <w:szCs w:val="23"/>
        </w:rPr>
        <w:t xml:space="preserve">The </w:t>
      </w:r>
      <w:r w:rsidR="007B54CE" w:rsidRPr="00FB0740">
        <w:rPr>
          <w:rFonts w:cs="Arial"/>
          <w:sz w:val="23"/>
          <w:szCs w:val="23"/>
        </w:rPr>
        <w:t>ICB</w:t>
      </w:r>
      <w:r w:rsidRPr="00FB0740">
        <w:rPr>
          <w:rFonts w:cs="Arial"/>
          <w:sz w:val="23"/>
          <w:szCs w:val="23"/>
        </w:rPr>
        <w:t xml:space="preserve"> in which the outbreak occurs, </w:t>
      </w:r>
    </w:p>
    <w:p w14:paraId="53677049" w14:textId="173AB95C" w:rsidR="000A20F6" w:rsidRPr="00FB0740" w:rsidRDefault="000A20F6" w:rsidP="005E5DD0">
      <w:pPr>
        <w:pStyle w:val="ListParagraph"/>
        <w:numPr>
          <w:ilvl w:val="0"/>
          <w:numId w:val="18"/>
        </w:numPr>
        <w:spacing w:after="200" w:line="276" w:lineRule="auto"/>
        <w:jc w:val="both"/>
        <w:rPr>
          <w:rFonts w:cs="Arial"/>
          <w:sz w:val="23"/>
          <w:szCs w:val="23"/>
        </w:rPr>
      </w:pPr>
      <w:r w:rsidRPr="00FB0740">
        <w:rPr>
          <w:rFonts w:cs="Arial"/>
          <w:sz w:val="23"/>
          <w:szCs w:val="23"/>
        </w:rPr>
        <w:t xml:space="preserve">The Local Authority in which the outbreak occurs </w:t>
      </w:r>
    </w:p>
    <w:p w14:paraId="424B9209" w14:textId="18E89A8C" w:rsidR="000A20F6" w:rsidRPr="00FB0740" w:rsidRDefault="003A44BD" w:rsidP="005E5DD0">
      <w:pPr>
        <w:pStyle w:val="ListParagraph"/>
        <w:numPr>
          <w:ilvl w:val="0"/>
          <w:numId w:val="18"/>
        </w:numPr>
        <w:spacing w:after="200" w:line="276" w:lineRule="auto"/>
        <w:jc w:val="both"/>
        <w:rPr>
          <w:rFonts w:cs="Arial"/>
          <w:sz w:val="23"/>
          <w:szCs w:val="23"/>
        </w:rPr>
      </w:pPr>
      <w:r w:rsidRPr="00FB0740">
        <w:rPr>
          <w:rFonts w:cs="Arial"/>
          <w:sz w:val="23"/>
          <w:szCs w:val="23"/>
        </w:rPr>
        <w:t>NHS England’s directly commissioned Vaccination and Immunisation Team and UK Health Security Agency (UKHSA) to the extent that their specialist services are utilised</w:t>
      </w:r>
      <w:r w:rsidR="000A20F6" w:rsidRPr="00FB0740">
        <w:rPr>
          <w:rFonts w:cs="Arial"/>
          <w:sz w:val="23"/>
          <w:szCs w:val="23"/>
        </w:rPr>
        <w:t xml:space="preserve">. </w:t>
      </w:r>
    </w:p>
    <w:p w14:paraId="60014FBF" w14:textId="54E89EB9" w:rsidR="00BB431E" w:rsidRPr="00F868D4" w:rsidRDefault="00907171" w:rsidP="005E5DD0">
      <w:pPr>
        <w:jc w:val="both"/>
        <w:rPr>
          <w:sz w:val="23"/>
          <w:szCs w:val="23"/>
        </w:rPr>
      </w:pPr>
      <w:r w:rsidRPr="00F868D4">
        <w:rPr>
          <w:sz w:val="23"/>
          <w:szCs w:val="23"/>
        </w:rPr>
        <w:t xml:space="preserve">This </w:t>
      </w:r>
      <w:r w:rsidR="003A44BD" w:rsidRPr="00F868D4">
        <w:rPr>
          <w:sz w:val="23"/>
          <w:szCs w:val="23"/>
        </w:rPr>
        <w:t xml:space="preserve">approach </w:t>
      </w:r>
      <w:r w:rsidRPr="00F868D4">
        <w:rPr>
          <w:sz w:val="23"/>
          <w:szCs w:val="23"/>
        </w:rPr>
        <w:t>should be signed off by the ICB Executive as part of its readiness to operate principles and be discussed and recorded annually as part of their annual assurance process</w:t>
      </w:r>
      <w:bookmarkEnd w:id="86"/>
      <w:r w:rsidRPr="00F868D4">
        <w:rPr>
          <w:sz w:val="23"/>
          <w:szCs w:val="23"/>
        </w:rPr>
        <w:t>.</w:t>
      </w:r>
    </w:p>
    <w:p w14:paraId="4805EC0A" w14:textId="77777777" w:rsidR="000A20F6" w:rsidRPr="007A490F" w:rsidRDefault="000A20F6" w:rsidP="00BB431E">
      <w:pPr>
        <w:pStyle w:val="Heading1"/>
        <w:rPr>
          <w:szCs w:val="24"/>
        </w:rPr>
      </w:pPr>
      <w:bookmarkStart w:id="87" w:name="_Toc100902656"/>
      <w:bookmarkStart w:id="88" w:name="_Toc100902797"/>
      <w:bookmarkStart w:id="89" w:name="_Toc101269389"/>
      <w:bookmarkStart w:id="90" w:name="_Toc160047258"/>
      <w:r w:rsidRPr="007A490F">
        <w:rPr>
          <w:szCs w:val="24"/>
        </w:rPr>
        <w:t>Business Continuity</w:t>
      </w:r>
      <w:bookmarkEnd w:id="87"/>
      <w:bookmarkEnd w:id="88"/>
      <w:bookmarkEnd w:id="89"/>
      <w:bookmarkEnd w:id="90"/>
    </w:p>
    <w:p w14:paraId="0F680067" w14:textId="0D5E641D" w:rsidR="000A20F6" w:rsidRPr="007A490F" w:rsidRDefault="000A20F6" w:rsidP="005E5DD0">
      <w:pPr>
        <w:jc w:val="both"/>
        <w:rPr>
          <w:rFonts w:cs="Arial"/>
          <w:sz w:val="23"/>
          <w:szCs w:val="23"/>
        </w:rPr>
      </w:pPr>
      <w:r w:rsidRPr="007A490F">
        <w:rPr>
          <w:rFonts w:cs="Arial"/>
          <w:sz w:val="23"/>
          <w:szCs w:val="23"/>
        </w:rPr>
        <w:t xml:space="preserve">Within Humber and North Yorkshire </w:t>
      </w:r>
      <w:r w:rsidR="0036581F" w:rsidRPr="007A490F">
        <w:rPr>
          <w:rFonts w:cs="Arial"/>
          <w:sz w:val="23"/>
          <w:szCs w:val="23"/>
        </w:rPr>
        <w:t xml:space="preserve">ICB </w:t>
      </w:r>
      <w:r w:rsidRPr="007A490F">
        <w:rPr>
          <w:rFonts w:cs="Arial"/>
          <w:sz w:val="23"/>
          <w:szCs w:val="23"/>
        </w:rPr>
        <w:t>Business Continuity sits within the Corporate Directorate</w:t>
      </w:r>
      <w:r w:rsidR="004A7905" w:rsidRPr="007A490F">
        <w:rPr>
          <w:rFonts w:cs="Arial"/>
          <w:sz w:val="23"/>
          <w:szCs w:val="23"/>
        </w:rPr>
        <w:t>.</w:t>
      </w:r>
    </w:p>
    <w:p w14:paraId="5274467B" w14:textId="77777777" w:rsidR="004A7905" w:rsidRPr="007A490F" w:rsidRDefault="004A7905" w:rsidP="005E5DD0">
      <w:pPr>
        <w:jc w:val="both"/>
        <w:rPr>
          <w:rFonts w:cs="Arial"/>
          <w:sz w:val="23"/>
          <w:szCs w:val="23"/>
        </w:rPr>
      </w:pPr>
    </w:p>
    <w:p w14:paraId="23E419D4" w14:textId="36C7D3FB" w:rsidR="000A20F6" w:rsidRPr="007A490F" w:rsidRDefault="000A20F6" w:rsidP="005E5DD0">
      <w:pPr>
        <w:jc w:val="both"/>
        <w:rPr>
          <w:rFonts w:cs="Arial"/>
          <w:sz w:val="23"/>
          <w:szCs w:val="23"/>
        </w:rPr>
      </w:pPr>
      <w:r w:rsidRPr="007A490F">
        <w:rPr>
          <w:rFonts w:cs="Arial"/>
          <w:sz w:val="23"/>
          <w:szCs w:val="23"/>
        </w:rPr>
        <w:lastRenderedPageBreak/>
        <w:t xml:space="preserve">As such the </w:t>
      </w:r>
      <w:r w:rsidR="0036581F" w:rsidRPr="007A490F">
        <w:rPr>
          <w:rFonts w:cs="Arial"/>
          <w:sz w:val="23"/>
          <w:szCs w:val="23"/>
        </w:rPr>
        <w:t xml:space="preserve">differing </w:t>
      </w:r>
      <w:r w:rsidRPr="007A490F">
        <w:rPr>
          <w:rFonts w:cs="Arial"/>
          <w:sz w:val="23"/>
          <w:szCs w:val="23"/>
        </w:rPr>
        <w:t>responsibilit</w:t>
      </w:r>
      <w:r w:rsidR="0036581F" w:rsidRPr="007A490F">
        <w:rPr>
          <w:rFonts w:cs="Arial"/>
          <w:sz w:val="23"/>
          <w:szCs w:val="23"/>
        </w:rPr>
        <w:t>ies</w:t>
      </w:r>
      <w:r w:rsidRPr="007A490F">
        <w:rPr>
          <w:rFonts w:cs="Arial"/>
          <w:sz w:val="23"/>
          <w:szCs w:val="23"/>
        </w:rPr>
        <w:t xml:space="preserve"> for Business Continuity </w:t>
      </w:r>
      <w:r w:rsidR="0036581F" w:rsidRPr="007A490F">
        <w:rPr>
          <w:rFonts w:cs="Arial"/>
          <w:sz w:val="23"/>
          <w:szCs w:val="23"/>
        </w:rPr>
        <w:t xml:space="preserve">is split between two teams, with the Corporate Team leading on the development and implementation of the </w:t>
      </w:r>
      <w:r w:rsidR="002B07C4" w:rsidRPr="007A490F">
        <w:rPr>
          <w:rFonts w:cs="Arial"/>
          <w:sz w:val="23"/>
          <w:szCs w:val="23"/>
        </w:rPr>
        <w:t>I</w:t>
      </w:r>
      <w:r w:rsidR="0036581F" w:rsidRPr="007A490F">
        <w:rPr>
          <w:rFonts w:cs="Arial"/>
          <w:sz w:val="23"/>
          <w:szCs w:val="23"/>
        </w:rPr>
        <w:t xml:space="preserve">CB business continuity plan/arrangements and the EPRR Team, part of the Operational Directorate, being responsible for assuring the plans, systems and processes put in place. Jointly this delivers the core standards outlined around business </w:t>
      </w:r>
      <w:r w:rsidR="002B07C4" w:rsidRPr="007A490F">
        <w:rPr>
          <w:rFonts w:cs="Arial"/>
          <w:sz w:val="23"/>
          <w:szCs w:val="23"/>
        </w:rPr>
        <w:t>continuity</w:t>
      </w:r>
      <w:r w:rsidR="0036581F" w:rsidRPr="007A490F">
        <w:rPr>
          <w:rFonts w:cs="Arial"/>
          <w:sz w:val="23"/>
          <w:szCs w:val="23"/>
        </w:rPr>
        <w:t>.</w:t>
      </w:r>
    </w:p>
    <w:p w14:paraId="34A00BB2" w14:textId="77777777" w:rsidR="000A20F6" w:rsidRDefault="000A20F6" w:rsidP="005E5DD0">
      <w:pPr>
        <w:jc w:val="both"/>
        <w:rPr>
          <w:rFonts w:cs="Arial"/>
          <w:sz w:val="23"/>
          <w:szCs w:val="23"/>
        </w:rPr>
      </w:pPr>
    </w:p>
    <w:p w14:paraId="00BFAC84" w14:textId="003BA6EB" w:rsidR="000A20F6" w:rsidRPr="000A20F6" w:rsidRDefault="000A20F6" w:rsidP="005E5DD0">
      <w:pPr>
        <w:jc w:val="both"/>
        <w:rPr>
          <w:rFonts w:cs="Arial"/>
          <w:sz w:val="23"/>
          <w:szCs w:val="23"/>
        </w:rPr>
      </w:pPr>
      <w:r w:rsidRPr="002B07C4">
        <w:rPr>
          <w:rFonts w:cs="Arial"/>
          <w:b/>
          <w:bCs/>
          <w:i/>
          <w:iCs/>
          <w:sz w:val="23"/>
          <w:szCs w:val="23"/>
        </w:rPr>
        <w:t>Corporate Team</w:t>
      </w:r>
      <w:r w:rsidR="0036581F" w:rsidRPr="002B07C4">
        <w:rPr>
          <w:rFonts w:cs="Arial"/>
          <w:b/>
          <w:bCs/>
          <w:i/>
          <w:iCs/>
          <w:sz w:val="23"/>
          <w:szCs w:val="23"/>
        </w:rPr>
        <w:t xml:space="preserve"> Responsibilities</w:t>
      </w:r>
      <w:r w:rsidR="002B07C4">
        <w:rPr>
          <w:rFonts w:cs="Arial"/>
          <w:sz w:val="23"/>
          <w:szCs w:val="23"/>
        </w:rPr>
        <w:t xml:space="preserve"> – oversight/development of internal ICB Business Continuity Planning</w:t>
      </w:r>
      <w:r w:rsidRPr="000A20F6">
        <w:rPr>
          <w:rFonts w:cs="Arial"/>
          <w:sz w:val="23"/>
          <w:szCs w:val="23"/>
        </w:rPr>
        <w:t>:</w:t>
      </w:r>
    </w:p>
    <w:p w14:paraId="5449F6E7" w14:textId="6A91DE79" w:rsidR="000A20F6" w:rsidRPr="000A20F6" w:rsidRDefault="0036581F" w:rsidP="005E5DD0">
      <w:pPr>
        <w:pStyle w:val="ListParagraph"/>
        <w:numPr>
          <w:ilvl w:val="0"/>
          <w:numId w:val="19"/>
        </w:numPr>
        <w:spacing w:after="200" w:line="276" w:lineRule="auto"/>
        <w:jc w:val="both"/>
        <w:rPr>
          <w:rFonts w:cs="Arial"/>
          <w:sz w:val="23"/>
          <w:szCs w:val="23"/>
        </w:rPr>
      </w:pPr>
      <w:r>
        <w:rPr>
          <w:rFonts w:cs="Arial"/>
          <w:sz w:val="23"/>
          <w:szCs w:val="23"/>
        </w:rPr>
        <w:t xml:space="preserve">Internal ICB Business </w:t>
      </w:r>
      <w:r w:rsidR="000A20F6" w:rsidRPr="000A20F6">
        <w:rPr>
          <w:rFonts w:cs="Arial"/>
          <w:sz w:val="23"/>
          <w:szCs w:val="23"/>
        </w:rPr>
        <w:t>Continuity</w:t>
      </w:r>
      <w:r>
        <w:rPr>
          <w:rFonts w:cs="Arial"/>
          <w:sz w:val="23"/>
          <w:szCs w:val="23"/>
        </w:rPr>
        <w:t xml:space="preserve"> Planning</w:t>
      </w:r>
      <w:r w:rsidR="000A20F6" w:rsidRPr="000A20F6">
        <w:rPr>
          <w:rFonts w:cs="Arial"/>
          <w:sz w:val="23"/>
          <w:szCs w:val="23"/>
        </w:rPr>
        <w:t xml:space="preserve"> – </w:t>
      </w:r>
      <w:r>
        <w:rPr>
          <w:rFonts w:cs="Arial"/>
          <w:sz w:val="23"/>
          <w:szCs w:val="23"/>
        </w:rPr>
        <w:t xml:space="preserve">Leading and supporting </w:t>
      </w:r>
      <w:r w:rsidR="002B07C4">
        <w:rPr>
          <w:rFonts w:cs="Arial"/>
          <w:sz w:val="23"/>
          <w:szCs w:val="23"/>
        </w:rPr>
        <w:t>b</w:t>
      </w:r>
      <w:r w:rsidR="000A20F6" w:rsidRPr="000A20F6">
        <w:rPr>
          <w:rFonts w:cs="Arial"/>
          <w:sz w:val="23"/>
          <w:szCs w:val="23"/>
        </w:rPr>
        <w:t xml:space="preserve">usiness </w:t>
      </w:r>
      <w:r w:rsidR="002B07C4">
        <w:rPr>
          <w:rFonts w:cs="Arial"/>
          <w:sz w:val="23"/>
          <w:szCs w:val="23"/>
        </w:rPr>
        <w:t>c</w:t>
      </w:r>
      <w:r>
        <w:rPr>
          <w:rFonts w:cs="Arial"/>
          <w:sz w:val="23"/>
          <w:szCs w:val="23"/>
        </w:rPr>
        <w:t xml:space="preserve">ontinuity </w:t>
      </w:r>
      <w:r w:rsidR="002B07C4">
        <w:rPr>
          <w:rFonts w:cs="Arial"/>
          <w:sz w:val="23"/>
          <w:szCs w:val="23"/>
        </w:rPr>
        <w:t>i</w:t>
      </w:r>
      <w:r w:rsidR="000A20F6" w:rsidRPr="000A20F6">
        <w:rPr>
          <w:rFonts w:cs="Arial"/>
          <w:sz w:val="23"/>
          <w:szCs w:val="23"/>
        </w:rPr>
        <w:t xml:space="preserve">mpact </w:t>
      </w:r>
      <w:r w:rsidR="002B07C4">
        <w:rPr>
          <w:rFonts w:cs="Arial"/>
          <w:sz w:val="23"/>
          <w:szCs w:val="23"/>
        </w:rPr>
        <w:t>a</w:t>
      </w:r>
      <w:r w:rsidR="000A20F6" w:rsidRPr="000A20F6">
        <w:rPr>
          <w:rFonts w:cs="Arial"/>
          <w:sz w:val="23"/>
          <w:szCs w:val="23"/>
        </w:rPr>
        <w:t>nalysis</w:t>
      </w:r>
      <w:r w:rsidR="00457F20">
        <w:rPr>
          <w:rFonts w:cs="Arial"/>
          <w:sz w:val="23"/>
          <w:szCs w:val="23"/>
        </w:rPr>
        <w:t xml:space="preserve"> (including at a strategic level)</w:t>
      </w:r>
      <w:r w:rsidR="000A20F6" w:rsidRPr="000A20F6">
        <w:rPr>
          <w:rFonts w:cs="Arial"/>
          <w:sz w:val="23"/>
          <w:szCs w:val="23"/>
        </w:rPr>
        <w:t xml:space="preserve"> and Business Continuity Plan</w:t>
      </w:r>
      <w:r>
        <w:rPr>
          <w:rFonts w:cs="Arial"/>
          <w:sz w:val="23"/>
          <w:szCs w:val="23"/>
        </w:rPr>
        <w:t>ning</w:t>
      </w:r>
      <w:r w:rsidR="000A20F6" w:rsidRPr="000A20F6">
        <w:rPr>
          <w:rFonts w:cs="Arial"/>
          <w:sz w:val="23"/>
          <w:szCs w:val="23"/>
        </w:rPr>
        <w:t xml:space="preserve"> for the</w:t>
      </w:r>
      <w:r>
        <w:rPr>
          <w:rFonts w:cs="Arial"/>
          <w:sz w:val="23"/>
          <w:szCs w:val="23"/>
        </w:rPr>
        <w:t xml:space="preserve"> ICB</w:t>
      </w:r>
      <w:r w:rsidR="000A20F6" w:rsidRPr="000A20F6">
        <w:rPr>
          <w:rFonts w:cs="Arial"/>
          <w:sz w:val="23"/>
          <w:szCs w:val="23"/>
        </w:rPr>
        <w:t xml:space="preserve"> </w:t>
      </w:r>
      <w:r>
        <w:rPr>
          <w:rFonts w:cs="Arial"/>
          <w:sz w:val="23"/>
          <w:szCs w:val="23"/>
        </w:rPr>
        <w:t>from both an organisational team and a subject matter perspective to ensure that the ICB can continue to deliver it’s core functions at times of compromised</w:t>
      </w:r>
      <w:r w:rsidR="002B07C4">
        <w:rPr>
          <w:rFonts w:cs="Arial"/>
          <w:sz w:val="23"/>
          <w:szCs w:val="23"/>
        </w:rPr>
        <w:t xml:space="preserve"> operating scenarios</w:t>
      </w:r>
    </w:p>
    <w:p w14:paraId="3491E98A" w14:textId="4FE7A32F" w:rsidR="000A20F6" w:rsidRPr="000A20F6" w:rsidRDefault="002B07C4" w:rsidP="005E5DD0">
      <w:pPr>
        <w:pStyle w:val="ListParagraph"/>
        <w:numPr>
          <w:ilvl w:val="0"/>
          <w:numId w:val="19"/>
        </w:numPr>
        <w:spacing w:after="200" w:line="276" w:lineRule="auto"/>
        <w:jc w:val="both"/>
        <w:rPr>
          <w:rFonts w:cs="Arial"/>
          <w:sz w:val="23"/>
          <w:szCs w:val="23"/>
        </w:rPr>
      </w:pPr>
      <w:r>
        <w:rPr>
          <w:rFonts w:cs="Arial"/>
          <w:sz w:val="23"/>
          <w:szCs w:val="23"/>
        </w:rPr>
        <w:t>Supporting the wider ICB during b</w:t>
      </w:r>
      <w:r w:rsidR="000A20F6" w:rsidRPr="000A20F6">
        <w:rPr>
          <w:rFonts w:cs="Arial"/>
          <w:sz w:val="23"/>
          <w:szCs w:val="23"/>
        </w:rPr>
        <w:t>usiness Continuity Incidents</w:t>
      </w:r>
      <w:r>
        <w:rPr>
          <w:rFonts w:cs="Arial"/>
          <w:sz w:val="23"/>
          <w:szCs w:val="23"/>
        </w:rPr>
        <w:t xml:space="preserve"> affecting ICB organisational ability to deliver internal services</w:t>
      </w:r>
    </w:p>
    <w:p w14:paraId="5CB92E78" w14:textId="78B33232" w:rsidR="000A20F6" w:rsidRPr="000A20F6" w:rsidRDefault="002B07C4" w:rsidP="005E5DD0">
      <w:pPr>
        <w:pStyle w:val="ListParagraph"/>
        <w:numPr>
          <w:ilvl w:val="0"/>
          <w:numId w:val="19"/>
        </w:numPr>
        <w:spacing w:after="200" w:line="276" w:lineRule="auto"/>
        <w:jc w:val="both"/>
        <w:rPr>
          <w:rFonts w:cs="Arial"/>
          <w:sz w:val="23"/>
          <w:szCs w:val="23"/>
        </w:rPr>
      </w:pPr>
      <w:r>
        <w:rPr>
          <w:rFonts w:cs="Arial"/>
          <w:sz w:val="23"/>
          <w:szCs w:val="23"/>
        </w:rPr>
        <w:t xml:space="preserve">Internal </w:t>
      </w:r>
      <w:r w:rsidR="000A20F6" w:rsidRPr="000A20F6">
        <w:rPr>
          <w:rFonts w:cs="Arial"/>
          <w:sz w:val="23"/>
          <w:szCs w:val="23"/>
        </w:rPr>
        <w:t>Business Continuity Risk</w:t>
      </w:r>
      <w:r>
        <w:rPr>
          <w:rFonts w:cs="Arial"/>
          <w:sz w:val="23"/>
          <w:szCs w:val="23"/>
        </w:rPr>
        <w:t xml:space="preserve"> Assessment – identifying, reviewing and responding to identified operational risks within the ICB</w:t>
      </w:r>
    </w:p>
    <w:p w14:paraId="47389B8B" w14:textId="792BCA0B" w:rsidR="000A20F6" w:rsidRPr="000A20F6" w:rsidRDefault="000A20F6" w:rsidP="005E5DD0">
      <w:pPr>
        <w:jc w:val="both"/>
        <w:rPr>
          <w:rFonts w:cs="Arial"/>
          <w:sz w:val="23"/>
          <w:szCs w:val="23"/>
        </w:rPr>
      </w:pPr>
      <w:r w:rsidRPr="00BB431E">
        <w:rPr>
          <w:rFonts w:cs="Arial"/>
          <w:b/>
          <w:bCs/>
          <w:i/>
          <w:iCs/>
          <w:sz w:val="23"/>
          <w:szCs w:val="23"/>
        </w:rPr>
        <w:t>EPRR Team</w:t>
      </w:r>
      <w:r w:rsidR="002B07C4" w:rsidRPr="00BB431E">
        <w:rPr>
          <w:rFonts w:cs="Arial"/>
          <w:b/>
          <w:bCs/>
          <w:i/>
          <w:iCs/>
          <w:sz w:val="23"/>
          <w:szCs w:val="23"/>
        </w:rPr>
        <w:t xml:space="preserve"> (Operational Team)</w:t>
      </w:r>
      <w:r w:rsidR="002B07C4">
        <w:rPr>
          <w:rFonts w:cs="Arial"/>
          <w:sz w:val="23"/>
          <w:szCs w:val="23"/>
        </w:rPr>
        <w:t xml:space="preserve"> – assurance, exercising and training</w:t>
      </w:r>
    </w:p>
    <w:p w14:paraId="61B3F730" w14:textId="1A360F2C" w:rsidR="000A20F6" w:rsidRDefault="002B07C4" w:rsidP="005E5DD0">
      <w:pPr>
        <w:pStyle w:val="ListParagraph"/>
        <w:numPr>
          <w:ilvl w:val="0"/>
          <w:numId w:val="19"/>
        </w:numPr>
        <w:spacing w:after="200" w:line="276" w:lineRule="auto"/>
        <w:jc w:val="both"/>
        <w:rPr>
          <w:rFonts w:cs="Arial"/>
          <w:sz w:val="23"/>
          <w:szCs w:val="23"/>
        </w:rPr>
      </w:pPr>
      <w:r>
        <w:rPr>
          <w:rFonts w:cs="Arial"/>
          <w:sz w:val="23"/>
          <w:szCs w:val="23"/>
        </w:rPr>
        <w:t xml:space="preserve">Assurance of internal </w:t>
      </w:r>
      <w:r w:rsidR="000A20F6" w:rsidRPr="000A20F6">
        <w:rPr>
          <w:rFonts w:cs="Arial"/>
          <w:sz w:val="23"/>
          <w:szCs w:val="23"/>
        </w:rPr>
        <w:t xml:space="preserve">Business Continuity </w:t>
      </w:r>
      <w:r>
        <w:rPr>
          <w:rFonts w:cs="Arial"/>
          <w:sz w:val="23"/>
          <w:szCs w:val="23"/>
        </w:rPr>
        <w:t>systems and processes</w:t>
      </w:r>
      <w:r w:rsidR="000A20F6" w:rsidRPr="000A20F6">
        <w:rPr>
          <w:rFonts w:cs="Arial"/>
          <w:sz w:val="23"/>
          <w:szCs w:val="23"/>
        </w:rPr>
        <w:t xml:space="preserve"> – as identified in the EPRR standards and undertaken through the annual EPRR assurance process</w:t>
      </w:r>
    </w:p>
    <w:p w14:paraId="4E0CDA51" w14:textId="79BC4A84" w:rsidR="00DF19FA" w:rsidRDefault="00DF19FA" w:rsidP="005E5DD0">
      <w:pPr>
        <w:pStyle w:val="ListParagraph"/>
        <w:numPr>
          <w:ilvl w:val="0"/>
          <w:numId w:val="19"/>
        </w:numPr>
        <w:spacing w:after="200" w:line="276" w:lineRule="auto"/>
        <w:jc w:val="both"/>
        <w:rPr>
          <w:rFonts w:cs="Arial"/>
          <w:sz w:val="23"/>
          <w:szCs w:val="23"/>
        </w:rPr>
      </w:pPr>
      <w:r>
        <w:rPr>
          <w:rFonts w:cs="Arial"/>
          <w:sz w:val="23"/>
          <w:szCs w:val="23"/>
        </w:rPr>
        <w:t xml:space="preserve">Business continuity awareness training – </w:t>
      </w:r>
      <w:r w:rsidR="002B07C4">
        <w:rPr>
          <w:rFonts w:cs="Arial"/>
          <w:sz w:val="23"/>
          <w:szCs w:val="23"/>
        </w:rPr>
        <w:t xml:space="preserve">ensure training needs identified </w:t>
      </w:r>
      <w:r>
        <w:rPr>
          <w:rFonts w:cs="Arial"/>
          <w:sz w:val="23"/>
          <w:szCs w:val="23"/>
        </w:rPr>
        <w:t>as part of the</w:t>
      </w:r>
      <w:r w:rsidR="002B0269">
        <w:rPr>
          <w:rFonts w:cs="Arial"/>
          <w:sz w:val="23"/>
          <w:szCs w:val="23"/>
        </w:rPr>
        <w:t xml:space="preserve"> organisational </w:t>
      </w:r>
      <w:r w:rsidR="002B07C4">
        <w:rPr>
          <w:rFonts w:cs="Arial"/>
          <w:sz w:val="23"/>
          <w:szCs w:val="23"/>
        </w:rPr>
        <w:t xml:space="preserve">EPRR </w:t>
      </w:r>
      <w:r w:rsidR="002B0269">
        <w:rPr>
          <w:rFonts w:cs="Arial"/>
          <w:sz w:val="23"/>
          <w:szCs w:val="23"/>
        </w:rPr>
        <w:t>training needs analysis</w:t>
      </w:r>
      <w:r w:rsidR="002B07C4">
        <w:rPr>
          <w:rFonts w:cs="Arial"/>
          <w:sz w:val="23"/>
          <w:szCs w:val="23"/>
        </w:rPr>
        <w:t xml:space="preserve"> is provided</w:t>
      </w:r>
      <w:r w:rsidR="002B0269">
        <w:rPr>
          <w:rFonts w:cs="Arial"/>
          <w:sz w:val="23"/>
          <w:szCs w:val="23"/>
        </w:rPr>
        <w:t xml:space="preserve"> </w:t>
      </w:r>
    </w:p>
    <w:p w14:paraId="335DEAF4" w14:textId="7B1E0661" w:rsidR="009802B8" w:rsidRDefault="002B07C4" w:rsidP="005E5DD0">
      <w:pPr>
        <w:pStyle w:val="ListParagraph"/>
        <w:numPr>
          <w:ilvl w:val="0"/>
          <w:numId w:val="19"/>
        </w:numPr>
        <w:spacing w:after="200" w:line="276" w:lineRule="auto"/>
        <w:jc w:val="both"/>
        <w:rPr>
          <w:rFonts w:cs="Arial"/>
          <w:sz w:val="23"/>
          <w:szCs w:val="23"/>
        </w:rPr>
      </w:pPr>
      <w:r>
        <w:rPr>
          <w:rFonts w:cs="Arial"/>
          <w:sz w:val="23"/>
          <w:szCs w:val="23"/>
        </w:rPr>
        <w:t>Exercises / Incidents – include business continuity impacts in any exercises run by the EPRR Team, recording any lesson’s identified and ensuring that the Corporate Business Continuity Lead is taking steps to address.</w:t>
      </w:r>
      <w:r w:rsidR="00457138">
        <w:rPr>
          <w:rFonts w:cs="Arial"/>
          <w:sz w:val="23"/>
          <w:szCs w:val="23"/>
        </w:rPr>
        <w:t xml:space="preserve"> </w:t>
      </w:r>
    </w:p>
    <w:p w14:paraId="15E77A63" w14:textId="6C4EDC91" w:rsidR="000A20F6" w:rsidRPr="007A490F" w:rsidRDefault="000A20F6" w:rsidP="000A20F6">
      <w:pPr>
        <w:rPr>
          <w:rFonts w:eastAsia="Calibri"/>
          <w:sz w:val="22"/>
          <w:szCs w:val="22"/>
        </w:rPr>
      </w:pPr>
    </w:p>
    <w:p w14:paraId="20B31BEB" w14:textId="5D789E07" w:rsidR="00D713FA" w:rsidRPr="007A490F" w:rsidRDefault="00D713FA" w:rsidP="00254132">
      <w:pPr>
        <w:pStyle w:val="Heading1"/>
        <w:spacing w:before="0"/>
        <w:rPr>
          <w:szCs w:val="24"/>
        </w:rPr>
      </w:pPr>
      <w:bookmarkStart w:id="91" w:name="_Toc89425738"/>
      <w:bookmarkStart w:id="92" w:name="_Toc89425810"/>
      <w:bookmarkStart w:id="93" w:name="_Toc89425997"/>
      <w:bookmarkStart w:id="94" w:name="_Toc89426239"/>
      <w:bookmarkStart w:id="95" w:name="_Toc2001346411"/>
      <w:bookmarkStart w:id="96" w:name="_Toc1363986820"/>
      <w:bookmarkStart w:id="97" w:name="_Toc160047259"/>
      <w:bookmarkEnd w:id="49"/>
      <w:bookmarkEnd w:id="50"/>
      <w:bookmarkEnd w:id="51"/>
      <w:bookmarkEnd w:id="52"/>
      <w:bookmarkEnd w:id="53"/>
      <w:bookmarkEnd w:id="54"/>
      <w:r w:rsidRPr="007A490F">
        <w:rPr>
          <w:szCs w:val="24"/>
        </w:rPr>
        <w:t>Public</w:t>
      </w:r>
      <w:r w:rsidRPr="007A490F">
        <w:rPr>
          <w:spacing w:val="-7"/>
          <w:szCs w:val="24"/>
        </w:rPr>
        <w:t xml:space="preserve"> </w:t>
      </w:r>
      <w:r w:rsidRPr="007A490F">
        <w:rPr>
          <w:szCs w:val="24"/>
        </w:rPr>
        <w:t>Sector</w:t>
      </w:r>
      <w:r w:rsidRPr="007A490F">
        <w:rPr>
          <w:spacing w:val="-8"/>
          <w:szCs w:val="24"/>
        </w:rPr>
        <w:t xml:space="preserve"> </w:t>
      </w:r>
      <w:r w:rsidRPr="007A490F">
        <w:rPr>
          <w:szCs w:val="24"/>
        </w:rPr>
        <w:t>E</w:t>
      </w:r>
      <w:r w:rsidRPr="007A490F">
        <w:rPr>
          <w:spacing w:val="1"/>
          <w:szCs w:val="24"/>
        </w:rPr>
        <w:t>q</w:t>
      </w:r>
      <w:r w:rsidRPr="007A490F">
        <w:rPr>
          <w:szCs w:val="24"/>
        </w:rPr>
        <w:t>ual</w:t>
      </w:r>
      <w:r w:rsidRPr="007A490F">
        <w:rPr>
          <w:spacing w:val="1"/>
          <w:szCs w:val="24"/>
        </w:rPr>
        <w:t>i</w:t>
      </w:r>
      <w:r w:rsidRPr="007A490F">
        <w:rPr>
          <w:szCs w:val="24"/>
        </w:rPr>
        <w:t>ty</w:t>
      </w:r>
      <w:r w:rsidRPr="007A490F">
        <w:rPr>
          <w:spacing w:val="-8"/>
          <w:szCs w:val="24"/>
        </w:rPr>
        <w:t xml:space="preserve"> </w:t>
      </w:r>
      <w:r w:rsidRPr="007A490F">
        <w:rPr>
          <w:szCs w:val="24"/>
        </w:rPr>
        <w:t>Duty</w:t>
      </w:r>
      <w:bookmarkEnd w:id="91"/>
      <w:bookmarkEnd w:id="92"/>
      <w:bookmarkEnd w:id="93"/>
      <w:bookmarkEnd w:id="94"/>
      <w:bookmarkEnd w:id="95"/>
      <w:bookmarkEnd w:id="96"/>
      <w:bookmarkEnd w:id="97"/>
    </w:p>
    <w:p w14:paraId="1242DCEB" w14:textId="57C17B36" w:rsidR="00D713FA" w:rsidRPr="002F58D0" w:rsidRDefault="004F545C" w:rsidP="005E5DD0">
      <w:pPr>
        <w:pStyle w:val="BodyText"/>
        <w:spacing w:before="0"/>
        <w:ind w:left="0"/>
        <w:jc w:val="both"/>
        <w:rPr>
          <w:b/>
          <w:sz w:val="23"/>
          <w:szCs w:val="23"/>
        </w:rPr>
      </w:pPr>
      <w:r w:rsidRPr="002F58D0">
        <w:rPr>
          <w:spacing w:val="-1"/>
          <w:sz w:val="23"/>
          <w:szCs w:val="23"/>
        </w:rPr>
        <w:t>Humber and</w:t>
      </w:r>
      <w:r w:rsidR="00D713FA" w:rsidRPr="002F58D0">
        <w:rPr>
          <w:spacing w:val="-3"/>
          <w:sz w:val="23"/>
          <w:szCs w:val="23"/>
        </w:rPr>
        <w:t xml:space="preserve"> </w:t>
      </w:r>
      <w:r w:rsidR="008F174E" w:rsidRPr="002F58D0">
        <w:rPr>
          <w:sz w:val="23"/>
          <w:szCs w:val="23"/>
        </w:rPr>
        <w:t>North Yorkshire</w:t>
      </w:r>
      <w:r w:rsidR="00F20974" w:rsidRPr="002F58D0">
        <w:rPr>
          <w:sz w:val="23"/>
          <w:szCs w:val="23"/>
        </w:rPr>
        <w:t xml:space="preserve"> ICB</w:t>
      </w:r>
      <w:r w:rsidR="008F174E" w:rsidRPr="002F58D0">
        <w:rPr>
          <w:spacing w:val="-4"/>
          <w:sz w:val="23"/>
          <w:szCs w:val="23"/>
        </w:rPr>
        <w:t xml:space="preserve"> </w:t>
      </w:r>
      <w:r w:rsidR="00D713FA" w:rsidRPr="002F58D0">
        <w:rPr>
          <w:sz w:val="23"/>
          <w:szCs w:val="23"/>
        </w:rPr>
        <w:t>aims</w:t>
      </w:r>
      <w:r w:rsidR="00D713FA" w:rsidRPr="002F58D0">
        <w:rPr>
          <w:spacing w:val="-5"/>
          <w:sz w:val="23"/>
          <w:szCs w:val="23"/>
        </w:rPr>
        <w:t xml:space="preserve"> </w:t>
      </w:r>
      <w:r w:rsidR="00D713FA" w:rsidRPr="002F58D0">
        <w:rPr>
          <w:spacing w:val="-1"/>
          <w:sz w:val="23"/>
          <w:szCs w:val="23"/>
        </w:rPr>
        <w:t>t</w:t>
      </w:r>
      <w:r w:rsidR="00D713FA" w:rsidRPr="002F58D0">
        <w:rPr>
          <w:sz w:val="23"/>
          <w:szCs w:val="23"/>
        </w:rPr>
        <w:t>o</w:t>
      </w:r>
      <w:r w:rsidR="00D713FA" w:rsidRPr="002F58D0">
        <w:rPr>
          <w:spacing w:val="-6"/>
          <w:sz w:val="23"/>
          <w:szCs w:val="23"/>
        </w:rPr>
        <w:t xml:space="preserve"> </w:t>
      </w:r>
      <w:r w:rsidR="00D713FA" w:rsidRPr="002F58D0">
        <w:rPr>
          <w:sz w:val="23"/>
          <w:szCs w:val="23"/>
        </w:rPr>
        <w:t>desi</w:t>
      </w:r>
      <w:r w:rsidR="00D713FA" w:rsidRPr="002F58D0">
        <w:rPr>
          <w:spacing w:val="-1"/>
          <w:sz w:val="23"/>
          <w:szCs w:val="23"/>
        </w:rPr>
        <w:t>g</w:t>
      </w:r>
      <w:r w:rsidR="00D713FA" w:rsidRPr="002F58D0">
        <w:rPr>
          <w:sz w:val="23"/>
          <w:szCs w:val="23"/>
        </w:rPr>
        <w:t>n</w:t>
      </w:r>
      <w:r w:rsidR="00D713FA" w:rsidRPr="002F58D0">
        <w:rPr>
          <w:spacing w:val="-5"/>
          <w:sz w:val="23"/>
          <w:szCs w:val="23"/>
        </w:rPr>
        <w:t xml:space="preserve"> </w:t>
      </w:r>
      <w:r w:rsidR="00D713FA" w:rsidRPr="002F58D0">
        <w:rPr>
          <w:sz w:val="23"/>
          <w:szCs w:val="23"/>
        </w:rPr>
        <w:t>and</w:t>
      </w:r>
      <w:r w:rsidR="00D713FA" w:rsidRPr="002F58D0">
        <w:rPr>
          <w:w w:val="99"/>
          <w:sz w:val="23"/>
          <w:szCs w:val="23"/>
        </w:rPr>
        <w:t xml:space="preserve"> </w:t>
      </w:r>
      <w:r w:rsidR="00D713FA" w:rsidRPr="002F58D0">
        <w:rPr>
          <w:sz w:val="23"/>
          <w:szCs w:val="23"/>
        </w:rPr>
        <w:t>imple</w:t>
      </w:r>
      <w:r w:rsidR="00D713FA" w:rsidRPr="002F58D0">
        <w:rPr>
          <w:spacing w:val="-1"/>
          <w:sz w:val="23"/>
          <w:szCs w:val="23"/>
        </w:rPr>
        <w:t>m</w:t>
      </w:r>
      <w:r w:rsidR="00D713FA" w:rsidRPr="002F58D0">
        <w:rPr>
          <w:sz w:val="23"/>
          <w:szCs w:val="23"/>
        </w:rPr>
        <w:t>ent</w:t>
      </w:r>
      <w:r w:rsidR="00D713FA" w:rsidRPr="002F58D0">
        <w:rPr>
          <w:spacing w:val="-7"/>
          <w:sz w:val="23"/>
          <w:szCs w:val="23"/>
        </w:rPr>
        <w:t xml:space="preserve"> </w:t>
      </w:r>
      <w:r w:rsidR="00D713FA" w:rsidRPr="002F58D0">
        <w:rPr>
          <w:sz w:val="23"/>
          <w:szCs w:val="23"/>
        </w:rPr>
        <w:t>s</w:t>
      </w:r>
      <w:r w:rsidR="00D713FA" w:rsidRPr="002F58D0">
        <w:rPr>
          <w:spacing w:val="1"/>
          <w:sz w:val="23"/>
          <w:szCs w:val="23"/>
        </w:rPr>
        <w:t>e</w:t>
      </w:r>
      <w:r w:rsidR="00D713FA" w:rsidRPr="002F58D0">
        <w:rPr>
          <w:sz w:val="23"/>
          <w:szCs w:val="23"/>
        </w:rPr>
        <w:t>rvices,</w:t>
      </w:r>
      <w:r w:rsidR="00D713FA" w:rsidRPr="002F58D0">
        <w:rPr>
          <w:spacing w:val="-7"/>
          <w:sz w:val="23"/>
          <w:szCs w:val="23"/>
        </w:rPr>
        <w:t xml:space="preserve"> </w:t>
      </w:r>
      <w:r w:rsidR="00D713FA" w:rsidRPr="002F58D0">
        <w:rPr>
          <w:sz w:val="23"/>
          <w:szCs w:val="23"/>
        </w:rPr>
        <w:t>policies</w:t>
      </w:r>
      <w:r w:rsidR="00D713FA" w:rsidRPr="002F58D0">
        <w:rPr>
          <w:spacing w:val="-6"/>
          <w:sz w:val="23"/>
          <w:szCs w:val="23"/>
        </w:rPr>
        <w:t xml:space="preserve"> </w:t>
      </w:r>
      <w:r w:rsidR="00D713FA" w:rsidRPr="002F58D0">
        <w:rPr>
          <w:sz w:val="23"/>
          <w:szCs w:val="23"/>
        </w:rPr>
        <w:t>and</w:t>
      </w:r>
      <w:r w:rsidR="00D713FA" w:rsidRPr="002F58D0">
        <w:rPr>
          <w:spacing w:val="-7"/>
          <w:sz w:val="23"/>
          <w:szCs w:val="23"/>
        </w:rPr>
        <w:t xml:space="preserve"> </w:t>
      </w:r>
      <w:r w:rsidR="00D713FA" w:rsidRPr="002F58D0">
        <w:rPr>
          <w:sz w:val="23"/>
          <w:szCs w:val="23"/>
        </w:rPr>
        <w:t>meas</w:t>
      </w:r>
      <w:r w:rsidR="00D713FA" w:rsidRPr="002F58D0">
        <w:rPr>
          <w:spacing w:val="-1"/>
          <w:sz w:val="23"/>
          <w:szCs w:val="23"/>
        </w:rPr>
        <w:t>u</w:t>
      </w:r>
      <w:r w:rsidR="00D713FA" w:rsidRPr="002F58D0">
        <w:rPr>
          <w:sz w:val="23"/>
          <w:szCs w:val="23"/>
        </w:rPr>
        <w:t>res</w:t>
      </w:r>
      <w:r w:rsidR="00D713FA" w:rsidRPr="002F58D0">
        <w:rPr>
          <w:spacing w:val="-6"/>
          <w:sz w:val="23"/>
          <w:szCs w:val="23"/>
        </w:rPr>
        <w:t xml:space="preserve"> </w:t>
      </w:r>
      <w:r w:rsidR="00D713FA" w:rsidRPr="002F58D0">
        <w:rPr>
          <w:sz w:val="23"/>
          <w:szCs w:val="23"/>
        </w:rPr>
        <w:t>that</w:t>
      </w:r>
      <w:r w:rsidR="00D713FA" w:rsidRPr="002F58D0">
        <w:rPr>
          <w:spacing w:val="-7"/>
          <w:sz w:val="23"/>
          <w:szCs w:val="23"/>
        </w:rPr>
        <w:t xml:space="preserve"> </w:t>
      </w:r>
      <w:r w:rsidR="00D713FA" w:rsidRPr="002F58D0">
        <w:rPr>
          <w:spacing w:val="-1"/>
          <w:sz w:val="23"/>
          <w:szCs w:val="23"/>
        </w:rPr>
        <w:t>m</w:t>
      </w:r>
      <w:r w:rsidR="00D713FA" w:rsidRPr="002F58D0">
        <w:rPr>
          <w:spacing w:val="1"/>
          <w:sz w:val="23"/>
          <w:szCs w:val="23"/>
        </w:rPr>
        <w:t>e</w:t>
      </w:r>
      <w:r w:rsidR="00D713FA" w:rsidRPr="002F58D0">
        <w:rPr>
          <w:spacing w:val="-1"/>
          <w:sz w:val="23"/>
          <w:szCs w:val="23"/>
        </w:rPr>
        <w:t>e</w:t>
      </w:r>
      <w:r w:rsidR="00D713FA" w:rsidRPr="002F58D0">
        <w:rPr>
          <w:sz w:val="23"/>
          <w:szCs w:val="23"/>
        </w:rPr>
        <w:t>t</w:t>
      </w:r>
      <w:r w:rsidR="00D713FA" w:rsidRPr="002F58D0">
        <w:rPr>
          <w:spacing w:val="-6"/>
          <w:sz w:val="23"/>
          <w:szCs w:val="23"/>
        </w:rPr>
        <w:t xml:space="preserve"> </w:t>
      </w:r>
      <w:r w:rsidR="00D713FA" w:rsidRPr="002F58D0">
        <w:rPr>
          <w:spacing w:val="-1"/>
          <w:sz w:val="23"/>
          <w:szCs w:val="23"/>
        </w:rPr>
        <w:t>th</w:t>
      </w:r>
      <w:r w:rsidR="00D713FA" w:rsidRPr="002F58D0">
        <w:rPr>
          <w:sz w:val="23"/>
          <w:szCs w:val="23"/>
        </w:rPr>
        <w:t>e</w:t>
      </w:r>
      <w:r w:rsidR="00D713FA" w:rsidRPr="002F58D0">
        <w:rPr>
          <w:spacing w:val="-6"/>
          <w:sz w:val="23"/>
          <w:szCs w:val="23"/>
        </w:rPr>
        <w:t xml:space="preserve"> </w:t>
      </w:r>
      <w:r w:rsidR="00D713FA" w:rsidRPr="002F58D0">
        <w:rPr>
          <w:sz w:val="23"/>
          <w:szCs w:val="23"/>
        </w:rPr>
        <w:t>diverse</w:t>
      </w:r>
      <w:r w:rsidR="00D713FA" w:rsidRPr="002F58D0">
        <w:rPr>
          <w:spacing w:val="-6"/>
          <w:sz w:val="23"/>
          <w:szCs w:val="23"/>
        </w:rPr>
        <w:t xml:space="preserve"> </w:t>
      </w:r>
      <w:r w:rsidR="00D713FA" w:rsidRPr="002F58D0">
        <w:rPr>
          <w:sz w:val="23"/>
          <w:szCs w:val="23"/>
        </w:rPr>
        <w:t>needs</w:t>
      </w:r>
      <w:r w:rsidR="00D713FA" w:rsidRPr="002F58D0">
        <w:rPr>
          <w:spacing w:val="-6"/>
          <w:sz w:val="23"/>
          <w:szCs w:val="23"/>
        </w:rPr>
        <w:t xml:space="preserve"> </w:t>
      </w:r>
      <w:r w:rsidR="00D713FA" w:rsidRPr="002F58D0">
        <w:rPr>
          <w:sz w:val="23"/>
          <w:szCs w:val="23"/>
        </w:rPr>
        <w:t>of</w:t>
      </w:r>
      <w:r w:rsidR="00D713FA" w:rsidRPr="002F58D0">
        <w:rPr>
          <w:spacing w:val="-7"/>
          <w:sz w:val="23"/>
          <w:szCs w:val="23"/>
        </w:rPr>
        <w:t xml:space="preserve"> </w:t>
      </w:r>
      <w:r w:rsidR="005E5DD0">
        <w:rPr>
          <w:spacing w:val="-7"/>
          <w:sz w:val="23"/>
          <w:szCs w:val="23"/>
        </w:rPr>
        <w:t xml:space="preserve">local </w:t>
      </w:r>
      <w:r w:rsidR="00D713FA" w:rsidRPr="002F58D0">
        <w:rPr>
          <w:spacing w:val="1"/>
          <w:sz w:val="23"/>
          <w:szCs w:val="23"/>
        </w:rPr>
        <w:t>s</w:t>
      </w:r>
      <w:r w:rsidR="00D713FA" w:rsidRPr="002F58D0">
        <w:rPr>
          <w:sz w:val="23"/>
          <w:szCs w:val="23"/>
        </w:rPr>
        <w:t>erv</w:t>
      </w:r>
      <w:r w:rsidR="00D713FA" w:rsidRPr="002F58D0">
        <w:rPr>
          <w:spacing w:val="-1"/>
          <w:sz w:val="23"/>
          <w:szCs w:val="23"/>
        </w:rPr>
        <w:t>ic</w:t>
      </w:r>
      <w:r w:rsidR="00D713FA" w:rsidRPr="002F58D0">
        <w:rPr>
          <w:sz w:val="23"/>
          <w:szCs w:val="23"/>
        </w:rPr>
        <w:t>e</w:t>
      </w:r>
      <w:r w:rsidR="005E5DD0">
        <w:rPr>
          <w:sz w:val="23"/>
          <w:szCs w:val="23"/>
        </w:rPr>
        <w:t>s</w:t>
      </w:r>
      <w:r w:rsidR="00D713FA" w:rsidRPr="002F58D0">
        <w:rPr>
          <w:sz w:val="23"/>
          <w:szCs w:val="23"/>
        </w:rPr>
        <w:t>,</w:t>
      </w:r>
      <w:r w:rsidR="00D713FA" w:rsidRPr="002F58D0">
        <w:rPr>
          <w:w w:val="99"/>
          <w:sz w:val="23"/>
          <w:szCs w:val="23"/>
        </w:rPr>
        <w:t xml:space="preserve"> </w:t>
      </w:r>
      <w:r w:rsidR="00D713FA" w:rsidRPr="002F58D0">
        <w:rPr>
          <w:sz w:val="23"/>
          <w:szCs w:val="23"/>
        </w:rPr>
        <w:t>population</w:t>
      </w:r>
      <w:r w:rsidR="005E5DD0">
        <w:rPr>
          <w:sz w:val="23"/>
          <w:szCs w:val="23"/>
        </w:rPr>
        <w:t>s</w:t>
      </w:r>
      <w:r w:rsidR="00D713FA" w:rsidRPr="002F58D0">
        <w:rPr>
          <w:spacing w:val="-7"/>
          <w:sz w:val="23"/>
          <w:szCs w:val="23"/>
        </w:rPr>
        <w:t xml:space="preserve"> </w:t>
      </w:r>
      <w:r w:rsidR="00D713FA" w:rsidRPr="002F58D0">
        <w:rPr>
          <w:spacing w:val="1"/>
          <w:sz w:val="23"/>
          <w:szCs w:val="23"/>
        </w:rPr>
        <w:t>a</w:t>
      </w:r>
      <w:r w:rsidR="00D713FA" w:rsidRPr="002F58D0">
        <w:rPr>
          <w:spacing w:val="-1"/>
          <w:sz w:val="23"/>
          <w:szCs w:val="23"/>
        </w:rPr>
        <w:t>n</w:t>
      </w:r>
      <w:r w:rsidR="00D713FA" w:rsidRPr="002F58D0">
        <w:rPr>
          <w:sz w:val="23"/>
          <w:szCs w:val="23"/>
        </w:rPr>
        <w:t>d</w:t>
      </w:r>
      <w:r w:rsidR="0044438A" w:rsidRPr="002F58D0">
        <w:rPr>
          <w:spacing w:val="-7"/>
          <w:sz w:val="23"/>
          <w:szCs w:val="23"/>
        </w:rPr>
        <w:t xml:space="preserve"> </w:t>
      </w:r>
      <w:r w:rsidR="00D713FA" w:rsidRPr="002F58D0">
        <w:rPr>
          <w:sz w:val="23"/>
          <w:szCs w:val="23"/>
        </w:rPr>
        <w:t>workforce,</w:t>
      </w:r>
      <w:r w:rsidR="00D713FA" w:rsidRPr="002F58D0">
        <w:rPr>
          <w:spacing w:val="-7"/>
          <w:sz w:val="23"/>
          <w:szCs w:val="23"/>
        </w:rPr>
        <w:t xml:space="preserve"> </w:t>
      </w:r>
      <w:r w:rsidR="00D713FA" w:rsidRPr="002F58D0">
        <w:rPr>
          <w:sz w:val="23"/>
          <w:szCs w:val="23"/>
        </w:rPr>
        <w:t>ensuring</w:t>
      </w:r>
      <w:r w:rsidR="00D713FA" w:rsidRPr="002F58D0">
        <w:rPr>
          <w:spacing w:val="-7"/>
          <w:sz w:val="23"/>
          <w:szCs w:val="23"/>
        </w:rPr>
        <w:t xml:space="preserve"> </w:t>
      </w:r>
      <w:r w:rsidR="00D713FA" w:rsidRPr="002F58D0">
        <w:rPr>
          <w:sz w:val="23"/>
          <w:szCs w:val="23"/>
        </w:rPr>
        <w:t>that</w:t>
      </w:r>
      <w:r w:rsidR="00D713FA" w:rsidRPr="002F58D0">
        <w:rPr>
          <w:spacing w:val="-7"/>
          <w:sz w:val="23"/>
          <w:szCs w:val="23"/>
        </w:rPr>
        <w:t xml:space="preserve"> </w:t>
      </w:r>
      <w:r w:rsidR="00D713FA" w:rsidRPr="002F58D0">
        <w:rPr>
          <w:sz w:val="23"/>
          <w:szCs w:val="23"/>
        </w:rPr>
        <w:t>none</w:t>
      </w:r>
      <w:r w:rsidR="00D713FA" w:rsidRPr="002F58D0">
        <w:rPr>
          <w:spacing w:val="-6"/>
          <w:sz w:val="23"/>
          <w:szCs w:val="23"/>
        </w:rPr>
        <w:t xml:space="preserve"> </w:t>
      </w:r>
      <w:r w:rsidR="00D713FA" w:rsidRPr="002F58D0">
        <w:rPr>
          <w:sz w:val="23"/>
          <w:szCs w:val="23"/>
        </w:rPr>
        <w:t>are</w:t>
      </w:r>
      <w:r w:rsidR="00D713FA" w:rsidRPr="002F58D0">
        <w:rPr>
          <w:spacing w:val="-6"/>
          <w:sz w:val="23"/>
          <w:szCs w:val="23"/>
        </w:rPr>
        <w:t xml:space="preserve"> </w:t>
      </w:r>
      <w:r w:rsidR="00D713FA" w:rsidRPr="002F58D0">
        <w:rPr>
          <w:spacing w:val="-1"/>
          <w:sz w:val="23"/>
          <w:szCs w:val="23"/>
        </w:rPr>
        <w:t>p</w:t>
      </w:r>
      <w:r w:rsidR="00D713FA" w:rsidRPr="002F58D0">
        <w:rPr>
          <w:spacing w:val="1"/>
          <w:sz w:val="23"/>
          <w:szCs w:val="23"/>
        </w:rPr>
        <w:t>l</w:t>
      </w:r>
      <w:r w:rsidR="00D713FA" w:rsidRPr="002F58D0">
        <w:rPr>
          <w:spacing w:val="-1"/>
          <w:sz w:val="23"/>
          <w:szCs w:val="23"/>
        </w:rPr>
        <w:t>ace</w:t>
      </w:r>
      <w:r w:rsidR="00D713FA" w:rsidRPr="002F58D0">
        <w:rPr>
          <w:sz w:val="23"/>
          <w:szCs w:val="23"/>
        </w:rPr>
        <w:t>d</w:t>
      </w:r>
      <w:r w:rsidR="00D713FA" w:rsidRPr="002F58D0">
        <w:rPr>
          <w:spacing w:val="-7"/>
          <w:sz w:val="23"/>
          <w:szCs w:val="23"/>
        </w:rPr>
        <w:t xml:space="preserve"> </w:t>
      </w:r>
      <w:r w:rsidR="00D713FA" w:rsidRPr="002F58D0">
        <w:rPr>
          <w:spacing w:val="1"/>
          <w:sz w:val="23"/>
          <w:szCs w:val="23"/>
        </w:rPr>
        <w:t>a</w:t>
      </w:r>
      <w:r w:rsidR="00D713FA" w:rsidRPr="002F58D0">
        <w:rPr>
          <w:sz w:val="23"/>
          <w:szCs w:val="23"/>
        </w:rPr>
        <w:t>t</w:t>
      </w:r>
      <w:r w:rsidR="00D713FA" w:rsidRPr="002F58D0">
        <w:rPr>
          <w:spacing w:val="-7"/>
          <w:sz w:val="23"/>
          <w:szCs w:val="23"/>
        </w:rPr>
        <w:t xml:space="preserve"> </w:t>
      </w:r>
      <w:r w:rsidR="00D713FA" w:rsidRPr="002F58D0">
        <w:rPr>
          <w:sz w:val="23"/>
          <w:szCs w:val="23"/>
        </w:rPr>
        <w:t>a</w:t>
      </w:r>
      <w:r w:rsidR="00D713FA" w:rsidRPr="002F58D0">
        <w:rPr>
          <w:spacing w:val="-5"/>
          <w:sz w:val="23"/>
          <w:szCs w:val="23"/>
        </w:rPr>
        <w:t xml:space="preserve"> </w:t>
      </w:r>
      <w:r w:rsidR="00D713FA" w:rsidRPr="002F58D0">
        <w:rPr>
          <w:sz w:val="23"/>
          <w:szCs w:val="23"/>
        </w:rPr>
        <w:t>disadvantage</w:t>
      </w:r>
      <w:r w:rsidR="00D713FA" w:rsidRPr="002F58D0">
        <w:rPr>
          <w:spacing w:val="-7"/>
          <w:sz w:val="23"/>
          <w:szCs w:val="23"/>
        </w:rPr>
        <w:t xml:space="preserve"> </w:t>
      </w:r>
      <w:r w:rsidR="00D713FA" w:rsidRPr="002F58D0">
        <w:rPr>
          <w:sz w:val="23"/>
          <w:szCs w:val="23"/>
        </w:rPr>
        <w:t>over</w:t>
      </w:r>
      <w:r w:rsidR="00D713FA" w:rsidRPr="002F58D0">
        <w:rPr>
          <w:spacing w:val="-7"/>
          <w:sz w:val="23"/>
          <w:szCs w:val="23"/>
        </w:rPr>
        <w:t xml:space="preserve"> </w:t>
      </w:r>
      <w:r w:rsidR="00D713FA" w:rsidRPr="002F58D0">
        <w:rPr>
          <w:sz w:val="23"/>
          <w:szCs w:val="23"/>
        </w:rPr>
        <w:t>others.</w:t>
      </w:r>
    </w:p>
    <w:p w14:paraId="6E0E4215" w14:textId="49227833" w:rsidR="00D713FA" w:rsidRPr="002F58D0" w:rsidRDefault="00D713FA" w:rsidP="005E5DD0">
      <w:pPr>
        <w:pStyle w:val="BodyText"/>
        <w:spacing w:before="0" w:after="0"/>
        <w:ind w:left="0"/>
        <w:jc w:val="both"/>
        <w:rPr>
          <w:sz w:val="23"/>
          <w:szCs w:val="23"/>
        </w:rPr>
      </w:pPr>
      <w:r w:rsidRPr="002F58D0">
        <w:rPr>
          <w:sz w:val="23"/>
          <w:szCs w:val="23"/>
        </w:rPr>
        <w:t>Potential</w:t>
      </w:r>
      <w:r w:rsidRPr="002F58D0">
        <w:rPr>
          <w:spacing w:val="-7"/>
          <w:sz w:val="23"/>
          <w:szCs w:val="23"/>
        </w:rPr>
        <w:t xml:space="preserve"> </w:t>
      </w:r>
      <w:r w:rsidRPr="002F58D0">
        <w:rPr>
          <w:sz w:val="23"/>
          <w:szCs w:val="23"/>
        </w:rPr>
        <w:t>ad</w:t>
      </w:r>
      <w:r w:rsidRPr="002F58D0">
        <w:rPr>
          <w:spacing w:val="1"/>
          <w:sz w:val="23"/>
          <w:szCs w:val="23"/>
        </w:rPr>
        <w:t>v</w:t>
      </w:r>
      <w:r w:rsidRPr="002F58D0">
        <w:rPr>
          <w:sz w:val="23"/>
          <w:szCs w:val="23"/>
        </w:rPr>
        <w:t>erse</w:t>
      </w:r>
      <w:r w:rsidRPr="002F58D0">
        <w:rPr>
          <w:spacing w:val="-7"/>
          <w:sz w:val="23"/>
          <w:szCs w:val="23"/>
        </w:rPr>
        <w:t xml:space="preserve"> </w:t>
      </w:r>
      <w:r w:rsidRPr="002F58D0">
        <w:rPr>
          <w:spacing w:val="-1"/>
          <w:sz w:val="23"/>
          <w:szCs w:val="23"/>
        </w:rPr>
        <w:t>imp</w:t>
      </w:r>
      <w:r w:rsidRPr="002F58D0">
        <w:rPr>
          <w:spacing w:val="1"/>
          <w:sz w:val="23"/>
          <w:szCs w:val="23"/>
        </w:rPr>
        <w:t>a</w:t>
      </w:r>
      <w:r w:rsidRPr="002F58D0">
        <w:rPr>
          <w:spacing w:val="-1"/>
          <w:sz w:val="23"/>
          <w:szCs w:val="23"/>
        </w:rPr>
        <w:t>c</w:t>
      </w:r>
      <w:r w:rsidRPr="002F58D0">
        <w:rPr>
          <w:sz w:val="23"/>
          <w:szCs w:val="23"/>
        </w:rPr>
        <w:t>t</w:t>
      </w:r>
      <w:r w:rsidRPr="002F58D0">
        <w:rPr>
          <w:spacing w:val="-5"/>
          <w:sz w:val="23"/>
          <w:szCs w:val="23"/>
        </w:rPr>
        <w:t xml:space="preserve"> </w:t>
      </w:r>
      <w:r w:rsidRPr="002F58D0">
        <w:rPr>
          <w:sz w:val="23"/>
          <w:szCs w:val="23"/>
        </w:rPr>
        <w:t>on</w:t>
      </w:r>
      <w:r w:rsidRPr="002F58D0">
        <w:rPr>
          <w:spacing w:val="-7"/>
          <w:sz w:val="23"/>
          <w:szCs w:val="23"/>
        </w:rPr>
        <w:t xml:space="preserve"> </w:t>
      </w:r>
      <w:r w:rsidRPr="002F58D0">
        <w:rPr>
          <w:sz w:val="23"/>
          <w:szCs w:val="23"/>
        </w:rPr>
        <w:t>any</w:t>
      </w:r>
      <w:r w:rsidRPr="002F58D0">
        <w:rPr>
          <w:spacing w:val="-6"/>
          <w:sz w:val="23"/>
          <w:szCs w:val="23"/>
        </w:rPr>
        <w:t xml:space="preserve"> </w:t>
      </w:r>
      <w:r w:rsidRPr="002F58D0">
        <w:rPr>
          <w:sz w:val="23"/>
          <w:szCs w:val="23"/>
        </w:rPr>
        <w:t>protected</w:t>
      </w:r>
      <w:r w:rsidRPr="002F58D0">
        <w:rPr>
          <w:spacing w:val="-6"/>
          <w:sz w:val="23"/>
          <w:szCs w:val="23"/>
        </w:rPr>
        <w:t xml:space="preserve"> </w:t>
      </w:r>
      <w:r w:rsidRPr="002F58D0">
        <w:rPr>
          <w:sz w:val="23"/>
          <w:szCs w:val="23"/>
        </w:rPr>
        <w:t>group</w:t>
      </w:r>
      <w:r w:rsidRPr="002F58D0">
        <w:rPr>
          <w:spacing w:val="-6"/>
          <w:sz w:val="23"/>
          <w:szCs w:val="23"/>
        </w:rPr>
        <w:t xml:space="preserve"> </w:t>
      </w:r>
      <w:r w:rsidRPr="002F58D0">
        <w:rPr>
          <w:sz w:val="23"/>
          <w:szCs w:val="23"/>
        </w:rPr>
        <w:t>id</w:t>
      </w:r>
      <w:r w:rsidRPr="002F58D0">
        <w:rPr>
          <w:spacing w:val="1"/>
          <w:sz w:val="23"/>
          <w:szCs w:val="23"/>
        </w:rPr>
        <w:t>e</w:t>
      </w:r>
      <w:r w:rsidRPr="002F58D0">
        <w:rPr>
          <w:spacing w:val="-1"/>
          <w:sz w:val="23"/>
          <w:szCs w:val="23"/>
        </w:rPr>
        <w:t>n</w:t>
      </w:r>
      <w:r w:rsidRPr="002F58D0">
        <w:rPr>
          <w:sz w:val="23"/>
          <w:szCs w:val="23"/>
        </w:rPr>
        <w:t>tified</w:t>
      </w:r>
      <w:r w:rsidRPr="002F58D0">
        <w:rPr>
          <w:spacing w:val="-6"/>
          <w:sz w:val="23"/>
          <w:szCs w:val="23"/>
        </w:rPr>
        <w:t xml:space="preserve"> </w:t>
      </w:r>
      <w:r w:rsidRPr="002F58D0">
        <w:rPr>
          <w:sz w:val="23"/>
          <w:szCs w:val="23"/>
        </w:rPr>
        <w:t>through</w:t>
      </w:r>
      <w:r w:rsidRPr="002F58D0">
        <w:rPr>
          <w:spacing w:val="-6"/>
          <w:sz w:val="23"/>
          <w:szCs w:val="23"/>
        </w:rPr>
        <w:t xml:space="preserve"> </w:t>
      </w:r>
      <w:r w:rsidRPr="002F58D0">
        <w:rPr>
          <w:sz w:val="23"/>
          <w:szCs w:val="23"/>
        </w:rPr>
        <w:t>the</w:t>
      </w:r>
      <w:r w:rsidRPr="002F58D0">
        <w:rPr>
          <w:spacing w:val="-6"/>
          <w:sz w:val="23"/>
          <w:szCs w:val="23"/>
        </w:rPr>
        <w:t xml:space="preserve"> </w:t>
      </w:r>
      <w:r w:rsidR="004F545C" w:rsidRPr="002F58D0">
        <w:rPr>
          <w:spacing w:val="-6"/>
          <w:sz w:val="23"/>
          <w:szCs w:val="23"/>
        </w:rPr>
        <w:t>Q</w:t>
      </w:r>
      <w:r w:rsidRPr="002F58D0">
        <w:rPr>
          <w:spacing w:val="-1"/>
          <w:sz w:val="23"/>
          <w:szCs w:val="23"/>
        </w:rPr>
        <w:t>EI</w:t>
      </w:r>
      <w:r w:rsidRPr="002F58D0">
        <w:rPr>
          <w:sz w:val="23"/>
          <w:szCs w:val="23"/>
        </w:rPr>
        <w:t>A</w:t>
      </w:r>
      <w:r w:rsidRPr="002F58D0">
        <w:rPr>
          <w:spacing w:val="-6"/>
          <w:sz w:val="23"/>
          <w:szCs w:val="23"/>
        </w:rPr>
        <w:t xml:space="preserve"> </w:t>
      </w:r>
      <w:r w:rsidRPr="002F58D0">
        <w:rPr>
          <w:sz w:val="23"/>
          <w:szCs w:val="23"/>
        </w:rPr>
        <w:t>will</w:t>
      </w:r>
      <w:r w:rsidRPr="002F58D0">
        <w:rPr>
          <w:spacing w:val="-7"/>
          <w:sz w:val="23"/>
          <w:szCs w:val="23"/>
        </w:rPr>
        <w:t xml:space="preserve"> </w:t>
      </w:r>
      <w:r w:rsidRPr="002F58D0">
        <w:rPr>
          <w:spacing w:val="-1"/>
          <w:sz w:val="23"/>
          <w:szCs w:val="23"/>
        </w:rPr>
        <w:t>be</w:t>
      </w:r>
      <w:r w:rsidRPr="002F58D0">
        <w:rPr>
          <w:spacing w:val="-1"/>
          <w:w w:val="99"/>
          <w:sz w:val="23"/>
          <w:szCs w:val="23"/>
        </w:rPr>
        <w:t xml:space="preserve"> </w:t>
      </w:r>
      <w:r w:rsidRPr="002F58D0">
        <w:rPr>
          <w:sz w:val="23"/>
          <w:szCs w:val="23"/>
        </w:rPr>
        <w:t>monitored</w:t>
      </w:r>
      <w:r w:rsidRPr="002F58D0">
        <w:rPr>
          <w:spacing w:val="-7"/>
          <w:sz w:val="23"/>
          <w:szCs w:val="23"/>
        </w:rPr>
        <w:t xml:space="preserve"> </w:t>
      </w:r>
      <w:r w:rsidRPr="002F58D0">
        <w:rPr>
          <w:sz w:val="23"/>
          <w:szCs w:val="23"/>
        </w:rPr>
        <w:t>as</w:t>
      </w:r>
      <w:r w:rsidRPr="002F58D0">
        <w:rPr>
          <w:spacing w:val="-4"/>
          <w:sz w:val="23"/>
          <w:szCs w:val="23"/>
        </w:rPr>
        <w:t xml:space="preserve"> </w:t>
      </w:r>
      <w:r w:rsidRPr="002F58D0">
        <w:rPr>
          <w:sz w:val="23"/>
          <w:szCs w:val="23"/>
        </w:rPr>
        <w:t>part</w:t>
      </w:r>
      <w:r w:rsidRPr="002F58D0">
        <w:rPr>
          <w:spacing w:val="-6"/>
          <w:sz w:val="23"/>
          <w:szCs w:val="23"/>
        </w:rPr>
        <w:t xml:space="preserve"> </w:t>
      </w:r>
      <w:r w:rsidRPr="002F58D0">
        <w:rPr>
          <w:sz w:val="23"/>
          <w:szCs w:val="23"/>
        </w:rPr>
        <w:t>of</w:t>
      </w:r>
      <w:r w:rsidRPr="002F58D0">
        <w:rPr>
          <w:spacing w:val="-6"/>
          <w:sz w:val="23"/>
          <w:szCs w:val="23"/>
        </w:rPr>
        <w:t xml:space="preserve"> </w:t>
      </w:r>
      <w:r w:rsidRPr="002F58D0">
        <w:rPr>
          <w:spacing w:val="-1"/>
          <w:sz w:val="23"/>
          <w:szCs w:val="23"/>
        </w:rPr>
        <w:t>th</w:t>
      </w:r>
      <w:r w:rsidRPr="002F58D0">
        <w:rPr>
          <w:sz w:val="23"/>
          <w:szCs w:val="23"/>
        </w:rPr>
        <w:t>e</w:t>
      </w:r>
      <w:r w:rsidRPr="002F58D0">
        <w:rPr>
          <w:spacing w:val="-5"/>
          <w:sz w:val="23"/>
          <w:szCs w:val="23"/>
        </w:rPr>
        <w:t xml:space="preserve"> </w:t>
      </w:r>
      <w:r w:rsidRPr="002F58D0">
        <w:rPr>
          <w:spacing w:val="1"/>
          <w:sz w:val="23"/>
          <w:szCs w:val="23"/>
        </w:rPr>
        <w:t>r</w:t>
      </w:r>
      <w:r w:rsidRPr="002F58D0">
        <w:rPr>
          <w:sz w:val="23"/>
          <w:szCs w:val="23"/>
        </w:rPr>
        <w:t>o</w:t>
      </w:r>
      <w:r w:rsidRPr="002F58D0">
        <w:rPr>
          <w:spacing w:val="-1"/>
          <w:sz w:val="23"/>
          <w:szCs w:val="23"/>
        </w:rPr>
        <w:t>utin</w:t>
      </w:r>
      <w:r w:rsidRPr="002F58D0">
        <w:rPr>
          <w:sz w:val="23"/>
          <w:szCs w:val="23"/>
        </w:rPr>
        <w:t>e</w:t>
      </w:r>
      <w:r w:rsidRPr="002F58D0">
        <w:rPr>
          <w:spacing w:val="-5"/>
          <w:sz w:val="23"/>
          <w:szCs w:val="23"/>
        </w:rPr>
        <w:t xml:space="preserve"> </w:t>
      </w:r>
      <w:r w:rsidRPr="002F58D0">
        <w:rPr>
          <w:sz w:val="23"/>
          <w:szCs w:val="23"/>
        </w:rPr>
        <w:t>work</w:t>
      </w:r>
      <w:r w:rsidRPr="002F58D0">
        <w:rPr>
          <w:spacing w:val="-6"/>
          <w:sz w:val="23"/>
          <w:szCs w:val="23"/>
        </w:rPr>
        <w:t xml:space="preserve"> </w:t>
      </w:r>
      <w:r w:rsidRPr="002F58D0">
        <w:rPr>
          <w:sz w:val="23"/>
          <w:szCs w:val="23"/>
        </w:rPr>
        <w:t>to</w:t>
      </w:r>
      <w:r w:rsidRPr="002F58D0">
        <w:rPr>
          <w:spacing w:val="-6"/>
          <w:sz w:val="23"/>
          <w:szCs w:val="23"/>
        </w:rPr>
        <w:t xml:space="preserve"> </w:t>
      </w:r>
      <w:r w:rsidRPr="002F58D0">
        <w:rPr>
          <w:sz w:val="23"/>
          <w:szCs w:val="23"/>
        </w:rPr>
        <w:t>monitor</w:t>
      </w:r>
      <w:r w:rsidRPr="002F58D0">
        <w:rPr>
          <w:spacing w:val="-5"/>
          <w:sz w:val="23"/>
          <w:szCs w:val="23"/>
        </w:rPr>
        <w:t xml:space="preserve"> </w:t>
      </w:r>
      <w:r w:rsidRPr="002F58D0">
        <w:rPr>
          <w:sz w:val="23"/>
          <w:szCs w:val="23"/>
        </w:rPr>
        <w:t>compliance</w:t>
      </w:r>
      <w:r w:rsidRPr="002F58D0">
        <w:rPr>
          <w:spacing w:val="-6"/>
          <w:sz w:val="23"/>
          <w:szCs w:val="23"/>
        </w:rPr>
        <w:t xml:space="preserve"> </w:t>
      </w:r>
      <w:r w:rsidRPr="002F58D0">
        <w:rPr>
          <w:sz w:val="23"/>
          <w:szCs w:val="23"/>
        </w:rPr>
        <w:t>with</w:t>
      </w:r>
      <w:r w:rsidRPr="002F58D0">
        <w:rPr>
          <w:spacing w:val="-6"/>
          <w:sz w:val="23"/>
          <w:szCs w:val="23"/>
        </w:rPr>
        <w:t xml:space="preserve"> </w:t>
      </w:r>
      <w:r w:rsidRPr="002F58D0">
        <w:rPr>
          <w:spacing w:val="-1"/>
          <w:sz w:val="23"/>
          <w:szCs w:val="23"/>
        </w:rPr>
        <w:t>t</w:t>
      </w:r>
      <w:r w:rsidRPr="002F58D0">
        <w:rPr>
          <w:sz w:val="23"/>
          <w:szCs w:val="23"/>
        </w:rPr>
        <w:t>he</w:t>
      </w:r>
      <w:r w:rsidRPr="002F58D0">
        <w:rPr>
          <w:spacing w:val="-7"/>
          <w:sz w:val="23"/>
          <w:szCs w:val="23"/>
        </w:rPr>
        <w:t xml:space="preserve"> </w:t>
      </w:r>
      <w:r w:rsidRPr="002F58D0">
        <w:rPr>
          <w:sz w:val="23"/>
          <w:szCs w:val="23"/>
        </w:rPr>
        <w:t>policy.</w:t>
      </w:r>
    </w:p>
    <w:p w14:paraId="4A6A29C6" w14:textId="3958145B" w:rsidR="00F20974" w:rsidRDefault="00F20974" w:rsidP="00F20974">
      <w:pPr>
        <w:pStyle w:val="BodyText"/>
        <w:spacing w:before="0" w:after="0"/>
        <w:ind w:left="0"/>
        <w:rPr>
          <w:sz w:val="23"/>
          <w:szCs w:val="23"/>
        </w:rPr>
      </w:pPr>
    </w:p>
    <w:p w14:paraId="0311ABEC" w14:textId="77777777" w:rsidR="00254132" w:rsidRPr="002F58D0" w:rsidRDefault="00254132" w:rsidP="00F20974">
      <w:pPr>
        <w:pStyle w:val="BodyText"/>
        <w:spacing w:before="0" w:after="0"/>
        <w:ind w:left="0"/>
        <w:rPr>
          <w:sz w:val="23"/>
          <w:szCs w:val="23"/>
        </w:rPr>
      </w:pPr>
    </w:p>
    <w:p w14:paraId="5F62E574" w14:textId="3C3D4171" w:rsidR="00D713FA" w:rsidRPr="007A490F" w:rsidRDefault="00DD2D44" w:rsidP="00254132">
      <w:pPr>
        <w:pStyle w:val="Heading1"/>
        <w:spacing w:before="0"/>
        <w:rPr>
          <w:szCs w:val="24"/>
        </w:rPr>
      </w:pPr>
      <w:bookmarkStart w:id="98" w:name="_Toc160047260"/>
      <w:r w:rsidRPr="007A490F">
        <w:rPr>
          <w:szCs w:val="24"/>
        </w:rPr>
        <w:t>Governance Arrangements</w:t>
      </w:r>
      <w:bookmarkEnd w:id="98"/>
    </w:p>
    <w:p w14:paraId="62B85817" w14:textId="287A760C" w:rsidR="00DD2D44" w:rsidRDefault="00DD2D44" w:rsidP="007A490F">
      <w:pPr>
        <w:pStyle w:val="BodyText"/>
        <w:spacing w:before="0"/>
        <w:ind w:left="0"/>
        <w:jc w:val="both"/>
        <w:rPr>
          <w:spacing w:val="-1"/>
          <w:sz w:val="23"/>
          <w:szCs w:val="23"/>
        </w:rPr>
      </w:pPr>
      <w:r>
        <w:rPr>
          <w:spacing w:val="-1"/>
          <w:sz w:val="23"/>
          <w:szCs w:val="23"/>
        </w:rPr>
        <w:t>In order to ensure that</w:t>
      </w:r>
      <w:r w:rsidR="00A478A2">
        <w:rPr>
          <w:spacing w:val="-1"/>
          <w:sz w:val="23"/>
          <w:szCs w:val="23"/>
        </w:rPr>
        <w:t xml:space="preserve"> this policy and </w:t>
      </w:r>
      <w:r w:rsidR="00B51C7B">
        <w:rPr>
          <w:spacing w:val="-1"/>
          <w:sz w:val="23"/>
          <w:szCs w:val="23"/>
        </w:rPr>
        <w:t>the EPRR</w:t>
      </w:r>
      <w:r w:rsidR="00542823">
        <w:rPr>
          <w:spacing w:val="-1"/>
          <w:sz w:val="23"/>
          <w:szCs w:val="23"/>
        </w:rPr>
        <w:t xml:space="preserve"> Policies listed in Section 1</w:t>
      </w:r>
      <w:r w:rsidR="00660887">
        <w:rPr>
          <w:spacing w:val="-1"/>
          <w:sz w:val="23"/>
          <w:szCs w:val="23"/>
        </w:rPr>
        <w:t>7</w:t>
      </w:r>
      <w:r w:rsidR="00542823">
        <w:rPr>
          <w:spacing w:val="-1"/>
          <w:sz w:val="23"/>
          <w:szCs w:val="23"/>
        </w:rPr>
        <w:t xml:space="preserve"> below</w:t>
      </w:r>
      <w:r>
        <w:rPr>
          <w:spacing w:val="-1"/>
          <w:sz w:val="23"/>
          <w:szCs w:val="23"/>
        </w:rPr>
        <w:t xml:space="preserve"> reflect the needs of the wider ICB</w:t>
      </w:r>
      <w:r w:rsidR="00A478A2">
        <w:rPr>
          <w:spacing w:val="-1"/>
          <w:sz w:val="23"/>
          <w:szCs w:val="23"/>
        </w:rPr>
        <w:t>,</w:t>
      </w:r>
      <w:r>
        <w:rPr>
          <w:spacing w:val="-1"/>
          <w:sz w:val="23"/>
          <w:szCs w:val="23"/>
        </w:rPr>
        <w:t xml:space="preserve"> </w:t>
      </w:r>
      <w:r w:rsidR="007A1F48">
        <w:rPr>
          <w:spacing w:val="-1"/>
          <w:sz w:val="23"/>
          <w:szCs w:val="23"/>
        </w:rPr>
        <w:t>all</w:t>
      </w:r>
      <w:r w:rsidR="00542823">
        <w:rPr>
          <w:spacing w:val="-1"/>
          <w:sz w:val="23"/>
          <w:szCs w:val="23"/>
        </w:rPr>
        <w:t xml:space="preserve"> EPRR </w:t>
      </w:r>
      <w:r w:rsidR="007A1F48">
        <w:rPr>
          <w:spacing w:val="-1"/>
          <w:sz w:val="23"/>
          <w:szCs w:val="23"/>
        </w:rPr>
        <w:t xml:space="preserve">related </w:t>
      </w:r>
      <w:r w:rsidR="00542823">
        <w:rPr>
          <w:spacing w:val="-1"/>
          <w:sz w:val="23"/>
          <w:szCs w:val="23"/>
        </w:rPr>
        <w:t>Policies</w:t>
      </w:r>
      <w:r w:rsidR="00A478A2">
        <w:rPr>
          <w:spacing w:val="-1"/>
          <w:sz w:val="23"/>
          <w:szCs w:val="23"/>
        </w:rPr>
        <w:t xml:space="preserve"> </w:t>
      </w:r>
      <w:bookmarkStart w:id="99" w:name="_Hlk160541144"/>
      <w:r w:rsidR="00A478A2">
        <w:rPr>
          <w:spacing w:val="-1"/>
          <w:sz w:val="23"/>
          <w:szCs w:val="23"/>
        </w:rPr>
        <w:t>will be reviewed:</w:t>
      </w:r>
    </w:p>
    <w:p w14:paraId="0743284C" w14:textId="51C3E1C0" w:rsidR="00DD2D44" w:rsidRDefault="00DD2D44" w:rsidP="007A490F">
      <w:pPr>
        <w:pStyle w:val="BodyText"/>
        <w:numPr>
          <w:ilvl w:val="0"/>
          <w:numId w:val="44"/>
        </w:numPr>
        <w:spacing w:before="0" w:after="0"/>
        <w:jc w:val="both"/>
        <w:rPr>
          <w:spacing w:val="-1"/>
          <w:sz w:val="23"/>
          <w:szCs w:val="23"/>
        </w:rPr>
      </w:pPr>
      <w:r>
        <w:rPr>
          <w:spacing w:val="-1"/>
          <w:sz w:val="23"/>
          <w:szCs w:val="23"/>
        </w:rPr>
        <w:t>On an annual basis to ensure to ensure no areas have been superseded</w:t>
      </w:r>
    </w:p>
    <w:p w14:paraId="635B98DB" w14:textId="35A2175F" w:rsidR="00DD2D44" w:rsidRDefault="00DD2D44" w:rsidP="007A490F">
      <w:pPr>
        <w:pStyle w:val="BodyText"/>
        <w:numPr>
          <w:ilvl w:val="0"/>
          <w:numId w:val="43"/>
        </w:numPr>
        <w:spacing w:before="0" w:after="0"/>
        <w:jc w:val="both"/>
        <w:rPr>
          <w:spacing w:val="-1"/>
          <w:sz w:val="23"/>
          <w:szCs w:val="23"/>
        </w:rPr>
      </w:pPr>
      <w:r>
        <w:rPr>
          <w:spacing w:val="-1"/>
          <w:sz w:val="23"/>
          <w:szCs w:val="23"/>
        </w:rPr>
        <w:t>When changes to legislation or best practice are notified</w:t>
      </w:r>
    </w:p>
    <w:p w14:paraId="6ABC0C9F" w14:textId="653135AB" w:rsidR="00DD2D44" w:rsidRDefault="00DD2D44" w:rsidP="007A490F">
      <w:pPr>
        <w:pStyle w:val="BodyText"/>
        <w:numPr>
          <w:ilvl w:val="0"/>
          <w:numId w:val="43"/>
        </w:numPr>
        <w:spacing w:before="0" w:after="0"/>
        <w:jc w:val="both"/>
        <w:rPr>
          <w:spacing w:val="-1"/>
          <w:sz w:val="23"/>
          <w:szCs w:val="23"/>
        </w:rPr>
      </w:pPr>
      <w:r>
        <w:rPr>
          <w:spacing w:val="-1"/>
          <w:sz w:val="23"/>
          <w:szCs w:val="23"/>
        </w:rPr>
        <w:t>As a result of learning lessons from an incident, exercise or training event</w:t>
      </w:r>
    </w:p>
    <w:p w14:paraId="644488EA" w14:textId="5157290A" w:rsidR="00DD2D44" w:rsidRDefault="00DD2D44" w:rsidP="007A490F">
      <w:pPr>
        <w:pStyle w:val="BodyText"/>
        <w:numPr>
          <w:ilvl w:val="0"/>
          <w:numId w:val="43"/>
        </w:numPr>
        <w:spacing w:before="0" w:after="0"/>
        <w:jc w:val="both"/>
        <w:rPr>
          <w:spacing w:val="-1"/>
          <w:sz w:val="23"/>
          <w:szCs w:val="23"/>
        </w:rPr>
      </w:pPr>
      <w:r>
        <w:rPr>
          <w:spacing w:val="-1"/>
          <w:sz w:val="23"/>
          <w:szCs w:val="23"/>
        </w:rPr>
        <w:t xml:space="preserve">Every 3 years a full review will be undertaken </w:t>
      </w:r>
    </w:p>
    <w:p w14:paraId="3673436F" w14:textId="77777777" w:rsidR="00542823" w:rsidRDefault="00542823" w:rsidP="007A490F">
      <w:pPr>
        <w:pStyle w:val="BodyText"/>
        <w:spacing w:before="0" w:after="0"/>
        <w:ind w:left="720"/>
        <w:jc w:val="both"/>
        <w:rPr>
          <w:spacing w:val="-1"/>
          <w:sz w:val="23"/>
          <w:szCs w:val="23"/>
        </w:rPr>
      </w:pPr>
    </w:p>
    <w:p w14:paraId="664548EB" w14:textId="0DC02C5C" w:rsidR="00DD2D44" w:rsidRDefault="004113E2" w:rsidP="007A490F">
      <w:pPr>
        <w:pStyle w:val="BodyText"/>
        <w:spacing w:before="0" w:after="0"/>
        <w:ind w:left="0"/>
        <w:jc w:val="both"/>
        <w:rPr>
          <w:spacing w:val="-1"/>
          <w:sz w:val="23"/>
          <w:szCs w:val="23"/>
        </w:rPr>
      </w:pPr>
      <w:r>
        <w:rPr>
          <w:spacing w:val="-1"/>
          <w:sz w:val="23"/>
          <w:szCs w:val="23"/>
        </w:rPr>
        <w:t>These reviews and changes undertaken will be recorded in the amendments log at the start of the document.</w:t>
      </w:r>
    </w:p>
    <w:p w14:paraId="653862D5" w14:textId="77777777" w:rsidR="004113E2" w:rsidRDefault="004113E2" w:rsidP="007A490F">
      <w:pPr>
        <w:pStyle w:val="BodyText"/>
        <w:spacing w:before="0" w:after="0"/>
        <w:ind w:left="0"/>
        <w:jc w:val="both"/>
        <w:rPr>
          <w:spacing w:val="-1"/>
          <w:sz w:val="23"/>
          <w:szCs w:val="23"/>
        </w:rPr>
      </w:pPr>
    </w:p>
    <w:p w14:paraId="44659107" w14:textId="72CD4AA5" w:rsidR="00DD2D44" w:rsidRDefault="00DD2D44" w:rsidP="007A490F">
      <w:pPr>
        <w:pStyle w:val="BodyText"/>
        <w:spacing w:before="0"/>
        <w:ind w:left="0"/>
        <w:jc w:val="both"/>
        <w:rPr>
          <w:spacing w:val="-1"/>
          <w:sz w:val="23"/>
          <w:szCs w:val="23"/>
        </w:rPr>
      </w:pPr>
      <w:r>
        <w:rPr>
          <w:spacing w:val="-1"/>
          <w:sz w:val="23"/>
          <w:szCs w:val="23"/>
        </w:rPr>
        <w:t>To reinforce this</w:t>
      </w:r>
      <w:r w:rsidR="00542823">
        <w:rPr>
          <w:spacing w:val="-1"/>
          <w:sz w:val="23"/>
          <w:szCs w:val="23"/>
        </w:rPr>
        <w:t>,</w:t>
      </w:r>
      <w:r>
        <w:rPr>
          <w:spacing w:val="-1"/>
          <w:sz w:val="23"/>
          <w:szCs w:val="23"/>
        </w:rPr>
        <w:t xml:space="preserve"> a process of consultation will be undertaken</w:t>
      </w:r>
      <w:r w:rsidR="00542823">
        <w:rPr>
          <w:spacing w:val="-1"/>
          <w:sz w:val="23"/>
          <w:szCs w:val="23"/>
        </w:rPr>
        <w:t xml:space="preserve"> with</w:t>
      </w:r>
      <w:r>
        <w:rPr>
          <w:spacing w:val="-1"/>
          <w:sz w:val="23"/>
          <w:szCs w:val="23"/>
        </w:rPr>
        <w:t xml:space="preserve"> our partner organisations</w:t>
      </w:r>
      <w:r w:rsidR="00542823">
        <w:rPr>
          <w:spacing w:val="-1"/>
          <w:sz w:val="23"/>
          <w:szCs w:val="23"/>
        </w:rPr>
        <w:t xml:space="preserve"> on our EPRR Policies</w:t>
      </w:r>
      <w:r>
        <w:rPr>
          <w:spacing w:val="-1"/>
          <w:sz w:val="23"/>
          <w:szCs w:val="23"/>
        </w:rPr>
        <w:t xml:space="preserve"> at the following points:</w:t>
      </w:r>
    </w:p>
    <w:p w14:paraId="4BFC3C14" w14:textId="77777777" w:rsidR="00DD2D44" w:rsidRDefault="00DD2D44" w:rsidP="007A490F">
      <w:pPr>
        <w:pStyle w:val="BodyText"/>
        <w:numPr>
          <w:ilvl w:val="0"/>
          <w:numId w:val="42"/>
        </w:numPr>
        <w:spacing w:before="0" w:after="100" w:afterAutospacing="1"/>
        <w:jc w:val="both"/>
        <w:rPr>
          <w:spacing w:val="-1"/>
          <w:sz w:val="23"/>
          <w:szCs w:val="23"/>
        </w:rPr>
      </w:pPr>
      <w:r>
        <w:rPr>
          <w:spacing w:val="-1"/>
          <w:sz w:val="23"/>
          <w:szCs w:val="23"/>
        </w:rPr>
        <w:t>On initial development</w:t>
      </w:r>
    </w:p>
    <w:p w14:paraId="7A34E159" w14:textId="77777777" w:rsidR="00DD2D44" w:rsidRDefault="00DD2D44" w:rsidP="007A490F">
      <w:pPr>
        <w:pStyle w:val="BodyText"/>
        <w:numPr>
          <w:ilvl w:val="0"/>
          <w:numId w:val="42"/>
        </w:numPr>
        <w:spacing w:before="0" w:after="100" w:afterAutospacing="1"/>
        <w:jc w:val="both"/>
        <w:rPr>
          <w:spacing w:val="-1"/>
          <w:sz w:val="23"/>
          <w:szCs w:val="23"/>
        </w:rPr>
      </w:pPr>
      <w:r>
        <w:rPr>
          <w:spacing w:val="-1"/>
          <w:sz w:val="23"/>
          <w:szCs w:val="23"/>
        </w:rPr>
        <w:t>On further material changes arising from changed legislation or changes in operational practice</w:t>
      </w:r>
    </w:p>
    <w:p w14:paraId="7009749F" w14:textId="060C0E51" w:rsidR="00D713FA" w:rsidRDefault="00DD2D44" w:rsidP="007A490F">
      <w:pPr>
        <w:pStyle w:val="BodyText"/>
        <w:numPr>
          <w:ilvl w:val="0"/>
          <w:numId w:val="42"/>
        </w:numPr>
        <w:spacing w:before="0" w:after="0"/>
        <w:jc w:val="both"/>
        <w:rPr>
          <w:spacing w:val="-1"/>
          <w:sz w:val="23"/>
          <w:szCs w:val="23"/>
        </w:rPr>
      </w:pPr>
      <w:r>
        <w:rPr>
          <w:spacing w:val="-1"/>
          <w:sz w:val="23"/>
          <w:szCs w:val="23"/>
        </w:rPr>
        <w:t>Every 3 years if no material changes made in the interim</w:t>
      </w:r>
    </w:p>
    <w:p w14:paraId="23365429" w14:textId="77777777" w:rsidR="004113E2" w:rsidRDefault="004113E2" w:rsidP="007A490F">
      <w:pPr>
        <w:pStyle w:val="BodyText"/>
        <w:spacing w:before="0" w:after="0"/>
        <w:ind w:left="720"/>
        <w:jc w:val="both"/>
        <w:rPr>
          <w:spacing w:val="-1"/>
          <w:sz w:val="23"/>
          <w:szCs w:val="23"/>
        </w:rPr>
      </w:pPr>
    </w:p>
    <w:p w14:paraId="5B7CE7BE" w14:textId="0E65546A" w:rsidR="004113E2" w:rsidRDefault="004113E2" w:rsidP="007A490F">
      <w:pPr>
        <w:pStyle w:val="BodyText"/>
        <w:spacing w:before="0" w:after="0"/>
        <w:ind w:left="0"/>
        <w:jc w:val="both"/>
        <w:rPr>
          <w:spacing w:val="-1"/>
          <w:sz w:val="23"/>
          <w:szCs w:val="23"/>
        </w:rPr>
      </w:pPr>
      <w:r>
        <w:rPr>
          <w:spacing w:val="-1"/>
          <w:sz w:val="23"/>
          <w:szCs w:val="23"/>
        </w:rPr>
        <w:t xml:space="preserve">A record will be kept and stored with the master version of </w:t>
      </w:r>
      <w:r w:rsidR="00542823">
        <w:rPr>
          <w:spacing w:val="-1"/>
          <w:sz w:val="23"/>
          <w:szCs w:val="23"/>
        </w:rPr>
        <w:t>EPRR Policies</w:t>
      </w:r>
      <w:r>
        <w:rPr>
          <w:spacing w:val="-1"/>
          <w:sz w:val="23"/>
          <w:szCs w:val="23"/>
        </w:rPr>
        <w:t xml:space="preserve"> which identifies:</w:t>
      </w:r>
    </w:p>
    <w:p w14:paraId="72C000E0" w14:textId="77777777" w:rsidR="00542823" w:rsidRDefault="00542823" w:rsidP="007A490F">
      <w:pPr>
        <w:pStyle w:val="BodyText"/>
        <w:spacing w:before="0" w:after="0"/>
        <w:ind w:left="0"/>
        <w:jc w:val="both"/>
        <w:rPr>
          <w:spacing w:val="-1"/>
          <w:sz w:val="23"/>
          <w:szCs w:val="23"/>
        </w:rPr>
      </w:pPr>
    </w:p>
    <w:p w14:paraId="0E8AE8D0" w14:textId="43438DD7" w:rsidR="004113E2" w:rsidRDefault="004113E2" w:rsidP="007A490F">
      <w:pPr>
        <w:pStyle w:val="BodyText"/>
        <w:numPr>
          <w:ilvl w:val="0"/>
          <w:numId w:val="46"/>
        </w:numPr>
        <w:spacing w:before="0" w:after="0"/>
        <w:jc w:val="both"/>
        <w:rPr>
          <w:spacing w:val="-1"/>
          <w:sz w:val="23"/>
          <w:szCs w:val="23"/>
        </w:rPr>
      </w:pPr>
      <w:r>
        <w:rPr>
          <w:spacing w:val="-1"/>
          <w:sz w:val="23"/>
          <w:szCs w:val="23"/>
        </w:rPr>
        <w:t>Organisations to whom the document has been circulated for Consultation</w:t>
      </w:r>
    </w:p>
    <w:p w14:paraId="0F4CBFAA" w14:textId="3055947F" w:rsidR="004113E2" w:rsidRDefault="004113E2" w:rsidP="007A490F">
      <w:pPr>
        <w:pStyle w:val="BodyText"/>
        <w:numPr>
          <w:ilvl w:val="0"/>
          <w:numId w:val="45"/>
        </w:numPr>
        <w:spacing w:before="0" w:after="0"/>
        <w:jc w:val="both"/>
        <w:rPr>
          <w:spacing w:val="-1"/>
          <w:sz w:val="23"/>
          <w:szCs w:val="23"/>
        </w:rPr>
      </w:pPr>
      <w:r>
        <w:rPr>
          <w:spacing w:val="-1"/>
          <w:sz w:val="23"/>
          <w:szCs w:val="23"/>
        </w:rPr>
        <w:t>Those that have responded</w:t>
      </w:r>
    </w:p>
    <w:p w14:paraId="3F31F307" w14:textId="2E621378" w:rsidR="004113E2" w:rsidRDefault="004113E2" w:rsidP="007A490F">
      <w:pPr>
        <w:pStyle w:val="BodyText"/>
        <w:numPr>
          <w:ilvl w:val="0"/>
          <w:numId w:val="45"/>
        </w:numPr>
        <w:spacing w:before="0" w:after="0"/>
        <w:jc w:val="both"/>
        <w:rPr>
          <w:spacing w:val="-1"/>
          <w:sz w:val="23"/>
          <w:szCs w:val="23"/>
        </w:rPr>
      </w:pPr>
      <w:r>
        <w:rPr>
          <w:spacing w:val="-1"/>
          <w:sz w:val="23"/>
          <w:szCs w:val="23"/>
        </w:rPr>
        <w:t>The content of the response</w:t>
      </w:r>
    </w:p>
    <w:p w14:paraId="04E34EF2" w14:textId="25B95057" w:rsidR="004113E2" w:rsidRDefault="004113E2" w:rsidP="007A490F">
      <w:pPr>
        <w:pStyle w:val="BodyText"/>
        <w:numPr>
          <w:ilvl w:val="0"/>
          <w:numId w:val="45"/>
        </w:numPr>
        <w:spacing w:before="0" w:after="0"/>
        <w:jc w:val="both"/>
        <w:rPr>
          <w:spacing w:val="-1"/>
          <w:sz w:val="23"/>
          <w:szCs w:val="23"/>
        </w:rPr>
      </w:pPr>
      <w:r>
        <w:rPr>
          <w:spacing w:val="-1"/>
          <w:sz w:val="23"/>
          <w:szCs w:val="23"/>
        </w:rPr>
        <w:t>Actions taken to address any queries raised as part of the response</w:t>
      </w:r>
    </w:p>
    <w:p w14:paraId="65D83856" w14:textId="77777777" w:rsidR="00542823" w:rsidRDefault="00542823" w:rsidP="007A490F">
      <w:pPr>
        <w:pStyle w:val="BodyText"/>
        <w:spacing w:before="0" w:after="0"/>
        <w:ind w:left="0"/>
        <w:jc w:val="both"/>
        <w:rPr>
          <w:spacing w:val="-1"/>
          <w:sz w:val="23"/>
          <w:szCs w:val="23"/>
        </w:rPr>
      </w:pPr>
    </w:p>
    <w:p w14:paraId="685CFE61" w14:textId="515C87F2" w:rsidR="004113E2" w:rsidRDefault="004113E2" w:rsidP="007A490F">
      <w:pPr>
        <w:pStyle w:val="BodyText"/>
        <w:spacing w:before="0" w:after="0"/>
        <w:ind w:left="0"/>
        <w:jc w:val="both"/>
        <w:rPr>
          <w:spacing w:val="-1"/>
          <w:sz w:val="23"/>
          <w:szCs w:val="23"/>
        </w:rPr>
      </w:pPr>
      <w:r>
        <w:rPr>
          <w:spacing w:val="-1"/>
          <w:sz w:val="23"/>
          <w:szCs w:val="23"/>
        </w:rPr>
        <w:t>Any changes made to the policy resulting from consultation will be recorded in the amendments log at the start of the document.</w:t>
      </w:r>
    </w:p>
    <w:bookmarkEnd w:id="99"/>
    <w:p w14:paraId="2A3BF898" w14:textId="77777777" w:rsidR="004113E2" w:rsidRDefault="004113E2" w:rsidP="007A490F">
      <w:pPr>
        <w:pStyle w:val="BodyText"/>
        <w:spacing w:before="0" w:after="0"/>
        <w:ind w:left="0"/>
        <w:jc w:val="both"/>
        <w:rPr>
          <w:spacing w:val="-1"/>
          <w:sz w:val="23"/>
          <w:szCs w:val="23"/>
        </w:rPr>
      </w:pPr>
    </w:p>
    <w:p w14:paraId="365C79E9" w14:textId="7D0F7F66" w:rsidR="004113E2" w:rsidRDefault="004113E2" w:rsidP="007A490F">
      <w:pPr>
        <w:pStyle w:val="BodyText"/>
        <w:spacing w:before="0" w:after="0"/>
        <w:ind w:left="0"/>
        <w:jc w:val="both"/>
        <w:rPr>
          <w:spacing w:val="-1"/>
          <w:sz w:val="23"/>
          <w:szCs w:val="23"/>
        </w:rPr>
      </w:pPr>
      <w:r>
        <w:rPr>
          <w:spacing w:val="-1"/>
          <w:sz w:val="23"/>
          <w:szCs w:val="23"/>
        </w:rPr>
        <w:t xml:space="preserve">The AEO will oversee the governance arrangements and will ensure that appropriate consultation, response logs and amendments occur. The </w:t>
      </w:r>
      <w:r w:rsidR="007862D4">
        <w:rPr>
          <w:spacing w:val="-1"/>
          <w:sz w:val="23"/>
          <w:szCs w:val="23"/>
        </w:rPr>
        <w:t>Head of Resilience and Operations</w:t>
      </w:r>
      <w:r>
        <w:rPr>
          <w:spacing w:val="-1"/>
          <w:sz w:val="23"/>
          <w:szCs w:val="23"/>
        </w:rPr>
        <w:t xml:space="preserve"> will be responsible for ensuring the process is undertaken in a timely, equitable and transparent process.</w:t>
      </w:r>
      <w:r w:rsidR="000909FE">
        <w:rPr>
          <w:spacing w:val="-1"/>
          <w:sz w:val="23"/>
          <w:szCs w:val="23"/>
        </w:rPr>
        <w:t xml:space="preserve"> </w:t>
      </w:r>
    </w:p>
    <w:p w14:paraId="16B68971" w14:textId="77777777" w:rsidR="000909FE" w:rsidRDefault="000909FE" w:rsidP="007A490F">
      <w:pPr>
        <w:pStyle w:val="BodyText"/>
        <w:spacing w:before="0" w:after="0"/>
        <w:ind w:left="0"/>
        <w:jc w:val="both"/>
        <w:rPr>
          <w:spacing w:val="-1"/>
          <w:sz w:val="23"/>
          <w:szCs w:val="23"/>
        </w:rPr>
      </w:pPr>
    </w:p>
    <w:p w14:paraId="78095ECA" w14:textId="30804598" w:rsidR="000909FE" w:rsidRDefault="000909FE" w:rsidP="007A490F">
      <w:pPr>
        <w:pStyle w:val="BodyText"/>
        <w:spacing w:before="0" w:after="0"/>
        <w:ind w:left="0"/>
        <w:jc w:val="both"/>
        <w:rPr>
          <w:spacing w:val="-1"/>
          <w:sz w:val="23"/>
          <w:szCs w:val="23"/>
        </w:rPr>
      </w:pPr>
      <w:r>
        <w:rPr>
          <w:spacing w:val="-1"/>
          <w:sz w:val="23"/>
          <w:szCs w:val="23"/>
        </w:rPr>
        <w:t xml:space="preserve">The ICB Board </w:t>
      </w:r>
      <w:r w:rsidR="007307A9">
        <w:rPr>
          <w:spacing w:val="-1"/>
          <w:sz w:val="23"/>
          <w:szCs w:val="23"/>
        </w:rPr>
        <w:t xml:space="preserve">holds responsibility for signing off EPRR Policies, but operational response plans are delegated to the ICB Executive Committee. </w:t>
      </w:r>
    </w:p>
    <w:p w14:paraId="00932A23" w14:textId="77777777" w:rsidR="004113E2" w:rsidRPr="002F58D0" w:rsidRDefault="004113E2" w:rsidP="004113E2">
      <w:pPr>
        <w:pStyle w:val="BodyText"/>
        <w:spacing w:before="0" w:after="0"/>
        <w:ind w:left="0"/>
        <w:jc w:val="both"/>
        <w:rPr>
          <w:spacing w:val="-1"/>
          <w:sz w:val="23"/>
          <w:szCs w:val="23"/>
        </w:rPr>
      </w:pPr>
    </w:p>
    <w:p w14:paraId="0F6A4803" w14:textId="7860F2B7" w:rsidR="00F20974" w:rsidRDefault="00F20974" w:rsidP="00F20974">
      <w:pPr>
        <w:pStyle w:val="BodyText"/>
        <w:spacing w:before="0" w:after="0"/>
        <w:ind w:left="0"/>
        <w:rPr>
          <w:b/>
          <w:sz w:val="23"/>
          <w:szCs w:val="23"/>
        </w:rPr>
      </w:pPr>
    </w:p>
    <w:p w14:paraId="2BD51441" w14:textId="77777777" w:rsidR="00D713FA" w:rsidRPr="007A490F" w:rsidRDefault="00830797" w:rsidP="00254132">
      <w:pPr>
        <w:pStyle w:val="Heading1"/>
        <w:spacing w:before="0"/>
        <w:rPr>
          <w:szCs w:val="24"/>
        </w:rPr>
      </w:pPr>
      <w:bookmarkStart w:id="100" w:name="_Toc89425744"/>
      <w:bookmarkStart w:id="101" w:name="_Toc89425816"/>
      <w:bookmarkStart w:id="102" w:name="_Toc89426003"/>
      <w:bookmarkStart w:id="103" w:name="_Toc89426245"/>
      <w:bookmarkStart w:id="104" w:name="_Toc558381674"/>
      <w:bookmarkStart w:id="105" w:name="_Toc2050198198"/>
      <w:r w:rsidRPr="007A490F">
        <w:rPr>
          <w:szCs w:val="24"/>
        </w:rPr>
        <w:tab/>
      </w:r>
      <w:bookmarkStart w:id="106" w:name="_Toc160047261"/>
      <w:r w:rsidR="00D713FA" w:rsidRPr="007A490F">
        <w:rPr>
          <w:szCs w:val="24"/>
        </w:rPr>
        <w:t>Associated</w:t>
      </w:r>
      <w:r w:rsidR="00D713FA" w:rsidRPr="007A490F">
        <w:rPr>
          <w:spacing w:val="-25"/>
          <w:szCs w:val="24"/>
        </w:rPr>
        <w:t xml:space="preserve"> </w:t>
      </w:r>
      <w:r w:rsidR="00D713FA" w:rsidRPr="007A490F">
        <w:rPr>
          <w:szCs w:val="24"/>
        </w:rPr>
        <w:t>D</w:t>
      </w:r>
      <w:r w:rsidR="00D713FA" w:rsidRPr="007A490F">
        <w:rPr>
          <w:spacing w:val="-1"/>
          <w:szCs w:val="24"/>
        </w:rPr>
        <w:t>o</w:t>
      </w:r>
      <w:r w:rsidR="00D713FA" w:rsidRPr="007A490F">
        <w:rPr>
          <w:szCs w:val="24"/>
        </w:rPr>
        <w:t>cumen</w:t>
      </w:r>
      <w:r w:rsidR="00D713FA" w:rsidRPr="007A490F">
        <w:rPr>
          <w:spacing w:val="-1"/>
          <w:szCs w:val="24"/>
        </w:rPr>
        <w:t>t</w:t>
      </w:r>
      <w:r w:rsidR="00D713FA" w:rsidRPr="007A490F">
        <w:rPr>
          <w:szCs w:val="24"/>
        </w:rPr>
        <w:t>a</w:t>
      </w:r>
      <w:r w:rsidR="00D713FA" w:rsidRPr="007A490F">
        <w:rPr>
          <w:spacing w:val="-1"/>
          <w:szCs w:val="24"/>
        </w:rPr>
        <w:t>t</w:t>
      </w:r>
      <w:r w:rsidR="00D713FA" w:rsidRPr="007A490F">
        <w:rPr>
          <w:szCs w:val="24"/>
        </w:rPr>
        <w:t>ion</w:t>
      </w:r>
      <w:bookmarkEnd w:id="100"/>
      <w:bookmarkEnd w:id="101"/>
      <w:bookmarkEnd w:id="102"/>
      <w:bookmarkEnd w:id="103"/>
      <w:bookmarkEnd w:id="104"/>
      <w:bookmarkEnd w:id="105"/>
      <w:bookmarkEnd w:id="106"/>
    </w:p>
    <w:p w14:paraId="2D3FFD04" w14:textId="77777777" w:rsidR="00F20974" w:rsidRPr="002F58D0" w:rsidRDefault="00F20974" w:rsidP="005E5DD0">
      <w:pPr>
        <w:pStyle w:val="BodyText"/>
        <w:spacing w:before="0"/>
        <w:ind w:left="0"/>
        <w:jc w:val="both"/>
        <w:rPr>
          <w:spacing w:val="-6"/>
          <w:sz w:val="23"/>
          <w:szCs w:val="23"/>
        </w:rPr>
      </w:pPr>
      <w:r w:rsidRPr="002F58D0">
        <w:rPr>
          <w:sz w:val="23"/>
          <w:szCs w:val="23"/>
        </w:rPr>
        <w:t>The following o</w:t>
      </w:r>
      <w:r w:rsidR="00D713FA" w:rsidRPr="002F58D0">
        <w:rPr>
          <w:sz w:val="23"/>
          <w:szCs w:val="23"/>
        </w:rPr>
        <w:t>rganis</w:t>
      </w:r>
      <w:r w:rsidR="00D713FA" w:rsidRPr="002F58D0">
        <w:rPr>
          <w:spacing w:val="1"/>
          <w:sz w:val="23"/>
          <w:szCs w:val="23"/>
        </w:rPr>
        <w:t>a</w:t>
      </w:r>
      <w:r w:rsidR="00D713FA" w:rsidRPr="002F58D0">
        <w:rPr>
          <w:sz w:val="23"/>
          <w:szCs w:val="23"/>
        </w:rPr>
        <w:t>tional</w:t>
      </w:r>
      <w:r w:rsidR="00D713FA" w:rsidRPr="002F58D0">
        <w:rPr>
          <w:spacing w:val="-8"/>
          <w:sz w:val="23"/>
          <w:szCs w:val="23"/>
        </w:rPr>
        <w:t xml:space="preserve"> </w:t>
      </w:r>
      <w:r w:rsidR="00D713FA" w:rsidRPr="002F58D0">
        <w:rPr>
          <w:sz w:val="23"/>
          <w:szCs w:val="23"/>
        </w:rPr>
        <w:t>policies</w:t>
      </w:r>
      <w:r w:rsidRPr="002F58D0">
        <w:rPr>
          <w:sz w:val="23"/>
          <w:szCs w:val="23"/>
        </w:rPr>
        <w:t xml:space="preserve"> /</w:t>
      </w:r>
      <w:r w:rsidR="00D713FA" w:rsidRPr="002F58D0">
        <w:rPr>
          <w:spacing w:val="-7"/>
          <w:sz w:val="23"/>
          <w:szCs w:val="23"/>
        </w:rPr>
        <w:t xml:space="preserve"> </w:t>
      </w:r>
      <w:r w:rsidR="00D713FA" w:rsidRPr="002F58D0">
        <w:rPr>
          <w:sz w:val="23"/>
          <w:szCs w:val="23"/>
        </w:rPr>
        <w:t>related</w:t>
      </w:r>
      <w:r w:rsidR="00D713FA" w:rsidRPr="002F58D0">
        <w:rPr>
          <w:spacing w:val="-7"/>
          <w:sz w:val="23"/>
          <w:szCs w:val="23"/>
        </w:rPr>
        <w:t xml:space="preserve"> </w:t>
      </w:r>
      <w:r w:rsidR="00D713FA" w:rsidRPr="002F58D0">
        <w:rPr>
          <w:sz w:val="23"/>
          <w:szCs w:val="23"/>
        </w:rPr>
        <w:t>procedural</w:t>
      </w:r>
      <w:r w:rsidR="00D713FA" w:rsidRPr="002F58D0">
        <w:rPr>
          <w:spacing w:val="-7"/>
          <w:sz w:val="23"/>
          <w:szCs w:val="23"/>
        </w:rPr>
        <w:t xml:space="preserve"> </w:t>
      </w:r>
      <w:r w:rsidR="00D713FA" w:rsidRPr="002F58D0">
        <w:rPr>
          <w:spacing w:val="-1"/>
          <w:sz w:val="23"/>
          <w:szCs w:val="23"/>
        </w:rPr>
        <w:t>doc</w:t>
      </w:r>
      <w:r w:rsidR="00D713FA" w:rsidRPr="002F58D0">
        <w:rPr>
          <w:sz w:val="23"/>
          <w:szCs w:val="23"/>
        </w:rPr>
        <w:t>u</w:t>
      </w:r>
      <w:r w:rsidR="00D713FA" w:rsidRPr="002F58D0">
        <w:rPr>
          <w:spacing w:val="-1"/>
          <w:sz w:val="23"/>
          <w:szCs w:val="23"/>
        </w:rPr>
        <w:t>ment</w:t>
      </w:r>
      <w:r w:rsidR="00D713FA" w:rsidRPr="002F58D0">
        <w:rPr>
          <w:sz w:val="23"/>
          <w:szCs w:val="23"/>
        </w:rPr>
        <w:t>s</w:t>
      </w:r>
      <w:r w:rsidR="00D713FA" w:rsidRPr="002F58D0">
        <w:rPr>
          <w:spacing w:val="-6"/>
          <w:sz w:val="23"/>
          <w:szCs w:val="23"/>
        </w:rPr>
        <w:t xml:space="preserve"> </w:t>
      </w:r>
      <w:r w:rsidR="00D713FA" w:rsidRPr="002F58D0">
        <w:rPr>
          <w:sz w:val="23"/>
          <w:szCs w:val="23"/>
        </w:rPr>
        <w:t>sh</w:t>
      </w:r>
      <w:r w:rsidR="00D713FA" w:rsidRPr="002F58D0">
        <w:rPr>
          <w:spacing w:val="1"/>
          <w:sz w:val="23"/>
          <w:szCs w:val="23"/>
        </w:rPr>
        <w:t>o</w:t>
      </w:r>
      <w:r w:rsidR="00D713FA" w:rsidRPr="002F58D0">
        <w:rPr>
          <w:spacing w:val="-1"/>
          <w:sz w:val="23"/>
          <w:szCs w:val="23"/>
        </w:rPr>
        <w:t>u</w:t>
      </w:r>
      <w:r w:rsidR="00D713FA" w:rsidRPr="002F58D0">
        <w:rPr>
          <w:sz w:val="23"/>
          <w:szCs w:val="23"/>
        </w:rPr>
        <w:t>ld</w:t>
      </w:r>
      <w:r w:rsidR="00D713FA" w:rsidRPr="002F58D0">
        <w:rPr>
          <w:spacing w:val="-6"/>
          <w:sz w:val="23"/>
          <w:szCs w:val="23"/>
        </w:rPr>
        <w:t xml:space="preserve"> </w:t>
      </w:r>
      <w:r w:rsidR="00D713FA" w:rsidRPr="002F58D0">
        <w:rPr>
          <w:spacing w:val="1"/>
          <w:sz w:val="23"/>
          <w:szCs w:val="23"/>
        </w:rPr>
        <w:t>b</w:t>
      </w:r>
      <w:r w:rsidR="00D713FA" w:rsidRPr="002F58D0">
        <w:rPr>
          <w:sz w:val="23"/>
          <w:szCs w:val="23"/>
        </w:rPr>
        <w:t>e</w:t>
      </w:r>
      <w:r w:rsidR="00D713FA" w:rsidRPr="002F58D0">
        <w:rPr>
          <w:spacing w:val="-7"/>
          <w:sz w:val="23"/>
          <w:szCs w:val="23"/>
        </w:rPr>
        <w:t xml:space="preserve"> </w:t>
      </w:r>
      <w:r w:rsidR="00D713FA" w:rsidRPr="002F58D0">
        <w:rPr>
          <w:sz w:val="23"/>
          <w:szCs w:val="23"/>
        </w:rPr>
        <w:t>read</w:t>
      </w:r>
      <w:r w:rsidR="00D713FA" w:rsidRPr="002F58D0">
        <w:rPr>
          <w:spacing w:val="-6"/>
          <w:sz w:val="23"/>
          <w:szCs w:val="23"/>
        </w:rPr>
        <w:t xml:space="preserve"> </w:t>
      </w:r>
      <w:r w:rsidR="00D713FA" w:rsidRPr="002F58D0">
        <w:rPr>
          <w:spacing w:val="1"/>
          <w:sz w:val="23"/>
          <w:szCs w:val="23"/>
        </w:rPr>
        <w:t>i</w:t>
      </w:r>
      <w:r w:rsidR="00D713FA" w:rsidRPr="002F58D0">
        <w:rPr>
          <w:sz w:val="23"/>
          <w:szCs w:val="23"/>
        </w:rPr>
        <w:t>n</w:t>
      </w:r>
      <w:r w:rsidR="00D713FA" w:rsidRPr="002F58D0">
        <w:rPr>
          <w:spacing w:val="-7"/>
          <w:sz w:val="23"/>
          <w:szCs w:val="23"/>
        </w:rPr>
        <w:t xml:space="preserve"> </w:t>
      </w:r>
      <w:r w:rsidR="00D713FA" w:rsidRPr="002F58D0">
        <w:rPr>
          <w:sz w:val="23"/>
          <w:szCs w:val="23"/>
        </w:rPr>
        <w:t>conjunction</w:t>
      </w:r>
      <w:r w:rsidR="00D713FA" w:rsidRPr="002F58D0">
        <w:rPr>
          <w:spacing w:val="-6"/>
          <w:sz w:val="23"/>
          <w:szCs w:val="23"/>
        </w:rPr>
        <w:t xml:space="preserve"> </w:t>
      </w:r>
      <w:r w:rsidR="00D713FA" w:rsidRPr="002F58D0">
        <w:rPr>
          <w:spacing w:val="-1"/>
          <w:sz w:val="23"/>
          <w:szCs w:val="23"/>
        </w:rPr>
        <w:t>wit</w:t>
      </w:r>
      <w:r w:rsidR="00D713FA" w:rsidRPr="002F58D0">
        <w:rPr>
          <w:sz w:val="23"/>
          <w:szCs w:val="23"/>
        </w:rPr>
        <w:t>h</w:t>
      </w:r>
      <w:r w:rsidR="00D713FA" w:rsidRPr="002F58D0">
        <w:rPr>
          <w:spacing w:val="-6"/>
          <w:sz w:val="23"/>
          <w:szCs w:val="23"/>
        </w:rPr>
        <w:t xml:space="preserve"> </w:t>
      </w:r>
      <w:r w:rsidRPr="002F58D0">
        <w:rPr>
          <w:spacing w:val="-6"/>
          <w:sz w:val="23"/>
          <w:szCs w:val="23"/>
        </w:rPr>
        <w:t>this policy:</w:t>
      </w:r>
    </w:p>
    <w:p w14:paraId="78A57244" w14:textId="56109BC5" w:rsidR="000A20F6" w:rsidRDefault="00076846" w:rsidP="005E5DD0">
      <w:pPr>
        <w:pStyle w:val="BodyText"/>
        <w:numPr>
          <w:ilvl w:val="0"/>
          <w:numId w:val="4"/>
        </w:numPr>
        <w:spacing w:before="0" w:after="0"/>
        <w:jc w:val="both"/>
        <w:rPr>
          <w:bCs/>
          <w:sz w:val="23"/>
          <w:szCs w:val="23"/>
        </w:rPr>
      </w:pPr>
      <w:r>
        <w:rPr>
          <w:bCs/>
          <w:sz w:val="23"/>
          <w:szCs w:val="23"/>
        </w:rPr>
        <w:t xml:space="preserve">HNY ICB </w:t>
      </w:r>
      <w:r w:rsidR="000A20F6">
        <w:rPr>
          <w:bCs/>
          <w:sz w:val="23"/>
          <w:szCs w:val="23"/>
        </w:rPr>
        <w:t>EPRR Command and Control Framework</w:t>
      </w:r>
    </w:p>
    <w:p w14:paraId="19DC00C3" w14:textId="0CBD862F" w:rsidR="00F20974" w:rsidRDefault="00076846" w:rsidP="005E5DD0">
      <w:pPr>
        <w:pStyle w:val="BodyText"/>
        <w:numPr>
          <w:ilvl w:val="0"/>
          <w:numId w:val="4"/>
        </w:numPr>
        <w:spacing w:before="0" w:after="0"/>
        <w:jc w:val="both"/>
        <w:rPr>
          <w:bCs/>
          <w:sz w:val="23"/>
          <w:szCs w:val="23"/>
        </w:rPr>
      </w:pPr>
      <w:r>
        <w:rPr>
          <w:bCs/>
          <w:sz w:val="23"/>
          <w:szCs w:val="23"/>
        </w:rPr>
        <w:t xml:space="preserve">HNY ICB </w:t>
      </w:r>
      <w:r w:rsidR="001A2F91">
        <w:rPr>
          <w:bCs/>
          <w:sz w:val="23"/>
          <w:szCs w:val="23"/>
        </w:rPr>
        <w:t xml:space="preserve">EPRR </w:t>
      </w:r>
      <w:r w:rsidR="002F58D0" w:rsidRPr="002F58D0">
        <w:rPr>
          <w:bCs/>
          <w:sz w:val="23"/>
          <w:szCs w:val="23"/>
        </w:rPr>
        <w:t>On</w:t>
      </w:r>
      <w:r w:rsidR="001A2F91">
        <w:rPr>
          <w:bCs/>
          <w:sz w:val="23"/>
          <w:szCs w:val="23"/>
        </w:rPr>
        <w:t>-</w:t>
      </w:r>
      <w:r w:rsidR="002F58D0" w:rsidRPr="002F58D0">
        <w:rPr>
          <w:bCs/>
          <w:sz w:val="23"/>
          <w:szCs w:val="23"/>
        </w:rPr>
        <w:t>Call</w:t>
      </w:r>
      <w:r w:rsidR="001A2F91">
        <w:rPr>
          <w:bCs/>
          <w:sz w:val="23"/>
          <w:szCs w:val="23"/>
        </w:rPr>
        <w:t xml:space="preserve"> Arrangements</w:t>
      </w:r>
      <w:r>
        <w:rPr>
          <w:bCs/>
          <w:sz w:val="23"/>
          <w:szCs w:val="23"/>
        </w:rPr>
        <w:t xml:space="preserve"> Policy</w:t>
      </w:r>
    </w:p>
    <w:p w14:paraId="7414C1E9" w14:textId="34F99386" w:rsidR="002C38D5" w:rsidRDefault="002C38D5" w:rsidP="005E5DD0">
      <w:pPr>
        <w:pStyle w:val="BodyText"/>
        <w:numPr>
          <w:ilvl w:val="0"/>
          <w:numId w:val="4"/>
        </w:numPr>
        <w:spacing w:before="0" w:after="0"/>
        <w:jc w:val="both"/>
        <w:rPr>
          <w:bCs/>
          <w:sz w:val="23"/>
          <w:szCs w:val="23"/>
        </w:rPr>
      </w:pPr>
      <w:r w:rsidRPr="002C38D5">
        <w:rPr>
          <w:bCs/>
          <w:sz w:val="23"/>
          <w:szCs w:val="23"/>
        </w:rPr>
        <w:t>HNY ICB Records Management requirements</w:t>
      </w:r>
    </w:p>
    <w:p w14:paraId="5D2B4B50" w14:textId="0D115587" w:rsidR="00E215FC" w:rsidRDefault="00E215FC" w:rsidP="005E5DD0">
      <w:pPr>
        <w:pStyle w:val="BodyText"/>
        <w:numPr>
          <w:ilvl w:val="0"/>
          <w:numId w:val="4"/>
        </w:numPr>
        <w:spacing w:before="0" w:after="0"/>
        <w:jc w:val="both"/>
        <w:rPr>
          <w:bCs/>
          <w:sz w:val="23"/>
          <w:szCs w:val="23"/>
        </w:rPr>
      </w:pPr>
      <w:r>
        <w:rPr>
          <w:bCs/>
          <w:sz w:val="23"/>
          <w:szCs w:val="23"/>
        </w:rPr>
        <w:t>HNY ICB Business Continuity Policy and Plan</w:t>
      </w:r>
    </w:p>
    <w:p w14:paraId="55B62080" w14:textId="4A072BC1" w:rsidR="00DC0283" w:rsidRDefault="00DC0283" w:rsidP="005E5DD0">
      <w:pPr>
        <w:pStyle w:val="BodyText"/>
        <w:numPr>
          <w:ilvl w:val="0"/>
          <w:numId w:val="4"/>
        </w:numPr>
        <w:spacing w:before="0" w:after="0"/>
        <w:jc w:val="both"/>
        <w:rPr>
          <w:bCs/>
          <w:sz w:val="23"/>
          <w:szCs w:val="23"/>
        </w:rPr>
      </w:pPr>
      <w:r>
        <w:rPr>
          <w:bCs/>
          <w:sz w:val="23"/>
          <w:szCs w:val="23"/>
        </w:rPr>
        <w:t xml:space="preserve">HNY Adverse Weather Plan </w:t>
      </w:r>
    </w:p>
    <w:p w14:paraId="0062F86D" w14:textId="2674BFEA" w:rsidR="00DC0283" w:rsidRDefault="00DC0283" w:rsidP="005E5DD0">
      <w:pPr>
        <w:pStyle w:val="BodyText"/>
        <w:numPr>
          <w:ilvl w:val="0"/>
          <w:numId w:val="4"/>
        </w:numPr>
        <w:spacing w:before="0" w:after="0"/>
        <w:jc w:val="both"/>
        <w:rPr>
          <w:bCs/>
          <w:sz w:val="23"/>
          <w:szCs w:val="23"/>
        </w:rPr>
      </w:pPr>
      <w:r>
        <w:rPr>
          <w:bCs/>
          <w:sz w:val="23"/>
          <w:szCs w:val="23"/>
        </w:rPr>
        <w:t>HNY LHRP Information Sharing Protocol</w:t>
      </w:r>
    </w:p>
    <w:p w14:paraId="74E748C1" w14:textId="77777777" w:rsidR="00AA022A" w:rsidRPr="007A490F" w:rsidRDefault="00AA022A" w:rsidP="00AA022A">
      <w:pPr>
        <w:pStyle w:val="BodyText"/>
        <w:spacing w:before="0" w:after="0"/>
        <w:jc w:val="both"/>
        <w:rPr>
          <w:bCs/>
          <w:sz w:val="22"/>
          <w:szCs w:val="22"/>
        </w:rPr>
      </w:pPr>
    </w:p>
    <w:p w14:paraId="5532A5CF" w14:textId="1A9F0421" w:rsidR="00D713FA" w:rsidRPr="007A490F" w:rsidRDefault="00D713FA" w:rsidP="00F20974">
      <w:pPr>
        <w:pStyle w:val="Heading1"/>
        <w:spacing w:before="0" w:after="0"/>
        <w:rPr>
          <w:szCs w:val="24"/>
        </w:rPr>
      </w:pPr>
      <w:bookmarkStart w:id="107" w:name="_Toc89425746"/>
      <w:bookmarkStart w:id="108" w:name="_Toc89425818"/>
      <w:bookmarkStart w:id="109" w:name="_Toc89426005"/>
      <w:bookmarkStart w:id="110" w:name="_Toc89426247"/>
      <w:bookmarkStart w:id="111" w:name="_Toc221591137"/>
      <w:bookmarkStart w:id="112" w:name="_Toc1256512795"/>
      <w:bookmarkStart w:id="113" w:name="_Toc160047262"/>
      <w:r w:rsidRPr="007A490F">
        <w:rPr>
          <w:szCs w:val="24"/>
        </w:rPr>
        <w:t>App</w:t>
      </w:r>
      <w:r w:rsidRPr="007A490F">
        <w:rPr>
          <w:spacing w:val="1"/>
          <w:szCs w:val="24"/>
        </w:rPr>
        <w:t>e</w:t>
      </w:r>
      <w:r w:rsidRPr="007A490F">
        <w:rPr>
          <w:szCs w:val="24"/>
        </w:rPr>
        <w:t>ndices</w:t>
      </w:r>
      <w:bookmarkEnd w:id="107"/>
      <w:bookmarkEnd w:id="108"/>
      <w:bookmarkEnd w:id="109"/>
      <w:bookmarkEnd w:id="110"/>
      <w:bookmarkEnd w:id="111"/>
      <w:bookmarkEnd w:id="112"/>
      <w:bookmarkEnd w:id="113"/>
    </w:p>
    <w:p w14:paraId="616E1843" w14:textId="0700DDD2" w:rsidR="00F20974" w:rsidRDefault="002F58D0" w:rsidP="002F58D0">
      <w:pPr>
        <w:tabs>
          <w:tab w:val="left" w:pos="2655"/>
        </w:tabs>
      </w:pPr>
      <w:r>
        <w:tab/>
      </w:r>
    </w:p>
    <w:tbl>
      <w:tblPr>
        <w:tblStyle w:val="TableGrid"/>
        <w:tblW w:w="0" w:type="auto"/>
        <w:tblLook w:val="04A0" w:firstRow="1" w:lastRow="0" w:firstColumn="1" w:lastColumn="0" w:noHBand="0" w:noVBand="1"/>
      </w:tblPr>
      <w:tblGrid>
        <w:gridCol w:w="471"/>
        <w:gridCol w:w="8029"/>
        <w:gridCol w:w="1128"/>
      </w:tblGrid>
      <w:tr w:rsidR="00076846" w14:paraId="6D07E470" w14:textId="769970D6" w:rsidTr="00076846">
        <w:tc>
          <w:tcPr>
            <w:tcW w:w="471" w:type="dxa"/>
          </w:tcPr>
          <w:p w14:paraId="79399B20" w14:textId="62D37C98" w:rsidR="00076846" w:rsidRDefault="00076846" w:rsidP="002F58D0">
            <w:pPr>
              <w:tabs>
                <w:tab w:val="left" w:pos="2655"/>
              </w:tabs>
            </w:pPr>
            <w:r>
              <w:t>1</w:t>
            </w:r>
          </w:p>
        </w:tc>
        <w:tc>
          <w:tcPr>
            <w:tcW w:w="8029" w:type="dxa"/>
          </w:tcPr>
          <w:p w14:paraId="32010ACB" w14:textId="3333B97B" w:rsidR="00076846" w:rsidRPr="002F58D0" w:rsidRDefault="00076846" w:rsidP="002F58D0">
            <w:pPr>
              <w:tabs>
                <w:tab w:val="left" w:pos="2655"/>
              </w:tabs>
              <w:rPr>
                <w:sz w:val="23"/>
                <w:szCs w:val="23"/>
              </w:rPr>
            </w:pPr>
            <w:r w:rsidRPr="000A20F6">
              <w:rPr>
                <w:sz w:val="23"/>
                <w:szCs w:val="23"/>
              </w:rPr>
              <w:t>North East &amp; Yorkshire Regional EPRR Strateg</w:t>
            </w:r>
            <w:r>
              <w:rPr>
                <w:sz w:val="23"/>
                <w:szCs w:val="23"/>
              </w:rPr>
              <w:t>ic Ambition</w:t>
            </w:r>
          </w:p>
        </w:tc>
        <w:tc>
          <w:tcPr>
            <w:tcW w:w="1128" w:type="dxa"/>
          </w:tcPr>
          <w:p w14:paraId="778AC876" w14:textId="5697727A" w:rsidR="00076846" w:rsidRPr="000A20F6" w:rsidRDefault="00076846" w:rsidP="002F58D0">
            <w:pPr>
              <w:tabs>
                <w:tab w:val="left" w:pos="2655"/>
              </w:tabs>
              <w:rPr>
                <w:sz w:val="23"/>
                <w:szCs w:val="23"/>
              </w:rPr>
            </w:pPr>
            <w:r>
              <w:rPr>
                <w:sz w:val="23"/>
                <w:szCs w:val="23"/>
              </w:rPr>
              <w:t xml:space="preserve">Page </w:t>
            </w:r>
            <w:r w:rsidR="00330691">
              <w:rPr>
                <w:sz w:val="23"/>
                <w:szCs w:val="23"/>
              </w:rPr>
              <w:t>20</w:t>
            </w:r>
          </w:p>
        </w:tc>
      </w:tr>
      <w:tr w:rsidR="00076846" w14:paraId="776AFA81" w14:textId="2239477D" w:rsidTr="00076846">
        <w:tc>
          <w:tcPr>
            <w:tcW w:w="471" w:type="dxa"/>
          </w:tcPr>
          <w:p w14:paraId="47033236" w14:textId="228B09E2" w:rsidR="00076846" w:rsidRDefault="00076846" w:rsidP="002F58D0">
            <w:pPr>
              <w:tabs>
                <w:tab w:val="left" w:pos="2655"/>
              </w:tabs>
            </w:pPr>
            <w:r>
              <w:t>2</w:t>
            </w:r>
          </w:p>
        </w:tc>
        <w:tc>
          <w:tcPr>
            <w:tcW w:w="8029" w:type="dxa"/>
          </w:tcPr>
          <w:p w14:paraId="60AA116A" w14:textId="4260CC11" w:rsidR="00076846" w:rsidRPr="000A20F6" w:rsidRDefault="00076846" w:rsidP="000A20F6">
            <w:pPr>
              <w:tabs>
                <w:tab w:val="left" w:pos="2655"/>
              </w:tabs>
              <w:rPr>
                <w:sz w:val="23"/>
                <w:szCs w:val="23"/>
              </w:rPr>
            </w:pPr>
            <w:r>
              <w:rPr>
                <w:sz w:val="23"/>
                <w:szCs w:val="23"/>
              </w:rPr>
              <w:t xml:space="preserve">Local </w:t>
            </w:r>
            <w:r w:rsidRPr="000A20F6">
              <w:rPr>
                <w:sz w:val="23"/>
                <w:szCs w:val="23"/>
              </w:rPr>
              <w:t>Health Resilience Partnership Terms of Reference</w:t>
            </w:r>
          </w:p>
        </w:tc>
        <w:tc>
          <w:tcPr>
            <w:tcW w:w="1128" w:type="dxa"/>
          </w:tcPr>
          <w:p w14:paraId="0A783A30" w14:textId="0B0F8711" w:rsidR="00076846" w:rsidRDefault="00076846" w:rsidP="000A20F6">
            <w:pPr>
              <w:tabs>
                <w:tab w:val="left" w:pos="2655"/>
              </w:tabs>
              <w:rPr>
                <w:sz w:val="23"/>
                <w:szCs w:val="23"/>
              </w:rPr>
            </w:pPr>
            <w:r>
              <w:rPr>
                <w:sz w:val="23"/>
                <w:szCs w:val="23"/>
              </w:rPr>
              <w:t>Page 2</w:t>
            </w:r>
            <w:r w:rsidR="00330691">
              <w:rPr>
                <w:sz w:val="23"/>
                <w:szCs w:val="23"/>
              </w:rPr>
              <w:t>1</w:t>
            </w:r>
          </w:p>
        </w:tc>
      </w:tr>
      <w:tr w:rsidR="00076846" w14:paraId="2532F0A5" w14:textId="415D0A9F" w:rsidTr="00076846">
        <w:tc>
          <w:tcPr>
            <w:tcW w:w="471" w:type="dxa"/>
          </w:tcPr>
          <w:p w14:paraId="5E190F63" w14:textId="4B06DCDF" w:rsidR="00076846" w:rsidRDefault="00076846" w:rsidP="002F58D0">
            <w:pPr>
              <w:tabs>
                <w:tab w:val="left" w:pos="2655"/>
              </w:tabs>
            </w:pPr>
            <w:r>
              <w:t>3</w:t>
            </w:r>
          </w:p>
        </w:tc>
        <w:tc>
          <w:tcPr>
            <w:tcW w:w="8029" w:type="dxa"/>
          </w:tcPr>
          <w:p w14:paraId="027031CB" w14:textId="221A5ABA" w:rsidR="00076846" w:rsidRPr="00786CF0" w:rsidRDefault="00076846" w:rsidP="000A20F6">
            <w:pPr>
              <w:tabs>
                <w:tab w:val="left" w:pos="2655"/>
              </w:tabs>
              <w:rPr>
                <w:sz w:val="23"/>
                <w:szCs w:val="23"/>
              </w:rPr>
            </w:pPr>
            <w:r>
              <w:rPr>
                <w:sz w:val="23"/>
                <w:szCs w:val="23"/>
              </w:rPr>
              <w:t xml:space="preserve">Regional </w:t>
            </w:r>
            <w:r w:rsidRPr="000A20F6">
              <w:rPr>
                <w:sz w:val="23"/>
                <w:szCs w:val="23"/>
              </w:rPr>
              <w:t>Health Resilience Partnership Terms of Reference</w:t>
            </w:r>
          </w:p>
        </w:tc>
        <w:tc>
          <w:tcPr>
            <w:tcW w:w="1128" w:type="dxa"/>
          </w:tcPr>
          <w:p w14:paraId="296D3EAB" w14:textId="6DBD5B5C" w:rsidR="00076846" w:rsidRDefault="00076846" w:rsidP="000A20F6">
            <w:pPr>
              <w:tabs>
                <w:tab w:val="left" w:pos="2655"/>
              </w:tabs>
              <w:rPr>
                <w:sz w:val="23"/>
                <w:szCs w:val="23"/>
              </w:rPr>
            </w:pPr>
            <w:r>
              <w:rPr>
                <w:sz w:val="23"/>
                <w:szCs w:val="23"/>
              </w:rPr>
              <w:t>Page 2</w:t>
            </w:r>
            <w:r w:rsidR="00330691">
              <w:rPr>
                <w:sz w:val="23"/>
                <w:szCs w:val="23"/>
              </w:rPr>
              <w:t>7</w:t>
            </w:r>
          </w:p>
        </w:tc>
      </w:tr>
      <w:tr w:rsidR="00076846" w14:paraId="7DBC54F8" w14:textId="5F09F5D8" w:rsidTr="00076846">
        <w:tc>
          <w:tcPr>
            <w:tcW w:w="471" w:type="dxa"/>
          </w:tcPr>
          <w:p w14:paraId="2E46B0C1" w14:textId="61543293" w:rsidR="00076846" w:rsidRDefault="00076846" w:rsidP="002F58D0">
            <w:pPr>
              <w:tabs>
                <w:tab w:val="left" w:pos="2655"/>
              </w:tabs>
            </w:pPr>
            <w:r>
              <w:t>4</w:t>
            </w:r>
          </w:p>
        </w:tc>
        <w:tc>
          <w:tcPr>
            <w:tcW w:w="8029" w:type="dxa"/>
          </w:tcPr>
          <w:p w14:paraId="68F7992D" w14:textId="7B89106F" w:rsidR="00076846" w:rsidRPr="00786CF0" w:rsidRDefault="00076846" w:rsidP="002F58D0">
            <w:pPr>
              <w:tabs>
                <w:tab w:val="left" w:pos="2655"/>
              </w:tabs>
              <w:rPr>
                <w:sz w:val="23"/>
                <w:szCs w:val="23"/>
              </w:rPr>
            </w:pPr>
            <w:r w:rsidRPr="000A20F6">
              <w:rPr>
                <w:sz w:val="23"/>
                <w:szCs w:val="23"/>
              </w:rPr>
              <w:t>Local Resilience Forum &amp; Health Resilience Partnership Engagement</w:t>
            </w:r>
          </w:p>
        </w:tc>
        <w:tc>
          <w:tcPr>
            <w:tcW w:w="1128" w:type="dxa"/>
          </w:tcPr>
          <w:p w14:paraId="1C294380" w14:textId="1466BD81" w:rsidR="00076846" w:rsidRPr="000A20F6" w:rsidRDefault="00076846" w:rsidP="002F58D0">
            <w:pPr>
              <w:tabs>
                <w:tab w:val="left" w:pos="2655"/>
              </w:tabs>
              <w:rPr>
                <w:sz w:val="23"/>
                <w:szCs w:val="23"/>
              </w:rPr>
            </w:pPr>
            <w:r>
              <w:rPr>
                <w:sz w:val="23"/>
                <w:szCs w:val="23"/>
              </w:rPr>
              <w:t xml:space="preserve">Page </w:t>
            </w:r>
            <w:r w:rsidR="00330691">
              <w:rPr>
                <w:sz w:val="23"/>
                <w:szCs w:val="23"/>
              </w:rPr>
              <w:t>30</w:t>
            </w:r>
          </w:p>
        </w:tc>
      </w:tr>
    </w:tbl>
    <w:p w14:paraId="64DF03BD" w14:textId="77777777" w:rsidR="00786CF0" w:rsidRDefault="00786CF0" w:rsidP="00786CF0">
      <w:bookmarkStart w:id="114" w:name="_Toc104100062"/>
    </w:p>
    <w:p w14:paraId="2BD4F2EE" w14:textId="77777777" w:rsidR="008C17CE" w:rsidRDefault="008C17CE">
      <w:pPr>
        <w:pStyle w:val="Heading1"/>
        <w:numPr>
          <w:ilvl w:val="0"/>
          <w:numId w:val="0"/>
        </w:numPr>
        <w:sectPr w:rsidR="008C17CE" w:rsidSect="00D7082D">
          <w:pgSz w:w="11906" w:h="16838"/>
          <w:pgMar w:top="425" w:right="1134" w:bottom="567" w:left="1134" w:header="284" w:footer="266" w:gutter="0"/>
          <w:cols w:space="708"/>
          <w:docGrid w:linePitch="360"/>
        </w:sectPr>
      </w:pPr>
    </w:p>
    <w:p w14:paraId="7489AD4A" w14:textId="1853E5F4" w:rsidR="008C17CE" w:rsidRPr="009B57A9" w:rsidRDefault="000A20F6" w:rsidP="009B57A9">
      <w:pPr>
        <w:pStyle w:val="Heading2"/>
        <w:numPr>
          <w:ilvl w:val="0"/>
          <w:numId w:val="0"/>
        </w:numPr>
        <w:ind w:left="851" w:hanging="851"/>
        <w:jc w:val="right"/>
        <w:rPr>
          <w:sz w:val="28"/>
          <w:szCs w:val="28"/>
        </w:rPr>
      </w:pPr>
      <w:r w:rsidRPr="009B57A9">
        <w:rPr>
          <w:sz w:val="28"/>
          <w:szCs w:val="28"/>
        </w:rPr>
        <w:lastRenderedPageBreak/>
        <w:t>A</w:t>
      </w:r>
      <w:r w:rsidR="00254132" w:rsidRPr="009B57A9">
        <w:rPr>
          <w:sz w:val="28"/>
          <w:szCs w:val="28"/>
        </w:rPr>
        <w:t xml:space="preserve">ppendix </w:t>
      </w:r>
      <w:r w:rsidRPr="009B57A9">
        <w:rPr>
          <w:sz w:val="28"/>
          <w:szCs w:val="28"/>
        </w:rPr>
        <w:t>1</w:t>
      </w:r>
      <w:r w:rsidR="00254132" w:rsidRPr="009B57A9">
        <w:rPr>
          <w:sz w:val="28"/>
          <w:szCs w:val="28"/>
        </w:rPr>
        <w:t xml:space="preserve"> – </w:t>
      </w:r>
      <w:bookmarkEnd w:id="114"/>
      <w:r w:rsidRPr="009B57A9">
        <w:rPr>
          <w:sz w:val="28"/>
          <w:szCs w:val="28"/>
        </w:rPr>
        <w:t xml:space="preserve">North East &amp; Yorkshire Regional EPRR </w:t>
      </w:r>
      <w:bookmarkStart w:id="115" w:name="_Toc104100063"/>
      <w:r w:rsidR="00330691">
        <w:rPr>
          <w:sz w:val="28"/>
          <w:szCs w:val="28"/>
        </w:rPr>
        <w:t>Strategy</w:t>
      </w:r>
    </w:p>
    <w:p w14:paraId="3D03D9A3" w14:textId="2B915D85" w:rsidR="009B57A9" w:rsidRDefault="009B57A9" w:rsidP="009B57A9">
      <w:r>
        <w:rPr>
          <w:noProof/>
        </w:rPr>
        <w:drawing>
          <wp:anchor distT="0" distB="0" distL="114300" distR="114300" simplePos="0" relativeHeight="251663360" behindDoc="1" locked="0" layoutInCell="1" allowOverlap="1" wp14:anchorId="0D9ADCEB" wp14:editId="02BD7B48">
            <wp:simplePos x="0" y="0"/>
            <wp:positionH relativeFrom="margin">
              <wp:align>center</wp:align>
            </wp:positionH>
            <wp:positionV relativeFrom="paragraph">
              <wp:posOffset>301980</wp:posOffset>
            </wp:positionV>
            <wp:extent cx="10407015" cy="5411470"/>
            <wp:effectExtent l="0" t="0" r="0" b="0"/>
            <wp:wrapTight wrapText="bothSides">
              <wp:wrapPolygon edited="0">
                <wp:start x="0" y="0"/>
                <wp:lineTo x="0" y="21519"/>
                <wp:lineTo x="21549" y="21519"/>
                <wp:lineTo x="21549" y="0"/>
                <wp:lineTo x="0" y="0"/>
              </wp:wrapPolygon>
            </wp:wrapTight>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10407015" cy="5411470"/>
                    </a:xfrm>
                    <a:prstGeom prst="rect">
                      <a:avLst/>
                    </a:prstGeom>
                  </pic:spPr>
                </pic:pic>
              </a:graphicData>
            </a:graphic>
            <wp14:sizeRelH relativeFrom="page">
              <wp14:pctWidth>0</wp14:pctWidth>
            </wp14:sizeRelH>
            <wp14:sizeRelV relativeFrom="page">
              <wp14:pctHeight>0</wp14:pctHeight>
            </wp14:sizeRelV>
          </wp:anchor>
        </w:drawing>
      </w:r>
    </w:p>
    <w:p w14:paraId="2BC344B2" w14:textId="3D593D12" w:rsidR="009B57A9" w:rsidRPr="009B57A9" w:rsidRDefault="009B57A9" w:rsidP="009B57A9">
      <w:pPr>
        <w:sectPr w:rsidR="009B57A9" w:rsidRPr="009B57A9" w:rsidSect="00D7082D">
          <w:pgSz w:w="16838" w:h="11906" w:orient="landscape"/>
          <w:pgMar w:top="1134" w:right="567" w:bottom="1134" w:left="425" w:header="284" w:footer="266" w:gutter="0"/>
          <w:cols w:space="708"/>
          <w:docGrid w:linePitch="360"/>
        </w:sectPr>
      </w:pPr>
    </w:p>
    <w:p w14:paraId="5725F12A" w14:textId="6BF5CAB6" w:rsidR="00C83E65" w:rsidRPr="009B57A9" w:rsidRDefault="00C83E65" w:rsidP="009B57A9">
      <w:pPr>
        <w:pStyle w:val="Heading2"/>
        <w:numPr>
          <w:ilvl w:val="0"/>
          <w:numId w:val="0"/>
        </w:numPr>
        <w:ind w:left="851" w:hanging="851"/>
        <w:jc w:val="right"/>
        <w:rPr>
          <w:sz w:val="28"/>
          <w:szCs w:val="28"/>
        </w:rPr>
      </w:pPr>
      <w:r w:rsidRPr="009B57A9">
        <w:rPr>
          <w:sz w:val="28"/>
          <w:szCs w:val="28"/>
        </w:rPr>
        <w:lastRenderedPageBreak/>
        <w:t>A</w:t>
      </w:r>
      <w:r w:rsidR="00254132" w:rsidRPr="009B57A9">
        <w:rPr>
          <w:sz w:val="28"/>
          <w:szCs w:val="28"/>
        </w:rPr>
        <w:t xml:space="preserve">ppendix </w:t>
      </w:r>
      <w:r w:rsidRPr="009B57A9">
        <w:rPr>
          <w:sz w:val="28"/>
          <w:szCs w:val="28"/>
        </w:rPr>
        <w:t>2</w:t>
      </w:r>
      <w:r w:rsidR="00254132" w:rsidRPr="009B57A9">
        <w:rPr>
          <w:sz w:val="28"/>
          <w:szCs w:val="28"/>
        </w:rPr>
        <w:t xml:space="preserve"> – </w:t>
      </w:r>
      <w:bookmarkEnd w:id="115"/>
      <w:r w:rsidR="00786CF0" w:rsidRPr="009B57A9">
        <w:rPr>
          <w:sz w:val="28"/>
          <w:szCs w:val="28"/>
        </w:rPr>
        <w:t xml:space="preserve">Local </w:t>
      </w:r>
      <w:r w:rsidRPr="009B57A9">
        <w:rPr>
          <w:sz w:val="28"/>
          <w:szCs w:val="28"/>
        </w:rPr>
        <w:t xml:space="preserve">Health Resilience Partnership </w:t>
      </w:r>
      <w:bookmarkStart w:id="116" w:name="_Toc100902800"/>
      <w:bookmarkStart w:id="117" w:name="_Toc101269392"/>
      <w:r w:rsidRPr="009B57A9">
        <w:rPr>
          <w:sz w:val="28"/>
          <w:szCs w:val="28"/>
        </w:rPr>
        <w:t>Terms of Reference</w:t>
      </w:r>
      <w:bookmarkEnd w:id="116"/>
      <w:bookmarkEnd w:id="117"/>
    </w:p>
    <w:p w14:paraId="4C0603EE" w14:textId="77777777" w:rsidR="00786CF0" w:rsidRDefault="00786CF0" w:rsidP="00786CF0"/>
    <w:tbl>
      <w:tblPr>
        <w:tblpPr w:leftFromText="180" w:rightFromText="180" w:vertAnchor="text" w:horzAnchor="margin" w:tblpY="36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hemeFill="accent1" w:themeFillTint="66"/>
        <w:tblLook w:val="01E0" w:firstRow="1" w:lastRow="1" w:firstColumn="1" w:lastColumn="1" w:noHBand="0" w:noVBand="0"/>
      </w:tblPr>
      <w:tblGrid>
        <w:gridCol w:w="3901"/>
        <w:gridCol w:w="5115"/>
      </w:tblGrid>
      <w:tr w:rsidR="003C2BFB" w:rsidRPr="007E035F" w14:paraId="3DE538F4" w14:textId="77777777" w:rsidTr="003E6650">
        <w:tc>
          <w:tcPr>
            <w:tcW w:w="3901" w:type="dxa"/>
            <w:shd w:val="clear" w:color="auto" w:fill="B8CCE4" w:themeFill="accent1" w:themeFillTint="66"/>
          </w:tcPr>
          <w:p w14:paraId="789A4C1A" w14:textId="77777777" w:rsidR="003C2BFB" w:rsidRPr="007E035F" w:rsidRDefault="003C2BFB" w:rsidP="003E6650">
            <w:pPr>
              <w:ind w:left="22"/>
              <w:rPr>
                <w:b/>
              </w:rPr>
            </w:pPr>
            <w:r w:rsidRPr="007E035F">
              <w:rPr>
                <w:b/>
              </w:rPr>
              <w:t xml:space="preserve">Authorship: </w:t>
            </w:r>
          </w:p>
        </w:tc>
        <w:tc>
          <w:tcPr>
            <w:tcW w:w="5115" w:type="dxa"/>
            <w:shd w:val="clear" w:color="auto" w:fill="B8CCE4" w:themeFill="accent1" w:themeFillTint="66"/>
          </w:tcPr>
          <w:p w14:paraId="5266695F" w14:textId="0105F8D1" w:rsidR="003C2BFB" w:rsidRPr="007E035F" w:rsidRDefault="00A90504" w:rsidP="003E6650">
            <w:pPr>
              <w:ind w:left="22"/>
            </w:pPr>
            <w:r>
              <w:t xml:space="preserve">Deputy Chief Executive and </w:t>
            </w:r>
            <w:r w:rsidR="003C2BFB" w:rsidRPr="007E035F">
              <w:t>Chief Operating Officer</w:t>
            </w:r>
          </w:p>
        </w:tc>
      </w:tr>
      <w:tr w:rsidR="003C2BFB" w:rsidRPr="007E035F" w14:paraId="5BA9ADDE" w14:textId="77777777" w:rsidTr="003E6650">
        <w:tc>
          <w:tcPr>
            <w:tcW w:w="3901" w:type="dxa"/>
            <w:shd w:val="clear" w:color="auto" w:fill="DBE5F1" w:themeFill="accent1" w:themeFillTint="33"/>
          </w:tcPr>
          <w:p w14:paraId="1DC6C182" w14:textId="77777777" w:rsidR="003C2BFB" w:rsidRPr="007E035F" w:rsidRDefault="003C2BFB" w:rsidP="003E6650">
            <w:pPr>
              <w:ind w:left="22"/>
              <w:rPr>
                <w:b/>
              </w:rPr>
            </w:pPr>
            <w:r w:rsidRPr="007E035F">
              <w:rPr>
                <w:b/>
              </w:rPr>
              <w:t xml:space="preserve">Board / Committee Approved: </w:t>
            </w:r>
          </w:p>
        </w:tc>
        <w:tc>
          <w:tcPr>
            <w:tcW w:w="5115" w:type="dxa"/>
            <w:shd w:val="clear" w:color="auto" w:fill="DBE5F1" w:themeFill="accent1" w:themeFillTint="33"/>
          </w:tcPr>
          <w:p w14:paraId="6CFA5C09" w14:textId="77777777" w:rsidR="003C2BFB" w:rsidRPr="007E035F" w:rsidRDefault="003C2BFB" w:rsidP="003E6650">
            <w:pPr>
              <w:ind w:left="22"/>
            </w:pPr>
            <w:r w:rsidRPr="007E035F">
              <w:t>ICB Board</w:t>
            </w:r>
          </w:p>
        </w:tc>
      </w:tr>
      <w:tr w:rsidR="003C2BFB" w:rsidRPr="007E035F" w14:paraId="2298EF18" w14:textId="77777777" w:rsidTr="003E6650">
        <w:tc>
          <w:tcPr>
            <w:tcW w:w="3901" w:type="dxa"/>
            <w:shd w:val="clear" w:color="auto" w:fill="B8CCE4" w:themeFill="accent1" w:themeFillTint="66"/>
          </w:tcPr>
          <w:p w14:paraId="17800D5F" w14:textId="77777777" w:rsidR="003C2BFB" w:rsidRPr="007E035F" w:rsidRDefault="003C2BFB" w:rsidP="003E6650">
            <w:pPr>
              <w:ind w:left="22"/>
              <w:rPr>
                <w:b/>
              </w:rPr>
            </w:pPr>
            <w:r w:rsidRPr="007E035F">
              <w:rPr>
                <w:b/>
              </w:rPr>
              <w:t>Approved date:</w:t>
            </w:r>
          </w:p>
        </w:tc>
        <w:tc>
          <w:tcPr>
            <w:tcW w:w="5115" w:type="dxa"/>
            <w:shd w:val="clear" w:color="auto" w:fill="B8CCE4" w:themeFill="accent1" w:themeFillTint="66"/>
          </w:tcPr>
          <w:p w14:paraId="268DA252" w14:textId="77777777" w:rsidR="003C2BFB" w:rsidRPr="007E035F" w:rsidRDefault="003C2BFB" w:rsidP="003E6650">
            <w:pPr>
              <w:ind w:left="22"/>
            </w:pPr>
            <w:r w:rsidRPr="007E035F">
              <w:t>July 202</w:t>
            </w:r>
            <w:r>
              <w:t>4</w:t>
            </w:r>
          </w:p>
        </w:tc>
      </w:tr>
      <w:tr w:rsidR="003C2BFB" w:rsidRPr="007E035F" w14:paraId="212E3069" w14:textId="77777777" w:rsidTr="003E6650">
        <w:tc>
          <w:tcPr>
            <w:tcW w:w="3901" w:type="dxa"/>
            <w:shd w:val="clear" w:color="auto" w:fill="DBE5F1" w:themeFill="accent1" w:themeFillTint="33"/>
          </w:tcPr>
          <w:p w14:paraId="6019343F" w14:textId="77777777" w:rsidR="003C2BFB" w:rsidRPr="007E035F" w:rsidRDefault="003C2BFB" w:rsidP="003E6650">
            <w:pPr>
              <w:ind w:left="22"/>
              <w:rPr>
                <w:b/>
              </w:rPr>
            </w:pPr>
            <w:r w:rsidRPr="007E035F">
              <w:rPr>
                <w:b/>
              </w:rPr>
              <w:t xml:space="preserve">Review Date: </w:t>
            </w:r>
          </w:p>
        </w:tc>
        <w:tc>
          <w:tcPr>
            <w:tcW w:w="5115" w:type="dxa"/>
            <w:shd w:val="clear" w:color="auto" w:fill="DBE5F1" w:themeFill="accent1" w:themeFillTint="33"/>
          </w:tcPr>
          <w:p w14:paraId="41F64E7F" w14:textId="77777777" w:rsidR="003C2BFB" w:rsidRPr="007E035F" w:rsidRDefault="003C2BFB" w:rsidP="003E6650">
            <w:pPr>
              <w:ind w:left="22"/>
            </w:pPr>
            <w:r>
              <w:t>July 2025</w:t>
            </w:r>
          </w:p>
        </w:tc>
      </w:tr>
      <w:tr w:rsidR="003C2BFB" w:rsidRPr="007E035F" w14:paraId="25C1FF01" w14:textId="77777777" w:rsidTr="003E6650">
        <w:tc>
          <w:tcPr>
            <w:tcW w:w="3901" w:type="dxa"/>
            <w:shd w:val="clear" w:color="auto" w:fill="B8CCE4" w:themeFill="accent1" w:themeFillTint="66"/>
          </w:tcPr>
          <w:p w14:paraId="0403F08F" w14:textId="77777777" w:rsidR="003C2BFB" w:rsidRPr="007E035F" w:rsidRDefault="003C2BFB" w:rsidP="003E6650">
            <w:pPr>
              <w:ind w:left="22"/>
              <w:rPr>
                <w:b/>
              </w:rPr>
            </w:pPr>
            <w:r w:rsidRPr="007E035F">
              <w:rPr>
                <w:b/>
              </w:rPr>
              <w:t>Equality Impact Assessment:</w:t>
            </w:r>
          </w:p>
        </w:tc>
        <w:tc>
          <w:tcPr>
            <w:tcW w:w="5115" w:type="dxa"/>
            <w:shd w:val="clear" w:color="auto" w:fill="B8CCE4" w:themeFill="accent1" w:themeFillTint="66"/>
          </w:tcPr>
          <w:p w14:paraId="26304B35" w14:textId="77777777" w:rsidR="003C2BFB" w:rsidRPr="007E035F" w:rsidRDefault="003C2BFB" w:rsidP="003E6650">
            <w:pPr>
              <w:ind w:left="22"/>
            </w:pPr>
            <w:r>
              <w:t>N/A</w:t>
            </w:r>
          </w:p>
        </w:tc>
      </w:tr>
      <w:tr w:rsidR="003C2BFB" w:rsidRPr="007E035F" w14:paraId="3483D00F" w14:textId="77777777" w:rsidTr="003E6650">
        <w:trPr>
          <w:trHeight w:val="893"/>
        </w:trPr>
        <w:tc>
          <w:tcPr>
            <w:tcW w:w="3901" w:type="dxa"/>
            <w:shd w:val="clear" w:color="auto" w:fill="B8CCE4" w:themeFill="accent1" w:themeFillTint="66"/>
          </w:tcPr>
          <w:p w14:paraId="1E609F88" w14:textId="77777777" w:rsidR="003C2BFB" w:rsidRPr="007E035F" w:rsidRDefault="003C2BFB" w:rsidP="003E6650">
            <w:pPr>
              <w:ind w:left="22"/>
              <w:rPr>
                <w:b/>
              </w:rPr>
            </w:pPr>
            <w:r w:rsidRPr="007E035F">
              <w:rPr>
                <w:b/>
              </w:rPr>
              <w:t>Target Audience:</w:t>
            </w:r>
          </w:p>
        </w:tc>
        <w:tc>
          <w:tcPr>
            <w:tcW w:w="5115" w:type="dxa"/>
            <w:shd w:val="clear" w:color="auto" w:fill="B8CCE4" w:themeFill="accent1" w:themeFillTint="66"/>
          </w:tcPr>
          <w:p w14:paraId="7BD4F9E5" w14:textId="77777777" w:rsidR="003C2BFB" w:rsidRPr="007E035F" w:rsidRDefault="003C2BFB" w:rsidP="003E6650">
            <w:pPr>
              <w:ind w:left="22"/>
            </w:pPr>
            <w:r w:rsidRPr="007E035F">
              <w:t>ICB and its Committees and Sub-Committees, ICB Staff, agency and temporary staff &amp; third parties under contract</w:t>
            </w:r>
          </w:p>
        </w:tc>
      </w:tr>
      <w:tr w:rsidR="003C2BFB" w:rsidRPr="007E035F" w14:paraId="3A726DBB" w14:textId="77777777" w:rsidTr="003E6650">
        <w:tc>
          <w:tcPr>
            <w:tcW w:w="3901" w:type="dxa"/>
            <w:shd w:val="clear" w:color="auto" w:fill="DBE5F1" w:themeFill="accent1" w:themeFillTint="33"/>
          </w:tcPr>
          <w:p w14:paraId="3FD1B1AE" w14:textId="77777777" w:rsidR="003C2BFB" w:rsidRPr="007E035F" w:rsidRDefault="003C2BFB" w:rsidP="003E6650">
            <w:pPr>
              <w:ind w:left="22"/>
              <w:rPr>
                <w:b/>
              </w:rPr>
            </w:pPr>
            <w:r w:rsidRPr="007E035F">
              <w:rPr>
                <w:b/>
              </w:rPr>
              <w:t>Policy Number:</w:t>
            </w:r>
          </w:p>
        </w:tc>
        <w:tc>
          <w:tcPr>
            <w:tcW w:w="5115" w:type="dxa"/>
            <w:shd w:val="clear" w:color="auto" w:fill="DBE5F1" w:themeFill="accent1" w:themeFillTint="33"/>
          </w:tcPr>
          <w:p w14:paraId="6A9A3F11" w14:textId="77777777" w:rsidR="003C2BFB" w:rsidRPr="007E035F" w:rsidRDefault="003C2BFB" w:rsidP="003E6650">
            <w:pPr>
              <w:ind w:left="22"/>
            </w:pPr>
          </w:p>
        </w:tc>
      </w:tr>
      <w:tr w:rsidR="003C2BFB" w:rsidRPr="007E035F" w14:paraId="055EC1C6" w14:textId="77777777" w:rsidTr="003E6650">
        <w:tblPrEx>
          <w:tblLook w:val="0000" w:firstRow="0" w:lastRow="0" w:firstColumn="0" w:lastColumn="0" w:noHBand="0" w:noVBand="0"/>
        </w:tblPrEx>
        <w:tc>
          <w:tcPr>
            <w:tcW w:w="3901" w:type="dxa"/>
            <w:shd w:val="clear" w:color="auto" w:fill="B8CCE4" w:themeFill="accent1" w:themeFillTint="66"/>
          </w:tcPr>
          <w:p w14:paraId="52E870C1" w14:textId="77777777" w:rsidR="003C2BFB" w:rsidRPr="007E035F" w:rsidRDefault="003C2BFB" w:rsidP="003E6650">
            <w:pPr>
              <w:ind w:left="22"/>
              <w:rPr>
                <w:b/>
              </w:rPr>
            </w:pPr>
            <w:r w:rsidRPr="007E035F">
              <w:rPr>
                <w:b/>
              </w:rPr>
              <w:t>Version Number:</w:t>
            </w:r>
            <w:r w:rsidRPr="007E035F">
              <w:rPr>
                <w:b/>
              </w:rPr>
              <w:tab/>
            </w:r>
          </w:p>
        </w:tc>
        <w:tc>
          <w:tcPr>
            <w:tcW w:w="5115" w:type="dxa"/>
            <w:shd w:val="clear" w:color="auto" w:fill="B8CCE4" w:themeFill="accent1" w:themeFillTint="66"/>
          </w:tcPr>
          <w:p w14:paraId="3A3A8371" w14:textId="77777777" w:rsidR="003C2BFB" w:rsidRPr="007E035F" w:rsidRDefault="003C2BFB" w:rsidP="003E6650">
            <w:pPr>
              <w:ind w:left="22"/>
            </w:pPr>
            <w:r w:rsidRPr="007E035F">
              <w:t>1.</w:t>
            </w:r>
            <w:r>
              <w:t>1</w:t>
            </w:r>
          </w:p>
          <w:p w14:paraId="71D14C08" w14:textId="77777777" w:rsidR="003C2BFB" w:rsidRPr="007E035F" w:rsidRDefault="003C2BFB" w:rsidP="003E6650">
            <w:pPr>
              <w:ind w:left="22"/>
            </w:pPr>
          </w:p>
        </w:tc>
      </w:tr>
    </w:tbl>
    <w:p w14:paraId="1F3C8DF1" w14:textId="77777777" w:rsidR="003C2BFB" w:rsidRDefault="003C2BFB" w:rsidP="003C2BFB">
      <w:pPr>
        <w:pStyle w:val="Title"/>
      </w:pPr>
    </w:p>
    <w:p w14:paraId="711E1530" w14:textId="77777777" w:rsidR="003C2BFB" w:rsidRDefault="003C2BFB" w:rsidP="003C2BFB">
      <w:pPr>
        <w:pStyle w:val="Title"/>
      </w:pPr>
    </w:p>
    <w:p w14:paraId="55CF6B59" w14:textId="77777777" w:rsidR="003C2BFB" w:rsidRDefault="003C2BFB" w:rsidP="003C2BFB"/>
    <w:p w14:paraId="24955C1D" w14:textId="77777777" w:rsidR="003C2BFB" w:rsidRDefault="003C2BFB" w:rsidP="003C2BFB"/>
    <w:p w14:paraId="21063928" w14:textId="5A13B160" w:rsidR="003C2BFB" w:rsidRDefault="00546837" w:rsidP="003C2BFB">
      <w:pPr>
        <w:pStyle w:val="Title"/>
      </w:pPr>
      <w:r>
        <w:t xml:space="preserve">Humber and North Yorkshire </w:t>
      </w:r>
      <w:r w:rsidR="003C2BFB">
        <w:t>Local Health and Resilience Partnership (LHRP) Terms of Reference</w:t>
      </w:r>
    </w:p>
    <w:p w14:paraId="06CB73D3" w14:textId="77777777" w:rsidR="003C2BFB" w:rsidRDefault="003C2BFB" w:rsidP="003C2BFB">
      <w:r>
        <w:br w:type="page"/>
      </w:r>
    </w:p>
    <w:p w14:paraId="46271349" w14:textId="77777777" w:rsidR="003C2BFB" w:rsidRDefault="003C2BFB" w:rsidP="003C2BFB">
      <w:pPr>
        <w:pStyle w:val="TOC1"/>
        <w:rPr>
          <w:rFonts w:asciiTheme="minorHAnsi" w:eastAsiaTheme="minorEastAsia" w:hAnsiTheme="minorHAnsi" w:cstheme="minorBidi"/>
          <w:sz w:val="22"/>
          <w:lang w:eastAsia="en-GB"/>
        </w:rPr>
      </w:pPr>
      <w:r>
        <w:rPr>
          <w:b w:val="0"/>
          <w:bCs w:val="0"/>
        </w:rPr>
        <w:lastRenderedPageBreak/>
        <w:fldChar w:fldCharType="begin"/>
      </w:r>
      <w:r>
        <w:instrText xml:space="preserve"> TOC \o "1-1" \h \z \u </w:instrText>
      </w:r>
      <w:r>
        <w:rPr>
          <w:b w:val="0"/>
          <w:bCs w:val="0"/>
        </w:rPr>
        <w:fldChar w:fldCharType="separate"/>
      </w:r>
      <w:hyperlink w:anchor="_Toc125472878" w:history="1">
        <w:r w:rsidRPr="002F2284">
          <w:rPr>
            <w:rStyle w:val="Hyperlink"/>
          </w:rPr>
          <w:t>1.0</w:t>
        </w:r>
        <w:r>
          <w:rPr>
            <w:rFonts w:asciiTheme="minorHAnsi" w:eastAsiaTheme="minorEastAsia" w:hAnsiTheme="minorHAnsi" w:cstheme="minorBidi"/>
            <w:sz w:val="22"/>
            <w:lang w:eastAsia="en-GB"/>
          </w:rPr>
          <w:tab/>
        </w:r>
        <w:r w:rsidRPr="002F2284">
          <w:rPr>
            <w:rStyle w:val="Hyperlink"/>
          </w:rPr>
          <w:t>Overview</w:t>
        </w:r>
        <w:r>
          <w:rPr>
            <w:webHidden/>
          </w:rPr>
          <w:tab/>
        </w:r>
        <w:r>
          <w:rPr>
            <w:webHidden/>
          </w:rPr>
          <w:fldChar w:fldCharType="begin"/>
        </w:r>
        <w:r>
          <w:rPr>
            <w:webHidden/>
          </w:rPr>
          <w:instrText xml:space="preserve"> PAGEREF _Toc125472878 \h </w:instrText>
        </w:r>
        <w:r>
          <w:rPr>
            <w:webHidden/>
          </w:rPr>
        </w:r>
        <w:r>
          <w:rPr>
            <w:webHidden/>
          </w:rPr>
          <w:fldChar w:fldCharType="separate"/>
        </w:r>
        <w:r>
          <w:rPr>
            <w:webHidden/>
          </w:rPr>
          <w:t>2</w:t>
        </w:r>
        <w:r>
          <w:rPr>
            <w:webHidden/>
          </w:rPr>
          <w:fldChar w:fldCharType="end"/>
        </w:r>
      </w:hyperlink>
    </w:p>
    <w:p w14:paraId="641BA2BF" w14:textId="77777777" w:rsidR="003C2BFB" w:rsidRDefault="00F9061B" w:rsidP="003C2BFB">
      <w:pPr>
        <w:pStyle w:val="TOC1"/>
        <w:rPr>
          <w:rFonts w:asciiTheme="minorHAnsi" w:eastAsiaTheme="minorEastAsia" w:hAnsiTheme="minorHAnsi" w:cstheme="minorBidi"/>
          <w:sz w:val="22"/>
          <w:lang w:eastAsia="en-GB"/>
        </w:rPr>
      </w:pPr>
      <w:hyperlink w:anchor="_Toc125472879" w:history="1">
        <w:r w:rsidR="003C2BFB" w:rsidRPr="002F2284">
          <w:rPr>
            <w:rStyle w:val="Hyperlink"/>
          </w:rPr>
          <w:t>2.0</w:t>
        </w:r>
        <w:r w:rsidR="003C2BFB">
          <w:rPr>
            <w:rFonts w:asciiTheme="minorHAnsi" w:eastAsiaTheme="minorEastAsia" w:hAnsiTheme="minorHAnsi" w:cstheme="minorBidi"/>
            <w:sz w:val="22"/>
            <w:lang w:eastAsia="en-GB"/>
          </w:rPr>
          <w:tab/>
        </w:r>
        <w:r w:rsidR="003C2BFB" w:rsidRPr="002F2284">
          <w:rPr>
            <w:rStyle w:val="Hyperlink"/>
          </w:rPr>
          <w:t>Context</w:t>
        </w:r>
        <w:r w:rsidR="003C2BFB">
          <w:rPr>
            <w:webHidden/>
          </w:rPr>
          <w:tab/>
        </w:r>
        <w:r w:rsidR="003C2BFB">
          <w:rPr>
            <w:webHidden/>
          </w:rPr>
          <w:fldChar w:fldCharType="begin"/>
        </w:r>
        <w:r w:rsidR="003C2BFB">
          <w:rPr>
            <w:webHidden/>
          </w:rPr>
          <w:instrText xml:space="preserve"> PAGEREF _Toc125472879 \h </w:instrText>
        </w:r>
        <w:r w:rsidR="003C2BFB">
          <w:rPr>
            <w:webHidden/>
          </w:rPr>
        </w:r>
        <w:r w:rsidR="003C2BFB">
          <w:rPr>
            <w:webHidden/>
          </w:rPr>
          <w:fldChar w:fldCharType="separate"/>
        </w:r>
        <w:r w:rsidR="003C2BFB">
          <w:rPr>
            <w:webHidden/>
          </w:rPr>
          <w:t>2</w:t>
        </w:r>
        <w:r w:rsidR="003C2BFB">
          <w:rPr>
            <w:webHidden/>
          </w:rPr>
          <w:fldChar w:fldCharType="end"/>
        </w:r>
      </w:hyperlink>
    </w:p>
    <w:p w14:paraId="133F6151" w14:textId="77777777" w:rsidR="003C2BFB" w:rsidRDefault="00F9061B" w:rsidP="003C2BFB">
      <w:pPr>
        <w:pStyle w:val="TOC1"/>
        <w:rPr>
          <w:rFonts w:asciiTheme="minorHAnsi" w:eastAsiaTheme="minorEastAsia" w:hAnsiTheme="minorHAnsi" w:cstheme="minorBidi"/>
          <w:sz w:val="22"/>
          <w:lang w:eastAsia="en-GB"/>
        </w:rPr>
      </w:pPr>
      <w:hyperlink w:anchor="_Toc125472880" w:history="1">
        <w:r w:rsidR="003C2BFB" w:rsidRPr="002F2284">
          <w:rPr>
            <w:rStyle w:val="Hyperlink"/>
          </w:rPr>
          <w:t>3.0</w:t>
        </w:r>
        <w:r w:rsidR="003C2BFB">
          <w:rPr>
            <w:rFonts w:asciiTheme="minorHAnsi" w:eastAsiaTheme="minorEastAsia" w:hAnsiTheme="minorHAnsi" w:cstheme="minorBidi"/>
            <w:sz w:val="22"/>
            <w:lang w:eastAsia="en-GB"/>
          </w:rPr>
          <w:tab/>
        </w:r>
        <w:r w:rsidR="003C2BFB" w:rsidRPr="002F2284">
          <w:rPr>
            <w:rStyle w:val="Hyperlink"/>
          </w:rPr>
          <w:t>Strategic Aim</w:t>
        </w:r>
        <w:r w:rsidR="003C2BFB">
          <w:rPr>
            <w:webHidden/>
          </w:rPr>
          <w:tab/>
        </w:r>
        <w:r w:rsidR="003C2BFB">
          <w:rPr>
            <w:webHidden/>
          </w:rPr>
          <w:fldChar w:fldCharType="begin"/>
        </w:r>
        <w:r w:rsidR="003C2BFB">
          <w:rPr>
            <w:webHidden/>
          </w:rPr>
          <w:instrText xml:space="preserve"> PAGEREF _Toc125472880 \h </w:instrText>
        </w:r>
        <w:r w:rsidR="003C2BFB">
          <w:rPr>
            <w:webHidden/>
          </w:rPr>
        </w:r>
        <w:r w:rsidR="003C2BFB">
          <w:rPr>
            <w:webHidden/>
          </w:rPr>
          <w:fldChar w:fldCharType="separate"/>
        </w:r>
        <w:r w:rsidR="003C2BFB">
          <w:rPr>
            <w:webHidden/>
          </w:rPr>
          <w:t>3</w:t>
        </w:r>
        <w:r w:rsidR="003C2BFB">
          <w:rPr>
            <w:webHidden/>
          </w:rPr>
          <w:fldChar w:fldCharType="end"/>
        </w:r>
      </w:hyperlink>
    </w:p>
    <w:p w14:paraId="0185116F" w14:textId="77777777" w:rsidR="003C2BFB" w:rsidRDefault="00F9061B" w:rsidP="003C2BFB">
      <w:pPr>
        <w:pStyle w:val="TOC1"/>
        <w:rPr>
          <w:rFonts w:asciiTheme="minorHAnsi" w:eastAsiaTheme="minorEastAsia" w:hAnsiTheme="minorHAnsi" w:cstheme="minorBidi"/>
          <w:sz w:val="22"/>
          <w:lang w:eastAsia="en-GB"/>
        </w:rPr>
      </w:pPr>
      <w:hyperlink w:anchor="_Toc125472881" w:history="1">
        <w:r w:rsidR="003C2BFB" w:rsidRPr="002F2284">
          <w:rPr>
            <w:rStyle w:val="Hyperlink"/>
          </w:rPr>
          <w:t>4.0</w:t>
        </w:r>
        <w:r w:rsidR="003C2BFB">
          <w:rPr>
            <w:rFonts w:asciiTheme="minorHAnsi" w:eastAsiaTheme="minorEastAsia" w:hAnsiTheme="minorHAnsi" w:cstheme="minorBidi"/>
            <w:sz w:val="22"/>
            <w:lang w:eastAsia="en-GB"/>
          </w:rPr>
          <w:tab/>
        </w:r>
        <w:r w:rsidR="003C2BFB" w:rsidRPr="002F2284">
          <w:rPr>
            <w:rStyle w:val="Hyperlink"/>
          </w:rPr>
          <w:t>Responsibilities of the LHRP’s</w:t>
        </w:r>
        <w:r w:rsidR="003C2BFB">
          <w:rPr>
            <w:webHidden/>
          </w:rPr>
          <w:tab/>
        </w:r>
        <w:r w:rsidR="003C2BFB">
          <w:rPr>
            <w:webHidden/>
          </w:rPr>
          <w:fldChar w:fldCharType="begin"/>
        </w:r>
        <w:r w:rsidR="003C2BFB">
          <w:rPr>
            <w:webHidden/>
          </w:rPr>
          <w:instrText xml:space="preserve"> PAGEREF _Toc125472881 \h </w:instrText>
        </w:r>
        <w:r w:rsidR="003C2BFB">
          <w:rPr>
            <w:webHidden/>
          </w:rPr>
        </w:r>
        <w:r w:rsidR="003C2BFB">
          <w:rPr>
            <w:webHidden/>
          </w:rPr>
          <w:fldChar w:fldCharType="separate"/>
        </w:r>
        <w:r w:rsidR="003C2BFB">
          <w:rPr>
            <w:webHidden/>
          </w:rPr>
          <w:t>3</w:t>
        </w:r>
        <w:r w:rsidR="003C2BFB">
          <w:rPr>
            <w:webHidden/>
          </w:rPr>
          <w:fldChar w:fldCharType="end"/>
        </w:r>
      </w:hyperlink>
    </w:p>
    <w:p w14:paraId="68FA7ADB" w14:textId="77777777" w:rsidR="003C2BFB" w:rsidRDefault="00F9061B" w:rsidP="003C2BFB">
      <w:pPr>
        <w:pStyle w:val="TOC1"/>
        <w:rPr>
          <w:rFonts w:asciiTheme="minorHAnsi" w:eastAsiaTheme="minorEastAsia" w:hAnsiTheme="minorHAnsi" w:cstheme="minorBidi"/>
          <w:sz w:val="22"/>
          <w:lang w:eastAsia="en-GB"/>
        </w:rPr>
      </w:pPr>
      <w:hyperlink w:anchor="_Toc125472882" w:history="1">
        <w:r w:rsidR="003C2BFB" w:rsidRPr="002F2284">
          <w:rPr>
            <w:rStyle w:val="Hyperlink"/>
          </w:rPr>
          <w:t>5.0</w:t>
        </w:r>
        <w:r w:rsidR="003C2BFB">
          <w:rPr>
            <w:rFonts w:asciiTheme="minorHAnsi" w:eastAsiaTheme="minorEastAsia" w:hAnsiTheme="minorHAnsi" w:cstheme="minorBidi"/>
            <w:sz w:val="22"/>
            <w:lang w:eastAsia="en-GB"/>
          </w:rPr>
          <w:tab/>
        </w:r>
        <w:r w:rsidR="003C2BFB" w:rsidRPr="002F2284">
          <w:rPr>
            <w:rStyle w:val="Hyperlink"/>
          </w:rPr>
          <w:t>Key Objectives</w:t>
        </w:r>
        <w:r w:rsidR="003C2BFB">
          <w:rPr>
            <w:webHidden/>
          </w:rPr>
          <w:tab/>
        </w:r>
        <w:r w:rsidR="003C2BFB">
          <w:rPr>
            <w:webHidden/>
          </w:rPr>
          <w:fldChar w:fldCharType="begin"/>
        </w:r>
        <w:r w:rsidR="003C2BFB">
          <w:rPr>
            <w:webHidden/>
          </w:rPr>
          <w:instrText xml:space="preserve"> PAGEREF _Toc125472882 \h </w:instrText>
        </w:r>
        <w:r w:rsidR="003C2BFB">
          <w:rPr>
            <w:webHidden/>
          </w:rPr>
        </w:r>
        <w:r w:rsidR="003C2BFB">
          <w:rPr>
            <w:webHidden/>
          </w:rPr>
          <w:fldChar w:fldCharType="separate"/>
        </w:r>
        <w:r w:rsidR="003C2BFB">
          <w:rPr>
            <w:webHidden/>
          </w:rPr>
          <w:t>4</w:t>
        </w:r>
        <w:r w:rsidR="003C2BFB">
          <w:rPr>
            <w:webHidden/>
          </w:rPr>
          <w:fldChar w:fldCharType="end"/>
        </w:r>
      </w:hyperlink>
    </w:p>
    <w:p w14:paraId="6C4811DA" w14:textId="77777777" w:rsidR="003C2BFB" w:rsidRDefault="00F9061B" w:rsidP="003C2BFB">
      <w:pPr>
        <w:pStyle w:val="TOC1"/>
        <w:rPr>
          <w:rFonts w:asciiTheme="minorHAnsi" w:eastAsiaTheme="minorEastAsia" w:hAnsiTheme="minorHAnsi" w:cstheme="minorBidi"/>
          <w:sz w:val="22"/>
          <w:lang w:eastAsia="en-GB"/>
        </w:rPr>
      </w:pPr>
      <w:hyperlink w:anchor="_Toc125472883" w:history="1">
        <w:r w:rsidR="003C2BFB" w:rsidRPr="002F2284">
          <w:rPr>
            <w:rStyle w:val="Hyperlink"/>
          </w:rPr>
          <w:t>6.0</w:t>
        </w:r>
        <w:r w:rsidR="003C2BFB">
          <w:rPr>
            <w:rFonts w:asciiTheme="minorHAnsi" w:eastAsiaTheme="minorEastAsia" w:hAnsiTheme="minorHAnsi" w:cstheme="minorBidi"/>
            <w:sz w:val="22"/>
            <w:lang w:eastAsia="en-GB"/>
          </w:rPr>
          <w:tab/>
        </w:r>
        <w:r w:rsidR="003C2BFB" w:rsidRPr="002F2284">
          <w:rPr>
            <w:rStyle w:val="Hyperlink"/>
          </w:rPr>
          <w:t>Membership</w:t>
        </w:r>
        <w:r w:rsidR="003C2BFB">
          <w:rPr>
            <w:webHidden/>
          </w:rPr>
          <w:tab/>
        </w:r>
        <w:r w:rsidR="003C2BFB">
          <w:rPr>
            <w:webHidden/>
          </w:rPr>
          <w:fldChar w:fldCharType="begin"/>
        </w:r>
        <w:r w:rsidR="003C2BFB">
          <w:rPr>
            <w:webHidden/>
          </w:rPr>
          <w:instrText xml:space="preserve"> PAGEREF _Toc125472883 \h </w:instrText>
        </w:r>
        <w:r w:rsidR="003C2BFB">
          <w:rPr>
            <w:webHidden/>
          </w:rPr>
        </w:r>
        <w:r w:rsidR="003C2BFB">
          <w:rPr>
            <w:webHidden/>
          </w:rPr>
          <w:fldChar w:fldCharType="separate"/>
        </w:r>
        <w:r w:rsidR="003C2BFB">
          <w:rPr>
            <w:webHidden/>
          </w:rPr>
          <w:t>6</w:t>
        </w:r>
        <w:r w:rsidR="003C2BFB">
          <w:rPr>
            <w:webHidden/>
          </w:rPr>
          <w:fldChar w:fldCharType="end"/>
        </w:r>
      </w:hyperlink>
    </w:p>
    <w:p w14:paraId="23E1CBE3" w14:textId="77777777" w:rsidR="003C2BFB" w:rsidRDefault="00F9061B" w:rsidP="003C2BFB">
      <w:pPr>
        <w:pStyle w:val="TOC1"/>
        <w:rPr>
          <w:rFonts w:asciiTheme="minorHAnsi" w:eastAsiaTheme="minorEastAsia" w:hAnsiTheme="minorHAnsi" w:cstheme="minorBidi"/>
          <w:sz w:val="22"/>
          <w:lang w:eastAsia="en-GB"/>
        </w:rPr>
      </w:pPr>
      <w:hyperlink w:anchor="_Toc125472884" w:history="1">
        <w:r w:rsidR="003C2BFB" w:rsidRPr="002F2284">
          <w:rPr>
            <w:rStyle w:val="Hyperlink"/>
          </w:rPr>
          <w:t>7.0</w:t>
        </w:r>
        <w:r w:rsidR="003C2BFB">
          <w:rPr>
            <w:rFonts w:asciiTheme="minorHAnsi" w:eastAsiaTheme="minorEastAsia" w:hAnsiTheme="minorHAnsi" w:cstheme="minorBidi"/>
            <w:sz w:val="22"/>
            <w:lang w:eastAsia="en-GB"/>
          </w:rPr>
          <w:tab/>
        </w:r>
        <w:r w:rsidR="003C2BFB" w:rsidRPr="002F2284">
          <w:rPr>
            <w:rStyle w:val="Hyperlink"/>
          </w:rPr>
          <w:t>Format &amp; Frequency of meetings</w:t>
        </w:r>
        <w:r w:rsidR="003C2BFB">
          <w:rPr>
            <w:webHidden/>
          </w:rPr>
          <w:tab/>
        </w:r>
        <w:r w:rsidR="003C2BFB">
          <w:rPr>
            <w:webHidden/>
          </w:rPr>
          <w:fldChar w:fldCharType="begin"/>
        </w:r>
        <w:r w:rsidR="003C2BFB">
          <w:rPr>
            <w:webHidden/>
          </w:rPr>
          <w:instrText xml:space="preserve"> PAGEREF _Toc125472884 \h </w:instrText>
        </w:r>
        <w:r w:rsidR="003C2BFB">
          <w:rPr>
            <w:webHidden/>
          </w:rPr>
        </w:r>
        <w:r w:rsidR="003C2BFB">
          <w:rPr>
            <w:webHidden/>
          </w:rPr>
          <w:fldChar w:fldCharType="separate"/>
        </w:r>
        <w:r w:rsidR="003C2BFB">
          <w:rPr>
            <w:webHidden/>
          </w:rPr>
          <w:t>7</w:t>
        </w:r>
        <w:r w:rsidR="003C2BFB">
          <w:rPr>
            <w:webHidden/>
          </w:rPr>
          <w:fldChar w:fldCharType="end"/>
        </w:r>
      </w:hyperlink>
    </w:p>
    <w:p w14:paraId="28578853" w14:textId="77777777" w:rsidR="003C2BFB" w:rsidRDefault="00F9061B" w:rsidP="003C2BFB">
      <w:pPr>
        <w:pStyle w:val="TOC1"/>
        <w:rPr>
          <w:rFonts w:asciiTheme="minorHAnsi" w:eastAsiaTheme="minorEastAsia" w:hAnsiTheme="minorHAnsi" w:cstheme="minorBidi"/>
          <w:sz w:val="22"/>
          <w:lang w:eastAsia="en-GB"/>
        </w:rPr>
      </w:pPr>
      <w:hyperlink w:anchor="_Toc125472885" w:history="1">
        <w:r w:rsidR="003C2BFB" w:rsidRPr="002F2284">
          <w:rPr>
            <w:rStyle w:val="Hyperlink"/>
          </w:rPr>
          <w:t>8.0</w:t>
        </w:r>
        <w:r w:rsidR="003C2BFB">
          <w:rPr>
            <w:rFonts w:asciiTheme="minorHAnsi" w:eastAsiaTheme="minorEastAsia" w:hAnsiTheme="minorHAnsi" w:cstheme="minorBidi"/>
            <w:sz w:val="22"/>
            <w:lang w:eastAsia="en-GB"/>
          </w:rPr>
          <w:tab/>
        </w:r>
        <w:r w:rsidR="003C2BFB" w:rsidRPr="002F2284">
          <w:rPr>
            <w:rStyle w:val="Hyperlink"/>
          </w:rPr>
          <w:t>Local Health Resilience Partnership Finance</w:t>
        </w:r>
        <w:r w:rsidR="003C2BFB">
          <w:rPr>
            <w:webHidden/>
          </w:rPr>
          <w:tab/>
        </w:r>
        <w:r w:rsidR="003C2BFB">
          <w:rPr>
            <w:webHidden/>
          </w:rPr>
          <w:fldChar w:fldCharType="begin"/>
        </w:r>
        <w:r w:rsidR="003C2BFB">
          <w:rPr>
            <w:webHidden/>
          </w:rPr>
          <w:instrText xml:space="preserve"> PAGEREF _Toc125472885 \h </w:instrText>
        </w:r>
        <w:r w:rsidR="003C2BFB">
          <w:rPr>
            <w:webHidden/>
          </w:rPr>
        </w:r>
        <w:r w:rsidR="003C2BFB">
          <w:rPr>
            <w:webHidden/>
          </w:rPr>
          <w:fldChar w:fldCharType="separate"/>
        </w:r>
        <w:r w:rsidR="003C2BFB">
          <w:rPr>
            <w:webHidden/>
          </w:rPr>
          <w:t>7</w:t>
        </w:r>
        <w:r w:rsidR="003C2BFB">
          <w:rPr>
            <w:webHidden/>
          </w:rPr>
          <w:fldChar w:fldCharType="end"/>
        </w:r>
      </w:hyperlink>
    </w:p>
    <w:p w14:paraId="4115AF38" w14:textId="77777777" w:rsidR="003C2BFB" w:rsidRPr="007E035F" w:rsidRDefault="003C2BFB" w:rsidP="007A490F">
      <w:pPr>
        <w:pStyle w:val="Heading1"/>
        <w:numPr>
          <w:ilvl w:val="0"/>
          <w:numId w:val="28"/>
        </w:numPr>
        <w:ind w:left="852" w:hanging="852"/>
        <w:jc w:val="both"/>
      </w:pPr>
      <w:r>
        <w:fldChar w:fldCharType="end"/>
      </w:r>
      <w:r w:rsidRPr="007E035F">
        <w:t xml:space="preserve">Overview </w:t>
      </w:r>
    </w:p>
    <w:p w14:paraId="77EFD3BA" w14:textId="77777777" w:rsidR="003C2BFB" w:rsidRPr="007E035F" w:rsidRDefault="003C2BFB" w:rsidP="007A490F">
      <w:pPr>
        <w:jc w:val="both"/>
      </w:pPr>
      <w:r w:rsidRPr="007E035F">
        <w:t xml:space="preserve">Local Health Resilience Partnerships (LHRP’s) are responsible for overseeing the health Emergency Preparedness, Resilience and Response (EPRR) arrangements across a geographical footprint, which is traditional coterminous with an Integrated Care Board (ICB). </w:t>
      </w:r>
    </w:p>
    <w:p w14:paraId="469A8559" w14:textId="77777777" w:rsidR="003C2BFB" w:rsidRPr="007E035F" w:rsidRDefault="003C2BFB" w:rsidP="007A490F">
      <w:pPr>
        <w:jc w:val="both"/>
      </w:pPr>
      <w:r w:rsidRPr="007E035F">
        <w:t xml:space="preserve">LHRP’s are strategic fora which bring together the senior decision makers responsible for EPRR within each organisation in order to support the delivery of the NHS wide objectives for EPRR. </w:t>
      </w:r>
    </w:p>
    <w:p w14:paraId="30FA8E0F" w14:textId="77777777" w:rsidR="003C2BFB" w:rsidRPr="007E035F" w:rsidRDefault="003C2BFB" w:rsidP="007A490F">
      <w:pPr>
        <w:jc w:val="both"/>
      </w:pPr>
      <w:r w:rsidRPr="007E035F">
        <w:t xml:space="preserve">LHRP’s serve a planning and preparedness function and do not have a responsibility to respond to an emergency or incident. Unlike LRF’s they have no collective role in the delivery of an emergency response. Within the partnership each organisation remains responsible and accountable for its effective response in line with its statutory duties and obligations. </w:t>
      </w:r>
    </w:p>
    <w:p w14:paraId="1728B06A" w14:textId="77777777" w:rsidR="003C2BFB" w:rsidRPr="007E035F" w:rsidRDefault="003C2BFB" w:rsidP="007A490F">
      <w:pPr>
        <w:pStyle w:val="Heading1"/>
        <w:numPr>
          <w:ilvl w:val="0"/>
          <w:numId w:val="28"/>
        </w:numPr>
        <w:ind w:left="852" w:hanging="852"/>
        <w:jc w:val="both"/>
      </w:pPr>
      <w:r w:rsidRPr="007E035F">
        <w:t xml:space="preserve">Context </w:t>
      </w:r>
    </w:p>
    <w:p w14:paraId="0F04999E" w14:textId="77777777" w:rsidR="003C2BFB" w:rsidRPr="007E035F" w:rsidRDefault="003C2BFB" w:rsidP="007A490F">
      <w:pPr>
        <w:jc w:val="both"/>
      </w:pPr>
      <w:r w:rsidRPr="007E035F">
        <w:t xml:space="preserve">The North East &amp; Yorkshire region is divided into 4 separate ICB areas each with its own Local Health Resilience Partnership – </w:t>
      </w:r>
    </w:p>
    <w:p w14:paraId="3E860456" w14:textId="77777777" w:rsidR="003C2BFB" w:rsidRPr="007E035F" w:rsidRDefault="003C2BFB" w:rsidP="007A490F">
      <w:pPr>
        <w:pStyle w:val="Bullet1"/>
        <w:widowControl/>
        <w:numPr>
          <w:ilvl w:val="0"/>
          <w:numId w:val="26"/>
        </w:numPr>
        <w:spacing w:line="276" w:lineRule="auto"/>
        <w:ind w:left="1077" w:hanging="357"/>
        <w:jc w:val="both"/>
      </w:pPr>
      <w:r w:rsidRPr="007E035F">
        <w:t xml:space="preserve">Humber &amp; North Yorkshire </w:t>
      </w:r>
    </w:p>
    <w:p w14:paraId="36612B16" w14:textId="77777777" w:rsidR="003C2BFB" w:rsidRPr="007E035F" w:rsidRDefault="003C2BFB" w:rsidP="007A490F">
      <w:pPr>
        <w:pStyle w:val="Bullet1"/>
        <w:widowControl/>
        <w:numPr>
          <w:ilvl w:val="0"/>
          <w:numId w:val="26"/>
        </w:numPr>
        <w:spacing w:line="276" w:lineRule="auto"/>
        <w:ind w:left="1077" w:hanging="357"/>
        <w:jc w:val="both"/>
      </w:pPr>
      <w:r w:rsidRPr="007E035F">
        <w:t>North Cumbria &amp; North East</w:t>
      </w:r>
    </w:p>
    <w:p w14:paraId="48BECEA6" w14:textId="77777777" w:rsidR="003C2BFB" w:rsidRPr="007E035F" w:rsidRDefault="003C2BFB" w:rsidP="007A490F">
      <w:pPr>
        <w:pStyle w:val="Bullet1"/>
        <w:widowControl/>
        <w:numPr>
          <w:ilvl w:val="0"/>
          <w:numId w:val="26"/>
        </w:numPr>
        <w:spacing w:line="276" w:lineRule="auto"/>
        <w:ind w:left="1077" w:hanging="357"/>
        <w:jc w:val="both"/>
      </w:pPr>
      <w:r w:rsidRPr="007E035F">
        <w:t xml:space="preserve">South Yorkshire and </w:t>
      </w:r>
    </w:p>
    <w:p w14:paraId="5B0A801C" w14:textId="77777777" w:rsidR="003C2BFB" w:rsidRPr="007E035F" w:rsidRDefault="003C2BFB" w:rsidP="007A490F">
      <w:pPr>
        <w:pStyle w:val="Bullet1"/>
        <w:widowControl/>
        <w:numPr>
          <w:ilvl w:val="0"/>
          <w:numId w:val="26"/>
        </w:numPr>
        <w:spacing w:line="276" w:lineRule="auto"/>
        <w:ind w:left="1077" w:hanging="357"/>
        <w:jc w:val="both"/>
      </w:pPr>
      <w:r w:rsidRPr="007E035F">
        <w:t xml:space="preserve">West Yorkshire </w:t>
      </w:r>
    </w:p>
    <w:p w14:paraId="3CE188CA" w14:textId="77777777" w:rsidR="003C2BFB" w:rsidRPr="007E035F" w:rsidRDefault="003C2BFB" w:rsidP="007A490F">
      <w:pPr>
        <w:jc w:val="both"/>
      </w:pPr>
      <w:r w:rsidRPr="007E035F">
        <w:t>The 4 LHRP’s will feed up into the North East &amp; Yorkshire Regional Health Resilience Partnership:</w:t>
      </w:r>
    </w:p>
    <w:p w14:paraId="33498653" w14:textId="77777777" w:rsidR="003C2BFB" w:rsidRPr="007E035F" w:rsidRDefault="003C2BFB" w:rsidP="007A490F">
      <w:pPr>
        <w:jc w:val="both"/>
      </w:pPr>
      <w:r w:rsidRPr="007E035F">
        <w:rPr>
          <w:noProof/>
        </w:rPr>
        <w:lastRenderedPageBreak/>
        <w:drawing>
          <wp:inline distT="0" distB="0" distL="0" distR="0" wp14:anchorId="5479AECA" wp14:editId="477021C0">
            <wp:extent cx="2903083" cy="3479855"/>
            <wp:effectExtent l="0" t="0" r="0" b="6350"/>
            <wp:docPr id="229715060" name="Picture 229715060" descr="A diagram of a health resilience foru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715060" name="Picture 229715060" descr="A diagram of a health resilience forum&#10;&#10;Description automatically generated"/>
                    <pic:cNvPicPr/>
                  </pic:nvPicPr>
                  <pic:blipFill>
                    <a:blip r:embed="rId24"/>
                    <a:stretch>
                      <a:fillRect/>
                    </a:stretch>
                  </pic:blipFill>
                  <pic:spPr>
                    <a:xfrm>
                      <a:off x="0" y="0"/>
                      <a:ext cx="2941466" cy="3525863"/>
                    </a:xfrm>
                    <a:prstGeom prst="rect">
                      <a:avLst/>
                    </a:prstGeom>
                  </pic:spPr>
                </pic:pic>
              </a:graphicData>
            </a:graphic>
          </wp:inline>
        </w:drawing>
      </w:r>
    </w:p>
    <w:p w14:paraId="26B2E8EF" w14:textId="77777777" w:rsidR="003C2BFB" w:rsidRPr="007E035F" w:rsidRDefault="003C2BFB" w:rsidP="007A490F">
      <w:pPr>
        <w:pStyle w:val="Heading1"/>
        <w:numPr>
          <w:ilvl w:val="0"/>
          <w:numId w:val="28"/>
        </w:numPr>
        <w:ind w:left="852" w:hanging="852"/>
        <w:jc w:val="both"/>
      </w:pPr>
      <w:r w:rsidRPr="007E035F">
        <w:t>Strategic Aim</w:t>
      </w:r>
    </w:p>
    <w:p w14:paraId="389ED6F1" w14:textId="77777777" w:rsidR="003C2BFB" w:rsidRPr="007E035F" w:rsidRDefault="003C2BFB" w:rsidP="007A490F">
      <w:pPr>
        <w:jc w:val="both"/>
      </w:pPr>
      <w:r w:rsidRPr="007E035F">
        <w:t>“To ensure that the NHS within each Integrated Care Board footprint is capable of responding to significant incidents or emergencies of any scale in a way that delivers:</w:t>
      </w:r>
    </w:p>
    <w:p w14:paraId="40A8A548" w14:textId="77777777" w:rsidR="003C2BFB" w:rsidRPr="007E035F" w:rsidRDefault="003C2BFB" w:rsidP="007A490F">
      <w:pPr>
        <w:pStyle w:val="Bullet1"/>
        <w:widowControl/>
        <w:numPr>
          <w:ilvl w:val="0"/>
          <w:numId w:val="26"/>
        </w:numPr>
        <w:spacing w:line="276" w:lineRule="auto"/>
        <w:ind w:left="1077" w:hanging="357"/>
        <w:jc w:val="both"/>
      </w:pPr>
      <w:r w:rsidRPr="007E035F">
        <w:t xml:space="preserve">optimum care and assistance to the victims and their families, </w:t>
      </w:r>
    </w:p>
    <w:p w14:paraId="20D98ACF" w14:textId="77777777" w:rsidR="003C2BFB" w:rsidRPr="007E035F" w:rsidRDefault="003C2BFB" w:rsidP="007A490F">
      <w:pPr>
        <w:pStyle w:val="Bullet1"/>
        <w:widowControl/>
        <w:numPr>
          <w:ilvl w:val="0"/>
          <w:numId w:val="26"/>
        </w:numPr>
        <w:spacing w:line="276" w:lineRule="auto"/>
        <w:ind w:left="1077" w:hanging="357"/>
        <w:jc w:val="both"/>
      </w:pPr>
      <w:r w:rsidRPr="007E035F">
        <w:t xml:space="preserve">that minimises the consequential disruption to healthcare services and </w:t>
      </w:r>
    </w:p>
    <w:p w14:paraId="54AEDDE5" w14:textId="77777777" w:rsidR="003C2BFB" w:rsidRPr="007E035F" w:rsidRDefault="003C2BFB" w:rsidP="007A490F">
      <w:pPr>
        <w:pStyle w:val="Bullet1"/>
        <w:widowControl/>
        <w:numPr>
          <w:ilvl w:val="0"/>
          <w:numId w:val="26"/>
        </w:numPr>
        <w:spacing w:line="276" w:lineRule="auto"/>
        <w:ind w:left="1077" w:hanging="357"/>
        <w:jc w:val="both"/>
      </w:pPr>
      <w:r w:rsidRPr="007E035F">
        <w:t xml:space="preserve">that brings about a speedy return to normal levels of functioning; </w:t>
      </w:r>
    </w:p>
    <w:p w14:paraId="53838AF5" w14:textId="77777777" w:rsidR="003C2BFB" w:rsidRPr="007E035F" w:rsidRDefault="003C2BFB" w:rsidP="007A490F">
      <w:pPr>
        <w:pStyle w:val="Bullet1"/>
        <w:widowControl/>
        <w:numPr>
          <w:ilvl w:val="0"/>
          <w:numId w:val="26"/>
        </w:numPr>
        <w:spacing w:line="276" w:lineRule="auto"/>
        <w:ind w:left="1077" w:hanging="357"/>
        <w:jc w:val="both"/>
      </w:pPr>
      <w:r w:rsidRPr="007E035F">
        <w:t xml:space="preserve">it will do this by enhancing its capability to work as part of a multi-agency response across organisational boundaries” </w:t>
      </w:r>
    </w:p>
    <w:p w14:paraId="7876C100" w14:textId="77777777" w:rsidR="003C2BFB" w:rsidRPr="007E035F" w:rsidRDefault="003C2BFB" w:rsidP="007A490F">
      <w:pPr>
        <w:pStyle w:val="Heading1"/>
        <w:numPr>
          <w:ilvl w:val="0"/>
          <w:numId w:val="28"/>
        </w:numPr>
        <w:ind w:left="852" w:hanging="852"/>
        <w:jc w:val="both"/>
      </w:pPr>
      <w:r w:rsidRPr="007E035F">
        <w:t xml:space="preserve">Responsibilities of the LHRP’s </w:t>
      </w:r>
    </w:p>
    <w:p w14:paraId="7ED721B2" w14:textId="77777777" w:rsidR="003C2BFB" w:rsidRPr="007E035F" w:rsidRDefault="003C2BFB" w:rsidP="007A490F">
      <w:pPr>
        <w:jc w:val="both"/>
      </w:pPr>
      <w:r w:rsidRPr="007E035F">
        <w:t xml:space="preserve">The key responsibilities of each of the Humber and North Yorkshire LHRP is to: </w:t>
      </w:r>
    </w:p>
    <w:p w14:paraId="1E349DE1" w14:textId="77777777" w:rsidR="003C2BFB" w:rsidRPr="007E035F" w:rsidRDefault="003C2BFB" w:rsidP="007A490F">
      <w:pPr>
        <w:pStyle w:val="Bullet1"/>
        <w:widowControl/>
        <w:numPr>
          <w:ilvl w:val="0"/>
          <w:numId w:val="26"/>
        </w:numPr>
        <w:spacing w:line="276" w:lineRule="auto"/>
        <w:ind w:left="1077" w:hanging="357"/>
        <w:jc w:val="both"/>
      </w:pPr>
      <w:r w:rsidRPr="007E035F">
        <w:t>Facilitate the production of local sector-wide health plans to respond to emergencies and contribute to multi-agency emergency planning</w:t>
      </w:r>
    </w:p>
    <w:p w14:paraId="63999016" w14:textId="77777777" w:rsidR="003C2BFB" w:rsidRPr="007E035F" w:rsidRDefault="003C2BFB" w:rsidP="007A490F">
      <w:pPr>
        <w:jc w:val="both"/>
      </w:pPr>
    </w:p>
    <w:p w14:paraId="1539838C" w14:textId="77777777" w:rsidR="003C2BFB" w:rsidRPr="007E035F" w:rsidRDefault="003C2BFB" w:rsidP="007A490F">
      <w:pPr>
        <w:numPr>
          <w:ilvl w:val="0"/>
          <w:numId w:val="21"/>
        </w:numPr>
        <w:spacing w:after="200" w:line="276" w:lineRule="auto"/>
        <w:jc w:val="both"/>
      </w:pPr>
      <w:r w:rsidRPr="007E035F">
        <w:t xml:space="preserve">Provide support to the NHS, UKHSA, OHID and the Directors of Public Health on the LRF in their role to represent health sector EPRR matters </w:t>
      </w:r>
    </w:p>
    <w:p w14:paraId="5A784662" w14:textId="77777777" w:rsidR="003C2BFB" w:rsidRPr="007E035F" w:rsidRDefault="003C2BFB" w:rsidP="007A490F">
      <w:pPr>
        <w:numPr>
          <w:ilvl w:val="0"/>
          <w:numId w:val="21"/>
        </w:numPr>
        <w:spacing w:after="200" w:line="276" w:lineRule="auto"/>
        <w:jc w:val="both"/>
      </w:pPr>
      <w:r w:rsidRPr="007E035F">
        <w:t xml:space="preserve">Provide support to NHS England North (North East &amp; Yorkshire) and UKHSA in assessing and assuring the ability of the health sector to respond in partnership to emergencies at an LRF level </w:t>
      </w:r>
    </w:p>
    <w:p w14:paraId="5331041A" w14:textId="77777777" w:rsidR="003C2BFB" w:rsidRDefault="003C2BFB" w:rsidP="007A490F">
      <w:pPr>
        <w:numPr>
          <w:ilvl w:val="0"/>
          <w:numId w:val="21"/>
        </w:numPr>
        <w:spacing w:after="200" w:line="276" w:lineRule="auto"/>
        <w:jc w:val="both"/>
      </w:pPr>
      <w:r w:rsidRPr="007E035F">
        <w:t xml:space="preserve">Provide support to the 8 Local Resilience Forum’s (LRF’s) across the North East &amp; Yorkshire delivering multiagency working, shared learning and resilience standards across the region </w:t>
      </w:r>
    </w:p>
    <w:p w14:paraId="5CE7692C" w14:textId="77777777" w:rsidR="007A490F" w:rsidRDefault="007A490F" w:rsidP="007A490F">
      <w:pPr>
        <w:spacing w:after="200" w:line="276" w:lineRule="auto"/>
        <w:jc w:val="both"/>
      </w:pPr>
    </w:p>
    <w:p w14:paraId="77D3D051" w14:textId="77777777" w:rsidR="007A490F" w:rsidRPr="007E035F" w:rsidRDefault="007A490F" w:rsidP="007A490F">
      <w:pPr>
        <w:spacing w:after="200" w:line="276" w:lineRule="auto"/>
        <w:jc w:val="both"/>
      </w:pPr>
    </w:p>
    <w:p w14:paraId="1A7745DF" w14:textId="77777777" w:rsidR="003C2BFB" w:rsidRPr="007E035F" w:rsidRDefault="003C2BFB" w:rsidP="007A490F">
      <w:pPr>
        <w:pStyle w:val="Heading1"/>
        <w:numPr>
          <w:ilvl w:val="0"/>
          <w:numId w:val="28"/>
        </w:numPr>
        <w:ind w:left="852" w:hanging="852"/>
        <w:jc w:val="both"/>
      </w:pPr>
      <w:r w:rsidRPr="007E035F">
        <w:lastRenderedPageBreak/>
        <w:t>Key Objectives</w:t>
      </w:r>
    </w:p>
    <w:p w14:paraId="6CC0291E" w14:textId="77777777" w:rsidR="003C2BFB" w:rsidRPr="007E035F" w:rsidRDefault="003C2BFB" w:rsidP="007A490F">
      <w:pPr>
        <w:jc w:val="both"/>
      </w:pPr>
      <w:r w:rsidRPr="007E035F">
        <w:t xml:space="preserve">The LHRP will give strategic leadership on EPRR for the health organisations and communities of their LRF area(s), providing guidance on delivering their duties under the Civil Contingencies Act (CCA) 2004, National policy and Regional level guidance. </w:t>
      </w:r>
    </w:p>
    <w:p w14:paraId="22F64B14" w14:textId="77777777" w:rsidR="003C2BFB" w:rsidRPr="007E035F" w:rsidRDefault="003C2BFB" w:rsidP="007A490F">
      <w:pPr>
        <w:jc w:val="both"/>
      </w:pPr>
      <w:r w:rsidRPr="007E035F">
        <w:t>Spe</w:t>
      </w:r>
      <w:r>
        <w:t>c</w:t>
      </w:r>
      <w:r w:rsidRPr="007E035F">
        <w:t>ifically, the LHRP will work in conjunction with the LRFs to</w:t>
      </w:r>
    </w:p>
    <w:p w14:paraId="5DAAF663" w14:textId="77777777" w:rsidR="003C2BFB" w:rsidRPr="007E035F" w:rsidRDefault="003C2BFB" w:rsidP="007A490F">
      <w:pPr>
        <w:pStyle w:val="Bullet1"/>
        <w:widowControl/>
        <w:numPr>
          <w:ilvl w:val="0"/>
          <w:numId w:val="26"/>
        </w:numPr>
        <w:spacing w:line="276" w:lineRule="auto"/>
        <w:ind w:left="1077" w:hanging="357"/>
        <w:jc w:val="both"/>
      </w:pPr>
      <w:r w:rsidRPr="007E035F">
        <w:t xml:space="preserve">Regularly assess the local health risks and identify the priorities, taking into consideration the different needs of local communities to ensure that preparedness arrangements reflect current and emerging threats </w:t>
      </w:r>
    </w:p>
    <w:p w14:paraId="02BB0FAE" w14:textId="77777777" w:rsidR="003C2BFB" w:rsidRPr="007E035F" w:rsidRDefault="003C2BFB" w:rsidP="007A490F">
      <w:pPr>
        <w:pStyle w:val="Bullet1"/>
        <w:widowControl/>
        <w:numPr>
          <w:ilvl w:val="0"/>
          <w:numId w:val="26"/>
        </w:numPr>
        <w:spacing w:line="276" w:lineRule="auto"/>
        <w:ind w:left="1077" w:hanging="357"/>
        <w:jc w:val="both"/>
      </w:pPr>
      <w:r w:rsidRPr="007E035F">
        <w:t xml:space="preserve">Set an annual EPRR work plan, based on information from the Regional Health Resilience Partnership, national planning assumptions, lessons learnt from previous incidents and emergencies, advice from the health communities and specific local health needs. </w:t>
      </w:r>
    </w:p>
    <w:p w14:paraId="5D554646" w14:textId="77777777" w:rsidR="003C2BFB" w:rsidRPr="007E035F" w:rsidRDefault="003C2BFB" w:rsidP="007A490F">
      <w:pPr>
        <w:pStyle w:val="Bullet1"/>
        <w:widowControl/>
        <w:numPr>
          <w:ilvl w:val="0"/>
          <w:numId w:val="26"/>
        </w:numPr>
        <w:spacing w:line="276" w:lineRule="auto"/>
        <w:ind w:left="1077" w:hanging="357"/>
        <w:jc w:val="both"/>
      </w:pPr>
      <w:r w:rsidRPr="007E035F">
        <w:t xml:space="preserve">Facilitate the production and authorisation of both local sector-wide and support the development of ICB health plans to respond to emergencies and contribute to multi-agency emergency planning. </w:t>
      </w:r>
    </w:p>
    <w:p w14:paraId="2B75D0E3" w14:textId="77777777" w:rsidR="003C2BFB" w:rsidRPr="007E035F" w:rsidRDefault="003C2BFB" w:rsidP="007A490F">
      <w:pPr>
        <w:pStyle w:val="Bullet1"/>
        <w:widowControl/>
        <w:numPr>
          <w:ilvl w:val="0"/>
          <w:numId w:val="26"/>
        </w:numPr>
        <w:spacing w:line="276" w:lineRule="auto"/>
        <w:ind w:left="1077" w:hanging="357"/>
        <w:jc w:val="both"/>
      </w:pPr>
      <w:r w:rsidRPr="007E035F">
        <w:t xml:space="preserve">Ensure these plans include provision for mutual aid between organisations within the ICB area and liaise with regional colleagues and neighbouring ICB’s where mutual aid is required on a wider geographical footprint (intra or inter regional) </w:t>
      </w:r>
    </w:p>
    <w:p w14:paraId="61DB5CB2" w14:textId="77777777" w:rsidR="003C2BFB" w:rsidRPr="007E035F" w:rsidRDefault="003C2BFB" w:rsidP="007A490F">
      <w:pPr>
        <w:pStyle w:val="Bullet1"/>
        <w:widowControl/>
        <w:numPr>
          <w:ilvl w:val="0"/>
          <w:numId w:val="26"/>
        </w:numPr>
        <w:spacing w:line="276" w:lineRule="auto"/>
        <w:ind w:left="1077" w:hanging="357"/>
        <w:jc w:val="both"/>
      </w:pPr>
      <w:r w:rsidRPr="007E035F">
        <w:t xml:space="preserve">Provide a Strategic forum to raise and address concerns relating to health Emergency Preparedness, Resilience and Response (EPRR) </w:t>
      </w:r>
    </w:p>
    <w:p w14:paraId="377FF666" w14:textId="77777777" w:rsidR="003C2BFB" w:rsidRPr="007E035F" w:rsidRDefault="003C2BFB" w:rsidP="007A490F">
      <w:pPr>
        <w:pStyle w:val="Bullet1"/>
        <w:widowControl/>
        <w:numPr>
          <w:ilvl w:val="0"/>
          <w:numId w:val="26"/>
        </w:numPr>
        <w:spacing w:line="276" w:lineRule="auto"/>
        <w:ind w:left="1077" w:hanging="357"/>
        <w:jc w:val="both"/>
      </w:pPr>
      <w:r w:rsidRPr="007E035F">
        <w:t>Provide a Strategic forum for shared learning from events, exercises and incidents</w:t>
      </w:r>
    </w:p>
    <w:p w14:paraId="431C89CF" w14:textId="77777777" w:rsidR="003C2BFB" w:rsidRPr="007E035F" w:rsidRDefault="003C2BFB" w:rsidP="007A490F">
      <w:pPr>
        <w:pStyle w:val="Bullet1"/>
        <w:widowControl/>
        <w:numPr>
          <w:ilvl w:val="0"/>
          <w:numId w:val="26"/>
        </w:numPr>
        <w:spacing w:line="276" w:lineRule="auto"/>
        <w:ind w:left="1077" w:hanging="357"/>
        <w:jc w:val="both"/>
      </w:pPr>
      <w:r w:rsidRPr="007E035F">
        <w:t>Provide Strategic leadership to plan the health response to incidents likely to involve the wider health and social care economies (more than one organisation)</w:t>
      </w:r>
    </w:p>
    <w:p w14:paraId="38DFB379" w14:textId="77777777" w:rsidR="003C2BFB" w:rsidRPr="007E035F" w:rsidRDefault="003C2BFB" w:rsidP="007A490F">
      <w:pPr>
        <w:pStyle w:val="Bullet1"/>
        <w:widowControl/>
        <w:numPr>
          <w:ilvl w:val="0"/>
          <w:numId w:val="26"/>
        </w:numPr>
        <w:spacing w:line="276" w:lineRule="auto"/>
        <w:ind w:left="1077" w:hanging="357"/>
        <w:jc w:val="both"/>
      </w:pPr>
      <w:r w:rsidRPr="007E035F">
        <w:t>Ensure that health is represented cohesively on the LRF and similar EPRR planning groups in order to foster and support regional resilience and multi-agency working</w:t>
      </w:r>
    </w:p>
    <w:p w14:paraId="78F50AA9" w14:textId="77777777" w:rsidR="003C2BFB" w:rsidRPr="007E035F" w:rsidRDefault="003C2BFB" w:rsidP="007A490F">
      <w:pPr>
        <w:pStyle w:val="Bullet1"/>
        <w:widowControl/>
        <w:numPr>
          <w:ilvl w:val="0"/>
          <w:numId w:val="26"/>
        </w:numPr>
        <w:spacing w:line="276" w:lineRule="auto"/>
        <w:ind w:left="1077" w:hanging="357"/>
        <w:jc w:val="both"/>
      </w:pPr>
      <w:r w:rsidRPr="007E035F">
        <w:t>Delegate Tactical and Operational tasks to be delivered at an ICB level with nominated representatives via the Local Health Resilience Sub-Groups</w:t>
      </w:r>
    </w:p>
    <w:p w14:paraId="6BA6F033" w14:textId="77777777" w:rsidR="003C2BFB" w:rsidRPr="007E035F" w:rsidRDefault="003C2BFB" w:rsidP="007A490F">
      <w:pPr>
        <w:pStyle w:val="Bullet1"/>
        <w:widowControl/>
        <w:numPr>
          <w:ilvl w:val="0"/>
          <w:numId w:val="26"/>
        </w:numPr>
        <w:spacing w:line="276" w:lineRule="auto"/>
        <w:ind w:left="1077" w:hanging="357"/>
        <w:jc w:val="both"/>
      </w:pPr>
      <w:r w:rsidRPr="007E035F">
        <w:t>Notify the RHRP of work which will impact across multiple LHRP/ICB footprints and which should be coordinated and led by the Regional EPRR team, working collaboratively with ICB and provider EPRR leads</w:t>
      </w:r>
    </w:p>
    <w:p w14:paraId="7E59C9A3" w14:textId="77777777" w:rsidR="003C2BFB" w:rsidRPr="007E035F" w:rsidRDefault="003C2BFB" w:rsidP="007A490F">
      <w:pPr>
        <w:pStyle w:val="Bullet1"/>
        <w:widowControl/>
        <w:numPr>
          <w:ilvl w:val="0"/>
          <w:numId w:val="26"/>
        </w:numPr>
        <w:spacing w:line="276" w:lineRule="auto"/>
        <w:ind w:left="1077" w:hanging="357"/>
        <w:jc w:val="both"/>
      </w:pPr>
      <w:r w:rsidRPr="007E035F">
        <w:t xml:space="preserve">Provide support to NHS England in ensuring that member organisations develop and maintain effective health planning arrangements for incidents and events. </w:t>
      </w:r>
    </w:p>
    <w:p w14:paraId="55996ED2" w14:textId="77777777" w:rsidR="003C2BFB" w:rsidRPr="007E035F" w:rsidRDefault="003C2BFB" w:rsidP="007A490F">
      <w:pPr>
        <w:jc w:val="both"/>
      </w:pPr>
      <w:r w:rsidRPr="007E035F">
        <w:t xml:space="preserve">Specifically, to ensure: </w:t>
      </w:r>
    </w:p>
    <w:p w14:paraId="7A3D4AD3" w14:textId="77777777" w:rsidR="003C2BFB" w:rsidRPr="007E035F" w:rsidRDefault="003C2BFB" w:rsidP="007A490F">
      <w:pPr>
        <w:pStyle w:val="Bullet1"/>
        <w:widowControl/>
        <w:numPr>
          <w:ilvl w:val="0"/>
          <w:numId w:val="26"/>
        </w:numPr>
        <w:spacing w:line="276" w:lineRule="auto"/>
        <w:ind w:left="1077" w:hanging="357"/>
        <w:jc w:val="both"/>
      </w:pPr>
      <w:r w:rsidRPr="007E035F">
        <w:t>That the plans reflect the strategic leadership referenced and thus will ensure robust service and local level response to emergencies</w:t>
      </w:r>
    </w:p>
    <w:p w14:paraId="1C6C6702" w14:textId="77777777" w:rsidR="003C2BFB" w:rsidRPr="007E035F" w:rsidRDefault="003C2BFB" w:rsidP="007A490F">
      <w:pPr>
        <w:pStyle w:val="Bullet1"/>
        <w:widowControl/>
        <w:numPr>
          <w:ilvl w:val="0"/>
          <w:numId w:val="26"/>
        </w:numPr>
        <w:spacing w:line="276" w:lineRule="auto"/>
        <w:ind w:left="1077" w:hanging="357"/>
        <w:jc w:val="both"/>
      </w:pPr>
      <w:r w:rsidRPr="007E035F">
        <w:t>Coordination between health organisations is included within the plans</w:t>
      </w:r>
    </w:p>
    <w:p w14:paraId="05B87000" w14:textId="77777777" w:rsidR="003C2BFB" w:rsidRPr="007E035F" w:rsidRDefault="003C2BFB" w:rsidP="007A490F">
      <w:pPr>
        <w:pStyle w:val="Bullet1"/>
        <w:widowControl/>
        <w:numPr>
          <w:ilvl w:val="0"/>
          <w:numId w:val="26"/>
        </w:numPr>
        <w:spacing w:line="276" w:lineRule="auto"/>
        <w:ind w:left="1077" w:hanging="357"/>
        <w:jc w:val="both"/>
      </w:pPr>
      <w:r w:rsidRPr="007E035F">
        <w:t>That there is opportunity for co-ordinated exercising of local and service level plans in accordance with Department of Health (DH) policy and the CCA 2004</w:t>
      </w:r>
    </w:p>
    <w:p w14:paraId="0FAD734A" w14:textId="77777777" w:rsidR="003C2BFB" w:rsidRPr="007E035F" w:rsidRDefault="003C2BFB" w:rsidP="007A490F">
      <w:pPr>
        <w:pStyle w:val="Bullet1"/>
        <w:widowControl/>
        <w:numPr>
          <w:ilvl w:val="0"/>
          <w:numId w:val="26"/>
        </w:numPr>
        <w:spacing w:line="276" w:lineRule="auto"/>
        <w:ind w:left="1077" w:hanging="357"/>
        <w:jc w:val="both"/>
      </w:pPr>
      <w:r w:rsidRPr="007E035F">
        <w:t>That the health sector is integrated into appropriate wider EPRR plans and structures of civil resilience partner organisations within the ICB</w:t>
      </w:r>
    </w:p>
    <w:p w14:paraId="0C2C95B5" w14:textId="77777777" w:rsidR="003C2BFB" w:rsidRPr="007E035F" w:rsidRDefault="003C2BFB" w:rsidP="007A490F">
      <w:pPr>
        <w:pStyle w:val="Bullet1"/>
        <w:widowControl/>
        <w:numPr>
          <w:ilvl w:val="0"/>
          <w:numId w:val="26"/>
        </w:numPr>
        <w:spacing w:line="276" w:lineRule="auto"/>
        <w:ind w:left="1077" w:hanging="357"/>
        <w:jc w:val="both"/>
      </w:pPr>
      <w:r w:rsidRPr="007E035F">
        <w:lastRenderedPageBreak/>
        <w:t xml:space="preserve">That co-ordination and understanding between the LRF and local health providers is reviewed and continually improved, including arrangements to facilitate mutual aid between neighbouring LHRP’s/LRF’s where appropriate </w:t>
      </w:r>
    </w:p>
    <w:p w14:paraId="25780098" w14:textId="77777777" w:rsidR="003C2BFB" w:rsidRPr="007E035F" w:rsidRDefault="003C2BFB" w:rsidP="007A490F">
      <w:pPr>
        <w:pStyle w:val="Bullet1"/>
        <w:widowControl/>
        <w:numPr>
          <w:ilvl w:val="0"/>
          <w:numId w:val="26"/>
        </w:numPr>
        <w:spacing w:line="276" w:lineRule="auto"/>
        <w:ind w:left="1077" w:hanging="357"/>
        <w:jc w:val="both"/>
      </w:pPr>
      <w:r w:rsidRPr="007E035F">
        <w:t xml:space="preserve">That arrangements (including trigger mechanisms for activation and escalation are in place for providing and maintaining health representation at any multi-agency meetings during actual or threatened emergencies (including representation at TCG’s and SCG’s) </w:t>
      </w:r>
    </w:p>
    <w:p w14:paraId="07BB97C5" w14:textId="77777777" w:rsidR="003C2BFB" w:rsidRPr="007E035F" w:rsidRDefault="003C2BFB" w:rsidP="007A490F">
      <w:pPr>
        <w:pStyle w:val="Bullet1"/>
        <w:widowControl/>
        <w:numPr>
          <w:ilvl w:val="0"/>
          <w:numId w:val="26"/>
        </w:numPr>
        <w:spacing w:line="276" w:lineRule="auto"/>
        <w:ind w:left="1077" w:hanging="357"/>
        <w:jc w:val="both"/>
      </w:pPr>
      <w:r w:rsidRPr="007E035F">
        <w:t xml:space="preserve">That there is a mechanism to ensure all local parties in EPRR keep the LHRP informed of any potential or actual incidents, so that planned handling, leadership and any escalation process can be followed effectively. </w:t>
      </w:r>
    </w:p>
    <w:p w14:paraId="42BA1E28" w14:textId="77777777" w:rsidR="003C2BFB" w:rsidRPr="007E035F" w:rsidRDefault="003C2BFB" w:rsidP="007A490F">
      <w:pPr>
        <w:pStyle w:val="Heading1"/>
        <w:numPr>
          <w:ilvl w:val="0"/>
          <w:numId w:val="28"/>
        </w:numPr>
        <w:ind w:left="852" w:hanging="852"/>
        <w:jc w:val="both"/>
      </w:pPr>
      <w:r w:rsidRPr="007E035F">
        <w:t>Membership</w:t>
      </w:r>
    </w:p>
    <w:p w14:paraId="7923CA35" w14:textId="50EA1ACB" w:rsidR="003C2BFB" w:rsidRDefault="003C2BFB" w:rsidP="007A490F">
      <w:pPr>
        <w:jc w:val="both"/>
      </w:pPr>
      <w:r w:rsidRPr="007E035F">
        <w:t>The LHRP</w:t>
      </w:r>
      <w:r w:rsidR="00E65A25">
        <w:t>,</w:t>
      </w:r>
      <w:r w:rsidRPr="007E035F">
        <w:t xml:space="preserve"> covering Humber and North Yorkshire</w:t>
      </w:r>
      <w:r w:rsidR="00E65A25">
        <w:t>,</w:t>
      </w:r>
      <w:r w:rsidRPr="007E035F">
        <w:t xml:space="preserve"> remains a Strategic Forum for local organisations to facilitate Health emergency preparedness and planning at an LRF level and will be jointly chaired by the ICB Accountable Emergency Officer</w:t>
      </w:r>
      <w:r w:rsidR="00E65A25">
        <w:t xml:space="preserve"> and a nominated DPH from one of the Local Authorities in HNY</w:t>
      </w:r>
      <w:r w:rsidRPr="007E035F">
        <w:t xml:space="preserve">. </w:t>
      </w:r>
    </w:p>
    <w:p w14:paraId="2524A810" w14:textId="77777777" w:rsidR="007A490F" w:rsidRPr="007E035F" w:rsidRDefault="007A490F" w:rsidP="007A490F">
      <w:pPr>
        <w:jc w:val="both"/>
      </w:pPr>
    </w:p>
    <w:p w14:paraId="6D113FBF" w14:textId="5DBE8B6E" w:rsidR="003C2BFB" w:rsidRDefault="003C2BFB" w:rsidP="007A490F">
      <w:pPr>
        <w:jc w:val="both"/>
      </w:pPr>
      <w:r w:rsidRPr="007E035F">
        <w:t>In continuing the collaborative working in place prior to the formation of ICB’s</w:t>
      </w:r>
      <w:r w:rsidR="00E65A25">
        <w:t>,</w:t>
      </w:r>
      <w:r w:rsidRPr="007E035F">
        <w:t xml:space="preserve"> the Humber and North Yorkshire LHRP will continue co-chairing agreements with a lead Director of Public Health. Given the health and care responsibilities of ICB’s, attendance by an ADASS representative or lead Director of Adult Social Care in order to maintain the ICB Triumvirate for chairing arrangements will be encouraged. </w:t>
      </w:r>
    </w:p>
    <w:p w14:paraId="3FDA7CE4" w14:textId="77777777" w:rsidR="007A490F" w:rsidRPr="007E035F" w:rsidRDefault="007A490F" w:rsidP="007A490F">
      <w:pPr>
        <w:jc w:val="both"/>
      </w:pPr>
    </w:p>
    <w:p w14:paraId="49C78330" w14:textId="77777777" w:rsidR="003C2BFB" w:rsidRDefault="003C2BFB" w:rsidP="007A490F">
      <w:pPr>
        <w:jc w:val="both"/>
      </w:pPr>
      <w:r w:rsidRPr="007E035F">
        <w:t>The LHRP may decide to invite Subject Matter Experts (SME’s) from within health, and from our multi-agency partners where they have a special interest in the agenda, have been invited to present to the group or are felt to be a partner who should be directly engaged in health resilience planning.</w:t>
      </w:r>
    </w:p>
    <w:p w14:paraId="68B6AFA1" w14:textId="77777777" w:rsidR="007A490F" w:rsidRPr="007E035F" w:rsidRDefault="007A490F" w:rsidP="007A490F">
      <w:pPr>
        <w:jc w:val="both"/>
      </w:pPr>
    </w:p>
    <w:p w14:paraId="0600AB92" w14:textId="77777777" w:rsidR="003C2BFB" w:rsidRPr="007E035F" w:rsidRDefault="003C2BFB" w:rsidP="007A490F">
      <w:pPr>
        <w:jc w:val="both"/>
      </w:pPr>
      <w:r w:rsidRPr="007E035F">
        <w:t>Members of the LHRP will comprise of Strategic Health Leaders from across the region, in the event that the designated representative is unable to attend the meeting the expectation is that any deputy must have:</w:t>
      </w:r>
    </w:p>
    <w:p w14:paraId="62C2BF6D" w14:textId="77777777" w:rsidR="003C2BFB" w:rsidRPr="007E035F" w:rsidRDefault="003C2BFB" w:rsidP="007A490F">
      <w:pPr>
        <w:pStyle w:val="Bullet1"/>
        <w:widowControl/>
        <w:numPr>
          <w:ilvl w:val="0"/>
          <w:numId w:val="26"/>
        </w:numPr>
        <w:spacing w:line="276" w:lineRule="auto"/>
        <w:ind w:left="1077" w:hanging="357"/>
        <w:jc w:val="both"/>
      </w:pPr>
      <w:r w:rsidRPr="007E035F">
        <w:t>the authority to take decisions on behalf of their organisation</w:t>
      </w:r>
    </w:p>
    <w:p w14:paraId="6436AC0F" w14:textId="77777777" w:rsidR="003C2BFB" w:rsidRPr="007E035F" w:rsidRDefault="003C2BFB" w:rsidP="007A490F">
      <w:pPr>
        <w:pStyle w:val="Bullet1"/>
        <w:widowControl/>
        <w:numPr>
          <w:ilvl w:val="0"/>
          <w:numId w:val="26"/>
        </w:numPr>
        <w:spacing w:line="276" w:lineRule="auto"/>
        <w:ind w:left="1077" w:hanging="357"/>
        <w:jc w:val="both"/>
      </w:pPr>
      <w:r w:rsidRPr="007E035F">
        <w:t xml:space="preserve">the authority to approve plans and policies and </w:t>
      </w:r>
    </w:p>
    <w:p w14:paraId="2073B822" w14:textId="77777777" w:rsidR="003C2BFB" w:rsidRPr="007E035F" w:rsidRDefault="003C2BFB" w:rsidP="007A490F">
      <w:pPr>
        <w:pStyle w:val="Bullet1"/>
        <w:widowControl/>
        <w:numPr>
          <w:ilvl w:val="0"/>
          <w:numId w:val="26"/>
        </w:numPr>
        <w:spacing w:line="276" w:lineRule="auto"/>
        <w:ind w:left="1077" w:hanging="357"/>
        <w:jc w:val="both"/>
      </w:pPr>
      <w:r w:rsidRPr="007E035F">
        <w:t>the authority to commit resources on behalf of their organisations/systems</w:t>
      </w:r>
    </w:p>
    <w:p w14:paraId="126BAD6C" w14:textId="77777777" w:rsidR="003C2BFB" w:rsidRPr="007E035F" w:rsidRDefault="003C2BFB" w:rsidP="007A490F">
      <w:pPr>
        <w:jc w:val="both"/>
      </w:pPr>
      <w:r w:rsidRPr="007E035F">
        <w:t xml:space="preserve">LHRP membership will be as follows: </w:t>
      </w:r>
    </w:p>
    <w:p w14:paraId="47E8BD22" w14:textId="77777777" w:rsidR="003C2BFB" w:rsidRPr="007E035F" w:rsidRDefault="003C2BFB" w:rsidP="007A490F">
      <w:pPr>
        <w:pStyle w:val="Bullet1"/>
        <w:widowControl/>
        <w:numPr>
          <w:ilvl w:val="0"/>
          <w:numId w:val="26"/>
        </w:numPr>
        <w:spacing w:line="276" w:lineRule="auto"/>
        <w:ind w:left="1077" w:hanging="357"/>
        <w:jc w:val="both"/>
      </w:pPr>
      <w:r w:rsidRPr="007E035F">
        <w:t>Integrated Care Board</w:t>
      </w:r>
    </w:p>
    <w:p w14:paraId="46ACA455" w14:textId="77777777" w:rsidR="003C2BFB" w:rsidRPr="007E035F" w:rsidRDefault="003C2BFB" w:rsidP="007A490F">
      <w:pPr>
        <w:pStyle w:val="Bullet2"/>
        <w:widowControl/>
        <w:numPr>
          <w:ilvl w:val="1"/>
          <w:numId w:val="27"/>
        </w:numPr>
        <w:tabs>
          <w:tab w:val="clear" w:pos="1440"/>
        </w:tabs>
        <w:spacing w:line="276" w:lineRule="auto"/>
        <w:jc w:val="both"/>
      </w:pPr>
      <w:r w:rsidRPr="007E035F">
        <w:t>Accountable Emergency Officer (chair)</w:t>
      </w:r>
    </w:p>
    <w:p w14:paraId="682928B1" w14:textId="77777777" w:rsidR="003C2BFB" w:rsidRPr="007E035F" w:rsidRDefault="003C2BFB" w:rsidP="007A490F">
      <w:pPr>
        <w:pStyle w:val="Bullet2"/>
        <w:widowControl/>
        <w:numPr>
          <w:ilvl w:val="1"/>
          <w:numId w:val="27"/>
        </w:numPr>
        <w:tabs>
          <w:tab w:val="clear" w:pos="1440"/>
        </w:tabs>
        <w:spacing w:line="276" w:lineRule="auto"/>
        <w:jc w:val="both"/>
      </w:pPr>
      <w:r w:rsidRPr="007E035F">
        <w:t>EPRR Lead</w:t>
      </w:r>
    </w:p>
    <w:p w14:paraId="0E0B0A03" w14:textId="77777777" w:rsidR="003C2BFB" w:rsidRPr="007E035F" w:rsidRDefault="003C2BFB" w:rsidP="007A490F">
      <w:pPr>
        <w:pStyle w:val="Bullet1"/>
        <w:widowControl/>
        <w:numPr>
          <w:ilvl w:val="0"/>
          <w:numId w:val="26"/>
        </w:numPr>
        <w:spacing w:line="276" w:lineRule="auto"/>
        <w:ind w:left="1077" w:hanging="357"/>
        <w:jc w:val="both"/>
      </w:pPr>
      <w:r w:rsidRPr="007E035F">
        <w:t>NHS England</w:t>
      </w:r>
    </w:p>
    <w:p w14:paraId="588BC44B" w14:textId="77777777" w:rsidR="003C2BFB" w:rsidRPr="007E035F" w:rsidRDefault="003C2BFB" w:rsidP="007A490F">
      <w:pPr>
        <w:pStyle w:val="Bullet2"/>
        <w:widowControl/>
        <w:numPr>
          <w:ilvl w:val="1"/>
          <w:numId w:val="27"/>
        </w:numPr>
        <w:tabs>
          <w:tab w:val="clear" w:pos="1440"/>
        </w:tabs>
        <w:spacing w:line="276" w:lineRule="auto"/>
        <w:jc w:val="both"/>
      </w:pPr>
      <w:r w:rsidRPr="007E035F">
        <w:t>Locality Director</w:t>
      </w:r>
    </w:p>
    <w:p w14:paraId="04F65BB9" w14:textId="77777777" w:rsidR="003C2BFB" w:rsidRPr="007E035F" w:rsidRDefault="003C2BFB" w:rsidP="007A490F">
      <w:pPr>
        <w:pStyle w:val="Bullet2"/>
        <w:widowControl/>
        <w:numPr>
          <w:ilvl w:val="1"/>
          <w:numId w:val="27"/>
        </w:numPr>
        <w:tabs>
          <w:tab w:val="clear" w:pos="1440"/>
        </w:tabs>
        <w:spacing w:line="276" w:lineRule="auto"/>
        <w:jc w:val="both"/>
      </w:pPr>
      <w:r w:rsidRPr="007E035F">
        <w:t xml:space="preserve">Regional EPRR team (as required) </w:t>
      </w:r>
    </w:p>
    <w:p w14:paraId="7A297FF3" w14:textId="77777777" w:rsidR="003C2BFB" w:rsidRPr="007E035F" w:rsidRDefault="003C2BFB" w:rsidP="007A490F">
      <w:pPr>
        <w:pStyle w:val="Bullet1"/>
        <w:widowControl/>
        <w:numPr>
          <w:ilvl w:val="0"/>
          <w:numId w:val="26"/>
        </w:numPr>
        <w:spacing w:line="276" w:lineRule="auto"/>
        <w:ind w:left="1077" w:hanging="357"/>
        <w:jc w:val="both"/>
      </w:pPr>
      <w:r w:rsidRPr="007E035F">
        <w:t>Health Organisations</w:t>
      </w:r>
    </w:p>
    <w:p w14:paraId="251E92E0" w14:textId="77777777" w:rsidR="003C2BFB" w:rsidRPr="007E035F" w:rsidRDefault="003C2BFB" w:rsidP="007A490F">
      <w:pPr>
        <w:pStyle w:val="Bullet2"/>
        <w:widowControl/>
        <w:numPr>
          <w:ilvl w:val="1"/>
          <w:numId w:val="27"/>
        </w:numPr>
        <w:tabs>
          <w:tab w:val="clear" w:pos="1440"/>
        </w:tabs>
        <w:spacing w:line="276" w:lineRule="auto"/>
        <w:jc w:val="both"/>
      </w:pPr>
      <w:r w:rsidRPr="007E035F">
        <w:t>Accountable Emergency Officers of all health organisations</w:t>
      </w:r>
    </w:p>
    <w:p w14:paraId="20F5701F" w14:textId="77777777" w:rsidR="003C2BFB" w:rsidRPr="007E035F" w:rsidRDefault="003C2BFB" w:rsidP="007A490F">
      <w:pPr>
        <w:pStyle w:val="Bullet1"/>
        <w:widowControl/>
        <w:numPr>
          <w:ilvl w:val="0"/>
          <w:numId w:val="26"/>
        </w:numPr>
        <w:spacing w:line="276" w:lineRule="auto"/>
        <w:ind w:left="1077" w:hanging="357"/>
        <w:jc w:val="both"/>
      </w:pPr>
      <w:r w:rsidRPr="007E035F">
        <w:t>Local Authorities</w:t>
      </w:r>
    </w:p>
    <w:p w14:paraId="02DB1973" w14:textId="77777777" w:rsidR="003C2BFB" w:rsidRPr="007E035F" w:rsidRDefault="003C2BFB" w:rsidP="007A490F">
      <w:pPr>
        <w:pStyle w:val="Bullet2"/>
        <w:widowControl/>
        <w:numPr>
          <w:ilvl w:val="1"/>
          <w:numId w:val="27"/>
        </w:numPr>
        <w:tabs>
          <w:tab w:val="clear" w:pos="1440"/>
        </w:tabs>
        <w:spacing w:line="276" w:lineRule="auto"/>
        <w:jc w:val="both"/>
      </w:pPr>
      <w:r w:rsidRPr="007E035F">
        <w:lastRenderedPageBreak/>
        <w:t xml:space="preserve">Directors of Public Health </w:t>
      </w:r>
    </w:p>
    <w:p w14:paraId="2A6C0F7E" w14:textId="77777777" w:rsidR="003C2BFB" w:rsidRPr="007E035F" w:rsidRDefault="003C2BFB" w:rsidP="007A490F">
      <w:pPr>
        <w:pStyle w:val="Bullet2"/>
        <w:widowControl/>
        <w:numPr>
          <w:ilvl w:val="1"/>
          <w:numId w:val="27"/>
        </w:numPr>
        <w:tabs>
          <w:tab w:val="clear" w:pos="1440"/>
        </w:tabs>
        <w:spacing w:line="276" w:lineRule="auto"/>
        <w:jc w:val="both"/>
      </w:pPr>
      <w:r w:rsidRPr="007E035F">
        <w:t xml:space="preserve">Directors of Adult Social Care </w:t>
      </w:r>
    </w:p>
    <w:p w14:paraId="0E9B2FE4" w14:textId="77777777" w:rsidR="003C2BFB" w:rsidRPr="007E035F" w:rsidRDefault="003C2BFB" w:rsidP="007A490F">
      <w:pPr>
        <w:pStyle w:val="Bullet1"/>
        <w:widowControl/>
        <w:numPr>
          <w:ilvl w:val="0"/>
          <w:numId w:val="26"/>
        </w:numPr>
        <w:spacing w:line="276" w:lineRule="auto"/>
        <w:ind w:left="1077" w:hanging="357"/>
        <w:jc w:val="both"/>
      </w:pPr>
      <w:r w:rsidRPr="007E035F">
        <w:t xml:space="preserve">UKHSA (local health protection team) </w:t>
      </w:r>
    </w:p>
    <w:p w14:paraId="72890382" w14:textId="77777777" w:rsidR="003C2BFB" w:rsidRPr="007E035F" w:rsidRDefault="003C2BFB" w:rsidP="007A490F">
      <w:pPr>
        <w:pStyle w:val="Bullet1"/>
        <w:widowControl/>
        <w:numPr>
          <w:ilvl w:val="0"/>
          <w:numId w:val="26"/>
        </w:numPr>
        <w:spacing w:line="276" w:lineRule="auto"/>
        <w:ind w:left="1077" w:hanging="357"/>
        <w:jc w:val="both"/>
      </w:pPr>
      <w:r w:rsidRPr="007E035F">
        <w:t xml:space="preserve">Ambulance Services </w:t>
      </w:r>
    </w:p>
    <w:p w14:paraId="0D588F96" w14:textId="77777777" w:rsidR="003C2BFB" w:rsidRPr="007E035F" w:rsidRDefault="003C2BFB" w:rsidP="007A490F">
      <w:pPr>
        <w:pStyle w:val="Bullet2"/>
        <w:widowControl/>
        <w:numPr>
          <w:ilvl w:val="1"/>
          <w:numId w:val="27"/>
        </w:numPr>
        <w:tabs>
          <w:tab w:val="clear" w:pos="1440"/>
        </w:tabs>
        <w:spacing w:line="276" w:lineRule="auto"/>
        <w:jc w:val="both"/>
      </w:pPr>
      <w:r w:rsidRPr="007E035F">
        <w:t>Head of EPRR from the relevant Ambulance Trust</w:t>
      </w:r>
    </w:p>
    <w:p w14:paraId="19891CA0" w14:textId="77777777" w:rsidR="003C2BFB" w:rsidRPr="007E035F" w:rsidRDefault="003C2BFB" w:rsidP="007A490F">
      <w:pPr>
        <w:pStyle w:val="Bullet1"/>
        <w:widowControl/>
        <w:numPr>
          <w:ilvl w:val="0"/>
          <w:numId w:val="26"/>
        </w:numPr>
        <w:spacing w:line="276" w:lineRule="auto"/>
        <w:ind w:left="1077" w:hanging="357"/>
        <w:jc w:val="both"/>
      </w:pPr>
      <w:r w:rsidRPr="007E035F">
        <w:t>LRF Chair/Manager (optional)</w:t>
      </w:r>
    </w:p>
    <w:p w14:paraId="3C1BE344" w14:textId="77777777" w:rsidR="003C2BFB" w:rsidRPr="007E035F" w:rsidRDefault="003C2BFB" w:rsidP="007A490F">
      <w:pPr>
        <w:pStyle w:val="Heading1"/>
        <w:numPr>
          <w:ilvl w:val="0"/>
          <w:numId w:val="28"/>
        </w:numPr>
        <w:ind w:left="852" w:hanging="852"/>
        <w:jc w:val="both"/>
      </w:pPr>
      <w:r w:rsidRPr="007E035F">
        <w:t xml:space="preserve">Format &amp; Frequency of meetings </w:t>
      </w:r>
    </w:p>
    <w:p w14:paraId="14EA89F0" w14:textId="77777777" w:rsidR="003C2BFB" w:rsidRDefault="003C2BFB" w:rsidP="007A490F">
      <w:pPr>
        <w:jc w:val="both"/>
      </w:pPr>
      <w:r w:rsidRPr="007E035F">
        <w:t>The North East &amp; Yorkshire LHRP’s will meet, as a minimum, quarterly and align their meeting schedule with the Regional Health Resilience Partnership. Meeting structures can vary to meet the needs of the locality and will be directed by the Accountable Emergency Officer</w:t>
      </w:r>
    </w:p>
    <w:p w14:paraId="1F0CA13F" w14:textId="77777777" w:rsidR="007A490F" w:rsidRPr="007E035F" w:rsidRDefault="007A490F" w:rsidP="007A490F">
      <w:pPr>
        <w:jc w:val="both"/>
      </w:pPr>
    </w:p>
    <w:p w14:paraId="04BA74B0" w14:textId="77777777" w:rsidR="003C2BFB" w:rsidRDefault="003C2BFB" w:rsidP="007A490F">
      <w:pPr>
        <w:jc w:val="both"/>
      </w:pPr>
      <w:r w:rsidRPr="007E035F">
        <w:t xml:space="preserve">All meetings will be formally documented, and minutes shared with all relevant health organisations within the LHRP area and will be brought to the LRF by the co-chairs. These minutes will be publicly available on request, subject to appropriate consideration of any restricted/sensitive items. </w:t>
      </w:r>
    </w:p>
    <w:p w14:paraId="10E30054" w14:textId="77777777" w:rsidR="007A490F" w:rsidRPr="007E035F" w:rsidRDefault="007A490F" w:rsidP="007A490F">
      <w:pPr>
        <w:jc w:val="both"/>
      </w:pPr>
    </w:p>
    <w:p w14:paraId="001B35C5" w14:textId="77777777" w:rsidR="003C2BFB" w:rsidRPr="007E035F" w:rsidRDefault="003C2BFB" w:rsidP="007A490F">
      <w:pPr>
        <w:jc w:val="both"/>
      </w:pPr>
      <w:r w:rsidRPr="007E035F">
        <w:t>Any reports or items to be tabled must be submitted a minimum of ten working days prior to the next LHRP meeting and subsequent papers and minutes will be circulated to LHRP members a minimum of seven working days before the next meeting.</w:t>
      </w:r>
    </w:p>
    <w:p w14:paraId="2EEA7207" w14:textId="77777777" w:rsidR="003C2BFB" w:rsidRDefault="003C2BFB" w:rsidP="007A490F">
      <w:pPr>
        <w:pStyle w:val="Heading1"/>
        <w:numPr>
          <w:ilvl w:val="0"/>
          <w:numId w:val="28"/>
        </w:numPr>
        <w:ind w:left="852" w:hanging="852"/>
        <w:jc w:val="both"/>
      </w:pPr>
      <w:r>
        <w:t>Quoracy</w:t>
      </w:r>
    </w:p>
    <w:p w14:paraId="73253781" w14:textId="77777777" w:rsidR="003C2BFB" w:rsidRDefault="003C2BFB" w:rsidP="007A490F">
      <w:pPr>
        <w:jc w:val="both"/>
        <w:rPr>
          <w:sz w:val="22"/>
        </w:rPr>
      </w:pPr>
      <w:r>
        <w:t>The quorum for the LHRP will be 70% of its membership and should be of balanced representation. Required attendees are:</w:t>
      </w:r>
    </w:p>
    <w:p w14:paraId="75CF4A98" w14:textId="77777777" w:rsidR="003C2BFB" w:rsidRDefault="003C2BFB" w:rsidP="007A490F">
      <w:pPr>
        <w:pStyle w:val="Bullet1"/>
        <w:widowControl/>
        <w:numPr>
          <w:ilvl w:val="0"/>
          <w:numId w:val="26"/>
        </w:numPr>
        <w:spacing w:line="276" w:lineRule="auto"/>
        <w:ind w:left="1077" w:hanging="357"/>
        <w:jc w:val="both"/>
      </w:pPr>
      <w:r>
        <w:t xml:space="preserve">NHS Health Organisations: Accountable Emergency Officer or director level representative with delegated authority to authorise plans and commit resources on behalf of their organisation.  Members should bear in mind that their AEO will need to attend at least 1 meeting in 12 months to be compliant with core standard 37. </w:t>
      </w:r>
    </w:p>
    <w:p w14:paraId="2C6D9771" w14:textId="77777777" w:rsidR="003C2BFB" w:rsidRDefault="003C2BFB" w:rsidP="007A490F">
      <w:pPr>
        <w:pStyle w:val="Bullet1"/>
        <w:widowControl/>
        <w:numPr>
          <w:ilvl w:val="0"/>
          <w:numId w:val="26"/>
        </w:numPr>
        <w:spacing w:line="276" w:lineRule="auto"/>
        <w:ind w:left="1077" w:hanging="357"/>
        <w:jc w:val="both"/>
      </w:pPr>
      <w:r>
        <w:t>Ambulance trusts: Head of EPRR</w:t>
      </w:r>
    </w:p>
    <w:p w14:paraId="03578506" w14:textId="77777777" w:rsidR="003C2BFB" w:rsidRDefault="003C2BFB" w:rsidP="007A490F">
      <w:pPr>
        <w:pStyle w:val="Bullet1"/>
        <w:widowControl/>
        <w:numPr>
          <w:ilvl w:val="0"/>
          <w:numId w:val="26"/>
        </w:numPr>
        <w:spacing w:line="276" w:lineRule="auto"/>
        <w:ind w:left="1077" w:hanging="357"/>
        <w:jc w:val="both"/>
      </w:pPr>
      <w:r>
        <w:t xml:space="preserve">Local Authorities: Director of Public Health and Director of Adult Social Care </w:t>
      </w:r>
    </w:p>
    <w:p w14:paraId="4F96E8C8" w14:textId="77777777" w:rsidR="003C2BFB" w:rsidRDefault="003C2BFB" w:rsidP="007A490F">
      <w:pPr>
        <w:pStyle w:val="Bullet1"/>
        <w:widowControl/>
        <w:numPr>
          <w:ilvl w:val="0"/>
          <w:numId w:val="26"/>
        </w:numPr>
        <w:spacing w:line="276" w:lineRule="auto"/>
        <w:ind w:left="1077" w:hanging="357"/>
        <w:jc w:val="both"/>
      </w:pPr>
      <w:r>
        <w:t xml:space="preserve">UKHSA: member of the local health protection team. </w:t>
      </w:r>
    </w:p>
    <w:p w14:paraId="6B6D23EF" w14:textId="77777777" w:rsidR="003C2BFB" w:rsidRDefault="003C2BFB" w:rsidP="007A490F">
      <w:pPr>
        <w:jc w:val="both"/>
      </w:pPr>
      <w:r>
        <w:t xml:space="preserve">Any other attendees not included in the above list will not count towards quoracy. </w:t>
      </w:r>
    </w:p>
    <w:p w14:paraId="55087B83" w14:textId="77777777" w:rsidR="003C2BFB" w:rsidRPr="00B002C4" w:rsidRDefault="003C2BFB" w:rsidP="007A490F">
      <w:pPr>
        <w:jc w:val="both"/>
      </w:pPr>
      <w:r>
        <w:t>Chairmanship of this meeting should be between the ICB AEO and one of the Directors of Public Health within Humber and North Yorkshire.</w:t>
      </w:r>
    </w:p>
    <w:p w14:paraId="41773BD0" w14:textId="77777777" w:rsidR="003C2BFB" w:rsidRPr="007E035F" w:rsidRDefault="003C2BFB" w:rsidP="007A490F">
      <w:pPr>
        <w:pStyle w:val="Heading1"/>
        <w:numPr>
          <w:ilvl w:val="0"/>
          <w:numId w:val="28"/>
        </w:numPr>
        <w:ind w:left="852" w:hanging="852"/>
        <w:jc w:val="both"/>
      </w:pPr>
      <w:r w:rsidRPr="007E035F">
        <w:t xml:space="preserve">Local Health Resilience Partnership Finance </w:t>
      </w:r>
    </w:p>
    <w:p w14:paraId="163E71A2" w14:textId="77777777" w:rsidR="003C2BFB" w:rsidRDefault="003C2BFB" w:rsidP="007A490F">
      <w:pPr>
        <w:jc w:val="both"/>
      </w:pPr>
      <w:r w:rsidRPr="007E035F">
        <w:t xml:space="preserve">LHRP meetings will be held within NHS or Public Health facilities. Costs associated with the meetings will be met by the hosting organisation. Additional costs for task and finish groups or identified pieces of work will be borne by the member organisations “where they fall” (i.e. there is no expectation for cross charging of organisations for time spent attending meetings, travel expenses or hosting meetings). </w:t>
      </w:r>
    </w:p>
    <w:p w14:paraId="0D3709AA" w14:textId="77777777" w:rsidR="007A490F" w:rsidRPr="007E035F" w:rsidRDefault="007A490F" w:rsidP="007A490F">
      <w:pPr>
        <w:jc w:val="both"/>
      </w:pPr>
    </w:p>
    <w:p w14:paraId="749A09DF" w14:textId="77777777" w:rsidR="003C2BFB" w:rsidRPr="007E035F" w:rsidRDefault="003C2BFB" w:rsidP="007A490F">
      <w:pPr>
        <w:jc w:val="both"/>
      </w:pPr>
      <w:r w:rsidRPr="007E035F">
        <w:lastRenderedPageBreak/>
        <w:t>In the event a planned activity indicates a specific spending need, members will discuss and agree any expected costs and avenues of funding during the planning phase, and prior, to establishing a formal working group.</w:t>
      </w:r>
    </w:p>
    <w:p w14:paraId="6B596C8E" w14:textId="77777777" w:rsidR="00786CF0" w:rsidRDefault="00786CF0" w:rsidP="00786CF0">
      <w:pPr>
        <w:pStyle w:val="Title"/>
      </w:pPr>
    </w:p>
    <w:p w14:paraId="60A66A50" w14:textId="77777777" w:rsidR="00786CF0" w:rsidRDefault="00786CF0" w:rsidP="00786CF0">
      <w:pPr>
        <w:pStyle w:val="Title"/>
      </w:pPr>
    </w:p>
    <w:p w14:paraId="54B8B4D6" w14:textId="77777777" w:rsidR="007A490F" w:rsidRDefault="007A490F" w:rsidP="007A490F"/>
    <w:p w14:paraId="56399687" w14:textId="77777777" w:rsidR="007A490F" w:rsidRDefault="007A490F" w:rsidP="007A490F"/>
    <w:p w14:paraId="031F373F" w14:textId="77777777" w:rsidR="007A490F" w:rsidRDefault="007A490F" w:rsidP="007A490F"/>
    <w:p w14:paraId="45613007" w14:textId="77777777" w:rsidR="007A490F" w:rsidRDefault="007A490F" w:rsidP="007A490F"/>
    <w:p w14:paraId="06D478C1" w14:textId="77777777" w:rsidR="007A490F" w:rsidRDefault="007A490F" w:rsidP="007A490F"/>
    <w:p w14:paraId="6923C391" w14:textId="77777777" w:rsidR="007A490F" w:rsidRDefault="007A490F" w:rsidP="007A490F"/>
    <w:p w14:paraId="0DD2692A" w14:textId="77777777" w:rsidR="007A490F" w:rsidRDefault="007A490F" w:rsidP="007A490F"/>
    <w:p w14:paraId="4EBB6F98" w14:textId="77777777" w:rsidR="007A490F" w:rsidRDefault="007A490F" w:rsidP="007A490F"/>
    <w:p w14:paraId="43B058DF" w14:textId="77777777" w:rsidR="007A490F" w:rsidRDefault="007A490F" w:rsidP="007A490F"/>
    <w:p w14:paraId="5819A203" w14:textId="77777777" w:rsidR="007A490F" w:rsidRDefault="007A490F" w:rsidP="007A490F"/>
    <w:p w14:paraId="60B9569A" w14:textId="77777777" w:rsidR="007A490F" w:rsidRDefault="007A490F" w:rsidP="007A490F"/>
    <w:p w14:paraId="40D23CDE" w14:textId="77777777" w:rsidR="007A490F" w:rsidRDefault="007A490F" w:rsidP="007A490F"/>
    <w:p w14:paraId="31613E37" w14:textId="77777777" w:rsidR="007A490F" w:rsidRDefault="007A490F" w:rsidP="007A490F"/>
    <w:p w14:paraId="62D2D051" w14:textId="77777777" w:rsidR="007A490F" w:rsidRDefault="007A490F" w:rsidP="007A490F"/>
    <w:p w14:paraId="15F6228C" w14:textId="77777777" w:rsidR="007A490F" w:rsidRDefault="007A490F" w:rsidP="007A490F"/>
    <w:p w14:paraId="4B9B44DC" w14:textId="77777777" w:rsidR="007A490F" w:rsidRDefault="007A490F" w:rsidP="007A490F"/>
    <w:p w14:paraId="01FCDB00" w14:textId="77777777" w:rsidR="007A490F" w:rsidRDefault="007A490F" w:rsidP="007A490F"/>
    <w:p w14:paraId="70FB7138" w14:textId="77777777" w:rsidR="007A490F" w:rsidRDefault="007A490F" w:rsidP="007A490F"/>
    <w:p w14:paraId="44D1829B" w14:textId="77777777" w:rsidR="007A490F" w:rsidRDefault="007A490F" w:rsidP="007A490F"/>
    <w:p w14:paraId="0445E900" w14:textId="77777777" w:rsidR="007A490F" w:rsidRDefault="007A490F" w:rsidP="007A490F"/>
    <w:p w14:paraId="1F84DA03" w14:textId="77777777" w:rsidR="007A490F" w:rsidRDefault="007A490F" w:rsidP="007A490F"/>
    <w:p w14:paraId="6088D969" w14:textId="77777777" w:rsidR="007A490F" w:rsidRDefault="007A490F" w:rsidP="007A490F"/>
    <w:p w14:paraId="6F3741C0" w14:textId="77777777" w:rsidR="007A490F" w:rsidRDefault="007A490F" w:rsidP="007A490F"/>
    <w:p w14:paraId="44213442" w14:textId="77777777" w:rsidR="007A490F" w:rsidRDefault="007A490F" w:rsidP="007A490F"/>
    <w:p w14:paraId="1D82DCAA" w14:textId="77777777" w:rsidR="007A490F" w:rsidRDefault="007A490F" w:rsidP="007A490F"/>
    <w:p w14:paraId="1084B0AF" w14:textId="77777777" w:rsidR="007A490F" w:rsidRDefault="007A490F" w:rsidP="007A490F"/>
    <w:p w14:paraId="00AC88CD" w14:textId="77777777" w:rsidR="007A490F" w:rsidRDefault="007A490F" w:rsidP="007A490F"/>
    <w:p w14:paraId="49595E3D" w14:textId="77777777" w:rsidR="007A490F" w:rsidRDefault="007A490F" w:rsidP="007A490F"/>
    <w:p w14:paraId="690FA884" w14:textId="77777777" w:rsidR="007A490F" w:rsidRDefault="007A490F" w:rsidP="007A490F"/>
    <w:p w14:paraId="34440B24" w14:textId="77777777" w:rsidR="007A490F" w:rsidRDefault="007A490F" w:rsidP="007A490F"/>
    <w:p w14:paraId="1E908911" w14:textId="77777777" w:rsidR="007A490F" w:rsidRDefault="007A490F" w:rsidP="007A490F"/>
    <w:p w14:paraId="1F4B451A" w14:textId="77777777" w:rsidR="007A490F" w:rsidRDefault="007A490F" w:rsidP="007A490F"/>
    <w:p w14:paraId="05A95638" w14:textId="77777777" w:rsidR="007A490F" w:rsidRDefault="007A490F" w:rsidP="007A490F"/>
    <w:p w14:paraId="36868A5F" w14:textId="77777777" w:rsidR="007A490F" w:rsidRDefault="007A490F" w:rsidP="007A490F"/>
    <w:p w14:paraId="1240EBCD" w14:textId="77777777" w:rsidR="007A490F" w:rsidRDefault="007A490F" w:rsidP="007A490F"/>
    <w:p w14:paraId="06307CD8" w14:textId="77777777" w:rsidR="007A490F" w:rsidRDefault="007A490F" w:rsidP="007A490F"/>
    <w:p w14:paraId="59823E41" w14:textId="77777777" w:rsidR="007A490F" w:rsidRDefault="007A490F" w:rsidP="007A490F"/>
    <w:p w14:paraId="7E893404" w14:textId="77777777" w:rsidR="007A490F" w:rsidRDefault="007A490F" w:rsidP="007A490F"/>
    <w:p w14:paraId="631E7C78" w14:textId="77777777" w:rsidR="007A490F" w:rsidRDefault="007A490F" w:rsidP="007A490F"/>
    <w:p w14:paraId="637B1933" w14:textId="77777777" w:rsidR="007A490F" w:rsidRDefault="007A490F" w:rsidP="007A490F"/>
    <w:p w14:paraId="21A40014" w14:textId="77777777" w:rsidR="007A490F" w:rsidRDefault="007A490F" w:rsidP="007A490F"/>
    <w:p w14:paraId="4651438D" w14:textId="77777777" w:rsidR="007A490F" w:rsidRDefault="007A490F" w:rsidP="007A490F"/>
    <w:p w14:paraId="33E5365D" w14:textId="77777777" w:rsidR="007A490F" w:rsidRPr="007A490F" w:rsidRDefault="007A490F" w:rsidP="007A490F"/>
    <w:p w14:paraId="28A35ABA" w14:textId="77777777" w:rsidR="00786CF0" w:rsidRDefault="00786CF0" w:rsidP="00786CF0">
      <w:pPr>
        <w:pStyle w:val="Title"/>
      </w:pPr>
    </w:p>
    <w:p w14:paraId="7D42EC60" w14:textId="77777777" w:rsidR="004E78A9" w:rsidRPr="00076846" w:rsidRDefault="004E78A9" w:rsidP="004E78A9">
      <w:pPr>
        <w:rPr>
          <w:rFonts w:cs="Arial"/>
          <w:sz w:val="23"/>
          <w:szCs w:val="23"/>
        </w:rPr>
      </w:pPr>
      <w:bookmarkStart w:id="118" w:name="_Toc104100064"/>
    </w:p>
    <w:p w14:paraId="591A83D8" w14:textId="77777777" w:rsidR="004E78A9" w:rsidRPr="00076846" w:rsidRDefault="004E78A9" w:rsidP="004E78A9">
      <w:pPr>
        <w:rPr>
          <w:rFonts w:cs="Arial"/>
          <w:sz w:val="23"/>
          <w:szCs w:val="23"/>
        </w:rPr>
      </w:pPr>
    </w:p>
    <w:p w14:paraId="4499F366" w14:textId="47B444D7" w:rsidR="00786CF0" w:rsidRPr="00076846" w:rsidRDefault="00786CF0" w:rsidP="009B57A9">
      <w:pPr>
        <w:pStyle w:val="Heading2"/>
        <w:numPr>
          <w:ilvl w:val="0"/>
          <w:numId w:val="0"/>
        </w:numPr>
        <w:ind w:left="851" w:hanging="851"/>
        <w:jc w:val="right"/>
        <w:rPr>
          <w:sz w:val="28"/>
          <w:szCs w:val="28"/>
        </w:rPr>
      </w:pPr>
      <w:r w:rsidRPr="00076846">
        <w:rPr>
          <w:sz w:val="28"/>
          <w:szCs w:val="28"/>
        </w:rPr>
        <w:lastRenderedPageBreak/>
        <w:t xml:space="preserve">Appendix 3 – </w:t>
      </w:r>
      <w:bookmarkEnd w:id="118"/>
      <w:r w:rsidRPr="00076846">
        <w:rPr>
          <w:sz w:val="28"/>
          <w:szCs w:val="28"/>
        </w:rPr>
        <w:t>Regional Health Resilience Partnership Terms of Reference</w:t>
      </w:r>
    </w:p>
    <w:p w14:paraId="1D05E999" w14:textId="77777777" w:rsidR="0004149F" w:rsidRPr="00076846" w:rsidRDefault="0004149F" w:rsidP="0004149F">
      <w:pPr>
        <w:rPr>
          <w:rFonts w:cs="Arial"/>
          <w:sz w:val="23"/>
          <w:szCs w:val="23"/>
        </w:rPr>
      </w:pPr>
      <w:bookmarkStart w:id="119" w:name="_Toc100902660"/>
      <w:bookmarkStart w:id="120" w:name="_Toc100902801"/>
      <w:bookmarkStart w:id="121" w:name="_Toc101269393"/>
    </w:p>
    <w:bookmarkEnd w:id="119"/>
    <w:bookmarkEnd w:id="120"/>
    <w:bookmarkEnd w:id="121"/>
    <w:p w14:paraId="563490F8" w14:textId="77777777" w:rsidR="00786CF0" w:rsidRDefault="00786CF0" w:rsidP="00254132">
      <w:pPr>
        <w:pStyle w:val="ListParagraph"/>
        <w:rPr>
          <w:rFonts w:cs="Arial"/>
          <w:sz w:val="23"/>
          <w:szCs w:val="23"/>
        </w:rPr>
      </w:pPr>
    </w:p>
    <w:p w14:paraId="7E742B87" w14:textId="77777777" w:rsidR="004F133A" w:rsidRDefault="004F133A" w:rsidP="004F133A">
      <w:pPr>
        <w:keepNext/>
        <w:keepLines/>
        <w:spacing w:before="40"/>
        <w:ind w:left="426"/>
        <w:outlineLvl w:val="1"/>
        <w:rPr>
          <w:rFonts w:eastAsiaTheme="majorEastAsia" w:cs="Arial"/>
          <w:color w:val="1F497D" w:themeColor="text2"/>
          <w:sz w:val="26"/>
          <w:szCs w:val="26"/>
        </w:rPr>
      </w:pPr>
      <w:bookmarkStart w:id="122" w:name="_Toc172302790"/>
      <w:bookmarkStart w:id="123" w:name="_Toc172525650"/>
      <w:r w:rsidRPr="008F0AB0">
        <w:rPr>
          <w:rFonts w:eastAsiaTheme="majorEastAsia" w:cs="Arial"/>
          <w:color w:val="1F497D" w:themeColor="text2"/>
          <w:sz w:val="26"/>
          <w:szCs w:val="26"/>
        </w:rPr>
        <w:t>Overview</w:t>
      </w:r>
      <w:bookmarkEnd w:id="122"/>
      <w:bookmarkEnd w:id="123"/>
    </w:p>
    <w:p w14:paraId="49B6D513" w14:textId="77777777" w:rsidR="004F133A" w:rsidRPr="008F0AB0" w:rsidRDefault="004F133A" w:rsidP="00F868D4">
      <w:pPr>
        <w:ind w:left="426"/>
        <w:jc w:val="both"/>
        <w:rPr>
          <w:rFonts w:cs="Arial"/>
        </w:rPr>
      </w:pPr>
      <w:r w:rsidRPr="008F0AB0">
        <w:rPr>
          <w:rFonts w:cs="Arial"/>
        </w:rPr>
        <w:t xml:space="preserve">The North East and Yorkshire (NEY) Regional Health Resilience Partnership (RHRP) is responsible for overseeing the health Emergency Preparedness, Resilience and Response (EPRR) arrangements across the NHS England NEY geographical footprint.  </w:t>
      </w:r>
    </w:p>
    <w:p w14:paraId="06192906" w14:textId="77777777" w:rsidR="004F133A" w:rsidRPr="008F0AB0" w:rsidRDefault="004F133A" w:rsidP="00F868D4">
      <w:pPr>
        <w:ind w:left="426"/>
        <w:jc w:val="both"/>
        <w:rPr>
          <w:rFonts w:cs="Arial"/>
        </w:rPr>
      </w:pPr>
      <w:r w:rsidRPr="008F0AB0">
        <w:rPr>
          <w:rFonts w:cs="Arial"/>
        </w:rPr>
        <w:t xml:space="preserve">The RHRP is a strategic forum which bring together the senior decision makers responsible for EPRR within our 4 ICB’s and partner agencies to support the delivery of the NHS wide objectives for EPRR. </w:t>
      </w:r>
    </w:p>
    <w:p w14:paraId="0E478CF8" w14:textId="77777777" w:rsidR="004F133A" w:rsidRPr="008F0AB0" w:rsidRDefault="004F133A" w:rsidP="00F868D4">
      <w:pPr>
        <w:ind w:left="426"/>
        <w:jc w:val="both"/>
        <w:rPr>
          <w:rFonts w:cs="Arial"/>
        </w:rPr>
      </w:pPr>
      <w:r w:rsidRPr="008F0AB0">
        <w:rPr>
          <w:rFonts w:cs="Arial"/>
        </w:rPr>
        <w:t xml:space="preserve">The RHRP serves a planning and preparedness function and does not have responsibility to respond to an emergency or incident. Unlike LRF’s they have no collective role in the delivery of an emergency response. Within the partnership each organisation remains responsible and accountable for its effective response in line with its statutory duties and obligations. </w:t>
      </w:r>
    </w:p>
    <w:p w14:paraId="69F7CC00" w14:textId="77777777" w:rsidR="004F133A" w:rsidRPr="008F0AB0" w:rsidRDefault="004F133A" w:rsidP="004F133A">
      <w:pPr>
        <w:rPr>
          <w:rFonts w:cs="Arial"/>
          <w:sz w:val="8"/>
          <w:szCs w:val="8"/>
        </w:rPr>
      </w:pPr>
    </w:p>
    <w:p w14:paraId="625A07E5" w14:textId="77777777" w:rsidR="004F133A" w:rsidRDefault="004F133A" w:rsidP="004F133A">
      <w:pPr>
        <w:keepNext/>
        <w:keepLines/>
        <w:spacing w:before="40"/>
        <w:ind w:left="426"/>
        <w:outlineLvl w:val="1"/>
        <w:rPr>
          <w:rFonts w:eastAsiaTheme="majorEastAsia" w:cs="Arial"/>
          <w:color w:val="1F497D" w:themeColor="text2"/>
        </w:rPr>
      </w:pPr>
      <w:bookmarkStart w:id="124" w:name="_Toc172302791"/>
      <w:bookmarkStart w:id="125" w:name="_Toc172525651"/>
      <w:r w:rsidRPr="008F0AB0">
        <w:rPr>
          <w:rFonts w:eastAsiaTheme="majorEastAsia" w:cs="Arial"/>
          <w:color w:val="1F497D" w:themeColor="text2"/>
        </w:rPr>
        <w:t>Context</w:t>
      </w:r>
      <w:bookmarkEnd w:id="124"/>
      <w:bookmarkEnd w:id="125"/>
      <w:r w:rsidRPr="008F0AB0">
        <w:rPr>
          <w:rFonts w:eastAsiaTheme="majorEastAsia" w:cs="Arial"/>
          <w:color w:val="1F497D" w:themeColor="text2"/>
        </w:rPr>
        <w:t xml:space="preserve"> </w:t>
      </w:r>
    </w:p>
    <w:p w14:paraId="32EDCB9C" w14:textId="77777777" w:rsidR="004F133A" w:rsidRPr="008F0AB0" w:rsidRDefault="004F133A" w:rsidP="00F868D4">
      <w:pPr>
        <w:ind w:left="426"/>
        <w:jc w:val="both"/>
        <w:rPr>
          <w:rFonts w:cs="Arial"/>
        </w:rPr>
      </w:pPr>
      <w:r w:rsidRPr="008F0AB0">
        <w:rPr>
          <w:rFonts w:cs="Arial"/>
        </w:rPr>
        <w:t xml:space="preserve">The North East &amp; Yorkshire region has 4 separate Integrated Care Boards areas: </w:t>
      </w:r>
    </w:p>
    <w:p w14:paraId="67A8FD55" w14:textId="77777777" w:rsidR="004F133A" w:rsidRPr="008F0AB0" w:rsidRDefault="004F133A" w:rsidP="00F868D4">
      <w:pPr>
        <w:numPr>
          <w:ilvl w:val="1"/>
          <w:numId w:val="12"/>
        </w:numPr>
        <w:spacing w:after="200" w:line="276" w:lineRule="auto"/>
        <w:contextualSpacing/>
        <w:jc w:val="both"/>
        <w:rPr>
          <w:rFonts w:cs="Arial"/>
        </w:rPr>
      </w:pPr>
      <w:r w:rsidRPr="008F0AB0">
        <w:rPr>
          <w:rFonts w:cs="Arial"/>
        </w:rPr>
        <w:t xml:space="preserve">Humber &amp; North Yorkshire </w:t>
      </w:r>
    </w:p>
    <w:p w14:paraId="590B81AA" w14:textId="77777777" w:rsidR="004F133A" w:rsidRPr="008F0AB0" w:rsidRDefault="004F133A" w:rsidP="00F868D4">
      <w:pPr>
        <w:numPr>
          <w:ilvl w:val="1"/>
          <w:numId w:val="12"/>
        </w:numPr>
        <w:spacing w:after="200" w:line="276" w:lineRule="auto"/>
        <w:contextualSpacing/>
        <w:jc w:val="both"/>
        <w:rPr>
          <w:rFonts w:cs="Arial"/>
        </w:rPr>
      </w:pPr>
      <w:r w:rsidRPr="008F0AB0">
        <w:rPr>
          <w:rFonts w:cs="Arial"/>
        </w:rPr>
        <w:t>North Cumbria &amp; North East</w:t>
      </w:r>
    </w:p>
    <w:p w14:paraId="297A4428" w14:textId="77777777" w:rsidR="004F133A" w:rsidRPr="008F0AB0" w:rsidRDefault="004F133A" w:rsidP="00F868D4">
      <w:pPr>
        <w:numPr>
          <w:ilvl w:val="1"/>
          <w:numId w:val="12"/>
        </w:numPr>
        <w:spacing w:after="200" w:line="276" w:lineRule="auto"/>
        <w:contextualSpacing/>
        <w:jc w:val="both"/>
        <w:rPr>
          <w:rFonts w:cs="Arial"/>
        </w:rPr>
      </w:pPr>
      <w:r w:rsidRPr="008F0AB0">
        <w:rPr>
          <w:rFonts w:cs="Arial"/>
        </w:rPr>
        <w:t xml:space="preserve">South Yorkshire and </w:t>
      </w:r>
    </w:p>
    <w:p w14:paraId="52956D80" w14:textId="77777777" w:rsidR="004F133A" w:rsidRDefault="004F133A" w:rsidP="00F868D4">
      <w:pPr>
        <w:numPr>
          <w:ilvl w:val="1"/>
          <w:numId w:val="12"/>
        </w:numPr>
        <w:spacing w:after="200" w:line="276" w:lineRule="auto"/>
        <w:contextualSpacing/>
        <w:jc w:val="both"/>
        <w:rPr>
          <w:rFonts w:cs="Arial"/>
        </w:rPr>
      </w:pPr>
      <w:r w:rsidRPr="008F0AB0">
        <w:rPr>
          <w:rFonts w:cs="Arial"/>
        </w:rPr>
        <w:t xml:space="preserve">West Yorkshire </w:t>
      </w:r>
    </w:p>
    <w:p w14:paraId="49969F77" w14:textId="77777777" w:rsidR="004F133A" w:rsidRPr="008F0AB0" w:rsidRDefault="004F133A" w:rsidP="00F868D4">
      <w:pPr>
        <w:spacing w:after="200" w:line="276" w:lineRule="auto"/>
        <w:ind w:left="1440"/>
        <w:contextualSpacing/>
        <w:jc w:val="both"/>
        <w:rPr>
          <w:rFonts w:cs="Arial"/>
        </w:rPr>
      </w:pPr>
    </w:p>
    <w:p w14:paraId="32707B83" w14:textId="77777777" w:rsidR="004F133A" w:rsidRPr="008F0AB0" w:rsidRDefault="004F133A" w:rsidP="00F868D4">
      <w:pPr>
        <w:ind w:left="426"/>
        <w:jc w:val="both"/>
        <w:rPr>
          <w:rFonts w:cs="Arial"/>
        </w:rPr>
      </w:pPr>
      <w:r w:rsidRPr="008F0AB0">
        <w:rPr>
          <w:rFonts w:cs="Arial"/>
        </w:rPr>
        <w:t>Each ICB is required to have a Local Health Resilience Partnership which feeds up into the Regional Health Resilience Partnership:</w:t>
      </w:r>
    </w:p>
    <w:p w14:paraId="203F1DEB" w14:textId="77777777" w:rsidR="004F133A" w:rsidRPr="008F0AB0" w:rsidRDefault="004F133A" w:rsidP="004F133A">
      <w:pPr>
        <w:jc w:val="center"/>
        <w:rPr>
          <w:noProof/>
        </w:rPr>
      </w:pPr>
      <w:r w:rsidRPr="000953F9">
        <w:rPr>
          <w:noProof/>
        </w:rPr>
        <w:drawing>
          <wp:inline distT="0" distB="0" distL="0" distR="0" wp14:anchorId="33727485" wp14:editId="48ECDC32">
            <wp:extent cx="2776990" cy="3152775"/>
            <wp:effectExtent l="0" t="0" r="4445" b="0"/>
            <wp:docPr id="232335816" name="Picture 1" descr="A diagram of a group of health resil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335816" name="Picture 1" descr="A diagram of a group of health resilience"/>
                    <pic:cNvPicPr/>
                  </pic:nvPicPr>
                  <pic:blipFill>
                    <a:blip r:embed="rId25"/>
                    <a:stretch>
                      <a:fillRect/>
                    </a:stretch>
                  </pic:blipFill>
                  <pic:spPr>
                    <a:xfrm>
                      <a:off x="0" y="0"/>
                      <a:ext cx="2783142" cy="3159760"/>
                    </a:xfrm>
                    <a:prstGeom prst="rect">
                      <a:avLst/>
                    </a:prstGeom>
                  </pic:spPr>
                </pic:pic>
              </a:graphicData>
            </a:graphic>
          </wp:inline>
        </w:drawing>
      </w:r>
    </w:p>
    <w:p w14:paraId="306B853B" w14:textId="77777777" w:rsidR="004F133A" w:rsidRPr="008F0AB0" w:rsidRDefault="004F133A" w:rsidP="004F133A">
      <w:pPr>
        <w:jc w:val="center"/>
        <w:rPr>
          <w:rFonts w:cs="Arial"/>
        </w:rPr>
      </w:pPr>
    </w:p>
    <w:p w14:paraId="27E2FF81" w14:textId="77777777" w:rsidR="004F133A" w:rsidRDefault="004F133A" w:rsidP="00F868D4">
      <w:pPr>
        <w:keepNext/>
        <w:keepLines/>
        <w:spacing w:before="40"/>
        <w:ind w:left="709"/>
        <w:jc w:val="both"/>
        <w:outlineLvl w:val="1"/>
        <w:rPr>
          <w:rFonts w:eastAsiaTheme="majorEastAsia" w:cs="Arial"/>
          <w:color w:val="1F497D" w:themeColor="text2"/>
        </w:rPr>
      </w:pPr>
      <w:bookmarkStart w:id="126" w:name="_Toc172302792"/>
      <w:bookmarkStart w:id="127" w:name="_Toc172525652"/>
      <w:r w:rsidRPr="008F0AB0">
        <w:rPr>
          <w:rFonts w:eastAsiaTheme="majorEastAsia" w:cs="Arial"/>
          <w:color w:val="1F497D" w:themeColor="text2"/>
        </w:rPr>
        <w:t>Strategic Aim</w:t>
      </w:r>
      <w:bookmarkEnd w:id="126"/>
      <w:bookmarkEnd w:id="127"/>
    </w:p>
    <w:p w14:paraId="4A70ADE3" w14:textId="77777777" w:rsidR="004F133A" w:rsidRPr="008F0AB0" w:rsidRDefault="004F133A" w:rsidP="00F868D4">
      <w:pPr>
        <w:ind w:left="709"/>
        <w:jc w:val="both"/>
        <w:rPr>
          <w:rFonts w:cs="Arial"/>
        </w:rPr>
      </w:pPr>
      <w:r w:rsidRPr="008F0AB0">
        <w:rPr>
          <w:rFonts w:cs="Arial"/>
        </w:rPr>
        <w:t>“To ensure that the NHS within the North East &amp; Yorkshire region is capable of responding to significant incidents or emergencies of any scale in a way that delivers optimum care and assistance to th</w:t>
      </w:r>
      <w:r>
        <w:rPr>
          <w:rFonts w:cs="Arial"/>
        </w:rPr>
        <w:t>ose affected</w:t>
      </w:r>
      <w:r w:rsidRPr="008F0AB0">
        <w:rPr>
          <w:rFonts w:cs="Arial"/>
        </w:rPr>
        <w:t xml:space="preserve">, that minimises the consequential disruption to healthcare services and that brings about a speedy return to normal levels of functioning; it will do this by enhancing its capability to work as part of a multi-agency response across organisational boundaries” </w:t>
      </w:r>
    </w:p>
    <w:p w14:paraId="250D5F78" w14:textId="77777777" w:rsidR="004F133A" w:rsidRDefault="004F133A" w:rsidP="00F868D4">
      <w:pPr>
        <w:keepNext/>
        <w:keepLines/>
        <w:spacing w:before="40"/>
        <w:ind w:left="709"/>
        <w:jc w:val="both"/>
        <w:outlineLvl w:val="1"/>
        <w:rPr>
          <w:rFonts w:eastAsiaTheme="majorEastAsia" w:cs="Arial"/>
          <w:color w:val="1F497D" w:themeColor="text2"/>
          <w:sz w:val="26"/>
          <w:szCs w:val="26"/>
        </w:rPr>
      </w:pPr>
      <w:bookmarkStart w:id="128" w:name="_Toc172302793"/>
      <w:bookmarkStart w:id="129" w:name="_Toc172525653"/>
      <w:r w:rsidRPr="008F0AB0">
        <w:rPr>
          <w:rFonts w:eastAsiaTheme="majorEastAsia" w:cs="Arial"/>
          <w:color w:val="1F497D" w:themeColor="text2"/>
          <w:sz w:val="26"/>
          <w:szCs w:val="26"/>
        </w:rPr>
        <w:lastRenderedPageBreak/>
        <w:t>Key objectives</w:t>
      </w:r>
      <w:bookmarkEnd w:id="128"/>
      <w:bookmarkEnd w:id="129"/>
    </w:p>
    <w:p w14:paraId="0D143332" w14:textId="77777777" w:rsidR="004F133A" w:rsidRPr="00906306" w:rsidRDefault="004F133A" w:rsidP="00F868D4">
      <w:pPr>
        <w:ind w:left="709"/>
        <w:jc w:val="both"/>
        <w:rPr>
          <w:rFonts w:cs="Arial"/>
        </w:rPr>
      </w:pPr>
      <w:r w:rsidRPr="00906306">
        <w:rPr>
          <w:rFonts w:cs="Arial"/>
        </w:rPr>
        <w:t xml:space="preserve">The RHRP will provide strategic leadership on EPRR for the health leaders across our Integrated Care Boards and provide guidance on delivering their duties under the Civil Contingencies Act (CCA) 2004, National policy and Regional level guidance. </w:t>
      </w:r>
    </w:p>
    <w:p w14:paraId="5AFCCC45" w14:textId="77777777" w:rsidR="004F133A" w:rsidRPr="008F0AB0" w:rsidRDefault="004F133A" w:rsidP="00F868D4">
      <w:pPr>
        <w:ind w:left="709"/>
        <w:jc w:val="both"/>
        <w:rPr>
          <w:rFonts w:cs="Arial"/>
        </w:rPr>
      </w:pPr>
      <w:r w:rsidRPr="008F0AB0">
        <w:rPr>
          <w:rFonts w:cs="Arial"/>
        </w:rPr>
        <w:t>The RHRP will work with the ICB Strategic Leaders to:</w:t>
      </w:r>
    </w:p>
    <w:p w14:paraId="2F355B5E" w14:textId="77777777" w:rsidR="004F133A" w:rsidRPr="008F0AB0" w:rsidRDefault="004F133A" w:rsidP="00F868D4">
      <w:pPr>
        <w:numPr>
          <w:ilvl w:val="0"/>
          <w:numId w:val="20"/>
        </w:numPr>
        <w:spacing w:after="200" w:line="276" w:lineRule="auto"/>
        <w:ind w:left="1418" w:hanging="425"/>
        <w:contextualSpacing/>
        <w:jc w:val="both"/>
        <w:rPr>
          <w:rFonts w:cs="Arial"/>
        </w:rPr>
      </w:pPr>
      <w:r w:rsidRPr="008F0AB0">
        <w:rPr>
          <w:rFonts w:cs="Arial"/>
        </w:rPr>
        <w:t>Deliver the Strategic aim and objectives as outlined in the NHS England North East &amp; Yorkshire EPRR Policy</w:t>
      </w:r>
    </w:p>
    <w:p w14:paraId="2CFEF8FF" w14:textId="77777777" w:rsidR="004F133A" w:rsidRPr="008F0AB0" w:rsidRDefault="004F133A" w:rsidP="00F868D4">
      <w:pPr>
        <w:numPr>
          <w:ilvl w:val="0"/>
          <w:numId w:val="20"/>
        </w:numPr>
        <w:spacing w:after="200" w:line="276" w:lineRule="auto"/>
        <w:ind w:left="1418" w:hanging="425"/>
        <w:contextualSpacing/>
        <w:jc w:val="both"/>
        <w:rPr>
          <w:rFonts w:cs="Arial"/>
        </w:rPr>
      </w:pPr>
      <w:r w:rsidRPr="008F0AB0">
        <w:rPr>
          <w:rFonts w:cs="Arial"/>
        </w:rPr>
        <w:t>Share situational awareness and a joint understanding of risk in regards to EPRR at National, Regional and Local levels</w:t>
      </w:r>
    </w:p>
    <w:p w14:paraId="4CA30BED" w14:textId="77777777" w:rsidR="004F133A" w:rsidRPr="008F0AB0" w:rsidRDefault="004F133A" w:rsidP="00F868D4">
      <w:pPr>
        <w:numPr>
          <w:ilvl w:val="0"/>
          <w:numId w:val="20"/>
        </w:numPr>
        <w:spacing w:after="200" w:line="276" w:lineRule="auto"/>
        <w:ind w:left="1418" w:hanging="425"/>
        <w:contextualSpacing/>
        <w:jc w:val="both"/>
        <w:rPr>
          <w:rFonts w:cs="Arial"/>
        </w:rPr>
      </w:pPr>
      <w:r w:rsidRPr="008F0AB0">
        <w:rPr>
          <w:rFonts w:cs="Arial"/>
        </w:rPr>
        <w:t xml:space="preserve">Direct the EPRR Portfolio across the region and facilitate the production of sector-wide health plans to respond to emergencies which require regional coordination and to contribute to multi-agency emergency planning </w:t>
      </w:r>
    </w:p>
    <w:p w14:paraId="260D7344" w14:textId="77777777" w:rsidR="004F133A" w:rsidRPr="008F0AB0" w:rsidRDefault="004F133A" w:rsidP="00F868D4">
      <w:pPr>
        <w:numPr>
          <w:ilvl w:val="0"/>
          <w:numId w:val="20"/>
        </w:numPr>
        <w:spacing w:after="200" w:line="276" w:lineRule="auto"/>
        <w:ind w:left="1418" w:hanging="425"/>
        <w:contextualSpacing/>
        <w:jc w:val="both"/>
        <w:rPr>
          <w:rFonts w:cs="Arial"/>
        </w:rPr>
      </w:pPr>
      <w:r w:rsidRPr="008F0AB0">
        <w:rPr>
          <w:rFonts w:cs="Arial"/>
        </w:rPr>
        <w:t xml:space="preserve">Provide a regional forum to assess and assure the ability of the health sector to respond in partnership to emergencies at an LRF level </w:t>
      </w:r>
    </w:p>
    <w:p w14:paraId="6D0BCE51" w14:textId="77777777" w:rsidR="004F133A" w:rsidRPr="008F0AB0" w:rsidRDefault="004F133A" w:rsidP="00F868D4">
      <w:pPr>
        <w:numPr>
          <w:ilvl w:val="0"/>
          <w:numId w:val="20"/>
        </w:numPr>
        <w:spacing w:after="200" w:line="276" w:lineRule="auto"/>
        <w:ind w:left="1418" w:hanging="425"/>
        <w:contextualSpacing/>
        <w:jc w:val="both"/>
        <w:rPr>
          <w:rFonts w:cs="Arial"/>
        </w:rPr>
      </w:pPr>
      <w:r w:rsidRPr="008F0AB0">
        <w:rPr>
          <w:rFonts w:cs="Arial"/>
        </w:rPr>
        <w:t xml:space="preserve">Provide a Strategic forum to raise and address concerns relating to health Emergency Preparedness, Resilience and Response (EPRR) </w:t>
      </w:r>
    </w:p>
    <w:p w14:paraId="78F6F8BA" w14:textId="77777777" w:rsidR="004F133A" w:rsidRPr="008F0AB0" w:rsidRDefault="004F133A" w:rsidP="00F868D4">
      <w:pPr>
        <w:numPr>
          <w:ilvl w:val="0"/>
          <w:numId w:val="20"/>
        </w:numPr>
        <w:spacing w:after="200" w:line="276" w:lineRule="auto"/>
        <w:ind w:left="1418" w:hanging="425"/>
        <w:contextualSpacing/>
        <w:jc w:val="both"/>
        <w:rPr>
          <w:rFonts w:cs="Arial"/>
        </w:rPr>
      </w:pPr>
      <w:r w:rsidRPr="008F0AB0">
        <w:rPr>
          <w:rFonts w:cs="Arial"/>
        </w:rPr>
        <w:t xml:space="preserve">Provide a Strategic forum for shared learning from events, exercises and incidents </w:t>
      </w:r>
    </w:p>
    <w:p w14:paraId="35B0E8CA" w14:textId="77777777" w:rsidR="004F133A" w:rsidRPr="008F0AB0" w:rsidRDefault="004F133A" w:rsidP="00F868D4">
      <w:pPr>
        <w:numPr>
          <w:ilvl w:val="0"/>
          <w:numId w:val="20"/>
        </w:numPr>
        <w:spacing w:after="200" w:line="276" w:lineRule="auto"/>
        <w:ind w:left="1418" w:hanging="425"/>
        <w:contextualSpacing/>
        <w:jc w:val="both"/>
        <w:rPr>
          <w:rFonts w:cs="Arial"/>
        </w:rPr>
      </w:pPr>
      <w:r w:rsidRPr="008F0AB0">
        <w:rPr>
          <w:rFonts w:cs="Arial"/>
        </w:rPr>
        <w:t>Delegate Tactical and Operational tasks to be delivered at an ICB level with nominated representatives from health organisations via the Local Health Resilience Sub-Groups</w:t>
      </w:r>
    </w:p>
    <w:p w14:paraId="5EDF528A" w14:textId="77777777" w:rsidR="004F133A" w:rsidRPr="008F0AB0" w:rsidRDefault="004F133A" w:rsidP="00F868D4">
      <w:pPr>
        <w:numPr>
          <w:ilvl w:val="0"/>
          <w:numId w:val="20"/>
        </w:numPr>
        <w:spacing w:after="200" w:line="276" w:lineRule="auto"/>
        <w:ind w:left="1418" w:hanging="425"/>
        <w:contextualSpacing/>
        <w:jc w:val="both"/>
        <w:rPr>
          <w:rFonts w:cs="Arial"/>
        </w:rPr>
      </w:pPr>
      <w:r w:rsidRPr="008F0AB0">
        <w:rPr>
          <w:rFonts w:cs="Arial"/>
        </w:rPr>
        <w:t>Undertake tasks which will impact across multiple LHRP/ICB footprints to be coordinated and led by the Regional EPRR team, working collaboratively with ICB and provider EPRR leads</w:t>
      </w:r>
    </w:p>
    <w:p w14:paraId="386E6B13" w14:textId="77777777" w:rsidR="004F133A" w:rsidRPr="008F0AB0" w:rsidRDefault="004F133A" w:rsidP="00F868D4">
      <w:pPr>
        <w:jc w:val="both"/>
        <w:rPr>
          <w:sz w:val="8"/>
          <w:szCs w:val="8"/>
        </w:rPr>
      </w:pPr>
    </w:p>
    <w:p w14:paraId="7F0E83CD" w14:textId="77777777" w:rsidR="004F133A" w:rsidRDefault="004F133A" w:rsidP="00F868D4">
      <w:pPr>
        <w:keepNext/>
        <w:keepLines/>
        <w:spacing w:before="40"/>
        <w:ind w:left="709"/>
        <w:jc w:val="both"/>
        <w:outlineLvl w:val="1"/>
        <w:rPr>
          <w:rFonts w:eastAsiaTheme="majorEastAsia" w:cs="Arial"/>
          <w:color w:val="1F497D" w:themeColor="text2"/>
        </w:rPr>
      </w:pPr>
      <w:bookmarkStart w:id="130" w:name="_Toc172302794"/>
      <w:bookmarkStart w:id="131" w:name="_Toc172525654"/>
      <w:r w:rsidRPr="008F0AB0">
        <w:rPr>
          <w:rFonts w:eastAsiaTheme="majorEastAsia" w:cs="Arial"/>
          <w:color w:val="1F497D" w:themeColor="text2"/>
        </w:rPr>
        <w:t>Membership</w:t>
      </w:r>
      <w:bookmarkEnd w:id="130"/>
      <w:bookmarkEnd w:id="131"/>
    </w:p>
    <w:p w14:paraId="6AE34FBF" w14:textId="77777777" w:rsidR="004F133A" w:rsidRPr="008F0AB0" w:rsidRDefault="004F133A" w:rsidP="00F868D4">
      <w:pPr>
        <w:ind w:left="709"/>
        <w:jc w:val="both"/>
        <w:rPr>
          <w:rFonts w:cs="Arial"/>
        </w:rPr>
      </w:pPr>
      <w:r w:rsidRPr="008F0AB0">
        <w:rPr>
          <w:rFonts w:cs="Arial"/>
        </w:rPr>
        <w:t>The North East &amp; Yorkshire Regional Health Resilience Partnership will be chaired by the Regional Head of EPRR has the delegated accountability and authority for delivery of the regional EPRR portfolio on behalf of the NHS England Board.</w:t>
      </w:r>
    </w:p>
    <w:p w14:paraId="2D775164" w14:textId="77777777" w:rsidR="004F133A" w:rsidRDefault="004F133A" w:rsidP="00E9077F">
      <w:pPr>
        <w:ind w:left="709"/>
        <w:jc w:val="both"/>
        <w:rPr>
          <w:rFonts w:cs="Arial"/>
        </w:rPr>
      </w:pPr>
      <w:r w:rsidRPr="008F0AB0">
        <w:rPr>
          <w:rFonts w:cs="Arial"/>
        </w:rPr>
        <w:t xml:space="preserve">The RHRP members will have a core membership, which represents the wider spectrum of NHS health, Public Health &amp; Social Care. </w:t>
      </w:r>
    </w:p>
    <w:p w14:paraId="7751B37C" w14:textId="77777777" w:rsidR="00E9077F" w:rsidRPr="008F0AB0" w:rsidRDefault="00E9077F" w:rsidP="00F868D4">
      <w:pPr>
        <w:ind w:left="709"/>
        <w:jc w:val="both"/>
        <w:rPr>
          <w:rFonts w:cs="Arial"/>
        </w:rPr>
      </w:pPr>
    </w:p>
    <w:p w14:paraId="557A3EAC" w14:textId="77777777" w:rsidR="004F133A" w:rsidRPr="008F0AB0" w:rsidRDefault="004F133A" w:rsidP="00F868D4">
      <w:pPr>
        <w:ind w:left="426"/>
        <w:jc w:val="both"/>
        <w:rPr>
          <w:rFonts w:cs="Arial"/>
        </w:rPr>
      </w:pPr>
      <w:r w:rsidRPr="008F0AB0">
        <w:rPr>
          <w:rFonts w:cs="Arial"/>
        </w:rPr>
        <w:t xml:space="preserve">Additionally the RHRP may decide to invite Subject Matter Experts (SME’s) from within health, and from our multi-agency partners where they have a special interest in the agenda, have been invited to present to the group or are felt to be a partner who should be directly engaged in health resilience planning. </w:t>
      </w:r>
    </w:p>
    <w:p w14:paraId="4DC3220D" w14:textId="77777777" w:rsidR="004F133A" w:rsidRPr="008F0AB0" w:rsidRDefault="004F133A" w:rsidP="00F868D4">
      <w:pPr>
        <w:ind w:left="426"/>
        <w:jc w:val="both"/>
        <w:rPr>
          <w:rFonts w:cs="Arial"/>
        </w:rPr>
      </w:pPr>
      <w:r w:rsidRPr="008F0AB0">
        <w:rPr>
          <w:rFonts w:cs="Arial"/>
        </w:rPr>
        <w:t>Members of the RHRP will comprise of Strategic Health Leaders from across the region, in the event that the designated representative is unable to attend the meeting the expectation is that any deputy must have:</w:t>
      </w:r>
    </w:p>
    <w:p w14:paraId="51FE3732" w14:textId="77777777" w:rsidR="004F133A" w:rsidRPr="008F0AB0" w:rsidRDefault="004F133A" w:rsidP="00F868D4">
      <w:pPr>
        <w:numPr>
          <w:ilvl w:val="0"/>
          <w:numId w:val="22"/>
        </w:numPr>
        <w:spacing w:after="200" w:line="276" w:lineRule="auto"/>
        <w:ind w:left="993" w:firstLine="141"/>
        <w:contextualSpacing/>
        <w:jc w:val="both"/>
        <w:rPr>
          <w:rFonts w:cs="Arial"/>
        </w:rPr>
      </w:pPr>
      <w:r w:rsidRPr="008F0AB0">
        <w:rPr>
          <w:rFonts w:cs="Arial"/>
        </w:rPr>
        <w:t>the authority to take decisions on behalf of their organisation</w:t>
      </w:r>
    </w:p>
    <w:p w14:paraId="20985747" w14:textId="77777777" w:rsidR="004F133A" w:rsidRPr="008F0AB0" w:rsidRDefault="004F133A" w:rsidP="00F868D4">
      <w:pPr>
        <w:numPr>
          <w:ilvl w:val="0"/>
          <w:numId w:val="22"/>
        </w:numPr>
        <w:spacing w:after="200" w:line="276" w:lineRule="auto"/>
        <w:ind w:left="993" w:firstLine="141"/>
        <w:contextualSpacing/>
        <w:jc w:val="both"/>
        <w:rPr>
          <w:rFonts w:cs="Arial"/>
        </w:rPr>
      </w:pPr>
      <w:r w:rsidRPr="008F0AB0">
        <w:rPr>
          <w:rFonts w:cs="Arial"/>
        </w:rPr>
        <w:t xml:space="preserve">the authority to approve plans and policies and </w:t>
      </w:r>
    </w:p>
    <w:p w14:paraId="0F58F7AB" w14:textId="77777777" w:rsidR="004F133A" w:rsidRPr="008F0AB0" w:rsidRDefault="004F133A" w:rsidP="00F868D4">
      <w:pPr>
        <w:numPr>
          <w:ilvl w:val="0"/>
          <w:numId w:val="22"/>
        </w:numPr>
        <w:spacing w:after="200" w:line="276" w:lineRule="auto"/>
        <w:ind w:left="993" w:firstLine="141"/>
        <w:contextualSpacing/>
        <w:jc w:val="both"/>
        <w:rPr>
          <w:rFonts w:cs="Arial"/>
        </w:rPr>
      </w:pPr>
      <w:r w:rsidRPr="008F0AB0">
        <w:rPr>
          <w:rFonts w:cs="Arial"/>
        </w:rPr>
        <w:t>the authority to commit resources on behalf of their organisations/systems</w:t>
      </w:r>
    </w:p>
    <w:p w14:paraId="6322096D" w14:textId="77777777" w:rsidR="004F133A" w:rsidRPr="008F0AB0" w:rsidRDefault="004F133A" w:rsidP="00F868D4">
      <w:pPr>
        <w:jc w:val="both"/>
        <w:rPr>
          <w:rFonts w:cs="Arial"/>
          <w:sz w:val="8"/>
          <w:szCs w:val="8"/>
        </w:rPr>
      </w:pPr>
    </w:p>
    <w:p w14:paraId="2BD07E2E" w14:textId="77777777" w:rsidR="004F133A" w:rsidRPr="008F0AB0" w:rsidRDefault="004F133A" w:rsidP="00F868D4">
      <w:pPr>
        <w:ind w:left="426"/>
        <w:jc w:val="both"/>
        <w:rPr>
          <w:rFonts w:cs="Arial"/>
        </w:rPr>
      </w:pPr>
      <w:r w:rsidRPr="008F0AB0">
        <w:rPr>
          <w:rFonts w:cs="Arial"/>
        </w:rPr>
        <w:t xml:space="preserve">The RHRP membership will be as follows: </w:t>
      </w:r>
    </w:p>
    <w:p w14:paraId="78856D8B" w14:textId="77777777" w:rsidR="004F133A" w:rsidRPr="008F0AB0" w:rsidRDefault="004F133A" w:rsidP="00F868D4">
      <w:pPr>
        <w:numPr>
          <w:ilvl w:val="0"/>
          <w:numId w:val="21"/>
        </w:numPr>
        <w:spacing w:after="200" w:line="276" w:lineRule="auto"/>
        <w:ind w:left="426" w:firstLine="708"/>
        <w:contextualSpacing/>
        <w:jc w:val="both"/>
        <w:rPr>
          <w:rFonts w:cs="Arial"/>
        </w:rPr>
      </w:pPr>
      <w:r w:rsidRPr="008F0AB0">
        <w:rPr>
          <w:rFonts w:cs="Arial"/>
        </w:rPr>
        <w:t>NHS England:</w:t>
      </w:r>
    </w:p>
    <w:p w14:paraId="31C86E99" w14:textId="77777777" w:rsidR="004F133A" w:rsidRPr="008F0AB0" w:rsidRDefault="004F133A" w:rsidP="00F868D4">
      <w:pPr>
        <w:numPr>
          <w:ilvl w:val="2"/>
          <w:numId w:val="21"/>
        </w:numPr>
        <w:spacing w:after="200" w:line="276" w:lineRule="auto"/>
        <w:ind w:left="2520"/>
        <w:contextualSpacing/>
        <w:jc w:val="both"/>
        <w:rPr>
          <w:rFonts w:cs="Arial"/>
        </w:rPr>
      </w:pPr>
      <w:r>
        <w:rPr>
          <w:rFonts w:cs="Arial"/>
        </w:rPr>
        <w:t>Regional Deputy Director of EPRR &amp; System Resilience (chair)</w:t>
      </w:r>
    </w:p>
    <w:p w14:paraId="7147BC38" w14:textId="77777777" w:rsidR="004F133A" w:rsidRPr="008F0AB0" w:rsidRDefault="004F133A" w:rsidP="00F868D4">
      <w:pPr>
        <w:numPr>
          <w:ilvl w:val="2"/>
          <w:numId w:val="21"/>
        </w:numPr>
        <w:spacing w:after="200" w:line="276" w:lineRule="auto"/>
        <w:ind w:left="2520"/>
        <w:contextualSpacing/>
        <w:jc w:val="both"/>
        <w:rPr>
          <w:rFonts w:cs="Arial"/>
        </w:rPr>
      </w:pPr>
      <w:r>
        <w:rPr>
          <w:rFonts w:cs="Arial"/>
        </w:rPr>
        <w:t xml:space="preserve">Regional </w:t>
      </w:r>
      <w:r w:rsidRPr="008F0AB0">
        <w:rPr>
          <w:rFonts w:cs="Arial"/>
        </w:rPr>
        <w:t>Heads of EPRR</w:t>
      </w:r>
      <w:r>
        <w:rPr>
          <w:rFonts w:cs="Arial"/>
        </w:rPr>
        <w:t xml:space="preserve"> </w:t>
      </w:r>
    </w:p>
    <w:p w14:paraId="680CABF9" w14:textId="77777777" w:rsidR="004F133A" w:rsidRPr="008F0AB0" w:rsidRDefault="004F133A" w:rsidP="00F868D4">
      <w:pPr>
        <w:numPr>
          <w:ilvl w:val="0"/>
          <w:numId w:val="21"/>
        </w:numPr>
        <w:spacing w:after="200" w:line="276" w:lineRule="auto"/>
        <w:ind w:left="426" w:firstLine="708"/>
        <w:contextualSpacing/>
        <w:jc w:val="both"/>
        <w:rPr>
          <w:rFonts w:cs="Arial"/>
        </w:rPr>
      </w:pPr>
      <w:r w:rsidRPr="008F0AB0">
        <w:rPr>
          <w:rFonts w:cs="Arial"/>
        </w:rPr>
        <w:t>Partner organisations:</w:t>
      </w:r>
    </w:p>
    <w:p w14:paraId="492E6492" w14:textId="77777777" w:rsidR="004F133A" w:rsidRPr="008F0AB0" w:rsidRDefault="004F133A" w:rsidP="00F868D4">
      <w:pPr>
        <w:numPr>
          <w:ilvl w:val="2"/>
          <w:numId w:val="21"/>
        </w:numPr>
        <w:spacing w:after="200" w:line="276" w:lineRule="auto"/>
        <w:ind w:left="2520"/>
        <w:contextualSpacing/>
        <w:jc w:val="both"/>
        <w:rPr>
          <w:rFonts w:cs="Arial"/>
        </w:rPr>
      </w:pPr>
      <w:r w:rsidRPr="008F0AB0">
        <w:rPr>
          <w:rFonts w:cs="Arial"/>
        </w:rPr>
        <w:t xml:space="preserve">OHID Regional Director </w:t>
      </w:r>
    </w:p>
    <w:p w14:paraId="13D50B36" w14:textId="77777777" w:rsidR="004F133A" w:rsidRPr="008F0AB0" w:rsidRDefault="004F133A" w:rsidP="00F868D4">
      <w:pPr>
        <w:numPr>
          <w:ilvl w:val="2"/>
          <w:numId w:val="21"/>
        </w:numPr>
        <w:spacing w:after="200" w:line="276" w:lineRule="auto"/>
        <w:ind w:left="2520"/>
        <w:contextualSpacing/>
        <w:jc w:val="both"/>
        <w:rPr>
          <w:rFonts w:cs="Arial"/>
        </w:rPr>
      </w:pPr>
      <w:r w:rsidRPr="008F0AB0">
        <w:rPr>
          <w:rFonts w:cs="Arial"/>
        </w:rPr>
        <w:t>UKHSA Regional Director(s)</w:t>
      </w:r>
    </w:p>
    <w:p w14:paraId="6F1BC5BF" w14:textId="77777777" w:rsidR="004F133A" w:rsidRPr="008F0AB0" w:rsidRDefault="004F133A" w:rsidP="004F133A">
      <w:pPr>
        <w:numPr>
          <w:ilvl w:val="0"/>
          <w:numId w:val="21"/>
        </w:numPr>
        <w:spacing w:after="200" w:line="276" w:lineRule="auto"/>
        <w:ind w:left="426" w:firstLine="708"/>
        <w:contextualSpacing/>
        <w:rPr>
          <w:rFonts w:cs="Arial"/>
        </w:rPr>
      </w:pPr>
      <w:r w:rsidRPr="008F0AB0">
        <w:rPr>
          <w:rFonts w:cs="Arial"/>
        </w:rPr>
        <w:t>ICB Accountable Emergency Officers (AEO)</w:t>
      </w:r>
    </w:p>
    <w:p w14:paraId="177E13E5" w14:textId="77777777" w:rsidR="004F133A" w:rsidRPr="008F0AB0" w:rsidRDefault="004F133A" w:rsidP="004F133A">
      <w:pPr>
        <w:numPr>
          <w:ilvl w:val="2"/>
          <w:numId w:val="21"/>
        </w:numPr>
        <w:spacing w:after="200" w:line="276" w:lineRule="auto"/>
        <w:ind w:left="2520"/>
        <w:contextualSpacing/>
        <w:rPr>
          <w:rFonts w:cs="Arial"/>
        </w:rPr>
      </w:pPr>
      <w:r w:rsidRPr="008F0AB0">
        <w:rPr>
          <w:rFonts w:cs="Arial"/>
        </w:rPr>
        <w:lastRenderedPageBreak/>
        <w:t>Humber &amp; North Yorkshire</w:t>
      </w:r>
    </w:p>
    <w:p w14:paraId="5ACDF40F" w14:textId="77777777" w:rsidR="004F133A" w:rsidRPr="008F0AB0" w:rsidRDefault="004F133A" w:rsidP="004F133A">
      <w:pPr>
        <w:numPr>
          <w:ilvl w:val="2"/>
          <w:numId w:val="21"/>
        </w:numPr>
        <w:spacing w:after="200" w:line="276" w:lineRule="auto"/>
        <w:ind w:left="2520"/>
        <w:contextualSpacing/>
        <w:rPr>
          <w:rFonts w:cs="Arial"/>
        </w:rPr>
      </w:pPr>
      <w:r w:rsidRPr="008F0AB0">
        <w:rPr>
          <w:rFonts w:cs="Arial"/>
        </w:rPr>
        <w:t>North Cumbria &amp; North East</w:t>
      </w:r>
    </w:p>
    <w:p w14:paraId="2A18C24F" w14:textId="77777777" w:rsidR="004F133A" w:rsidRPr="008F0AB0" w:rsidRDefault="004F133A" w:rsidP="004F133A">
      <w:pPr>
        <w:numPr>
          <w:ilvl w:val="2"/>
          <w:numId w:val="21"/>
        </w:numPr>
        <w:spacing w:after="200" w:line="276" w:lineRule="auto"/>
        <w:ind w:left="2520"/>
        <w:contextualSpacing/>
        <w:rPr>
          <w:rFonts w:cs="Arial"/>
        </w:rPr>
      </w:pPr>
      <w:r w:rsidRPr="008F0AB0">
        <w:rPr>
          <w:rFonts w:cs="Arial"/>
        </w:rPr>
        <w:t>South Yorkshire</w:t>
      </w:r>
    </w:p>
    <w:p w14:paraId="12E328E5" w14:textId="77777777" w:rsidR="004F133A" w:rsidRPr="008F0AB0" w:rsidRDefault="004F133A" w:rsidP="004F133A">
      <w:pPr>
        <w:numPr>
          <w:ilvl w:val="2"/>
          <w:numId w:val="21"/>
        </w:numPr>
        <w:spacing w:after="200" w:line="276" w:lineRule="auto"/>
        <w:ind w:left="2520"/>
        <w:contextualSpacing/>
        <w:rPr>
          <w:rFonts w:cs="Arial"/>
        </w:rPr>
      </w:pPr>
      <w:r w:rsidRPr="008F0AB0">
        <w:rPr>
          <w:rFonts w:cs="Arial"/>
        </w:rPr>
        <w:t>West Yorkshire</w:t>
      </w:r>
    </w:p>
    <w:p w14:paraId="2FA484A7" w14:textId="77777777" w:rsidR="004F133A" w:rsidRPr="008F0AB0" w:rsidRDefault="004F133A" w:rsidP="004F133A">
      <w:pPr>
        <w:numPr>
          <w:ilvl w:val="0"/>
          <w:numId w:val="21"/>
        </w:numPr>
        <w:spacing w:after="200" w:line="276" w:lineRule="auto"/>
        <w:ind w:left="426" w:firstLine="708"/>
        <w:contextualSpacing/>
        <w:rPr>
          <w:rFonts w:cs="Arial"/>
        </w:rPr>
      </w:pPr>
      <w:r w:rsidRPr="008F0AB0">
        <w:rPr>
          <w:rFonts w:cs="Arial"/>
        </w:rPr>
        <w:t>Ambulance Services Accountable Emergency Officer:</w:t>
      </w:r>
    </w:p>
    <w:p w14:paraId="5581BBA1" w14:textId="77777777" w:rsidR="004F133A" w:rsidRPr="008F0AB0" w:rsidRDefault="004F133A" w:rsidP="004F133A">
      <w:pPr>
        <w:numPr>
          <w:ilvl w:val="2"/>
          <w:numId w:val="21"/>
        </w:numPr>
        <w:spacing w:after="200" w:line="276" w:lineRule="auto"/>
        <w:ind w:left="2520"/>
        <w:contextualSpacing/>
        <w:rPr>
          <w:rFonts w:cs="Arial"/>
        </w:rPr>
      </w:pPr>
      <w:r w:rsidRPr="008F0AB0">
        <w:rPr>
          <w:rFonts w:cs="Arial"/>
        </w:rPr>
        <w:t>North East Ambulance Service</w:t>
      </w:r>
    </w:p>
    <w:p w14:paraId="6D07FBD5" w14:textId="77777777" w:rsidR="004F133A" w:rsidRPr="008F0AB0" w:rsidRDefault="004F133A" w:rsidP="004F133A">
      <w:pPr>
        <w:numPr>
          <w:ilvl w:val="2"/>
          <w:numId w:val="21"/>
        </w:numPr>
        <w:spacing w:after="200" w:line="276" w:lineRule="auto"/>
        <w:ind w:left="2520"/>
        <w:contextualSpacing/>
        <w:rPr>
          <w:rFonts w:cs="Arial"/>
        </w:rPr>
      </w:pPr>
      <w:r w:rsidRPr="008F0AB0">
        <w:rPr>
          <w:rFonts w:cs="Arial"/>
        </w:rPr>
        <w:t>Yorkshire Ambulance Service</w:t>
      </w:r>
    </w:p>
    <w:p w14:paraId="66550D3E" w14:textId="77777777" w:rsidR="004F133A" w:rsidRPr="008F0AB0" w:rsidRDefault="004F133A" w:rsidP="004F133A">
      <w:pPr>
        <w:numPr>
          <w:ilvl w:val="1"/>
          <w:numId w:val="21"/>
        </w:numPr>
        <w:spacing w:after="200" w:line="276" w:lineRule="auto"/>
        <w:ind w:left="426" w:firstLine="708"/>
        <w:contextualSpacing/>
        <w:rPr>
          <w:rFonts w:cs="Arial"/>
          <w:b/>
          <w:bCs/>
          <w:sz w:val="8"/>
          <w:szCs w:val="8"/>
        </w:rPr>
      </w:pPr>
      <w:r w:rsidRPr="008F0AB0">
        <w:rPr>
          <w:rFonts w:cs="Arial"/>
        </w:rPr>
        <w:t>East Midlands Ambulance Service – Primarily represented in Midlands</w:t>
      </w:r>
    </w:p>
    <w:p w14:paraId="67E9EEE5" w14:textId="77777777" w:rsidR="004F133A" w:rsidRPr="007C2CAD" w:rsidRDefault="004F133A" w:rsidP="004F133A">
      <w:pPr>
        <w:numPr>
          <w:ilvl w:val="1"/>
          <w:numId w:val="21"/>
        </w:numPr>
        <w:spacing w:after="200" w:line="276" w:lineRule="auto"/>
        <w:ind w:left="1800"/>
        <w:contextualSpacing/>
        <w:rPr>
          <w:rFonts w:cs="Arial"/>
          <w:b/>
          <w:bCs/>
          <w:sz w:val="8"/>
          <w:szCs w:val="8"/>
        </w:rPr>
      </w:pPr>
      <w:r w:rsidRPr="008F0AB0">
        <w:rPr>
          <w:rFonts w:cs="Arial"/>
        </w:rPr>
        <w:t xml:space="preserve">Association of Directors of Adult Social Services </w:t>
      </w:r>
    </w:p>
    <w:p w14:paraId="147EAC33" w14:textId="77777777" w:rsidR="004F133A" w:rsidRDefault="004F133A" w:rsidP="004F133A">
      <w:pPr>
        <w:ind w:left="720"/>
        <w:contextualSpacing/>
        <w:rPr>
          <w:rFonts w:cs="Arial"/>
        </w:rPr>
      </w:pPr>
    </w:p>
    <w:p w14:paraId="5AA0CE4F" w14:textId="77777777" w:rsidR="004F133A" w:rsidRPr="008F0AB0" w:rsidRDefault="004F133A" w:rsidP="004F133A">
      <w:pPr>
        <w:ind w:left="720"/>
        <w:contextualSpacing/>
        <w:rPr>
          <w:rFonts w:cs="Arial"/>
          <w:b/>
          <w:bCs/>
          <w:sz w:val="8"/>
          <w:szCs w:val="8"/>
        </w:rPr>
      </w:pPr>
    </w:p>
    <w:p w14:paraId="661785DD" w14:textId="77777777" w:rsidR="004F133A" w:rsidRDefault="004F133A" w:rsidP="004F133A">
      <w:pPr>
        <w:keepNext/>
        <w:keepLines/>
        <w:spacing w:before="40"/>
        <w:ind w:left="426"/>
        <w:outlineLvl w:val="1"/>
        <w:rPr>
          <w:rFonts w:eastAsiaTheme="majorEastAsia" w:cs="Arial"/>
          <w:color w:val="1F497D" w:themeColor="text2"/>
          <w:sz w:val="26"/>
          <w:szCs w:val="26"/>
        </w:rPr>
      </w:pPr>
      <w:bookmarkStart w:id="132" w:name="_Toc172302795"/>
      <w:bookmarkStart w:id="133" w:name="_Toc172525655"/>
      <w:r w:rsidRPr="008F0AB0">
        <w:rPr>
          <w:rFonts w:eastAsiaTheme="majorEastAsia" w:cs="Arial"/>
          <w:color w:val="1F497D" w:themeColor="text2"/>
          <w:sz w:val="26"/>
          <w:szCs w:val="26"/>
        </w:rPr>
        <w:t>Format &amp; Frequency of meetings</w:t>
      </w:r>
      <w:bookmarkEnd w:id="132"/>
      <w:bookmarkEnd w:id="133"/>
      <w:r w:rsidRPr="008F0AB0">
        <w:rPr>
          <w:rFonts w:eastAsiaTheme="majorEastAsia" w:cs="Arial"/>
          <w:color w:val="1F497D" w:themeColor="text2"/>
          <w:sz w:val="26"/>
          <w:szCs w:val="26"/>
        </w:rPr>
        <w:t xml:space="preserve"> </w:t>
      </w:r>
    </w:p>
    <w:p w14:paraId="2F774EF8" w14:textId="77777777" w:rsidR="004F133A" w:rsidRPr="008F0AB0" w:rsidRDefault="004F133A" w:rsidP="004F133A">
      <w:pPr>
        <w:ind w:left="426"/>
        <w:rPr>
          <w:rFonts w:cs="Arial"/>
        </w:rPr>
      </w:pPr>
      <w:r w:rsidRPr="008F0AB0">
        <w:rPr>
          <w:rFonts w:cs="Arial"/>
        </w:rPr>
        <w:t>The North East &amp; Yorkshire RHRP will meet as a minimum, quarterly. These meetings will take place virtually via Teams, with an annual face to face session once per year to undertake a formal governance review and complete the EPRR Annual Assurance Process.</w:t>
      </w:r>
    </w:p>
    <w:p w14:paraId="0F1D5836" w14:textId="77777777" w:rsidR="004F133A" w:rsidRPr="008F0AB0" w:rsidRDefault="004F133A" w:rsidP="004F133A">
      <w:pPr>
        <w:ind w:left="426"/>
        <w:rPr>
          <w:rFonts w:cs="Arial"/>
        </w:rPr>
      </w:pPr>
      <w:r w:rsidRPr="008F0AB0">
        <w:rPr>
          <w:rFonts w:cs="Arial"/>
        </w:rPr>
        <w:t xml:space="preserve">All meetings will be formally documented, and minutes shared with members and appear as an agenda item on each of the four Local Health Resilience Partnerships. These minutes will be publicly available on request, subject to appropriate consideration of any restricted/sensitive items. </w:t>
      </w:r>
    </w:p>
    <w:p w14:paraId="73CDDA78" w14:textId="77777777" w:rsidR="004F133A" w:rsidRPr="008F0AB0" w:rsidRDefault="004F133A" w:rsidP="004F133A">
      <w:pPr>
        <w:ind w:left="426"/>
        <w:rPr>
          <w:rFonts w:cs="Arial"/>
        </w:rPr>
      </w:pPr>
      <w:r w:rsidRPr="008F0AB0">
        <w:rPr>
          <w:rFonts w:cs="Arial"/>
        </w:rPr>
        <w:t xml:space="preserve">Any reports or items to be tabled must be submitted a minimum of ten working days prior to the next RHRP meeting and subsequent papers and minutes will be circulated to RHRP members a minimum of seven working days before the next meeting. </w:t>
      </w:r>
    </w:p>
    <w:p w14:paraId="182480C2" w14:textId="77777777" w:rsidR="004F133A" w:rsidRDefault="004F133A" w:rsidP="004F133A">
      <w:pPr>
        <w:keepNext/>
        <w:keepLines/>
        <w:spacing w:before="40"/>
        <w:ind w:left="426"/>
        <w:outlineLvl w:val="1"/>
        <w:rPr>
          <w:rFonts w:eastAsiaTheme="majorEastAsia" w:cs="Arial"/>
          <w:color w:val="1F497D" w:themeColor="text2"/>
          <w:sz w:val="26"/>
          <w:szCs w:val="26"/>
        </w:rPr>
      </w:pPr>
      <w:bookmarkStart w:id="134" w:name="_Toc172302796"/>
      <w:bookmarkStart w:id="135" w:name="_Toc172525656"/>
      <w:r w:rsidRPr="008F0AB0">
        <w:rPr>
          <w:rFonts w:eastAsiaTheme="majorEastAsia" w:cs="Arial"/>
          <w:color w:val="1F497D" w:themeColor="text2"/>
          <w:sz w:val="26"/>
          <w:szCs w:val="26"/>
        </w:rPr>
        <w:t>Regional Health Resilience Partnership Finance</w:t>
      </w:r>
      <w:bookmarkEnd w:id="134"/>
      <w:bookmarkEnd w:id="135"/>
      <w:r w:rsidRPr="008F0AB0">
        <w:rPr>
          <w:rFonts w:eastAsiaTheme="majorEastAsia" w:cs="Arial"/>
          <w:color w:val="1F497D" w:themeColor="text2"/>
          <w:sz w:val="26"/>
          <w:szCs w:val="26"/>
        </w:rPr>
        <w:t xml:space="preserve"> </w:t>
      </w:r>
    </w:p>
    <w:p w14:paraId="4B6C4A13" w14:textId="77777777" w:rsidR="004F133A" w:rsidRPr="008F0AB0" w:rsidRDefault="004F133A" w:rsidP="004F133A">
      <w:pPr>
        <w:ind w:left="426"/>
        <w:rPr>
          <w:rFonts w:cs="Arial"/>
        </w:rPr>
      </w:pPr>
      <w:r w:rsidRPr="008F0AB0">
        <w:rPr>
          <w:rFonts w:cs="Arial"/>
        </w:rPr>
        <w:t xml:space="preserve">RHRP meetings will be held virtually or within NHS or partner facilities, with any costs associated with the meetings met by the hosting organisation. </w:t>
      </w:r>
    </w:p>
    <w:p w14:paraId="14628C34" w14:textId="77777777" w:rsidR="004F133A" w:rsidRPr="008F0AB0" w:rsidRDefault="004F133A" w:rsidP="004F133A">
      <w:pPr>
        <w:ind w:left="426"/>
        <w:rPr>
          <w:rFonts w:cs="Arial"/>
        </w:rPr>
      </w:pPr>
      <w:r w:rsidRPr="008F0AB0">
        <w:rPr>
          <w:rFonts w:cs="Arial"/>
        </w:rPr>
        <w:t xml:space="preserve">Additional costs work allocated to Local Health Resilience Partnerships and/or Local Health Resilience Sub Groups will be borne by the member organisations “where they fall” (i.e. there is no expectation for cross charging of organisations for time spent attending meetings, travel expenses or hosting meetings). </w:t>
      </w:r>
    </w:p>
    <w:p w14:paraId="23A95D71" w14:textId="77777777" w:rsidR="004F133A" w:rsidRPr="008F0AB0" w:rsidRDefault="004F133A" w:rsidP="004F133A">
      <w:pPr>
        <w:ind w:left="426"/>
        <w:rPr>
          <w:rFonts w:cs="Arial"/>
        </w:rPr>
      </w:pPr>
      <w:r w:rsidRPr="008F0AB0">
        <w:rPr>
          <w:rFonts w:cs="Arial"/>
        </w:rPr>
        <w:t>In the event a planned activity indicates a specific spending need, members will discuss and agree any expected costs and avenues of funding during the planning phase, and prior, to establishing a formal working group.</w:t>
      </w:r>
    </w:p>
    <w:p w14:paraId="5B9773D2" w14:textId="77777777" w:rsidR="004F133A" w:rsidRPr="00076846" w:rsidRDefault="004F133A" w:rsidP="00254132">
      <w:pPr>
        <w:pStyle w:val="ListParagraph"/>
        <w:rPr>
          <w:rFonts w:cs="Arial"/>
          <w:sz w:val="23"/>
          <w:szCs w:val="23"/>
        </w:rPr>
      </w:pPr>
    </w:p>
    <w:p w14:paraId="563A8B4E" w14:textId="77777777" w:rsidR="00786CF0" w:rsidRPr="00076846" w:rsidRDefault="00786CF0" w:rsidP="00254132">
      <w:pPr>
        <w:pStyle w:val="ListParagraph"/>
        <w:rPr>
          <w:rFonts w:cs="Arial"/>
          <w:sz w:val="23"/>
          <w:szCs w:val="23"/>
        </w:rPr>
      </w:pPr>
    </w:p>
    <w:p w14:paraId="12499658" w14:textId="59472ED4" w:rsidR="00254132" w:rsidRPr="00076846" w:rsidRDefault="00254132" w:rsidP="00254132">
      <w:pPr>
        <w:rPr>
          <w:rFonts w:cs="Arial"/>
          <w:sz w:val="23"/>
          <w:szCs w:val="23"/>
        </w:rPr>
      </w:pPr>
    </w:p>
    <w:p w14:paraId="3634F545" w14:textId="2EBCF2AE" w:rsidR="00254132" w:rsidRPr="00076846" w:rsidRDefault="00254132" w:rsidP="00254132">
      <w:pPr>
        <w:rPr>
          <w:rFonts w:cs="Arial"/>
          <w:sz w:val="23"/>
          <w:szCs w:val="23"/>
        </w:rPr>
      </w:pPr>
    </w:p>
    <w:p w14:paraId="21B6D687" w14:textId="7E50C04C" w:rsidR="00254132" w:rsidRPr="00076846" w:rsidRDefault="00254132" w:rsidP="00254132">
      <w:pPr>
        <w:rPr>
          <w:rFonts w:cs="Arial"/>
          <w:sz w:val="23"/>
          <w:szCs w:val="23"/>
        </w:rPr>
      </w:pPr>
    </w:p>
    <w:p w14:paraId="611C40DF" w14:textId="77777777" w:rsidR="00E57277" w:rsidRPr="00076846" w:rsidRDefault="00E57277" w:rsidP="00E57277">
      <w:pPr>
        <w:pStyle w:val="Title"/>
        <w:rPr>
          <w:rFonts w:cs="Arial"/>
          <w:sz w:val="23"/>
          <w:szCs w:val="23"/>
        </w:rPr>
      </w:pPr>
    </w:p>
    <w:p w14:paraId="76835DA8" w14:textId="77777777" w:rsidR="00C83E65" w:rsidRDefault="00C83E65" w:rsidP="00C95C87">
      <w:pPr>
        <w:pStyle w:val="Heading1"/>
        <w:numPr>
          <w:ilvl w:val="0"/>
          <w:numId w:val="0"/>
        </w:numPr>
        <w:ind w:left="852" w:hanging="852"/>
        <w:sectPr w:rsidR="00C83E65" w:rsidSect="00D7082D">
          <w:pgSz w:w="11906" w:h="16838"/>
          <w:pgMar w:top="425" w:right="1134" w:bottom="567" w:left="1134" w:header="284" w:footer="266" w:gutter="0"/>
          <w:cols w:space="708"/>
          <w:docGrid w:linePitch="360"/>
        </w:sectPr>
      </w:pPr>
      <w:bookmarkStart w:id="136" w:name="_Toc104100067"/>
    </w:p>
    <w:p w14:paraId="43C7FDC6" w14:textId="6771096C" w:rsidR="00C95C87" w:rsidRPr="009B57A9" w:rsidRDefault="00C95C87" w:rsidP="009B57A9">
      <w:pPr>
        <w:pStyle w:val="Heading2"/>
        <w:numPr>
          <w:ilvl w:val="0"/>
          <w:numId w:val="0"/>
        </w:numPr>
        <w:ind w:left="851" w:hanging="851"/>
        <w:jc w:val="right"/>
        <w:rPr>
          <w:sz w:val="28"/>
          <w:szCs w:val="28"/>
        </w:rPr>
      </w:pPr>
      <w:r w:rsidRPr="009B57A9">
        <w:rPr>
          <w:sz w:val="28"/>
          <w:szCs w:val="28"/>
        </w:rPr>
        <w:lastRenderedPageBreak/>
        <w:t xml:space="preserve">Appendix </w:t>
      </w:r>
      <w:r w:rsidR="00C83E65" w:rsidRPr="009B57A9">
        <w:rPr>
          <w:sz w:val="28"/>
          <w:szCs w:val="28"/>
        </w:rPr>
        <w:t>4</w:t>
      </w:r>
      <w:r w:rsidRPr="009B57A9">
        <w:rPr>
          <w:sz w:val="28"/>
          <w:szCs w:val="28"/>
        </w:rPr>
        <w:t xml:space="preserve"> – </w:t>
      </w:r>
      <w:bookmarkEnd w:id="136"/>
      <w:r w:rsidR="00C83E65" w:rsidRPr="009B57A9">
        <w:rPr>
          <w:sz w:val="28"/>
          <w:szCs w:val="28"/>
        </w:rPr>
        <w:t>Local Resilience Forum &amp; Health Resilience Partnership Engagement</w:t>
      </w:r>
    </w:p>
    <w:p w14:paraId="25DA8B65" w14:textId="23B86BDD" w:rsidR="00C83E65" w:rsidRDefault="00C83E65" w:rsidP="00C95C87">
      <w:pPr>
        <w:spacing w:after="200" w:line="276" w:lineRule="auto"/>
        <w:rPr>
          <w:sz w:val="23"/>
          <w:szCs w:val="23"/>
        </w:rPr>
      </w:pPr>
    </w:p>
    <w:p w14:paraId="1102A297" w14:textId="362AF13B" w:rsidR="00E9077F" w:rsidRDefault="00E9077F" w:rsidP="00C95C87">
      <w:pPr>
        <w:spacing w:after="200" w:line="276" w:lineRule="auto"/>
        <w:rPr>
          <w:sz w:val="23"/>
          <w:szCs w:val="23"/>
        </w:rPr>
      </w:pPr>
      <w:r w:rsidRPr="00DC4480">
        <w:rPr>
          <w:rFonts w:cs="Arial"/>
          <w:noProof/>
        </w:rPr>
        <w:drawing>
          <wp:inline distT="0" distB="0" distL="0" distR="0" wp14:anchorId="28753C40" wp14:editId="568B8D11">
            <wp:extent cx="10062210" cy="4432905"/>
            <wp:effectExtent l="0" t="0" r="0" b="6350"/>
            <wp:docPr id="1334155869" name="Picture 1" descr="A diagram of a comp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155869" name="Picture 1" descr="A diagram of a company"/>
                    <pic:cNvPicPr/>
                  </pic:nvPicPr>
                  <pic:blipFill>
                    <a:blip r:embed="rId26"/>
                    <a:stretch>
                      <a:fillRect/>
                    </a:stretch>
                  </pic:blipFill>
                  <pic:spPr>
                    <a:xfrm>
                      <a:off x="0" y="0"/>
                      <a:ext cx="10062210" cy="4432905"/>
                    </a:xfrm>
                    <a:prstGeom prst="rect">
                      <a:avLst/>
                    </a:prstGeom>
                  </pic:spPr>
                </pic:pic>
              </a:graphicData>
            </a:graphic>
          </wp:inline>
        </w:drawing>
      </w:r>
    </w:p>
    <w:p w14:paraId="51F2D5D0" w14:textId="77777777" w:rsidR="009B57A9" w:rsidRDefault="009B57A9" w:rsidP="00C95C87">
      <w:pPr>
        <w:spacing w:after="200" w:line="276" w:lineRule="auto"/>
        <w:rPr>
          <w:sz w:val="23"/>
          <w:szCs w:val="23"/>
        </w:rPr>
      </w:pPr>
    </w:p>
    <w:p w14:paraId="1C6B5DD1" w14:textId="58C85D01" w:rsidR="00DB734A" w:rsidRDefault="00DB734A" w:rsidP="009B57A9">
      <w:pPr>
        <w:spacing w:after="200" w:line="276" w:lineRule="auto"/>
        <w:rPr>
          <w:sz w:val="23"/>
          <w:szCs w:val="23"/>
        </w:rPr>
      </w:pPr>
    </w:p>
    <w:sectPr w:rsidR="00DB734A" w:rsidSect="00D7082D">
      <w:pgSz w:w="16838" w:h="11906" w:orient="landscape"/>
      <w:pgMar w:top="1134" w:right="567" w:bottom="1134" w:left="425" w:header="284"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1F34CF" w14:textId="77777777" w:rsidR="00A957E2" w:rsidRDefault="00A957E2" w:rsidP="00A51DA4">
      <w:r>
        <w:separator/>
      </w:r>
    </w:p>
  </w:endnote>
  <w:endnote w:type="continuationSeparator" w:id="0">
    <w:p w14:paraId="4F662C80" w14:textId="77777777" w:rsidR="00A957E2" w:rsidRDefault="00A957E2" w:rsidP="00A51DA4">
      <w:r>
        <w:continuationSeparator/>
      </w:r>
    </w:p>
  </w:endnote>
  <w:endnote w:type="continuationNotice" w:id="1">
    <w:p w14:paraId="50033664" w14:textId="77777777" w:rsidR="00A957E2" w:rsidRDefault="00A957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3443A" w14:textId="77777777" w:rsidR="00DB082C" w:rsidRDefault="00DB08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1097204"/>
      <w:docPartObj>
        <w:docPartGallery w:val="Page Numbers (Bottom of Page)"/>
        <w:docPartUnique/>
      </w:docPartObj>
    </w:sdtPr>
    <w:sdtEndPr>
      <w:rPr>
        <w:noProof/>
      </w:rPr>
    </w:sdtEndPr>
    <w:sdtContent>
      <w:p w14:paraId="35320EFB" w14:textId="24C9CFB1" w:rsidR="002F58D0" w:rsidRDefault="002F58D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3DA794" w14:textId="3A74FD9C" w:rsidR="007E5675" w:rsidRPr="00134F21" w:rsidRDefault="007E5675" w:rsidP="00155A4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2CBDD" w14:textId="77777777" w:rsidR="00DB082C" w:rsidRDefault="00DB0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CEC79" w14:textId="77777777" w:rsidR="00A957E2" w:rsidRDefault="00A957E2" w:rsidP="00A51DA4">
      <w:r>
        <w:separator/>
      </w:r>
    </w:p>
  </w:footnote>
  <w:footnote w:type="continuationSeparator" w:id="0">
    <w:p w14:paraId="6E998DDA" w14:textId="77777777" w:rsidR="00A957E2" w:rsidRDefault="00A957E2" w:rsidP="00A51DA4">
      <w:r>
        <w:continuationSeparator/>
      </w:r>
    </w:p>
  </w:footnote>
  <w:footnote w:type="continuationNotice" w:id="1">
    <w:p w14:paraId="294228DB" w14:textId="77777777" w:rsidR="00A957E2" w:rsidRDefault="00A957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E3FE3" w14:textId="77777777" w:rsidR="00DB082C" w:rsidRDefault="00DB08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53D96" w14:textId="6C3038F3" w:rsidR="00DB082C" w:rsidRDefault="00DB08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A6264" w14:textId="77777777" w:rsidR="00DB082C" w:rsidRDefault="00DB08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83DFE"/>
    <w:multiLevelType w:val="hybridMultilevel"/>
    <w:tmpl w:val="4D948202"/>
    <w:lvl w:ilvl="0" w:tplc="666EFAE8">
      <w:start w:val="1"/>
      <w:numFmt w:val="bullet"/>
      <w:lvlText w:val=""/>
      <w:lvlJc w:val="left"/>
      <w:pPr>
        <w:ind w:left="720" w:hanging="360"/>
      </w:pPr>
      <w:rPr>
        <w:rFonts w:ascii="Symbol" w:hAnsi="Symbol" w:hint="default"/>
        <w:sz w:val="24"/>
        <w:szCs w:val="24"/>
      </w:rPr>
    </w:lvl>
    <w:lvl w:ilvl="1" w:tplc="14321FD4">
      <w:start w:val="1"/>
      <w:numFmt w:val="bullet"/>
      <w:lvlText w:val="o"/>
      <w:lvlJc w:val="left"/>
      <w:pPr>
        <w:ind w:left="1440" w:hanging="360"/>
      </w:pPr>
      <w:rPr>
        <w:rFonts w:ascii="Courier New" w:hAnsi="Courier New" w:cs="Courier New" w:hint="default"/>
        <w:sz w:val="24"/>
        <w:szCs w:val="24"/>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642F34"/>
    <w:multiLevelType w:val="hybridMultilevel"/>
    <w:tmpl w:val="2046A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5C259F"/>
    <w:multiLevelType w:val="hybridMultilevel"/>
    <w:tmpl w:val="1944CA6C"/>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 w15:restartNumberingAfterBreak="0">
    <w:nsid w:val="0C1E1D5F"/>
    <w:multiLevelType w:val="hybridMultilevel"/>
    <w:tmpl w:val="12525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447E0A"/>
    <w:multiLevelType w:val="hybridMultilevel"/>
    <w:tmpl w:val="B4DCE91A"/>
    <w:lvl w:ilvl="0" w:tplc="24CC0CD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EC139D"/>
    <w:multiLevelType w:val="hybridMultilevel"/>
    <w:tmpl w:val="25B28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A534C7"/>
    <w:multiLevelType w:val="hybridMultilevel"/>
    <w:tmpl w:val="D3945A8A"/>
    <w:lvl w:ilvl="0" w:tplc="D50CA68C">
      <w:start w:val="1"/>
      <w:numFmt w:val="bullet"/>
      <w:lvlText w:val=""/>
      <w:lvlJc w:val="left"/>
      <w:pPr>
        <w:ind w:left="1080" w:hanging="360"/>
      </w:pPr>
      <w:rPr>
        <w:rFonts w:ascii="Symbol" w:hAnsi="Symbol" w:hint="default"/>
      </w:rPr>
    </w:lvl>
    <w:lvl w:ilvl="1" w:tplc="6E6A564E">
      <w:start w:val="1"/>
      <w:numFmt w:val="bullet"/>
      <w:lvlText w:val="-"/>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1134506"/>
    <w:multiLevelType w:val="hybridMultilevel"/>
    <w:tmpl w:val="61903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E62D1B"/>
    <w:multiLevelType w:val="hybridMultilevel"/>
    <w:tmpl w:val="43989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6F655A"/>
    <w:multiLevelType w:val="hybridMultilevel"/>
    <w:tmpl w:val="0D3C0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A76AFA"/>
    <w:multiLevelType w:val="hybridMultilevel"/>
    <w:tmpl w:val="955422C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1" w15:restartNumberingAfterBreak="0">
    <w:nsid w:val="1D905AF3"/>
    <w:multiLevelType w:val="hybridMultilevel"/>
    <w:tmpl w:val="9FAC370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0B16B90"/>
    <w:multiLevelType w:val="hybridMultilevel"/>
    <w:tmpl w:val="661EF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FD1475"/>
    <w:multiLevelType w:val="hybridMultilevel"/>
    <w:tmpl w:val="EE281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AC7948"/>
    <w:multiLevelType w:val="hybridMultilevel"/>
    <w:tmpl w:val="0BC86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8E4C29"/>
    <w:multiLevelType w:val="hybridMultilevel"/>
    <w:tmpl w:val="6A0A8A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AA5863"/>
    <w:multiLevelType w:val="hybridMultilevel"/>
    <w:tmpl w:val="1818A8B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2BCE39BD"/>
    <w:multiLevelType w:val="hybridMultilevel"/>
    <w:tmpl w:val="9DEA8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D6175E"/>
    <w:multiLevelType w:val="hybridMultilevel"/>
    <w:tmpl w:val="3FC60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533877"/>
    <w:multiLevelType w:val="hybridMultilevel"/>
    <w:tmpl w:val="1316B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915E76"/>
    <w:multiLevelType w:val="hybridMultilevel"/>
    <w:tmpl w:val="5F4C4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0C3713"/>
    <w:multiLevelType w:val="hybridMultilevel"/>
    <w:tmpl w:val="B36CCC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F7D50B4"/>
    <w:multiLevelType w:val="hybridMultilevel"/>
    <w:tmpl w:val="677C6A80"/>
    <w:lvl w:ilvl="0" w:tplc="C5D400C2">
      <w:start w:val="1"/>
      <w:numFmt w:val="bullet"/>
      <w:lvlText w:val=""/>
      <w:lvlJc w:val="left"/>
      <w:pPr>
        <w:tabs>
          <w:tab w:val="num" w:pos="1701"/>
        </w:tabs>
        <w:ind w:left="1701" w:hanging="567"/>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AC7D3D"/>
    <w:multiLevelType w:val="hybridMultilevel"/>
    <w:tmpl w:val="A4782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6073B6"/>
    <w:multiLevelType w:val="hybridMultilevel"/>
    <w:tmpl w:val="C94ABE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59324B"/>
    <w:multiLevelType w:val="hybridMultilevel"/>
    <w:tmpl w:val="5C6283EE"/>
    <w:lvl w:ilvl="0" w:tplc="35463AF6">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426F5E"/>
    <w:multiLevelType w:val="hybridMultilevel"/>
    <w:tmpl w:val="A8EA835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1B30F36"/>
    <w:multiLevelType w:val="hybridMultilevel"/>
    <w:tmpl w:val="782A5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142C86"/>
    <w:multiLevelType w:val="hybridMultilevel"/>
    <w:tmpl w:val="DC4E50C2"/>
    <w:lvl w:ilvl="0" w:tplc="54BE74BC">
      <w:start w:val="1"/>
      <w:numFmt w:val="bullet"/>
      <w:pStyle w:val="DHSecondaryHeadingOne"/>
      <w:lvlText w:val=""/>
      <w:lvlJc w:val="left"/>
      <w:pPr>
        <w:tabs>
          <w:tab w:val="num" w:pos="360"/>
        </w:tabs>
        <w:ind w:left="360" w:hanging="360"/>
      </w:pPr>
      <w:rPr>
        <w:rFonts w:ascii="Symbol" w:hAnsi="Symbol" w:hint="default"/>
        <w:color w:val="00009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9A0B23"/>
    <w:multiLevelType w:val="hybridMultilevel"/>
    <w:tmpl w:val="CDC6C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7D2F22"/>
    <w:multiLevelType w:val="hybridMultilevel"/>
    <w:tmpl w:val="B8D65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85555A"/>
    <w:multiLevelType w:val="hybridMultilevel"/>
    <w:tmpl w:val="61BA7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232915"/>
    <w:multiLevelType w:val="hybridMultilevel"/>
    <w:tmpl w:val="9FDE9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A940B3"/>
    <w:multiLevelType w:val="multilevel"/>
    <w:tmpl w:val="470296B6"/>
    <w:lvl w:ilvl="0">
      <w:start w:val="1"/>
      <w:numFmt w:val="decimal"/>
      <w:lvlText w:val="%1.0"/>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64D86C37"/>
    <w:multiLevelType w:val="hybridMultilevel"/>
    <w:tmpl w:val="97284274"/>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35" w15:restartNumberingAfterBreak="0">
    <w:nsid w:val="68711683"/>
    <w:multiLevelType w:val="hybridMultilevel"/>
    <w:tmpl w:val="85DEF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9A5D42"/>
    <w:multiLevelType w:val="hybridMultilevel"/>
    <w:tmpl w:val="0B24B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0C7553"/>
    <w:multiLevelType w:val="hybridMultilevel"/>
    <w:tmpl w:val="C1D244BC"/>
    <w:lvl w:ilvl="0" w:tplc="4FA86F8A">
      <w:start w:val="1"/>
      <w:numFmt w:val="bullet"/>
      <w:lvlText w:val=""/>
      <w:lvlJc w:val="left"/>
      <w:pPr>
        <w:ind w:left="720" w:hanging="360"/>
      </w:pPr>
      <w:rPr>
        <w:rFonts w:ascii="Symbol" w:hAnsi="Symbo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7C5802"/>
    <w:multiLevelType w:val="hybridMultilevel"/>
    <w:tmpl w:val="19761F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3E778A"/>
    <w:multiLevelType w:val="hybridMultilevel"/>
    <w:tmpl w:val="0B005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ED77C2"/>
    <w:multiLevelType w:val="multilevel"/>
    <w:tmpl w:val="4CB42C1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778E645C"/>
    <w:multiLevelType w:val="multilevel"/>
    <w:tmpl w:val="7922A820"/>
    <w:lvl w:ilvl="0">
      <w:start w:val="1"/>
      <w:numFmt w:val="decimal"/>
      <w:pStyle w:val="Heading1"/>
      <w:lvlText w:val="%1.0"/>
      <w:lvlJc w:val="left"/>
      <w:pPr>
        <w:ind w:left="852" w:hanging="852"/>
      </w:pPr>
      <w:rPr>
        <w:rFonts w:hint="default"/>
      </w:rPr>
    </w:lvl>
    <w:lvl w:ilvl="1">
      <w:start w:val="1"/>
      <w:numFmt w:val="decimal"/>
      <w:pStyle w:val="Heading2"/>
      <w:lvlText w:val="%1.%2"/>
      <w:lvlJc w:val="left"/>
      <w:pPr>
        <w:ind w:left="852" w:hanging="852"/>
      </w:pPr>
      <w:rPr>
        <w:rFonts w:hint="default"/>
      </w:rPr>
    </w:lvl>
    <w:lvl w:ilvl="2">
      <w:start w:val="1"/>
      <w:numFmt w:val="decimal"/>
      <w:pStyle w:val="Heading3"/>
      <w:lvlText w:val="%1.%2.%3"/>
      <w:lvlJc w:val="left"/>
      <w:pPr>
        <w:ind w:left="2292" w:hanging="852"/>
      </w:pPr>
      <w:rPr>
        <w:rFonts w:hint="default"/>
        <w:i/>
        <w:iCs/>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7B1D4BE6"/>
    <w:multiLevelType w:val="hybridMultilevel"/>
    <w:tmpl w:val="C1FEDF2E"/>
    <w:lvl w:ilvl="0" w:tplc="F4200E56">
      <w:start w:val="1"/>
      <w:numFmt w:val="bullet"/>
      <w:pStyle w:val="Bullet1"/>
      <w:lvlText w:val=""/>
      <w:lvlJc w:val="left"/>
      <w:pPr>
        <w:ind w:left="5923" w:hanging="360"/>
      </w:pPr>
      <w:rPr>
        <w:rFonts w:ascii="Symbol" w:hAnsi="Symbol" w:hint="default"/>
      </w:rPr>
    </w:lvl>
    <w:lvl w:ilvl="1" w:tplc="7DE07B96">
      <w:start w:val="1"/>
      <w:numFmt w:val="bullet"/>
      <w:pStyle w:val="Bullet2"/>
      <w:lvlText w:val="o"/>
      <w:lvlJc w:val="left"/>
      <w:pPr>
        <w:ind w:left="6643" w:hanging="360"/>
      </w:pPr>
      <w:rPr>
        <w:rFonts w:ascii="Courier New" w:hAnsi="Courier New" w:cs="Courier New" w:hint="default"/>
      </w:rPr>
    </w:lvl>
    <w:lvl w:ilvl="2" w:tplc="08090005" w:tentative="1">
      <w:start w:val="1"/>
      <w:numFmt w:val="bullet"/>
      <w:lvlText w:val=""/>
      <w:lvlJc w:val="left"/>
      <w:pPr>
        <w:ind w:left="7363" w:hanging="360"/>
      </w:pPr>
      <w:rPr>
        <w:rFonts w:ascii="Wingdings" w:hAnsi="Wingdings" w:hint="default"/>
      </w:rPr>
    </w:lvl>
    <w:lvl w:ilvl="3" w:tplc="08090001" w:tentative="1">
      <w:start w:val="1"/>
      <w:numFmt w:val="bullet"/>
      <w:lvlText w:val=""/>
      <w:lvlJc w:val="left"/>
      <w:pPr>
        <w:ind w:left="8083" w:hanging="360"/>
      </w:pPr>
      <w:rPr>
        <w:rFonts w:ascii="Symbol" w:hAnsi="Symbol" w:hint="default"/>
      </w:rPr>
    </w:lvl>
    <w:lvl w:ilvl="4" w:tplc="08090003" w:tentative="1">
      <w:start w:val="1"/>
      <w:numFmt w:val="bullet"/>
      <w:lvlText w:val="o"/>
      <w:lvlJc w:val="left"/>
      <w:pPr>
        <w:ind w:left="8803" w:hanging="360"/>
      </w:pPr>
      <w:rPr>
        <w:rFonts w:ascii="Courier New" w:hAnsi="Courier New" w:cs="Courier New" w:hint="default"/>
      </w:rPr>
    </w:lvl>
    <w:lvl w:ilvl="5" w:tplc="08090005" w:tentative="1">
      <w:start w:val="1"/>
      <w:numFmt w:val="bullet"/>
      <w:lvlText w:val=""/>
      <w:lvlJc w:val="left"/>
      <w:pPr>
        <w:ind w:left="9523" w:hanging="360"/>
      </w:pPr>
      <w:rPr>
        <w:rFonts w:ascii="Wingdings" w:hAnsi="Wingdings" w:hint="default"/>
      </w:rPr>
    </w:lvl>
    <w:lvl w:ilvl="6" w:tplc="08090001" w:tentative="1">
      <w:start w:val="1"/>
      <w:numFmt w:val="bullet"/>
      <w:lvlText w:val=""/>
      <w:lvlJc w:val="left"/>
      <w:pPr>
        <w:ind w:left="10243" w:hanging="360"/>
      </w:pPr>
      <w:rPr>
        <w:rFonts w:ascii="Symbol" w:hAnsi="Symbol" w:hint="default"/>
      </w:rPr>
    </w:lvl>
    <w:lvl w:ilvl="7" w:tplc="08090003" w:tentative="1">
      <w:start w:val="1"/>
      <w:numFmt w:val="bullet"/>
      <w:lvlText w:val="o"/>
      <w:lvlJc w:val="left"/>
      <w:pPr>
        <w:ind w:left="10963" w:hanging="360"/>
      </w:pPr>
      <w:rPr>
        <w:rFonts w:ascii="Courier New" w:hAnsi="Courier New" w:cs="Courier New" w:hint="default"/>
      </w:rPr>
    </w:lvl>
    <w:lvl w:ilvl="8" w:tplc="08090005" w:tentative="1">
      <w:start w:val="1"/>
      <w:numFmt w:val="bullet"/>
      <w:lvlText w:val=""/>
      <w:lvlJc w:val="left"/>
      <w:pPr>
        <w:ind w:left="11683" w:hanging="360"/>
      </w:pPr>
      <w:rPr>
        <w:rFonts w:ascii="Wingdings" w:hAnsi="Wingdings" w:hint="default"/>
      </w:rPr>
    </w:lvl>
  </w:abstractNum>
  <w:abstractNum w:abstractNumId="43" w15:restartNumberingAfterBreak="0">
    <w:nsid w:val="7E403350"/>
    <w:multiLevelType w:val="hybridMultilevel"/>
    <w:tmpl w:val="6A941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2006076">
    <w:abstractNumId w:val="28"/>
  </w:num>
  <w:num w:numId="2" w16cid:durableId="1627858434">
    <w:abstractNumId w:val="42"/>
  </w:num>
  <w:num w:numId="3" w16cid:durableId="952859402">
    <w:abstractNumId w:val="41"/>
  </w:num>
  <w:num w:numId="4" w16cid:durableId="2093577747">
    <w:abstractNumId w:val="1"/>
  </w:num>
  <w:num w:numId="5" w16cid:durableId="1285961210">
    <w:abstractNumId w:val="39"/>
  </w:num>
  <w:num w:numId="6" w16cid:durableId="1462383730">
    <w:abstractNumId w:val="24"/>
  </w:num>
  <w:num w:numId="7" w16cid:durableId="1423793338">
    <w:abstractNumId w:val="3"/>
  </w:num>
  <w:num w:numId="8" w16cid:durableId="1345089539">
    <w:abstractNumId w:val="20"/>
  </w:num>
  <w:num w:numId="9" w16cid:durableId="1532063930">
    <w:abstractNumId w:val="15"/>
  </w:num>
  <w:num w:numId="10" w16cid:durableId="1938128836">
    <w:abstractNumId w:val="37"/>
  </w:num>
  <w:num w:numId="11" w16cid:durableId="1178344920">
    <w:abstractNumId w:val="19"/>
  </w:num>
  <w:num w:numId="12" w16cid:durableId="234979197">
    <w:abstractNumId w:val="38"/>
  </w:num>
  <w:num w:numId="13" w16cid:durableId="824316139">
    <w:abstractNumId w:val="5"/>
  </w:num>
  <w:num w:numId="14" w16cid:durableId="1114208112">
    <w:abstractNumId w:val="30"/>
  </w:num>
  <w:num w:numId="15" w16cid:durableId="1222474624">
    <w:abstractNumId w:val="23"/>
  </w:num>
  <w:num w:numId="16" w16cid:durableId="1187015411">
    <w:abstractNumId w:val="12"/>
  </w:num>
  <w:num w:numId="17" w16cid:durableId="1775513009">
    <w:abstractNumId w:val="8"/>
  </w:num>
  <w:num w:numId="18" w16cid:durableId="592083138">
    <w:abstractNumId w:val="2"/>
  </w:num>
  <w:num w:numId="19" w16cid:durableId="106436439">
    <w:abstractNumId w:val="13"/>
  </w:num>
  <w:num w:numId="20" w16cid:durableId="249002351">
    <w:abstractNumId w:val="9"/>
  </w:num>
  <w:num w:numId="21" w16cid:durableId="838229300">
    <w:abstractNumId w:val="0"/>
  </w:num>
  <w:num w:numId="22" w16cid:durableId="372460458">
    <w:abstractNumId w:val="34"/>
  </w:num>
  <w:num w:numId="23" w16cid:durableId="2011447736">
    <w:abstractNumId w:val="31"/>
  </w:num>
  <w:num w:numId="24" w16cid:durableId="1049300339">
    <w:abstractNumId w:val="10"/>
  </w:num>
  <w:num w:numId="25" w16cid:durableId="1861968078">
    <w:abstractNumId w:val="17"/>
  </w:num>
  <w:num w:numId="26" w16cid:durableId="789474239">
    <w:abstractNumId w:val="6"/>
  </w:num>
  <w:num w:numId="27" w16cid:durableId="1004357242">
    <w:abstractNumId w:val="22"/>
  </w:num>
  <w:num w:numId="28" w16cid:durableId="141166186">
    <w:abstractNumId w:val="33"/>
  </w:num>
  <w:num w:numId="29" w16cid:durableId="1970821920">
    <w:abstractNumId w:val="41"/>
  </w:num>
  <w:num w:numId="30" w16cid:durableId="1680279680">
    <w:abstractNumId w:val="41"/>
  </w:num>
  <w:num w:numId="31" w16cid:durableId="2032998314">
    <w:abstractNumId w:val="25"/>
  </w:num>
  <w:num w:numId="32" w16cid:durableId="501505817">
    <w:abstractNumId w:val="4"/>
  </w:num>
  <w:num w:numId="33" w16cid:durableId="296958413">
    <w:abstractNumId w:val="16"/>
  </w:num>
  <w:num w:numId="34" w16cid:durableId="1875842318">
    <w:abstractNumId w:val="32"/>
  </w:num>
  <w:num w:numId="35" w16cid:durableId="1139344799">
    <w:abstractNumId w:val="26"/>
  </w:num>
  <w:num w:numId="36" w16cid:durableId="486552799">
    <w:abstractNumId w:val="40"/>
  </w:num>
  <w:num w:numId="37" w16cid:durableId="637687425">
    <w:abstractNumId w:val="21"/>
  </w:num>
  <w:num w:numId="38" w16cid:durableId="1177887836">
    <w:abstractNumId w:val="7"/>
  </w:num>
  <w:num w:numId="39" w16cid:durableId="1614508488">
    <w:abstractNumId w:val="27"/>
  </w:num>
  <w:num w:numId="40" w16cid:durableId="1709449052">
    <w:abstractNumId w:val="11"/>
  </w:num>
  <w:num w:numId="41" w16cid:durableId="469324476">
    <w:abstractNumId w:val="18"/>
  </w:num>
  <w:num w:numId="42" w16cid:durableId="1933930762">
    <w:abstractNumId w:val="29"/>
  </w:num>
  <w:num w:numId="43" w16cid:durableId="1453354734">
    <w:abstractNumId w:val="43"/>
  </w:num>
  <w:num w:numId="44" w16cid:durableId="785270684">
    <w:abstractNumId w:val="36"/>
  </w:num>
  <w:num w:numId="45" w16cid:durableId="1198346853">
    <w:abstractNumId w:val="14"/>
  </w:num>
  <w:num w:numId="46" w16cid:durableId="185212211">
    <w:abstractNumId w:val="35"/>
  </w:num>
  <w:num w:numId="47" w16cid:durableId="1923836205">
    <w:abstractNumId w:val="41"/>
  </w:num>
  <w:num w:numId="48" w16cid:durableId="823280872">
    <w:abstractNumId w:val="4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attachedTemplate r:id="rId1"/>
  <w:stylePaneSortMethod w:val="0004"/>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974"/>
    <w:rsid w:val="00000370"/>
    <w:rsid w:val="00000537"/>
    <w:rsid w:val="00000A3F"/>
    <w:rsid w:val="0000161D"/>
    <w:rsid w:val="000039D0"/>
    <w:rsid w:val="00007694"/>
    <w:rsid w:val="00011C53"/>
    <w:rsid w:val="00011F42"/>
    <w:rsid w:val="00024815"/>
    <w:rsid w:val="00024E8A"/>
    <w:rsid w:val="00027289"/>
    <w:rsid w:val="00037562"/>
    <w:rsid w:val="0004034F"/>
    <w:rsid w:val="0004149F"/>
    <w:rsid w:val="00044D6B"/>
    <w:rsid w:val="0004537A"/>
    <w:rsid w:val="00052D42"/>
    <w:rsid w:val="000603D2"/>
    <w:rsid w:val="00061402"/>
    <w:rsid w:val="00073522"/>
    <w:rsid w:val="00074BC6"/>
    <w:rsid w:val="00076846"/>
    <w:rsid w:val="00077B05"/>
    <w:rsid w:val="00077F2E"/>
    <w:rsid w:val="00080E94"/>
    <w:rsid w:val="000817F3"/>
    <w:rsid w:val="00081EF0"/>
    <w:rsid w:val="0008606A"/>
    <w:rsid w:val="000909FE"/>
    <w:rsid w:val="000930A0"/>
    <w:rsid w:val="000A1B91"/>
    <w:rsid w:val="000A20F6"/>
    <w:rsid w:val="000B0A92"/>
    <w:rsid w:val="000C2AA4"/>
    <w:rsid w:val="000D6AAA"/>
    <w:rsid w:val="000D7CD0"/>
    <w:rsid w:val="000E4520"/>
    <w:rsid w:val="000F30F8"/>
    <w:rsid w:val="000F320C"/>
    <w:rsid w:val="00110F53"/>
    <w:rsid w:val="00111DCE"/>
    <w:rsid w:val="00114570"/>
    <w:rsid w:val="00115177"/>
    <w:rsid w:val="0011555B"/>
    <w:rsid w:val="00120FD4"/>
    <w:rsid w:val="00122526"/>
    <w:rsid w:val="00127916"/>
    <w:rsid w:val="001315D6"/>
    <w:rsid w:val="001325FE"/>
    <w:rsid w:val="00134F21"/>
    <w:rsid w:val="001367E5"/>
    <w:rsid w:val="001408AD"/>
    <w:rsid w:val="00141426"/>
    <w:rsid w:val="00141863"/>
    <w:rsid w:val="001506B2"/>
    <w:rsid w:val="00155A42"/>
    <w:rsid w:val="00155C44"/>
    <w:rsid w:val="00165227"/>
    <w:rsid w:val="00166E25"/>
    <w:rsid w:val="001742BF"/>
    <w:rsid w:val="0017466D"/>
    <w:rsid w:val="00174C64"/>
    <w:rsid w:val="00174EAC"/>
    <w:rsid w:val="00177167"/>
    <w:rsid w:val="001827CF"/>
    <w:rsid w:val="00190F01"/>
    <w:rsid w:val="00197510"/>
    <w:rsid w:val="00197FBD"/>
    <w:rsid w:val="001A2F91"/>
    <w:rsid w:val="001A32F3"/>
    <w:rsid w:val="001B0193"/>
    <w:rsid w:val="001B0BDD"/>
    <w:rsid w:val="001B0FDE"/>
    <w:rsid w:val="001B4E8F"/>
    <w:rsid w:val="001B511F"/>
    <w:rsid w:val="001C32EF"/>
    <w:rsid w:val="001D2025"/>
    <w:rsid w:val="001D5EC0"/>
    <w:rsid w:val="001E29C5"/>
    <w:rsid w:val="001E7D45"/>
    <w:rsid w:val="001F5359"/>
    <w:rsid w:val="00201C7E"/>
    <w:rsid w:val="002024EA"/>
    <w:rsid w:val="002051C3"/>
    <w:rsid w:val="00206C64"/>
    <w:rsid w:val="00213D20"/>
    <w:rsid w:val="00215084"/>
    <w:rsid w:val="002208C1"/>
    <w:rsid w:val="002214A1"/>
    <w:rsid w:val="00225756"/>
    <w:rsid w:val="002309BF"/>
    <w:rsid w:val="00235BC4"/>
    <w:rsid w:val="00235CC9"/>
    <w:rsid w:val="00235F04"/>
    <w:rsid w:val="00250D51"/>
    <w:rsid w:val="002527E1"/>
    <w:rsid w:val="00253303"/>
    <w:rsid w:val="00254132"/>
    <w:rsid w:val="002557C4"/>
    <w:rsid w:val="002630E9"/>
    <w:rsid w:val="002637DB"/>
    <w:rsid w:val="002725A7"/>
    <w:rsid w:val="002759A2"/>
    <w:rsid w:val="002820B3"/>
    <w:rsid w:val="0029026A"/>
    <w:rsid w:val="00290D65"/>
    <w:rsid w:val="002A51E7"/>
    <w:rsid w:val="002A7021"/>
    <w:rsid w:val="002A7E80"/>
    <w:rsid w:val="002B0269"/>
    <w:rsid w:val="002B07C4"/>
    <w:rsid w:val="002B4A22"/>
    <w:rsid w:val="002B5667"/>
    <w:rsid w:val="002B6D7C"/>
    <w:rsid w:val="002C06F8"/>
    <w:rsid w:val="002C22A0"/>
    <w:rsid w:val="002C38D5"/>
    <w:rsid w:val="002C74AC"/>
    <w:rsid w:val="002D22A6"/>
    <w:rsid w:val="002D3CE5"/>
    <w:rsid w:val="002D6FEB"/>
    <w:rsid w:val="002E158A"/>
    <w:rsid w:val="002E4377"/>
    <w:rsid w:val="002F0151"/>
    <w:rsid w:val="002F4AFE"/>
    <w:rsid w:val="002F4FCF"/>
    <w:rsid w:val="002F58D0"/>
    <w:rsid w:val="002F5AF2"/>
    <w:rsid w:val="0031125D"/>
    <w:rsid w:val="003120D1"/>
    <w:rsid w:val="003125CE"/>
    <w:rsid w:val="0031495B"/>
    <w:rsid w:val="00314E5B"/>
    <w:rsid w:val="0032460D"/>
    <w:rsid w:val="00327004"/>
    <w:rsid w:val="003276D1"/>
    <w:rsid w:val="003278DB"/>
    <w:rsid w:val="00330691"/>
    <w:rsid w:val="00330F00"/>
    <w:rsid w:val="003325F3"/>
    <w:rsid w:val="00335C8C"/>
    <w:rsid w:val="00340C6A"/>
    <w:rsid w:val="003502B5"/>
    <w:rsid w:val="003543D2"/>
    <w:rsid w:val="00355DF3"/>
    <w:rsid w:val="003630D9"/>
    <w:rsid w:val="00364B5B"/>
    <w:rsid w:val="0036581F"/>
    <w:rsid w:val="003835CD"/>
    <w:rsid w:val="00384FA6"/>
    <w:rsid w:val="0038632D"/>
    <w:rsid w:val="003A3E08"/>
    <w:rsid w:val="003A42F4"/>
    <w:rsid w:val="003A44BD"/>
    <w:rsid w:val="003A4A8A"/>
    <w:rsid w:val="003A6A1A"/>
    <w:rsid w:val="003B1673"/>
    <w:rsid w:val="003C189E"/>
    <w:rsid w:val="003C2BFB"/>
    <w:rsid w:val="003E542B"/>
    <w:rsid w:val="00400C8C"/>
    <w:rsid w:val="00403E91"/>
    <w:rsid w:val="004113E2"/>
    <w:rsid w:val="0042175C"/>
    <w:rsid w:val="0042473C"/>
    <w:rsid w:val="0042796B"/>
    <w:rsid w:val="00427DF5"/>
    <w:rsid w:val="00430999"/>
    <w:rsid w:val="00430E20"/>
    <w:rsid w:val="00436A1C"/>
    <w:rsid w:val="00443C79"/>
    <w:rsid w:val="0044438A"/>
    <w:rsid w:val="00445FE2"/>
    <w:rsid w:val="0045008A"/>
    <w:rsid w:val="00451869"/>
    <w:rsid w:val="00455DBD"/>
    <w:rsid w:val="004562C5"/>
    <w:rsid w:val="00457138"/>
    <w:rsid w:val="0045787F"/>
    <w:rsid w:val="00457F20"/>
    <w:rsid w:val="00467FAA"/>
    <w:rsid w:val="00470D96"/>
    <w:rsid w:val="00470E45"/>
    <w:rsid w:val="00471101"/>
    <w:rsid w:val="00475D0F"/>
    <w:rsid w:val="004770B7"/>
    <w:rsid w:val="00480A40"/>
    <w:rsid w:val="00480B8F"/>
    <w:rsid w:val="00482000"/>
    <w:rsid w:val="00483430"/>
    <w:rsid w:val="0048750A"/>
    <w:rsid w:val="0049401B"/>
    <w:rsid w:val="004953FD"/>
    <w:rsid w:val="00496EF9"/>
    <w:rsid w:val="004A001D"/>
    <w:rsid w:val="004A20C0"/>
    <w:rsid w:val="004A2617"/>
    <w:rsid w:val="004A66C7"/>
    <w:rsid w:val="004A7905"/>
    <w:rsid w:val="004B01CF"/>
    <w:rsid w:val="004B22CA"/>
    <w:rsid w:val="004B3C32"/>
    <w:rsid w:val="004C0E2B"/>
    <w:rsid w:val="004C20C5"/>
    <w:rsid w:val="004C47EA"/>
    <w:rsid w:val="004D0947"/>
    <w:rsid w:val="004D2ABE"/>
    <w:rsid w:val="004D6CF0"/>
    <w:rsid w:val="004E14FB"/>
    <w:rsid w:val="004E2A3F"/>
    <w:rsid w:val="004E40FD"/>
    <w:rsid w:val="004E65F1"/>
    <w:rsid w:val="004E78A9"/>
    <w:rsid w:val="004F133A"/>
    <w:rsid w:val="004F1EB7"/>
    <w:rsid w:val="004F545C"/>
    <w:rsid w:val="004F572A"/>
    <w:rsid w:val="004F5737"/>
    <w:rsid w:val="004F7F4F"/>
    <w:rsid w:val="00501F0B"/>
    <w:rsid w:val="00505E04"/>
    <w:rsid w:val="00510035"/>
    <w:rsid w:val="00516EAC"/>
    <w:rsid w:val="00517F81"/>
    <w:rsid w:val="00526E24"/>
    <w:rsid w:val="00532106"/>
    <w:rsid w:val="005363CF"/>
    <w:rsid w:val="0053648E"/>
    <w:rsid w:val="00542823"/>
    <w:rsid w:val="005430C0"/>
    <w:rsid w:val="00546837"/>
    <w:rsid w:val="005548E4"/>
    <w:rsid w:val="00565D24"/>
    <w:rsid w:val="00570814"/>
    <w:rsid w:val="00572AFA"/>
    <w:rsid w:val="005772F3"/>
    <w:rsid w:val="00580F6B"/>
    <w:rsid w:val="0058185B"/>
    <w:rsid w:val="005903E4"/>
    <w:rsid w:val="005A34BF"/>
    <w:rsid w:val="005A5739"/>
    <w:rsid w:val="005B19ED"/>
    <w:rsid w:val="005B23FA"/>
    <w:rsid w:val="005C66D5"/>
    <w:rsid w:val="005C7EF9"/>
    <w:rsid w:val="005D0AF4"/>
    <w:rsid w:val="005D5970"/>
    <w:rsid w:val="005D5CCD"/>
    <w:rsid w:val="005E5DD0"/>
    <w:rsid w:val="005F1242"/>
    <w:rsid w:val="005F1629"/>
    <w:rsid w:val="00602F3A"/>
    <w:rsid w:val="00606F76"/>
    <w:rsid w:val="00615C8A"/>
    <w:rsid w:val="006167C0"/>
    <w:rsid w:val="00620641"/>
    <w:rsid w:val="00621D28"/>
    <w:rsid w:val="00623D77"/>
    <w:rsid w:val="0062546D"/>
    <w:rsid w:val="00632B41"/>
    <w:rsid w:val="00634F2B"/>
    <w:rsid w:val="00637422"/>
    <w:rsid w:val="006479BC"/>
    <w:rsid w:val="00652699"/>
    <w:rsid w:val="00657905"/>
    <w:rsid w:val="00660887"/>
    <w:rsid w:val="00661C02"/>
    <w:rsid w:val="0066491D"/>
    <w:rsid w:val="0066497A"/>
    <w:rsid w:val="006665CC"/>
    <w:rsid w:val="006667F2"/>
    <w:rsid w:val="00667AF2"/>
    <w:rsid w:val="0067103F"/>
    <w:rsid w:val="00673142"/>
    <w:rsid w:val="00673F71"/>
    <w:rsid w:val="00680310"/>
    <w:rsid w:val="00680EA2"/>
    <w:rsid w:val="0068229F"/>
    <w:rsid w:val="006833A7"/>
    <w:rsid w:val="006834DF"/>
    <w:rsid w:val="006843C2"/>
    <w:rsid w:val="00693827"/>
    <w:rsid w:val="006A2358"/>
    <w:rsid w:val="006A6320"/>
    <w:rsid w:val="006B1F13"/>
    <w:rsid w:val="006B4648"/>
    <w:rsid w:val="006B718E"/>
    <w:rsid w:val="006C5875"/>
    <w:rsid w:val="006C6570"/>
    <w:rsid w:val="006D317B"/>
    <w:rsid w:val="006E0D01"/>
    <w:rsid w:val="006E1A59"/>
    <w:rsid w:val="0070418B"/>
    <w:rsid w:val="00704EDE"/>
    <w:rsid w:val="007264A0"/>
    <w:rsid w:val="00726E01"/>
    <w:rsid w:val="007307A9"/>
    <w:rsid w:val="0073357A"/>
    <w:rsid w:val="00734E17"/>
    <w:rsid w:val="00735FF8"/>
    <w:rsid w:val="007421AF"/>
    <w:rsid w:val="0074294E"/>
    <w:rsid w:val="0074626E"/>
    <w:rsid w:val="007468CC"/>
    <w:rsid w:val="00750A3F"/>
    <w:rsid w:val="00757FDA"/>
    <w:rsid w:val="00760591"/>
    <w:rsid w:val="00775A4B"/>
    <w:rsid w:val="00776D35"/>
    <w:rsid w:val="00777701"/>
    <w:rsid w:val="00780DE4"/>
    <w:rsid w:val="00783148"/>
    <w:rsid w:val="007851CA"/>
    <w:rsid w:val="007862D4"/>
    <w:rsid w:val="00786CF0"/>
    <w:rsid w:val="0079057B"/>
    <w:rsid w:val="007939DF"/>
    <w:rsid w:val="00793F0C"/>
    <w:rsid w:val="007A1F48"/>
    <w:rsid w:val="007A3512"/>
    <w:rsid w:val="007A490F"/>
    <w:rsid w:val="007A5A0E"/>
    <w:rsid w:val="007B0281"/>
    <w:rsid w:val="007B29D6"/>
    <w:rsid w:val="007B30D0"/>
    <w:rsid w:val="007B54CE"/>
    <w:rsid w:val="007B72FF"/>
    <w:rsid w:val="007B7CE2"/>
    <w:rsid w:val="007C12FB"/>
    <w:rsid w:val="007C437C"/>
    <w:rsid w:val="007E5675"/>
    <w:rsid w:val="007F53C7"/>
    <w:rsid w:val="007F6A97"/>
    <w:rsid w:val="007F75D7"/>
    <w:rsid w:val="007F7606"/>
    <w:rsid w:val="00800329"/>
    <w:rsid w:val="008103C3"/>
    <w:rsid w:val="00814EF4"/>
    <w:rsid w:val="008206FC"/>
    <w:rsid w:val="00821D71"/>
    <w:rsid w:val="008227D6"/>
    <w:rsid w:val="008267BC"/>
    <w:rsid w:val="0082772E"/>
    <w:rsid w:val="00827AB6"/>
    <w:rsid w:val="00830797"/>
    <w:rsid w:val="00834520"/>
    <w:rsid w:val="00836E6F"/>
    <w:rsid w:val="00843733"/>
    <w:rsid w:val="00844686"/>
    <w:rsid w:val="00847577"/>
    <w:rsid w:val="00853153"/>
    <w:rsid w:val="0085461E"/>
    <w:rsid w:val="00855368"/>
    <w:rsid w:val="00856B6F"/>
    <w:rsid w:val="0086078B"/>
    <w:rsid w:val="00860F79"/>
    <w:rsid w:val="008648D3"/>
    <w:rsid w:val="00866F78"/>
    <w:rsid w:val="00870CC4"/>
    <w:rsid w:val="00870F79"/>
    <w:rsid w:val="00871141"/>
    <w:rsid w:val="00873E0A"/>
    <w:rsid w:val="00876C34"/>
    <w:rsid w:val="008850F5"/>
    <w:rsid w:val="00886083"/>
    <w:rsid w:val="008932EF"/>
    <w:rsid w:val="0089543E"/>
    <w:rsid w:val="00896F72"/>
    <w:rsid w:val="008A1861"/>
    <w:rsid w:val="008A63DC"/>
    <w:rsid w:val="008B6B39"/>
    <w:rsid w:val="008C17CE"/>
    <w:rsid w:val="008C697C"/>
    <w:rsid w:val="008D0800"/>
    <w:rsid w:val="008D1074"/>
    <w:rsid w:val="008D3BBD"/>
    <w:rsid w:val="008E3912"/>
    <w:rsid w:val="008F1384"/>
    <w:rsid w:val="008F174E"/>
    <w:rsid w:val="008F68C7"/>
    <w:rsid w:val="009023E8"/>
    <w:rsid w:val="0090363E"/>
    <w:rsid w:val="00903ED3"/>
    <w:rsid w:val="00907171"/>
    <w:rsid w:val="00912576"/>
    <w:rsid w:val="0091364C"/>
    <w:rsid w:val="00915841"/>
    <w:rsid w:val="00921173"/>
    <w:rsid w:val="009214D4"/>
    <w:rsid w:val="00923044"/>
    <w:rsid w:val="00925C67"/>
    <w:rsid w:val="00932456"/>
    <w:rsid w:val="00933A35"/>
    <w:rsid w:val="00941372"/>
    <w:rsid w:val="009414E5"/>
    <w:rsid w:val="009417AE"/>
    <w:rsid w:val="00941869"/>
    <w:rsid w:val="00952F9C"/>
    <w:rsid w:val="009546ED"/>
    <w:rsid w:val="009550F1"/>
    <w:rsid w:val="00964195"/>
    <w:rsid w:val="009641E6"/>
    <w:rsid w:val="00964C20"/>
    <w:rsid w:val="00966736"/>
    <w:rsid w:val="009713E8"/>
    <w:rsid w:val="009760F5"/>
    <w:rsid w:val="009802B8"/>
    <w:rsid w:val="00981BCD"/>
    <w:rsid w:val="00983C7E"/>
    <w:rsid w:val="0098746A"/>
    <w:rsid w:val="009940F6"/>
    <w:rsid w:val="00997FB9"/>
    <w:rsid w:val="009B1AC4"/>
    <w:rsid w:val="009B38F0"/>
    <w:rsid w:val="009B57A9"/>
    <w:rsid w:val="009B62A5"/>
    <w:rsid w:val="009C19E6"/>
    <w:rsid w:val="009C6396"/>
    <w:rsid w:val="009D21BF"/>
    <w:rsid w:val="009D223C"/>
    <w:rsid w:val="009D3402"/>
    <w:rsid w:val="009D7C6F"/>
    <w:rsid w:val="009E04E3"/>
    <w:rsid w:val="009E47EA"/>
    <w:rsid w:val="009F5386"/>
    <w:rsid w:val="009F7B01"/>
    <w:rsid w:val="00A024A7"/>
    <w:rsid w:val="00A10971"/>
    <w:rsid w:val="00A10B47"/>
    <w:rsid w:val="00A128FA"/>
    <w:rsid w:val="00A17897"/>
    <w:rsid w:val="00A22A2C"/>
    <w:rsid w:val="00A261AC"/>
    <w:rsid w:val="00A36215"/>
    <w:rsid w:val="00A44719"/>
    <w:rsid w:val="00A462B7"/>
    <w:rsid w:val="00A478A2"/>
    <w:rsid w:val="00A51DA4"/>
    <w:rsid w:val="00A66974"/>
    <w:rsid w:val="00A66E06"/>
    <w:rsid w:val="00A700C1"/>
    <w:rsid w:val="00A720A3"/>
    <w:rsid w:val="00A7468A"/>
    <w:rsid w:val="00A76F51"/>
    <w:rsid w:val="00A839D9"/>
    <w:rsid w:val="00A90504"/>
    <w:rsid w:val="00A957E2"/>
    <w:rsid w:val="00A95A25"/>
    <w:rsid w:val="00AA022A"/>
    <w:rsid w:val="00AA2171"/>
    <w:rsid w:val="00AA74F5"/>
    <w:rsid w:val="00AB3E17"/>
    <w:rsid w:val="00AB499B"/>
    <w:rsid w:val="00AB5804"/>
    <w:rsid w:val="00AB5B48"/>
    <w:rsid w:val="00AB67C4"/>
    <w:rsid w:val="00AB7BEF"/>
    <w:rsid w:val="00AC4ED1"/>
    <w:rsid w:val="00AE1702"/>
    <w:rsid w:val="00AE2B73"/>
    <w:rsid w:val="00AF04BE"/>
    <w:rsid w:val="00AF1BC2"/>
    <w:rsid w:val="00AF25E5"/>
    <w:rsid w:val="00AF472A"/>
    <w:rsid w:val="00B040A3"/>
    <w:rsid w:val="00B06577"/>
    <w:rsid w:val="00B07978"/>
    <w:rsid w:val="00B1665C"/>
    <w:rsid w:val="00B2154C"/>
    <w:rsid w:val="00B25BAA"/>
    <w:rsid w:val="00B371D5"/>
    <w:rsid w:val="00B455F9"/>
    <w:rsid w:val="00B50581"/>
    <w:rsid w:val="00B51C7B"/>
    <w:rsid w:val="00B523D4"/>
    <w:rsid w:val="00B54BD8"/>
    <w:rsid w:val="00B66A8F"/>
    <w:rsid w:val="00B821EE"/>
    <w:rsid w:val="00B87B0E"/>
    <w:rsid w:val="00B919F8"/>
    <w:rsid w:val="00B96DA1"/>
    <w:rsid w:val="00B97268"/>
    <w:rsid w:val="00BA07D2"/>
    <w:rsid w:val="00BA3576"/>
    <w:rsid w:val="00BA43BA"/>
    <w:rsid w:val="00BA6774"/>
    <w:rsid w:val="00BB2ADC"/>
    <w:rsid w:val="00BB2B94"/>
    <w:rsid w:val="00BB431E"/>
    <w:rsid w:val="00BC1101"/>
    <w:rsid w:val="00BC2F86"/>
    <w:rsid w:val="00BD21AC"/>
    <w:rsid w:val="00BD2B01"/>
    <w:rsid w:val="00BD5A31"/>
    <w:rsid w:val="00BD6ABF"/>
    <w:rsid w:val="00BE05DD"/>
    <w:rsid w:val="00BE333D"/>
    <w:rsid w:val="00BF3A46"/>
    <w:rsid w:val="00BF3AC0"/>
    <w:rsid w:val="00BF3CA3"/>
    <w:rsid w:val="00BF48D8"/>
    <w:rsid w:val="00BF63BD"/>
    <w:rsid w:val="00C02D31"/>
    <w:rsid w:val="00C072F5"/>
    <w:rsid w:val="00C14524"/>
    <w:rsid w:val="00C201B7"/>
    <w:rsid w:val="00C20AE5"/>
    <w:rsid w:val="00C24CE4"/>
    <w:rsid w:val="00C345C9"/>
    <w:rsid w:val="00C44CE5"/>
    <w:rsid w:val="00C4636D"/>
    <w:rsid w:val="00C47930"/>
    <w:rsid w:val="00C51B64"/>
    <w:rsid w:val="00C520D2"/>
    <w:rsid w:val="00C60914"/>
    <w:rsid w:val="00C80E39"/>
    <w:rsid w:val="00C83E65"/>
    <w:rsid w:val="00C90459"/>
    <w:rsid w:val="00C91A38"/>
    <w:rsid w:val="00C9206A"/>
    <w:rsid w:val="00C95C87"/>
    <w:rsid w:val="00C977C0"/>
    <w:rsid w:val="00CA0C25"/>
    <w:rsid w:val="00CA1F8A"/>
    <w:rsid w:val="00CA7E55"/>
    <w:rsid w:val="00CB1AD5"/>
    <w:rsid w:val="00CC3C1F"/>
    <w:rsid w:val="00CC613F"/>
    <w:rsid w:val="00CC7F6B"/>
    <w:rsid w:val="00CC7FE3"/>
    <w:rsid w:val="00CE0378"/>
    <w:rsid w:val="00CE6E4F"/>
    <w:rsid w:val="00CF318A"/>
    <w:rsid w:val="00CF3204"/>
    <w:rsid w:val="00D00D11"/>
    <w:rsid w:val="00D01D3C"/>
    <w:rsid w:val="00D041C6"/>
    <w:rsid w:val="00D055D6"/>
    <w:rsid w:val="00D10405"/>
    <w:rsid w:val="00D14999"/>
    <w:rsid w:val="00D21DD1"/>
    <w:rsid w:val="00D221EA"/>
    <w:rsid w:val="00D23AFF"/>
    <w:rsid w:val="00D2604C"/>
    <w:rsid w:val="00D33D0E"/>
    <w:rsid w:val="00D344A8"/>
    <w:rsid w:val="00D34CD6"/>
    <w:rsid w:val="00D35961"/>
    <w:rsid w:val="00D42840"/>
    <w:rsid w:val="00D47107"/>
    <w:rsid w:val="00D7038A"/>
    <w:rsid w:val="00D7082D"/>
    <w:rsid w:val="00D713FA"/>
    <w:rsid w:val="00D73B7A"/>
    <w:rsid w:val="00D7442C"/>
    <w:rsid w:val="00D75E86"/>
    <w:rsid w:val="00D77156"/>
    <w:rsid w:val="00D81E88"/>
    <w:rsid w:val="00D87DA4"/>
    <w:rsid w:val="00D938D7"/>
    <w:rsid w:val="00D956D3"/>
    <w:rsid w:val="00DA07C4"/>
    <w:rsid w:val="00DB082C"/>
    <w:rsid w:val="00DB28F4"/>
    <w:rsid w:val="00DB4AA3"/>
    <w:rsid w:val="00DB734A"/>
    <w:rsid w:val="00DC0283"/>
    <w:rsid w:val="00DC0641"/>
    <w:rsid w:val="00DC224C"/>
    <w:rsid w:val="00DC5206"/>
    <w:rsid w:val="00DD2D44"/>
    <w:rsid w:val="00DD5548"/>
    <w:rsid w:val="00DD560E"/>
    <w:rsid w:val="00DE193D"/>
    <w:rsid w:val="00DE5385"/>
    <w:rsid w:val="00DE5D90"/>
    <w:rsid w:val="00DF19FA"/>
    <w:rsid w:val="00E0195E"/>
    <w:rsid w:val="00E02BFC"/>
    <w:rsid w:val="00E06B4D"/>
    <w:rsid w:val="00E101BF"/>
    <w:rsid w:val="00E13ADD"/>
    <w:rsid w:val="00E2011A"/>
    <w:rsid w:val="00E215FC"/>
    <w:rsid w:val="00E22468"/>
    <w:rsid w:val="00E23766"/>
    <w:rsid w:val="00E262E2"/>
    <w:rsid w:val="00E26EAC"/>
    <w:rsid w:val="00E3786C"/>
    <w:rsid w:val="00E410F8"/>
    <w:rsid w:val="00E424EF"/>
    <w:rsid w:val="00E43A3E"/>
    <w:rsid w:val="00E526D8"/>
    <w:rsid w:val="00E549D0"/>
    <w:rsid w:val="00E54FC6"/>
    <w:rsid w:val="00E57277"/>
    <w:rsid w:val="00E65A25"/>
    <w:rsid w:val="00E65A3E"/>
    <w:rsid w:val="00E660E4"/>
    <w:rsid w:val="00E737AD"/>
    <w:rsid w:val="00E77745"/>
    <w:rsid w:val="00E77D07"/>
    <w:rsid w:val="00E81BC3"/>
    <w:rsid w:val="00E85CAA"/>
    <w:rsid w:val="00E8633B"/>
    <w:rsid w:val="00E9077F"/>
    <w:rsid w:val="00E90CC9"/>
    <w:rsid w:val="00E94E26"/>
    <w:rsid w:val="00EA073D"/>
    <w:rsid w:val="00ED035F"/>
    <w:rsid w:val="00ED14D6"/>
    <w:rsid w:val="00ED28EA"/>
    <w:rsid w:val="00EE14C8"/>
    <w:rsid w:val="00EE2DE6"/>
    <w:rsid w:val="00EF3A6D"/>
    <w:rsid w:val="00EF4770"/>
    <w:rsid w:val="00EF6071"/>
    <w:rsid w:val="00F063D2"/>
    <w:rsid w:val="00F12B66"/>
    <w:rsid w:val="00F20974"/>
    <w:rsid w:val="00F20AD9"/>
    <w:rsid w:val="00F2117B"/>
    <w:rsid w:val="00F23C6B"/>
    <w:rsid w:val="00F2584B"/>
    <w:rsid w:val="00F439A0"/>
    <w:rsid w:val="00F5587F"/>
    <w:rsid w:val="00F608ED"/>
    <w:rsid w:val="00F63C1F"/>
    <w:rsid w:val="00F661DD"/>
    <w:rsid w:val="00F70D1D"/>
    <w:rsid w:val="00F7143D"/>
    <w:rsid w:val="00F7648A"/>
    <w:rsid w:val="00F80183"/>
    <w:rsid w:val="00F868D4"/>
    <w:rsid w:val="00F9061B"/>
    <w:rsid w:val="00F90BE4"/>
    <w:rsid w:val="00F90C7A"/>
    <w:rsid w:val="00F96530"/>
    <w:rsid w:val="00F96E49"/>
    <w:rsid w:val="00FA124E"/>
    <w:rsid w:val="00FA5A04"/>
    <w:rsid w:val="00FB0740"/>
    <w:rsid w:val="00FB21D0"/>
    <w:rsid w:val="00FB6AFE"/>
    <w:rsid w:val="00FC36DE"/>
    <w:rsid w:val="00FC5592"/>
    <w:rsid w:val="00FD13A3"/>
    <w:rsid w:val="00FE34B3"/>
    <w:rsid w:val="00FE48E6"/>
    <w:rsid w:val="00FE4C49"/>
    <w:rsid w:val="00FE6F3D"/>
    <w:rsid w:val="00FE7B8F"/>
    <w:rsid w:val="00FF7621"/>
    <w:rsid w:val="00FF7D5B"/>
    <w:rsid w:val="01164BCA"/>
    <w:rsid w:val="0607077D"/>
    <w:rsid w:val="06ABA467"/>
    <w:rsid w:val="0C592691"/>
    <w:rsid w:val="0F2E28A0"/>
    <w:rsid w:val="12320EE0"/>
    <w:rsid w:val="1643D0D6"/>
    <w:rsid w:val="17627C95"/>
    <w:rsid w:val="17CDF2DD"/>
    <w:rsid w:val="182C2895"/>
    <w:rsid w:val="19789F72"/>
    <w:rsid w:val="1CB9A8D0"/>
    <w:rsid w:val="1CE07F34"/>
    <w:rsid w:val="22B27F05"/>
    <w:rsid w:val="240A8767"/>
    <w:rsid w:val="251AE217"/>
    <w:rsid w:val="27248E00"/>
    <w:rsid w:val="2A1B5336"/>
    <w:rsid w:val="2A2867F9"/>
    <w:rsid w:val="2BCE3FB4"/>
    <w:rsid w:val="2DC4839F"/>
    <w:rsid w:val="2DD13D94"/>
    <w:rsid w:val="2E1003AF"/>
    <w:rsid w:val="32A4AEB7"/>
    <w:rsid w:val="3678C2DD"/>
    <w:rsid w:val="3BAC10B8"/>
    <w:rsid w:val="3C38C28F"/>
    <w:rsid w:val="3E1FC213"/>
    <w:rsid w:val="43D25416"/>
    <w:rsid w:val="46C9A364"/>
    <w:rsid w:val="49BA0551"/>
    <w:rsid w:val="4AF36FAA"/>
    <w:rsid w:val="4BBBDB69"/>
    <w:rsid w:val="4DB04431"/>
    <w:rsid w:val="4ECCB874"/>
    <w:rsid w:val="4F95DBC5"/>
    <w:rsid w:val="52116A24"/>
    <w:rsid w:val="5426A1C8"/>
    <w:rsid w:val="5434B571"/>
    <w:rsid w:val="55FDB625"/>
    <w:rsid w:val="5672D80E"/>
    <w:rsid w:val="57932C97"/>
    <w:rsid w:val="57998686"/>
    <w:rsid w:val="5A29DE52"/>
    <w:rsid w:val="5AB7FEEB"/>
    <w:rsid w:val="5B1FFD0B"/>
    <w:rsid w:val="5BE405EA"/>
    <w:rsid w:val="5CDDD041"/>
    <w:rsid w:val="5ECC7763"/>
    <w:rsid w:val="5EF6310E"/>
    <w:rsid w:val="5F1BA6AC"/>
    <w:rsid w:val="62039533"/>
    <w:rsid w:val="663E7991"/>
    <w:rsid w:val="66F5DBA9"/>
    <w:rsid w:val="6B91D20E"/>
    <w:rsid w:val="6BA48F66"/>
    <w:rsid w:val="6FA3276F"/>
    <w:rsid w:val="700017CB"/>
    <w:rsid w:val="70682678"/>
    <w:rsid w:val="75C9ACD2"/>
    <w:rsid w:val="76EB6FF2"/>
    <w:rsid w:val="77FFC266"/>
    <w:rsid w:val="79CC97CF"/>
    <w:rsid w:val="7AD76BB9"/>
    <w:rsid w:val="7E17C5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62EA2"/>
  <w15:docId w15:val="{B285C140-C317-437C-9826-A327F95B4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rsid w:val="008D1074"/>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uiPriority w:val="9"/>
    <w:qFormat/>
    <w:rsid w:val="008D1074"/>
    <w:pPr>
      <w:numPr>
        <w:numId w:val="3"/>
      </w:numPr>
      <w:tabs>
        <w:tab w:val="left" w:pos="851"/>
      </w:tabs>
      <w:spacing w:before="360" w:after="120"/>
      <w:outlineLvl w:val="0"/>
    </w:pPr>
    <w:rPr>
      <w:rFonts w:cs="Arial"/>
      <w:b/>
      <w:szCs w:val="22"/>
    </w:rPr>
  </w:style>
  <w:style w:type="paragraph" w:styleId="Heading2">
    <w:name w:val="heading 2"/>
    <w:basedOn w:val="Heading1"/>
    <w:next w:val="Normal"/>
    <w:link w:val="Heading2Char"/>
    <w:uiPriority w:val="9"/>
    <w:unhideWhenUsed/>
    <w:qFormat/>
    <w:rsid w:val="008D1074"/>
    <w:pPr>
      <w:numPr>
        <w:ilvl w:val="1"/>
      </w:numPr>
      <w:tabs>
        <w:tab w:val="clear" w:pos="851"/>
      </w:tabs>
      <w:outlineLvl w:val="1"/>
    </w:pPr>
  </w:style>
  <w:style w:type="paragraph" w:styleId="Heading3">
    <w:name w:val="heading 3"/>
    <w:basedOn w:val="Heading2"/>
    <w:next w:val="Normal"/>
    <w:link w:val="Heading3Char"/>
    <w:uiPriority w:val="9"/>
    <w:qFormat/>
    <w:rsid w:val="008D1074"/>
    <w:pPr>
      <w:numPr>
        <w:ilvl w:val="2"/>
      </w:numPr>
      <w:ind w:left="851" w:hanging="851"/>
      <w:outlineLvl w:val="2"/>
    </w:pPr>
    <w:rPr>
      <w:i/>
      <w:iCs/>
    </w:rPr>
  </w:style>
  <w:style w:type="paragraph" w:styleId="Heading4">
    <w:name w:val="heading 4"/>
    <w:basedOn w:val="Normal"/>
    <w:next w:val="Normal"/>
    <w:link w:val="Heading4Char"/>
    <w:uiPriority w:val="9"/>
    <w:unhideWhenUsed/>
    <w:qFormat/>
    <w:rsid w:val="00496EF9"/>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51DA4"/>
    <w:pPr>
      <w:tabs>
        <w:tab w:val="center" w:pos="4153"/>
        <w:tab w:val="right" w:pos="8306"/>
      </w:tabs>
    </w:pPr>
  </w:style>
  <w:style w:type="character" w:customStyle="1" w:styleId="HeaderChar">
    <w:name w:val="Header Char"/>
    <w:basedOn w:val="DefaultParagraphFont"/>
    <w:link w:val="Header"/>
    <w:uiPriority w:val="99"/>
    <w:rsid w:val="00A51DA4"/>
    <w:rPr>
      <w:rFonts w:ascii="Arial" w:eastAsia="Times New Roman" w:hAnsi="Arial" w:cs="Times New Roman"/>
      <w:sz w:val="24"/>
      <w:szCs w:val="24"/>
      <w:lang w:eastAsia="en-GB"/>
    </w:rPr>
  </w:style>
  <w:style w:type="paragraph" w:styleId="Footer">
    <w:name w:val="footer"/>
    <w:basedOn w:val="Normal"/>
    <w:link w:val="FooterChar"/>
    <w:uiPriority w:val="99"/>
    <w:rsid w:val="00A51DA4"/>
    <w:pPr>
      <w:tabs>
        <w:tab w:val="center" w:pos="4153"/>
        <w:tab w:val="right" w:pos="8306"/>
      </w:tabs>
    </w:pPr>
  </w:style>
  <w:style w:type="character" w:customStyle="1" w:styleId="FooterChar">
    <w:name w:val="Footer Char"/>
    <w:basedOn w:val="DefaultParagraphFont"/>
    <w:link w:val="Footer"/>
    <w:uiPriority w:val="99"/>
    <w:rsid w:val="00A51DA4"/>
    <w:rPr>
      <w:rFonts w:ascii="Arial" w:eastAsia="Times New Roman" w:hAnsi="Arial" w:cs="Times New Roman"/>
      <w:sz w:val="24"/>
      <w:szCs w:val="24"/>
      <w:lang w:eastAsia="en-GB"/>
    </w:rPr>
  </w:style>
  <w:style w:type="paragraph" w:styleId="BalloonText">
    <w:name w:val="Balloon Text"/>
    <w:basedOn w:val="Normal"/>
    <w:link w:val="BalloonTextChar"/>
    <w:uiPriority w:val="99"/>
    <w:semiHidden/>
    <w:unhideWhenUsed/>
    <w:rsid w:val="00A51DA4"/>
    <w:rPr>
      <w:rFonts w:ascii="Tahoma" w:hAnsi="Tahoma" w:cs="Tahoma"/>
      <w:sz w:val="16"/>
      <w:szCs w:val="16"/>
    </w:rPr>
  </w:style>
  <w:style w:type="character" w:customStyle="1" w:styleId="BalloonTextChar">
    <w:name w:val="Balloon Text Char"/>
    <w:basedOn w:val="DefaultParagraphFont"/>
    <w:link w:val="BalloonText"/>
    <w:uiPriority w:val="99"/>
    <w:semiHidden/>
    <w:rsid w:val="00A51DA4"/>
    <w:rPr>
      <w:rFonts w:ascii="Tahoma" w:eastAsia="Times New Roman" w:hAnsi="Tahoma" w:cs="Tahoma"/>
      <w:sz w:val="16"/>
      <w:szCs w:val="16"/>
      <w:lang w:eastAsia="en-GB"/>
    </w:rPr>
  </w:style>
  <w:style w:type="paragraph" w:styleId="ListParagraph">
    <w:name w:val="List Paragraph"/>
    <w:basedOn w:val="Normal"/>
    <w:link w:val="ListParagraphChar"/>
    <w:uiPriority w:val="34"/>
    <w:qFormat/>
    <w:rsid w:val="006843C2"/>
    <w:pPr>
      <w:ind w:left="720"/>
      <w:contextualSpacing/>
    </w:pPr>
  </w:style>
  <w:style w:type="paragraph" w:styleId="FootnoteText">
    <w:name w:val="footnote text"/>
    <w:basedOn w:val="Normal"/>
    <w:link w:val="FootnoteTextChar"/>
    <w:semiHidden/>
    <w:rsid w:val="00853153"/>
    <w:rPr>
      <w:rFonts w:ascii="Times New Roman" w:hAnsi="Times New Roman"/>
      <w:sz w:val="20"/>
      <w:szCs w:val="20"/>
    </w:rPr>
  </w:style>
  <w:style w:type="character" w:customStyle="1" w:styleId="FootnoteTextChar">
    <w:name w:val="Footnote Text Char"/>
    <w:basedOn w:val="DefaultParagraphFont"/>
    <w:link w:val="FootnoteText"/>
    <w:semiHidden/>
    <w:rsid w:val="00853153"/>
    <w:rPr>
      <w:rFonts w:ascii="Times New Roman" w:eastAsia="Times New Roman" w:hAnsi="Times New Roman" w:cs="Times New Roman"/>
      <w:sz w:val="20"/>
      <w:szCs w:val="20"/>
      <w:lang w:eastAsia="en-GB"/>
    </w:rPr>
  </w:style>
  <w:style w:type="character" w:styleId="FootnoteReference">
    <w:name w:val="footnote reference"/>
    <w:semiHidden/>
    <w:rsid w:val="00853153"/>
    <w:rPr>
      <w:rFonts w:cs="Times New Roman"/>
      <w:vertAlign w:val="superscript"/>
    </w:rPr>
  </w:style>
  <w:style w:type="paragraph" w:styleId="BodyTextIndent">
    <w:name w:val="Body Text Indent"/>
    <w:basedOn w:val="Normal"/>
    <w:link w:val="BodyTextIndentChar"/>
    <w:unhideWhenUsed/>
    <w:rsid w:val="00D14999"/>
    <w:pPr>
      <w:widowControl w:val="0"/>
      <w:ind w:left="1440"/>
      <w:jc w:val="both"/>
    </w:pPr>
    <w:rPr>
      <w:rFonts w:ascii="Univers" w:hAnsi="Univers"/>
      <w:snapToGrid w:val="0"/>
      <w:szCs w:val="20"/>
      <w:lang w:eastAsia="en-US"/>
    </w:rPr>
  </w:style>
  <w:style w:type="character" w:customStyle="1" w:styleId="BodyTextIndentChar">
    <w:name w:val="Body Text Indent Char"/>
    <w:basedOn w:val="DefaultParagraphFont"/>
    <w:link w:val="BodyTextIndent"/>
    <w:rsid w:val="008D1074"/>
    <w:rPr>
      <w:rFonts w:ascii="Univers" w:eastAsia="Times New Roman" w:hAnsi="Univers" w:cs="Times New Roman"/>
      <w:snapToGrid w:val="0"/>
      <w:sz w:val="24"/>
      <w:szCs w:val="20"/>
    </w:rPr>
  </w:style>
  <w:style w:type="paragraph" w:styleId="BodyText">
    <w:name w:val="Body Text"/>
    <w:basedOn w:val="Normal"/>
    <w:link w:val="BodyTextChar"/>
    <w:qFormat/>
    <w:rsid w:val="002A7E80"/>
    <w:pPr>
      <w:widowControl w:val="0"/>
      <w:spacing w:before="240" w:after="120"/>
      <w:ind w:left="851"/>
    </w:pPr>
    <w:rPr>
      <w:snapToGrid w:val="0"/>
      <w:szCs w:val="20"/>
      <w:lang w:eastAsia="en-US"/>
    </w:rPr>
  </w:style>
  <w:style w:type="character" w:customStyle="1" w:styleId="BodyTextChar">
    <w:name w:val="Body Text Char"/>
    <w:basedOn w:val="DefaultParagraphFont"/>
    <w:link w:val="BodyText"/>
    <w:rsid w:val="008D1074"/>
    <w:rPr>
      <w:rFonts w:ascii="Arial" w:eastAsia="Times New Roman" w:hAnsi="Arial" w:cs="Times New Roman"/>
      <w:snapToGrid w:val="0"/>
      <w:sz w:val="24"/>
      <w:szCs w:val="20"/>
    </w:rPr>
  </w:style>
  <w:style w:type="character" w:styleId="Hyperlink">
    <w:name w:val="Hyperlink"/>
    <w:uiPriority w:val="99"/>
    <w:unhideWhenUsed/>
    <w:rsid w:val="00D14999"/>
    <w:rPr>
      <w:color w:val="0000FF"/>
      <w:u w:val="single"/>
    </w:rPr>
  </w:style>
  <w:style w:type="table" w:styleId="TableGrid">
    <w:name w:val="Table Grid"/>
    <w:basedOn w:val="TableNormal"/>
    <w:uiPriority w:val="59"/>
    <w:rsid w:val="00DB28F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D1074"/>
    <w:rPr>
      <w:rFonts w:ascii="Arial" w:eastAsia="Times New Roman" w:hAnsi="Arial" w:cs="Arial"/>
      <w:b/>
      <w:sz w:val="24"/>
      <w:lang w:eastAsia="en-GB"/>
    </w:rPr>
  </w:style>
  <w:style w:type="character" w:customStyle="1" w:styleId="Heading2Char">
    <w:name w:val="Heading 2 Char"/>
    <w:basedOn w:val="DefaultParagraphFont"/>
    <w:link w:val="Heading2"/>
    <w:uiPriority w:val="1"/>
    <w:rsid w:val="008D1074"/>
    <w:rPr>
      <w:rFonts w:ascii="Arial" w:eastAsia="Times New Roman" w:hAnsi="Arial" w:cs="Arial"/>
      <w:b/>
      <w:sz w:val="24"/>
      <w:lang w:eastAsia="en-GB"/>
    </w:rPr>
  </w:style>
  <w:style w:type="paragraph" w:styleId="TOCHeading">
    <w:name w:val="TOC Heading"/>
    <w:basedOn w:val="Heading1"/>
    <w:next w:val="Normal"/>
    <w:uiPriority w:val="39"/>
    <w:semiHidden/>
    <w:unhideWhenUsed/>
    <w:qFormat/>
    <w:rsid w:val="008A63DC"/>
    <w:pPr>
      <w:keepNext/>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rsid w:val="00A66E06"/>
    <w:pPr>
      <w:tabs>
        <w:tab w:val="left" w:pos="660"/>
        <w:tab w:val="left" w:pos="851"/>
        <w:tab w:val="right" w:leader="dot" w:pos="9016"/>
        <w:tab w:val="right" w:leader="dot" w:pos="9072"/>
      </w:tabs>
      <w:spacing w:after="100"/>
    </w:pPr>
    <w:rPr>
      <w:b/>
      <w:bCs/>
      <w:noProof/>
      <w:szCs w:val="22"/>
      <w:lang w:eastAsia="en-US"/>
    </w:rPr>
  </w:style>
  <w:style w:type="paragraph" w:styleId="TOC2">
    <w:name w:val="toc 2"/>
    <w:basedOn w:val="Normal"/>
    <w:next w:val="Normal"/>
    <w:autoRedefine/>
    <w:uiPriority w:val="39"/>
    <w:unhideWhenUsed/>
    <w:rsid w:val="008A63DC"/>
    <w:pPr>
      <w:spacing w:after="100"/>
      <w:ind w:left="240"/>
    </w:pPr>
  </w:style>
  <w:style w:type="paragraph" w:customStyle="1" w:styleId="DHSecondaryHeadingOne">
    <w:name w:val="DH Secondary Heading One"/>
    <w:basedOn w:val="Normal"/>
    <w:unhideWhenUsed/>
    <w:rsid w:val="00D055D6"/>
    <w:pPr>
      <w:numPr>
        <w:numId w:val="1"/>
      </w:numPr>
      <w:spacing w:line="360" w:lineRule="exact"/>
    </w:pPr>
    <w:rPr>
      <w:rFonts w:eastAsia="MS Mincho"/>
      <w:color w:val="009966"/>
      <w:sz w:val="28"/>
      <w:szCs w:val="28"/>
      <w:lang w:eastAsia="en-US"/>
    </w:rPr>
  </w:style>
  <w:style w:type="character" w:styleId="CommentReference">
    <w:name w:val="annotation reference"/>
    <w:basedOn w:val="DefaultParagraphFont"/>
    <w:uiPriority w:val="99"/>
    <w:semiHidden/>
    <w:unhideWhenUsed/>
    <w:rsid w:val="0070418B"/>
    <w:rPr>
      <w:sz w:val="16"/>
      <w:szCs w:val="16"/>
    </w:rPr>
  </w:style>
  <w:style w:type="paragraph" w:styleId="CommentText">
    <w:name w:val="annotation text"/>
    <w:basedOn w:val="Normal"/>
    <w:link w:val="CommentTextChar"/>
    <w:uiPriority w:val="99"/>
    <w:unhideWhenUsed/>
    <w:rsid w:val="0070418B"/>
    <w:rPr>
      <w:sz w:val="20"/>
      <w:szCs w:val="20"/>
    </w:rPr>
  </w:style>
  <w:style w:type="character" w:customStyle="1" w:styleId="CommentTextChar">
    <w:name w:val="Comment Text Char"/>
    <w:basedOn w:val="DefaultParagraphFont"/>
    <w:link w:val="CommentText"/>
    <w:uiPriority w:val="99"/>
    <w:rsid w:val="0070418B"/>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0418B"/>
    <w:rPr>
      <w:b/>
      <w:bCs/>
    </w:rPr>
  </w:style>
  <w:style w:type="character" w:customStyle="1" w:styleId="CommentSubjectChar">
    <w:name w:val="Comment Subject Char"/>
    <w:basedOn w:val="CommentTextChar"/>
    <w:link w:val="CommentSubject"/>
    <w:uiPriority w:val="99"/>
    <w:semiHidden/>
    <w:rsid w:val="0070418B"/>
    <w:rPr>
      <w:rFonts w:ascii="Arial" w:eastAsia="Times New Roman" w:hAnsi="Arial" w:cs="Times New Roman"/>
      <w:b/>
      <w:bCs/>
      <w:sz w:val="20"/>
      <w:szCs w:val="20"/>
      <w:lang w:eastAsia="en-GB"/>
    </w:rPr>
  </w:style>
  <w:style w:type="paragraph" w:styleId="TOC3">
    <w:name w:val="toc 3"/>
    <w:basedOn w:val="Normal"/>
    <w:uiPriority w:val="39"/>
    <w:rsid w:val="00D713FA"/>
    <w:pPr>
      <w:widowControl w:val="0"/>
      <w:ind w:left="1848" w:hanging="1064"/>
    </w:pPr>
    <w:rPr>
      <w:rFonts w:ascii="Calibri" w:eastAsia="Calibri" w:hAnsi="Calibri" w:cstheme="minorBidi"/>
      <w:sz w:val="22"/>
      <w:szCs w:val="22"/>
      <w:lang w:val="en-US" w:eastAsia="en-US"/>
    </w:rPr>
  </w:style>
  <w:style w:type="paragraph" w:customStyle="1" w:styleId="TableParagraph">
    <w:name w:val="Table Paragraph"/>
    <w:basedOn w:val="Normal"/>
    <w:uiPriority w:val="1"/>
    <w:qFormat/>
    <w:rsid w:val="00D713FA"/>
    <w:pPr>
      <w:widowControl w:val="0"/>
    </w:pPr>
    <w:rPr>
      <w:rFonts w:asciiTheme="minorHAnsi" w:eastAsiaTheme="minorHAnsi" w:hAnsiTheme="minorHAnsi" w:cstheme="minorBidi"/>
      <w:sz w:val="22"/>
      <w:szCs w:val="22"/>
      <w:lang w:val="en-US" w:eastAsia="en-US"/>
    </w:rPr>
  </w:style>
  <w:style w:type="table" w:styleId="LightList-Accent1">
    <w:name w:val="Light List Accent 1"/>
    <w:basedOn w:val="TableNormal"/>
    <w:uiPriority w:val="61"/>
    <w:rsid w:val="00D713FA"/>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1">
    <w:name w:val="Light Shading Accent 1"/>
    <w:basedOn w:val="TableNormal"/>
    <w:uiPriority w:val="60"/>
    <w:rsid w:val="00D713F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unhideWhenUsed/>
    <w:rsid w:val="004D6CF0"/>
    <w:pPr>
      <w:autoSpaceDE w:val="0"/>
      <w:autoSpaceDN w:val="0"/>
      <w:adjustRightInd w:val="0"/>
      <w:spacing w:after="0" w:line="240" w:lineRule="auto"/>
    </w:pPr>
    <w:rPr>
      <w:rFonts w:ascii="Arial" w:hAnsi="Arial" w:cs="Arial"/>
      <w:color w:val="000000"/>
      <w:sz w:val="24"/>
      <w:szCs w:val="24"/>
    </w:rPr>
  </w:style>
  <w:style w:type="paragraph" w:styleId="TOC4">
    <w:name w:val="toc 4"/>
    <w:basedOn w:val="Normal"/>
    <w:next w:val="Normal"/>
    <w:autoRedefine/>
    <w:uiPriority w:val="39"/>
    <w:unhideWhenUsed/>
    <w:rsid w:val="00C520D2"/>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520D2"/>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520D2"/>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520D2"/>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520D2"/>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520D2"/>
    <w:pPr>
      <w:spacing w:after="100" w:line="259" w:lineRule="auto"/>
      <w:ind w:left="1760"/>
    </w:pPr>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C520D2"/>
    <w:rPr>
      <w:color w:val="605E5C"/>
      <w:shd w:val="clear" w:color="auto" w:fill="E1DFDD"/>
    </w:rPr>
  </w:style>
  <w:style w:type="paragraph" w:customStyle="1" w:styleId="Bullet1">
    <w:name w:val="Bullet 1"/>
    <w:basedOn w:val="BodyText"/>
    <w:link w:val="Bullet1Char"/>
    <w:qFormat/>
    <w:rsid w:val="002637DB"/>
    <w:pPr>
      <w:numPr>
        <w:numId w:val="2"/>
      </w:numPr>
      <w:spacing w:before="120"/>
      <w:ind w:left="1231" w:hanging="380"/>
    </w:pPr>
    <w:rPr>
      <w:rFonts w:cs="Arial"/>
      <w:spacing w:val="-1"/>
      <w:szCs w:val="24"/>
    </w:rPr>
  </w:style>
  <w:style w:type="paragraph" w:styleId="Subtitle">
    <w:name w:val="Subtitle"/>
    <w:basedOn w:val="Normal"/>
    <w:next w:val="Normal"/>
    <w:link w:val="SubtitleChar"/>
    <w:uiPriority w:val="11"/>
    <w:qFormat/>
    <w:rsid w:val="005363CF"/>
    <w:pPr>
      <w:numPr>
        <w:ilvl w:val="1"/>
      </w:numPr>
      <w:spacing w:before="120" w:after="120"/>
      <w:jc w:val="center"/>
    </w:pPr>
    <w:rPr>
      <w:rFonts w:eastAsiaTheme="minorEastAsia" w:cstheme="minorBidi"/>
      <w:b/>
      <w:sz w:val="36"/>
      <w:szCs w:val="22"/>
    </w:rPr>
  </w:style>
  <w:style w:type="character" w:customStyle="1" w:styleId="Bullet1Char">
    <w:name w:val="Bullet 1 Char"/>
    <w:basedOn w:val="BodyTextChar"/>
    <w:link w:val="Bullet1"/>
    <w:rsid w:val="002637DB"/>
    <w:rPr>
      <w:rFonts w:ascii="Arial" w:eastAsia="Times New Roman" w:hAnsi="Arial" w:cs="Arial"/>
      <w:snapToGrid w:val="0"/>
      <w:spacing w:val="-1"/>
      <w:sz w:val="24"/>
      <w:szCs w:val="24"/>
    </w:rPr>
  </w:style>
  <w:style w:type="character" w:customStyle="1" w:styleId="SubtitleChar">
    <w:name w:val="Subtitle Char"/>
    <w:basedOn w:val="DefaultParagraphFont"/>
    <w:link w:val="Subtitle"/>
    <w:uiPriority w:val="11"/>
    <w:rsid w:val="005363CF"/>
    <w:rPr>
      <w:rFonts w:ascii="Arial" w:eastAsiaTheme="minorEastAsia" w:hAnsi="Arial"/>
      <w:b/>
      <w:sz w:val="36"/>
      <w:lang w:eastAsia="en-GB"/>
    </w:rPr>
  </w:style>
  <w:style w:type="paragraph" w:styleId="Title">
    <w:name w:val="Title"/>
    <w:basedOn w:val="Normal"/>
    <w:next w:val="Normal"/>
    <w:link w:val="TitleChar"/>
    <w:uiPriority w:val="10"/>
    <w:qFormat/>
    <w:rsid w:val="00011F42"/>
    <w:pPr>
      <w:contextualSpacing/>
      <w:jc w:val="center"/>
    </w:pPr>
    <w:rPr>
      <w:rFonts w:eastAsiaTheme="majorEastAsia" w:cstheme="majorBidi"/>
      <w:b/>
      <w:sz w:val="48"/>
      <w:szCs w:val="56"/>
    </w:rPr>
  </w:style>
  <w:style w:type="character" w:customStyle="1" w:styleId="TitleChar">
    <w:name w:val="Title Char"/>
    <w:basedOn w:val="DefaultParagraphFont"/>
    <w:link w:val="Title"/>
    <w:uiPriority w:val="10"/>
    <w:rsid w:val="00011F42"/>
    <w:rPr>
      <w:rFonts w:ascii="Arial" w:eastAsiaTheme="majorEastAsia" w:hAnsi="Arial" w:cstheme="majorBidi"/>
      <w:b/>
      <w:sz w:val="48"/>
      <w:szCs w:val="56"/>
      <w:lang w:eastAsia="en-GB"/>
    </w:rPr>
  </w:style>
  <w:style w:type="paragraph" w:customStyle="1" w:styleId="Smallsubtitle">
    <w:name w:val="Small subtitle"/>
    <w:basedOn w:val="BodyText"/>
    <w:link w:val="SmallsubtitleChar"/>
    <w:unhideWhenUsed/>
    <w:rsid w:val="005363CF"/>
    <w:rPr>
      <w:b/>
      <w:bCs/>
    </w:rPr>
  </w:style>
  <w:style w:type="character" w:customStyle="1" w:styleId="SmallsubtitleChar">
    <w:name w:val="Small subtitle Char"/>
    <w:basedOn w:val="BodyTextChar"/>
    <w:link w:val="Smallsubtitle"/>
    <w:rsid w:val="008D1074"/>
    <w:rPr>
      <w:rFonts w:ascii="Arial" w:eastAsia="Times New Roman" w:hAnsi="Arial" w:cs="Times New Roman"/>
      <w:b/>
      <w:bCs/>
      <w:snapToGrid w:val="0"/>
      <w:sz w:val="24"/>
      <w:szCs w:val="20"/>
    </w:rPr>
  </w:style>
  <w:style w:type="paragraph" w:styleId="Revision">
    <w:name w:val="Revision"/>
    <w:hidden/>
    <w:uiPriority w:val="99"/>
    <w:semiHidden/>
    <w:rsid w:val="0098746A"/>
    <w:pPr>
      <w:spacing w:after="0" w:line="240" w:lineRule="auto"/>
    </w:pPr>
    <w:rPr>
      <w:rFonts w:ascii="Arial" w:eastAsia="Times New Roman" w:hAnsi="Arial" w:cs="Times New Roman"/>
      <w:sz w:val="24"/>
      <w:szCs w:val="24"/>
      <w:lang w:eastAsia="en-GB"/>
    </w:rPr>
  </w:style>
  <w:style w:type="character" w:customStyle="1" w:styleId="Heading3Char">
    <w:name w:val="Heading 3 Char"/>
    <w:basedOn w:val="DefaultParagraphFont"/>
    <w:link w:val="Heading3"/>
    <w:uiPriority w:val="1"/>
    <w:rsid w:val="008D1074"/>
    <w:rPr>
      <w:rFonts w:ascii="Arial" w:eastAsia="Times New Roman" w:hAnsi="Arial" w:cs="Arial"/>
      <w:b/>
      <w:i/>
      <w:iCs/>
      <w:sz w:val="24"/>
      <w:lang w:eastAsia="en-GB"/>
    </w:rPr>
  </w:style>
  <w:style w:type="paragraph" w:customStyle="1" w:styleId="Bullet2">
    <w:name w:val="Bullet 2"/>
    <w:basedOn w:val="Bullet1"/>
    <w:link w:val="Bullet2Char"/>
    <w:qFormat/>
    <w:rsid w:val="008D1074"/>
    <w:pPr>
      <w:numPr>
        <w:ilvl w:val="1"/>
      </w:numPr>
      <w:ind w:left="1701" w:hanging="425"/>
    </w:pPr>
  </w:style>
  <w:style w:type="paragraph" w:styleId="NoSpacing">
    <w:name w:val="No Spacing"/>
    <w:uiPriority w:val="1"/>
    <w:qFormat/>
    <w:rsid w:val="00074BC6"/>
    <w:pPr>
      <w:spacing w:after="0" w:line="240" w:lineRule="auto"/>
    </w:pPr>
  </w:style>
  <w:style w:type="character" w:customStyle="1" w:styleId="Heading4Char">
    <w:name w:val="Heading 4 Char"/>
    <w:basedOn w:val="DefaultParagraphFont"/>
    <w:link w:val="Heading4"/>
    <w:uiPriority w:val="9"/>
    <w:rsid w:val="00496EF9"/>
    <w:rPr>
      <w:rFonts w:asciiTheme="majorHAnsi" w:eastAsiaTheme="majorEastAsia" w:hAnsiTheme="majorHAnsi" w:cstheme="majorBidi"/>
      <w:i/>
      <w:iCs/>
      <w:color w:val="365F91" w:themeColor="accent1" w:themeShade="BF"/>
    </w:rPr>
  </w:style>
  <w:style w:type="character" w:customStyle="1" w:styleId="Bullet2Char">
    <w:name w:val="Bullet 2 Char"/>
    <w:link w:val="Bullet2"/>
    <w:rsid w:val="00E57277"/>
    <w:rPr>
      <w:rFonts w:ascii="Arial" w:eastAsia="Times New Roman" w:hAnsi="Arial" w:cs="Arial"/>
      <w:snapToGrid w:val="0"/>
      <w:spacing w:val="-1"/>
      <w:sz w:val="24"/>
      <w:szCs w:val="24"/>
    </w:rPr>
  </w:style>
  <w:style w:type="character" w:styleId="FollowedHyperlink">
    <w:name w:val="FollowedHyperlink"/>
    <w:basedOn w:val="DefaultParagraphFont"/>
    <w:uiPriority w:val="99"/>
    <w:semiHidden/>
    <w:unhideWhenUsed/>
    <w:rsid w:val="008227D6"/>
    <w:rPr>
      <w:color w:val="800080" w:themeColor="followedHyperlink"/>
      <w:u w:val="single"/>
    </w:rPr>
  </w:style>
  <w:style w:type="character" w:customStyle="1" w:styleId="wacimagecontainer">
    <w:name w:val="wacimagecontainer"/>
    <w:basedOn w:val="DefaultParagraphFont"/>
    <w:rsid w:val="008A1861"/>
  </w:style>
  <w:style w:type="character" w:customStyle="1" w:styleId="ListParagraphChar">
    <w:name w:val="List Paragraph Char"/>
    <w:basedOn w:val="DefaultParagraphFont"/>
    <w:link w:val="ListParagraph"/>
    <w:uiPriority w:val="34"/>
    <w:rsid w:val="00C14524"/>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671948">
      <w:bodyDiv w:val="1"/>
      <w:marLeft w:val="0"/>
      <w:marRight w:val="0"/>
      <w:marTop w:val="0"/>
      <w:marBottom w:val="0"/>
      <w:divBdr>
        <w:top w:val="none" w:sz="0" w:space="0" w:color="auto"/>
        <w:left w:val="none" w:sz="0" w:space="0" w:color="auto"/>
        <w:bottom w:val="none" w:sz="0" w:space="0" w:color="auto"/>
        <w:right w:val="none" w:sz="0" w:space="0" w:color="auto"/>
      </w:divBdr>
    </w:div>
    <w:div w:id="176772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6.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forms.office.com/Pages/ResponsePage.aspx?id=slTDN7CF9UeyIge0jXdO43bzkvDtSmtJiTSH0JWa3LFUMjg1TlgyMzFUTlFIVDBGUEI2V1lUV1RSWS4u"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sha.sencier.CCG\Desktop\ICS%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ediaLengthInSeconds xmlns="51c062ac-88f1-42c9-84f7-095f7907af5d" xsi:nil="true"/>
    <lcf76f155ced4ddcb4097134ff3c332f xmlns="51c062ac-88f1-42c9-84f7-095f7907af5d">
      <Terms xmlns="http://schemas.microsoft.com/office/infopath/2007/PartnerControls"/>
    </lcf76f155ced4ddcb4097134ff3c332f>
    <TaxCatchAll xmlns="352116b4-fc79-4095-a67c-d9f2d6bb1f45" xsi:nil="true"/>
    <SharedWithUsers xmlns="352116b4-fc79-4095-a67c-d9f2d6bb1f45">
      <UserInfo>
        <DisplayName>STOCKS, Claire (NHS NORTH EAST LINCOLNSHIRE CCG)</DisplayName>
        <AccountId>116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C1BB20698563149AB63A93708962F7B" ma:contentTypeVersion="16" ma:contentTypeDescription="Create a new document." ma:contentTypeScope="" ma:versionID="487443a2225d0af16eb942a74790ecf4">
  <xsd:schema xmlns:xsd="http://www.w3.org/2001/XMLSchema" xmlns:xs="http://www.w3.org/2001/XMLSchema" xmlns:p="http://schemas.microsoft.com/office/2006/metadata/properties" xmlns:ns1="http://schemas.microsoft.com/sharepoint/v3" xmlns:ns2="51c062ac-88f1-42c9-84f7-095f7907af5d" xmlns:ns3="352116b4-fc79-4095-a67c-d9f2d6bb1f45" targetNamespace="http://schemas.microsoft.com/office/2006/metadata/properties" ma:root="true" ma:fieldsID="2a711ceef960f1d9577173ab18ac2ec6" ns1:_="" ns2:_="" ns3:_="">
    <xsd:import namespace="http://schemas.microsoft.com/sharepoint/v3"/>
    <xsd:import namespace="51c062ac-88f1-42c9-84f7-095f7907af5d"/>
    <xsd:import namespace="352116b4-fc79-4095-a67c-d9f2d6bb1f45"/>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c062ac-88f1-42c9-84f7-095f7907af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2116b4-fc79-4095-a67c-d9f2d6bb1f4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e4e9db4-2916-44aa-ad76-1f46917fda17}" ma:internalName="TaxCatchAll" ma:showField="CatchAllData" ma:web="352116b4-fc79-4095-a67c-d9f2d6bb1f4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B09951-E21C-44AA-8703-B119A717B002}">
  <ds:schemaRefs>
    <ds:schemaRef ds:uri="http://schemas.microsoft.com/office/2006/metadata/properties"/>
    <ds:schemaRef ds:uri="http://schemas.microsoft.com/office/infopath/2007/PartnerControls"/>
    <ds:schemaRef ds:uri="http://schemas.microsoft.com/sharepoint/v3"/>
    <ds:schemaRef ds:uri="51c062ac-88f1-42c9-84f7-095f7907af5d"/>
    <ds:schemaRef ds:uri="352116b4-fc79-4095-a67c-d9f2d6bb1f45"/>
  </ds:schemaRefs>
</ds:datastoreItem>
</file>

<file path=customXml/itemProps2.xml><?xml version="1.0" encoding="utf-8"?>
<ds:datastoreItem xmlns:ds="http://schemas.openxmlformats.org/officeDocument/2006/customXml" ds:itemID="{41DED583-E3F3-4100-AE99-58D7E6057520}">
  <ds:schemaRefs>
    <ds:schemaRef ds:uri="http://schemas.openxmlformats.org/officeDocument/2006/bibliography"/>
  </ds:schemaRefs>
</ds:datastoreItem>
</file>

<file path=customXml/itemProps3.xml><?xml version="1.0" encoding="utf-8"?>
<ds:datastoreItem xmlns:ds="http://schemas.openxmlformats.org/officeDocument/2006/customXml" ds:itemID="{27DC900B-CB3C-4413-9EF4-F75C4E298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c062ac-88f1-42c9-84f7-095f7907af5d"/>
    <ds:schemaRef ds:uri="352116b4-fc79-4095-a67c-d9f2d6bb1f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0604B2-D909-49A2-B9C2-8B72098FB322}">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ICS Policy Template</Template>
  <TotalTime>318</TotalTime>
  <Pages>31</Pages>
  <Words>9727</Words>
  <Characters>55449</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I.T. Dept</Company>
  <LinksUpToDate>false</LinksUpToDate>
  <CharactersWithSpaces>65046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Sencier Sasha  [NY CCG]</dc:creator>
  <cp:keywords/>
  <cp:lastModifiedBy>CLEMENTS-PEARCE, Levi (NHS HUMBER AND NORTH YORKSHIRE ICB - 03H)</cp:lastModifiedBy>
  <cp:revision>17</cp:revision>
  <cp:lastPrinted>2023-07-26T13:18:00Z</cp:lastPrinted>
  <dcterms:created xsi:type="dcterms:W3CDTF">2024-09-30T08:40:00Z</dcterms:created>
  <dcterms:modified xsi:type="dcterms:W3CDTF">2024-10-10T15:10:00Z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0x0101009C1BB20698563149AB63A93708962F7B</vt:lpwstr>
  </property>
  <property fmtid="{D5CDD505-2E9C-101B-9397-08002B2CF9AE}" pid="3" name="MediaServiceImageTags">
    <vt:lpwstr/>
  </property>
  <property fmtid="{D5CDD505-2E9C-101B-9397-08002B2CF9AE}" pid="4" name="Order">
    <vt:r8>22864400</vt:r8>
  </property>
  <property fmtid="{D5CDD505-2E9C-101B-9397-08002B2CF9AE}" pid="5" name="xd_Signature">
    <vt:bool>false</vt:bool>
  </property>
  <property fmtid="{D5CDD505-2E9C-101B-9397-08002B2CF9AE}" pid="6" name="SharedWithUsers">
    <vt:lpwstr>116;#STOCKS, Claire (NHS NORTH EAST LINCOLNSHIRE CCG)</vt:lpwstr>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