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297D63FA" w:rsidR="00B23603" w:rsidRPr="00F31E0E" w:rsidRDefault="00955C5A" w:rsidP="007B0DD7">
            <w:pPr>
              <w:spacing w:after="0" w:line="240" w:lineRule="auto"/>
              <w:rPr>
                <w:color w:val="auto"/>
                <w:sz w:val="24"/>
                <w:szCs w:val="24"/>
              </w:rPr>
            </w:pPr>
            <w:r>
              <w:rPr>
                <w:color w:val="auto"/>
                <w:sz w:val="24"/>
                <w:szCs w:val="24"/>
              </w:rPr>
              <w:t>H</w:t>
            </w:r>
            <w:r w:rsidR="00ED6AED">
              <w:rPr>
                <w:color w:val="auto"/>
                <w:sz w:val="24"/>
                <w:szCs w:val="24"/>
              </w:rPr>
              <w:t>umber and North Yorkshire Integrated Care</w:t>
            </w:r>
            <w:r w:rsidR="0075500E">
              <w:rPr>
                <w:color w:val="auto"/>
                <w:sz w:val="24"/>
                <w:szCs w:val="24"/>
              </w:rPr>
              <w:t xml:space="preserv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77311B0A" w:rsidR="00373698" w:rsidRPr="00F31E0E" w:rsidRDefault="008A315B" w:rsidP="007B0DD7">
            <w:pPr>
              <w:spacing w:after="0" w:line="240" w:lineRule="auto"/>
              <w:rPr>
                <w:color w:val="auto"/>
                <w:sz w:val="24"/>
                <w:szCs w:val="24"/>
              </w:rPr>
            </w:pPr>
            <w:r>
              <w:rPr>
                <w:color w:val="auto"/>
                <w:sz w:val="24"/>
                <w:szCs w:val="24"/>
              </w:rPr>
              <w:t>8</w:t>
            </w:r>
            <w:r w:rsidR="007E6CBA" w:rsidRPr="007E6CBA">
              <w:rPr>
                <w:color w:val="auto"/>
                <w:sz w:val="24"/>
                <w:szCs w:val="24"/>
                <w:vertAlign w:val="superscript"/>
              </w:rPr>
              <w:t>th</w:t>
            </w:r>
            <w:r w:rsidR="007E6CBA">
              <w:rPr>
                <w:color w:val="auto"/>
                <w:sz w:val="24"/>
                <w:szCs w:val="24"/>
              </w:rPr>
              <w:t xml:space="preserve"> </w:t>
            </w:r>
            <w:r>
              <w:rPr>
                <w:color w:val="auto"/>
                <w:sz w:val="24"/>
                <w:szCs w:val="24"/>
              </w:rPr>
              <w:t>January</w:t>
            </w:r>
            <w:r w:rsidR="00BE0CF5" w:rsidRPr="00BE0CF5">
              <w:rPr>
                <w:color w:val="auto"/>
                <w:sz w:val="24"/>
                <w:szCs w:val="24"/>
              </w:rPr>
              <w:t xml:space="preserve"> 202</w:t>
            </w:r>
            <w:r>
              <w:rPr>
                <w:color w:val="auto"/>
                <w:sz w:val="24"/>
                <w:szCs w:val="24"/>
              </w:rPr>
              <w:t>5</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6E8C729C" w:rsidR="00373698" w:rsidRPr="0063726D" w:rsidRDefault="00BE0CF5" w:rsidP="007B0DD7">
            <w:pPr>
              <w:spacing w:after="0" w:line="240" w:lineRule="auto"/>
              <w:rPr>
                <w:b/>
                <w:bCs/>
                <w:color w:val="auto"/>
                <w:sz w:val="32"/>
                <w:szCs w:val="32"/>
              </w:rPr>
            </w:pPr>
            <w:r w:rsidRPr="00BE0CF5">
              <w:rPr>
                <w:b/>
                <w:bCs/>
                <w:color w:val="auto"/>
                <w:sz w:val="32"/>
                <w:szCs w:val="32"/>
              </w:rPr>
              <w:t xml:space="preserve">Month </w:t>
            </w:r>
            <w:r w:rsidR="008A315B">
              <w:rPr>
                <w:b/>
                <w:bCs/>
                <w:color w:val="auto"/>
                <w:sz w:val="32"/>
                <w:szCs w:val="32"/>
              </w:rPr>
              <w:t>8</w:t>
            </w:r>
            <w:r w:rsidRPr="00BE0CF5">
              <w:rPr>
                <w:b/>
                <w:bCs/>
                <w:color w:val="auto"/>
                <w:sz w:val="32"/>
                <w:szCs w:val="32"/>
              </w:rPr>
              <w:t xml:space="preserve"> Finance Report</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235022CB" w:rsidR="00373698" w:rsidRPr="00F31E0E" w:rsidRDefault="008A315B" w:rsidP="007B0DD7">
            <w:pPr>
              <w:spacing w:after="0" w:line="240" w:lineRule="auto"/>
              <w:rPr>
                <w:color w:val="auto"/>
                <w:sz w:val="24"/>
                <w:szCs w:val="24"/>
              </w:rPr>
            </w:pPr>
            <w:r>
              <w:rPr>
                <w:color w:val="auto"/>
                <w:sz w:val="24"/>
                <w:szCs w:val="24"/>
              </w:rPr>
              <w:t>Mark Brearley</w:t>
            </w:r>
            <w:r w:rsidR="007202CF">
              <w:rPr>
                <w:color w:val="auto"/>
                <w:sz w:val="24"/>
                <w:szCs w:val="24"/>
              </w:rPr>
              <w:t>,</w:t>
            </w:r>
            <w:r w:rsidR="00056190">
              <w:rPr>
                <w:color w:val="auto"/>
                <w:sz w:val="24"/>
                <w:szCs w:val="24"/>
              </w:rPr>
              <w:t xml:space="preserve"> </w:t>
            </w:r>
            <w:r>
              <w:rPr>
                <w:color w:val="auto"/>
                <w:sz w:val="24"/>
                <w:szCs w:val="24"/>
              </w:rPr>
              <w:t xml:space="preserve">Interim </w:t>
            </w:r>
            <w:r w:rsidR="00BE0CF5" w:rsidRPr="00BE0CF5">
              <w:rPr>
                <w:color w:val="auto"/>
                <w:sz w:val="24"/>
                <w:szCs w:val="24"/>
              </w:rPr>
              <w:t>Executive Director of Finance &amp; Investment</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4210B931" w:rsidR="008142EE" w:rsidRPr="00524FEE" w:rsidRDefault="00056190" w:rsidP="007B0DD7">
            <w:pPr>
              <w:spacing w:after="0" w:line="240" w:lineRule="auto"/>
              <w:rPr>
                <w:b/>
                <w:color w:val="auto"/>
              </w:rPr>
            </w:pPr>
            <w:r>
              <w:rPr>
                <w:b/>
                <w:color w:val="auto"/>
              </w:rPr>
              <w:t>A</w:t>
            </w:r>
            <w:r w:rsidR="00ED6AED">
              <w:rPr>
                <w:b/>
                <w:color w:val="auto"/>
              </w:rPr>
              <w:t>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08936BD8" w:rsidR="008142EE" w:rsidRPr="00F31E0E" w:rsidRDefault="00BE0CF5" w:rsidP="007B0DD7">
            <w:pPr>
              <w:spacing w:after="0" w:line="240" w:lineRule="auto"/>
              <w:rPr>
                <w:color w:val="auto"/>
                <w:sz w:val="24"/>
                <w:szCs w:val="24"/>
              </w:rPr>
            </w:pPr>
            <w:r w:rsidRPr="00BE0CF5">
              <w:rPr>
                <w:color w:val="auto"/>
                <w:sz w:val="24"/>
                <w:szCs w:val="24"/>
              </w:rPr>
              <w:t>Dilani Gamble, Associate Director of Finance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5E99E545" w:rsidR="00BB5B75" w:rsidRPr="00BB5B75" w:rsidRDefault="00BE0CF5" w:rsidP="007C7835">
            <w:pPr>
              <w:jc w:val="center"/>
              <w:rPr>
                <w:b/>
                <w:bCs/>
                <w:sz w:val="32"/>
                <w:szCs w:val="32"/>
              </w:rPr>
            </w:pPr>
            <w:r w:rsidRPr="00ED6AED">
              <w:rPr>
                <w:b/>
                <w:bCs/>
                <w:color w:val="auto"/>
                <w:sz w:val="32"/>
                <w:szCs w:val="32"/>
              </w:rPr>
              <w:t>1</w:t>
            </w:r>
            <w:r w:rsidR="007202CF" w:rsidRPr="00ED6AED">
              <w:rPr>
                <w:b/>
                <w:bCs/>
                <w:color w:val="auto"/>
                <w:sz w:val="32"/>
                <w:szCs w:val="32"/>
              </w:rPr>
              <w:t>0</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31E74FA9">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63323944"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ED6AED">
              <w:rPr>
                <w:b/>
                <w:color w:val="auto"/>
              </w:rPr>
              <w:t>:</w:t>
            </w:r>
          </w:p>
          <w:p w14:paraId="61D25B83" w14:textId="2857452F" w:rsidR="00C96C54" w:rsidRPr="00D43248"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535DD">
        <w:trPr>
          <w:trHeight w:val="25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C6CAA">
            <w:pPr>
              <w:spacing w:after="0" w:line="240" w:lineRule="auto"/>
              <w:rPr>
                <w:b/>
                <w:color w:val="auto"/>
              </w:rPr>
            </w:pPr>
          </w:p>
          <w:p w14:paraId="1E4D46BA" w14:textId="205205E5" w:rsidR="00B02016" w:rsidRDefault="007650BC" w:rsidP="00D43248">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5E882640" w14:textId="77777777" w:rsidR="00ED6AED" w:rsidRPr="00D43248" w:rsidRDefault="00ED6AED" w:rsidP="00D43248">
            <w:pPr>
              <w:spacing w:after="0" w:line="240" w:lineRule="auto"/>
              <w:rPr>
                <w:b/>
                <w:color w:val="auto"/>
              </w:rPr>
            </w:pPr>
          </w:p>
          <w:p w14:paraId="21649FAA" w14:textId="3B24DF12" w:rsidR="00B02016" w:rsidRDefault="00BE0CF5" w:rsidP="00BE0CF5">
            <w:pPr>
              <w:spacing w:after="0" w:line="240" w:lineRule="auto"/>
              <w:jc w:val="both"/>
              <w:rPr>
                <w:color w:val="auto"/>
              </w:rPr>
            </w:pPr>
            <w:r w:rsidRPr="00BE0CF5">
              <w:rPr>
                <w:color w:val="auto"/>
              </w:rPr>
              <w:t xml:space="preserve">This report presents the financial position, including NHS providers and the ICB, that is available for the system for the period ended </w:t>
            </w:r>
            <w:r w:rsidR="00C01575">
              <w:rPr>
                <w:color w:val="auto"/>
              </w:rPr>
              <w:t>3</w:t>
            </w:r>
            <w:r w:rsidR="005518A2">
              <w:rPr>
                <w:color w:val="auto"/>
              </w:rPr>
              <w:t>0 November</w:t>
            </w:r>
            <w:r w:rsidRPr="00BE0CF5">
              <w:rPr>
                <w:color w:val="auto"/>
              </w:rPr>
              <w:t xml:space="preserve"> 2024. </w:t>
            </w:r>
          </w:p>
          <w:p w14:paraId="56C8CBBB" w14:textId="77777777" w:rsidR="005130CC" w:rsidRPr="00BE0CF5" w:rsidRDefault="005130CC" w:rsidP="00BE0CF5">
            <w:pPr>
              <w:spacing w:after="0" w:line="240" w:lineRule="auto"/>
              <w:jc w:val="both"/>
              <w:rPr>
                <w:color w:val="auto"/>
              </w:rPr>
            </w:pPr>
          </w:p>
          <w:p w14:paraId="09B52BC7" w14:textId="77777777" w:rsidR="005518A2" w:rsidRPr="005518A2" w:rsidRDefault="005518A2" w:rsidP="00ED6AED">
            <w:pPr>
              <w:spacing w:after="0" w:line="240" w:lineRule="auto"/>
              <w:jc w:val="both"/>
              <w:rPr>
                <w:color w:val="auto"/>
              </w:rPr>
            </w:pPr>
            <w:r w:rsidRPr="005518A2">
              <w:rPr>
                <w:color w:val="auto"/>
              </w:rPr>
              <w:t xml:space="preserve">The ICS has reported a £38.0m deficit against a £25m year to date plan. This is an overspend of £13m against plan that reflects the impact of all year-to-date cost pressures. The system recognises that the level of actual year to date deficit requires the system to urgently progress opportunities/additional savings plans in the remainder of the financial year to support delivery of the planned financial position. </w:t>
            </w:r>
          </w:p>
          <w:p w14:paraId="065D1A35" w14:textId="77777777" w:rsidR="005518A2" w:rsidRPr="005518A2" w:rsidRDefault="005518A2" w:rsidP="00ED6AED">
            <w:pPr>
              <w:spacing w:after="0" w:line="240" w:lineRule="auto"/>
              <w:jc w:val="both"/>
              <w:rPr>
                <w:color w:val="auto"/>
              </w:rPr>
            </w:pPr>
          </w:p>
          <w:p w14:paraId="4516B412" w14:textId="3CC31D79" w:rsidR="00C01575" w:rsidRDefault="005518A2" w:rsidP="00ED6AED">
            <w:pPr>
              <w:spacing w:after="0" w:line="240" w:lineRule="auto"/>
              <w:jc w:val="both"/>
              <w:rPr>
                <w:color w:val="auto"/>
              </w:rPr>
            </w:pPr>
            <w:r w:rsidRPr="005518A2">
              <w:rPr>
                <w:color w:val="auto"/>
              </w:rPr>
              <w:t>At month 8, the overall system risk/challenge of delivery of the planned financial position is circa £64m. Organisational and system financial recovery plans are in development, and these are being further updated for risks, mitigations and opportunities. A pre-month 9 stock take will be undertaken with each organisation to agree and finalise opportunities to be taken forward in 2024/25 to manage the overall system financial position. The system continues to ensure that grip and cost control measures remain in place and that efficiencies are being maximised.</w:t>
            </w:r>
          </w:p>
          <w:p w14:paraId="740FAEDB" w14:textId="77777777" w:rsidR="005518A2" w:rsidRPr="0019523A" w:rsidRDefault="005518A2" w:rsidP="00ED6AED">
            <w:pPr>
              <w:spacing w:after="0" w:line="240" w:lineRule="auto"/>
              <w:jc w:val="both"/>
              <w:rPr>
                <w:color w:val="auto"/>
              </w:rPr>
            </w:pPr>
          </w:p>
          <w:p w14:paraId="2602A0A0" w14:textId="77777777" w:rsidR="00BE0CF5" w:rsidRPr="00BE0CF5" w:rsidRDefault="00BE0CF5" w:rsidP="00ED6AED">
            <w:pPr>
              <w:spacing w:after="0" w:line="240" w:lineRule="auto"/>
              <w:jc w:val="both"/>
              <w:rPr>
                <w:b/>
                <w:bCs/>
                <w:color w:val="auto"/>
              </w:rPr>
            </w:pPr>
            <w:r w:rsidRPr="00BE0CF5">
              <w:rPr>
                <w:b/>
                <w:bCs/>
                <w:color w:val="auto"/>
              </w:rPr>
              <w:t xml:space="preserve">System Financial Position - Revenue </w:t>
            </w:r>
          </w:p>
          <w:p w14:paraId="4DD8E5E1" w14:textId="3DDA338B" w:rsidR="00BE0CF5" w:rsidRPr="00BE0CF5" w:rsidRDefault="00BE0CF5" w:rsidP="00ED6AED">
            <w:pPr>
              <w:pStyle w:val="ListParagraph"/>
              <w:numPr>
                <w:ilvl w:val="0"/>
                <w:numId w:val="8"/>
              </w:numPr>
              <w:spacing w:after="0" w:line="240" w:lineRule="auto"/>
              <w:jc w:val="both"/>
              <w:rPr>
                <w:color w:val="auto"/>
              </w:rPr>
            </w:pPr>
            <w:r w:rsidRPr="00BE0CF5">
              <w:rPr>
                <w:color w:val="auto"/>
              </w:rPr>
              <w:t xml:space="preserve">The month </w:t>
            </w:r>
            <w:r w:rsidR="005518A2">
              <w:rPr>
                <w:color w:val="auto"/>
              </w:rPr>
              <w:t>8</w:t>
            </w:r>
            <w:r w:rsidRPr="00BE0CF5">
              <w:rPr>
                <w:color w:val="auto"/>
              </w:rPr>
              <w:t xml:space="preserve"> position for the system is a deficit of £</w:t>
            </w:r>
            <w:r w:rsidR="005518A2">
              <w:rPr>
                <w:color w:val="auto"/>
              </w:rPr>
              <w:t>38</w:t>
            </w:r>
            <w:r w:rsidRPr="00BE0CF5">
              <w:rPr>
                <w:color w:val="auto"/>
              </w:rPr>
              <w:t xml:space="preserve">m against a year-to-date </w:t>
            </w:r>
            <w:r w:rsidR="005518A2" w:rsidRPr="00BE0CF5">
              <w:rPr>
                <w:color w:val="auto"/>
              </w:rPr>
              <w:t>plan deficit</w:t>
            </w:r>
            <w:r w:rsidRPr="00BE0CF5">
              <w:rPr>
                <w:color w:val="auto"/>
              </w:rPr>
              <w:t xml:space="preserve"> of £</w:t>
            </w:r>
            <w:r w:rsidR="00C01575">
              <w:rPr>
                <w:color w:val="auto"/>
              </w:rPr>
              <w:t>2</w:t>
            </w:r>
            <w:r w:rsidR="005518A2">
              <w:rPr>
                <w:color w:val="auto"/>
              </w:rPr>
              <w:t>5</w:t>
            </w:r>
            <w:r w:rsidRPr="00BE0CF5">
              <w:rPr>
                <w:color w:val="auto"/>
              </w:rPr>
              <w:t>m.This is an adverse year to date variance to plan of £</w:t>
            </w:r>
            <w:r w:rsidR="005518A2">
              <w:rPr>
                <w:color w:val="auto"/>
              </w:rPr>
              <w:t>13</w:t>
            </w:r>
            <w:r w:rsidRPr="00BE0CF5">
              <w:rPr>
                <w:color w:val="auto"/>
              </w:rPr>
              <w:t xml:space="preserve">m. </w:t>
            </w:r>
          </w:p>
          <w:p w14:paraId="3CA3DB79" w14:textId="296B29B4" w:rsidR="00255E72" w:rsidRPr="0019523A" w:rsidRDefault="0019523A" w:rsidP="00ED6AED">
            <w:pPr>
              <w:pStyle w:val="ListParagraph"/>
              <w:numPr>
                <w:ilvl w:val="0"/>
                <w:numId w:val="8"/>
              </w:numPr>
              <w:spacing w:after="0" w:line="240" w:lineRule="auto"/>
              <w:jc w:val="both"/>
              <w:rPr>
                <w:b/>
                <w:bCs/>
                <w:color w:val="auto"/>
              </w:rPr>
            </w:pPr>
            <w:r w:rsidRPr="0019523A">
              <w:rPr>
                <w:color w:val="auto"/>
              </w:rPr>
              <w:t xml:space="preserve">This overspend </w:t>
            </w:r>
            <w:r w:rsidR="005518A2">
              <w:rPr>
                <w:color w:val="auto"/>
              </w:rPr>
              <w:t>reflects the year-to-date impact of all cost pressures</w:t>
            </w:r>
            <w:r w:rsidR="00255E72" w:rsidRPr="00255E72">
              <w:rPr>
                <w:color w:val="auto"/>
              </w:rPr>
              <w:t xml:space="preserve">. </w:t>
            </w:r>
          </w:p>
          <w:p w14:paraId="5D423896" w14:textId="1400A66C" w:rsidR="0019523A" w:rsidRPr="00255E72" w:rsidRDefault="00DE6319" w:rsidP="00ED6AED">
            <w:pPr>
              <w:pStyle w:val="ListParagraph"/>
              <w:numPr>
                <w:ilvl w:val="0"/>
                <w:numId w:val="8"/>
              </w:numPr>
              <w:spacing w:after="0" w:line="240" w:lineRule="auto"/>
              <w:jc w:val="both"/>
              <w:rPr>
                <w:b/>
                <w:bCs/>
                <w:color w:val="auto"/>
              </w:rPr>
            </w:pPr>
            <w:r>
              <w:rPr>
                <w:color w:val="auto"/>
              </w:rPr>
              <w:t>Following receipt of non-recurrent deficit support revenue allocation of £50m, t</w:t>
            </w:r>
            <w:r w:rsidR="0019523A">
              <w:rPr>
                <w:color w:val="auto"/>
              </w:rPr>
              <w:t xml:space="preserve">he system forecast is to deliver </w:t>
            </w:r>
            <w:r>
              <w:rPr>
                <w:color w:val="auto"/>
              </w:rPr>
              <w:t>a breakeven position for 2024/25</w:t>
            </w:r>
            <w:r w:rsidR="0019523A">
              <w:rPr>
                <w:color w:val="auto"/>
              </w:rPr>
              <w:t>.</w:t>
            </w:r>
          </w:p>
          <w:p w14:paraId="3CDDB2FB" w14:textId="696401BF" w:rsidR="00BE0CF5" w:rsidRPr="00255E72" w:rsidRDefault="00BE0CF5" w:rsidP="00ED6AED">
            <w:pPr>
              <w:spacing w:after="0" w:line="240" w:lineRule="auto"/>
              <w:jc w:val="both"/>
              <w:rPr>
                <w:b/>
                <w:bCs/>
                <w:color w:val="auto"/>
              </w:rPr>
            </w:pPr>
            <w:r w:rsidRPr="00255E72">
              <w:rPr>
                <w:b/>
                <w:bCs/>
                <w:color w:val="auto"/>
              </w:rPr>
              <w:t>System Financial Position - Capital</w:t>
            </w:r>
          </w:p>
          <w:p w14:paraId="35B57DF1" w14:textId="17FA6721" w:rsidR="00255E72" w:rsidRDefault="00255E72" w:rsidP="00ED6AED">
            <w:pPr>
              <w:pStyle w:val="ListParagraph"/>
              <w:numPr>
                <w:ilvl w:val="0"/>
                <w:numId w:val="12"/>
              </w:numPr>
              <w:spacing w:after="0" w:line="240" w:lineRule="auto"/>
              <w:jc w:val="both"/>
              <w:rPr>
                <w:color w:val="auto"/>
              </w:rPr>
            </w:pPr>
            <w:bookmarkStart w:id="2" w:name="_Hlk160447420"/>
            <w:r w:rsidRPr="00255E72">
              <w:rPr>
                <w:color w:val="auto"/>
              </w:rPr>
              <w:t xml:space="preserve">Capital Expenditure, including all funding streams and IFRS, is underspent to date at month </w:t>
            </w:r>
            <w:r w:rsidR="005518A2">
              <w:rPr>
                <w:color w:val="auto"/>
              </w:rPr>
              <w:t>8</w:t>
            </w:r>
            <w:r w:rsidRPr="00255E72">
              <w:rPr>
                <w:color w:val="auto"/>
              </w:rPr>
              <w:t xml:space="preserve"> mainly </w:t>
            </w:r>
            <w:r w:rsidR="005518A2" w:rsidRPr="00255E72">
              <w:rPr>
                <w:color w:val="auto"/>
              </w:rPr>
              <w:t>because of</w:t>
            </w:r>
            <w:r w:rsidRPr="00255E72">
              <w:rPr>
                <w:color w:val="auto"/>
              </w:rPr>
              <w:t xml:space="preserve"> schemes starting later than planned. </w:t>
            </w:r>
            <w:bookmarkStart w:id="3" w:name="_Hlk175752721"/>
            <w:bookmarkEnd w:id="2"/>
            <w:r w:rsidRPr="00255E72">
              <w:rPr>
                <w:color w:val="auto"/>
              </w:rPr>
              <w:t>The forecast position for the ICS is that expenditure will align with plan following confirmed adjustments for additional income to support provider specific schemes.</w:t>
            </w:r>
            <w:bookmarkEnd w:id="3"/>
          </w:p>
          <w:p w14:paraId="4B109274" w14:textId="77777777" w:rsidR="00ED6AED" w:rsidRPr="00255E72" w:rsidRDefault="00ED6AED" w:rsidP="00ED6AED">
            <w:pPr>
              <w:pStyle w:val="ListParagraph"/>
              <w:spacing w:after="0" w:line="240" w:lineRule="auto"/>
              <w:jc w:val="both"/>
              <w:rPr>
                <w:color w:val="auto"/>
              </w:rPr>
            </w:pPr>
          </w:p>
          <w:p w14:paraId="59D0E49B" w14:textId="1A47CEC6" w:rsidR="007650BC" w:rsidRDefault="002B7229" w:rsidP="006C6CAA">
            <w:pPr>
              <w:spacing w:after="0" w:line="240" w:lineRule="auto"/>
              <w:rPr>
                <w:color w:val="auto"/>
              </w:rPr>
            </w:pPr>
            <w:r w:rsidRPr="00566BDC">
              <w:rPr>
                <w:b/>
                <w:color w:val="auto"/>
              </w:rPr>
              <w:t>RECOMMENDATIONS:</w:t>
            </w:r>
            <w:r w:rsidR="002D2FBC">
              <w:rPr>
                <w:color w:val="auto"/>
              </w:rPr>
              <w:t xml:space="preserve"> </w:t>
            </w:r>
          </w:p>
          <w:p w14:paraId="26EA7050" w14:textId="77777777" w:rsidR="00ED6AED" w:rsidRPr="00ED6AED" w:rsidRDefault="00ED6AED" w:rsidP="006C6CAA">
            <w:pPr>
              <w:spacing w:after="0" w:line="240" w:lineRule="auto"/>
              <w:rPr>
                <w:color w:val="auto"/>
                <w:sz w:val="16"/>
                <w:szCs w:val="16"/>
              </w:rPr>
            </w:pPr>
          </w:p>
          <w:p w14:paraId="721DF360" w14:textId="5A090D7C" w:rsidR="002D2FBC" w:rsidRDefault="002D2FBC" w:rsidP="006C6CAA">
            <w:pPr>
              <w:spacing w:after="0" w:line="240" w:lineRule="auto"/>
              <w:rPr>
                <w:color w:val="auto"/>
              </w:rPr>
            </w:pPr>
            <w:bookmarkStart w:id="4" w:name="_Hlk106101454"/>
            <w:r>
              <w:rPr>
                <w:color w:val="auto"/>
              </w:rPr>
              <w:t>Members are asked to:</w:t>
            </w:r>
          </w:p>
          <w:p w14:paraId="7D6102EF" w14:textId="6B7685BF" w:rsidR="002535DD" w:rsidRDefault="00BE0CF5" w:rsidP="00BE0CF5">
            <w:pPr>
              <w:pStyle w:val="ListParagraph"/>
              <w:numPr>
                <w:ilvl w:val="0"/>
                <w:numId w:val="10"/>
              </w:numPr>
              <w:spacing w:after="0" w:line="240" w:lineRule="auto"/>
              <w:rPr>
                <w:color w:val="auto"/>
              </w:rPr>
            </w:pPr>
            <w:r w:rsidRPr="00BE0CF5">
              <w:rPr>
                <w:color w:val="auto"/>
              </w:rPr>
              <w:t xml:space="preserve">Note the month </w:t>
            </w:r>
            <w:r w:rsidR="005518A2">
              <w:rPr>
                <w:color w:val="auto"/>
              </w:rPr>
              <w:t>8</w:t>
            </w:r>
            <w:r w:rsidRPr="00BE0CF5">
              <w:rPr>
                <w:color w:val="auto"/>
              </w:rPr>
              <w:t xml:space="preserve"> system financial position for 2024/25.</w:t>
            </w:r>
          </w:p>
          <w:p w14:paraId="5DD056FB" w14:textId="5CBA1CE5" w:rsidR="000B2507" w:rsidRPr="00ED6AED" w:rsidRDefault="002535DD" w:rsidP="00ED6AED">
            <w:pPr>
              <w:pStyle w:val="ListParagraph"/>
              <w:numPr>
                <w:ilvl w:val="0"/>
                <w:numId w:val="10"/>
              </w:numPr>
              <w:rPr>
                <w:color w:val="auto"/>
              </w:rPr>
            </w:pPr>
            <w:r w:rsidRPr="002535DD">
              <w:rPr>
                <w:color w:val="auto"/>
              </w:rPr>
              <w:t>Note the mitigating actions being pursued in year to deliver 2024/25 financial plan.</w:t>
            </w:r>
            <w:bookmarkEnd w:id="4"/>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6C1E7A" w:rsidRPr="00524FEE" w14:paraId="63DCEC3B" w14:textId="77777777" w:rsidTr="00ED6AED">
        <w:trPr>
          <w:trHeight w:val="427"/>
        </w:trPr>
        <w:tc>
          <w:tcPr>
            <w:tcW w:w="9608" w:type="dxa"/>
            <w:shd w:val="clear" w:color="auto" w:fill="D9D9D9" w:themeFill="background1" w:themeFillShade="D9"/>
          </w:tcPr>
          <w:p w14:paraId="10068BE3" w14:textId="77777777" w:rsidR="006C1E7A" w:rsidRDefault="006C1E7A" w:rsidP="00ED6AED">
            <w:pPr>
              <w:spacing w:after="0" w:line="240" w:lineRule="auto"/>
              <w:rPr>
                <w:b/>
                <w:color w:val="auto"/>
                <w:sz w:val="24"/>
                <w:szCs w:val="24"/>
              </w:rPr>
            </w:pPr>
            <w:bookmarkStart w:id="5"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p w14:paraId="5FCD88EA" w14:textId="77777777" w:rsidR="00ED6AED" w:rsidRDefault="00ED6AED" w:rsidP="00ED6AED">
            <w:pPr>
              <w:spacing w:after="0" w:line="360" w:lineRule="auto"/>
              <w:rPr>
                <w:b/>
                <w:color w:val="auto"/>
                <w:sz w:val="16"/>
                <w:szCs w:val="16"/>
              </w:rPr>
            </w:pPr>
          </w:p>
          <w:p w14:paraId="3A979286" w14:textId="6EDF019E" w:rsidR="00ED6AED" w:rsidRPr="00ED6AED" w:rsidRDefault="00ED6AED" w:rsidP="00ED6AED">
            <w:pPr>
              <w:spacing w:after="0" w:line="360" w:lineRule="auto"/>
              <w:rPr>
                <w:color w:val="auto"/>
                <w:sz w:val="16"/>
                <w:szCs w:val="16"/>
              </w:rPr>
            </w:pPr>
          </w:p>
        </w:tc>
      </w:tr>
    </w:tbl>
    <w:tbl>
      <w:tblPr>
        <w:tblStyle w:val="TableGrid"/>
        <w:tblpPr w:leftFromText="180" w:rightFromText="180" w:vertAnchor="page" w:horzAnchor="margin" w:tblpY="5386"/>
        <w:tblW w:w="0" w:type="auto"/>
        <w:tblLayout w:type="fixed"/>
        <w:tblLook w:val="04A0" w:firstRow="1" w:lastRow="0" w:firstColumn="1" w:lastColumn="0" w:noHBand="0" w:noVBand="1"/>
      </w:tblPr>
      <w:tblGrid>
        <w:gridCol w:w="2962"/>
        <w:gridCol w:w="6646"/>
      </w:tblGrid>
      <w:tr w:rsidR="00ED6AED" w:rsidRPr="00566BDC" w14:paraId="046C7BA0" w14:textId="77777777" w:rsidTr="00ED6AED">
        <w:tc>
          <w:tcPr>
            <w:tcW w:w="2962" w:type="dxa"/>
            <w:tcBorders>
              <w:top w:val="double" w:sz="4" w:space="0" w:color="auto"/>
              <w:left w:val="double" w:sz="4" w:space="0" w:color="auto"/>
              <w:bottom w:val="single" w:sz="4" w:space="0" w:color="auto"/>
              <w:right w:val="single" w:sz="4" w:space="0" w:color="auto"/>
            </w:tcBorders>
          </w:tcPr>
          <w:bookmarkEnd w:id="5"/>
          <w:p w14:paraId="24BF48F0" w14:textId="77777777" w:rsidR="00ED6AED" w:rsidRPr="00566BDC" w:rsidRDefault="00ED6AED" w:rsidP="00ED6AED">
            <w:pPr>
              <w:spacing w:after="0" w:line="240" w:lineRule="auto"/>
              <w:rPr>
                <w:color w:val="auto"/>
              </w:rPr>
            </w:pPr>
            <w:r w:rsidRPr="00566BDC">
              <w:rPr>
                <w:color w:val="auto"/>
              </w:rPr>
              <w:t>Quality</w:t>
            </w:r>
          </w:p>
        </w:tc>
        <w:tc>
          <w:tcPr>
            <w:tcW w:w="6646" w:type="dxa"/>
            <w:tcBorders>
              <w:top w:val="double" w:sz="4" w:space="0" w:color="auto"/>
              <w:left w:val="single" w:sz="4" w:space="0" w:color="auto"/>
              <w:bottom w:val="single" w:sz="4" w:space="0" w:color="auto"/>
              <w:right w:val="double" w:sz="4" w:space="0" w:color="auto"/>
            </w:tcBorders>
          </w:tcPr>
          <w:p w14:paraId="595DF428" w14:textId="77777777" w:rsidR="00ED6AED" w:rsidRPr="00ED6AED" w:rsidRDefault="00ED6AED" w:rsidP="00ED6AED">
            <w:pPr>
              <w:spacing w:after="0" w:line="240" w:lineRule="auto"/>
              <w:rPr>
                <w:color w:val="auto"/>
              </w:rPr>
            </w:pPr>
            <w:r w:rsidRPr="00ED6AED">
              <w:rPr>
                <w:color w:val="auto"/>
              </w:rPr>
              <w:t>Deploying our resources in a way that manages quality and safety risks and supports improvement.</w:t>
            </w:r>
          </w:p>
        </w:tc>
      </w:tr>
      <w:tr w:rsidR="00ED6AED" w:rsidRPr="00566BDC" w14:paraId="4407A791" w14:textId="77777777" w:rsidTr="00ED6AED">
        <w:tc>
          <w:tcPr>
            <w:tcW w:w="2962" w:type="dxa"/>
            <w:tcBorders>
              <w:top w:val="single" w:sz="4" w:space="0" w:color="auto"/>
              <w:left w:val="double" w:sz="4" w:space="0" w:color="auto"/>
              <w:bottom w:val="single" w:sz="4" w:space="0" w:color="auto"/>
              <w:right w:val="single" w:sz="4" w:space="0" w:color="auto"/>
            </w:tcBorders>
          </w:tcPr>
          <w:p w14:paraId="50CF5B7A" w14:textId="77777777" w:rsidR="00ED6AED" w:rsidRDefault="00ED6AED" w:rsidP="00ED6AED">
            <w:pPr>
              <w:spacing w:after="0" w:line="240" w:lineRule="auto"/>
              <w:rPr>
                <w:color w:val="auto"/>
              </w:rPr>
            </w:pPr>
            <w:r w:rsidRPr="00566BDC">
              <w:rPr>
                <w:color w:val="auto"/>
              </w:rPr>
              <w:t>HR</w:t>
            </w:r>
          </w:p>
          <w:p w14:paraId="3DF5338F" w14:textId="77777777" w:rsidR="00ED6AED" w:rsidRPr="00566BDC" w:rsidRDefault="00ED6AED" w:rsidP="00ED6AED">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02C7BF6F" w14:textId="77777777" w:rsidR="00ED6AED" w:rsidRPr="00ED6AED" w:rsidRDefault="00ED6AED" w:rsidP="00ED6AED">
            <w:pPr>
              <w:spacing w:after="0" w:line="240" w:lineRule="auto"/>
              <w:rPr>
                <w:color w:val="auto"/>
              </w:rPr>
            </w:pPr>
            <w:r w:rsidRPr="00ED6AED">
              <w:rPr>
                <w:color w:val="auto"/>
              </w:rPr>
              <w:t>Resources are deployed to facilitate effective deployment of workforce to deliver our agreed priorities.</w:t>
            </w:r>
          </w:p>
        </w:tc>
      </w:tr>
      <w:tr w:rsidR="00ED6AED" w:rsidRPr="00566BDC" w14:paraId="2C8D696B" w14:textId="77777777" w:rsidTr="00ED6AED">
        <w:trPr>
          <w:trHeight w:val="291"/>
        </w:trPr>
        <w:tc>
          <w:tcPr>
            <w:tcW w:w="2962" w:type="dxa"/>
            <w:tcBorders>
              <w:top w:val="single" w:sz="4" w:space="0" w:color="auto"/>
              <w:left w:val="double" w:sz="4" w:space="0" w:color="auto"/>
              <w:bottom w:val="single" w:sz="4" w:space="0" w:color="auto"/>
              <w:right w:val="single" w:sz="4" w:space="0" w:color="auto"/>
            </w:tcBorders>
          </w:tcPr>
          <w:p w14:paraId="74B43FE4" w14:textId="77777777" w:rsidR="00ED6AED" w:rsidRDefault="00ED6AED" w:rsidP="00ED6AED">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4203F2FB" w14:textId="77777777" w:rsidR="00ED6AED" w:rsidRPr="00ED6AED" w:rsidRDefault="00ED6AED" w:rsidP="00ED6AED">
            <w:pPr>
              <w:spacing w:after="0" w:line="240" w:lineRule="auto"/>
              <w:rPr>
                <w:color w:val="auto"/>
              </w:rPr>
            </w:pPr>
            <w:r w:rsidRPr="00ED6AED">
              <w:rPr>
                <w:color w:val="auto"/>
              </w:rPr>
              <w:t>NHS ICBs expected to operate within financial envelope and in line with formally approved financial plan.</w:t>
            </w:r>
          </w:p>
        </w:tc>
      </w:tr>
      <w:tr w:rsidR="00ED6AED" w:rsidRPr="00566BDC" w14:paraId="7BE827EC" w14:textId="77777777" w:rsidTr="00ED6AED">
        <w:tc>
          <w:tcPr>
            <w:tcW w:w="2962" w:type="dxa"/>
            <w:tcBorders>
              <w:top w:val="single" w:sz="4" w:space="0" w:color="auto"/>
              <w:left w:val="double" w:sz="4" w:space="0" w:color="auto"/>
              <w:bottom w:val="single" w:sz="4" w:space="0" w:color="auto"/>
              <w:right w:val="single" w:sz="4" w:space="0" w:color="auto"/>
            </w:tcBorders>
          </w:tcPr>
          <w:p w14:paraId="4811E65E" w14:textId="77777777" w:rsidR="00ED6AED" w:rsidRDefault="00ED6AED" w:rsidP="00ED6AED">
            <w:pPr>
              <w:spacing w:after="0" w:line="240" w:lineRule="auto"/>
              <w:rPr>
                <w:color w:val="auto"/>
              </w:rPr>
            </w:pPr>
            <w:r>
              <w:rPr>
                <w:color w:val="auto"/>
              </w:rPr>
              <w:t>Data Protection / IG</w:t>
            </w:r>
          </w:p>
          <w:p w14:paraId="71BF7C56" w14:textId="77777777" w:rsidR="00ED6AED" w:rsidRPr="00566BDC" w:rsidRDefault="00ED6AED" w:rsidP="00ED6AED">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5A11E76D" w14:textId="77777777" w:rsidR="00ED6AED" w:rsidRPr="00ED6AED" w:rsidRDefault="00ED6AED" w:rsidP="00ED6AED">
            <w:pPr>
              <w:spacing w:after="0" w:line="240" w:lineRule="auto"/>
              <w:rPr>
                <w:color w:val="auto"/>
              </w:rPr>
            </w:pPr>
            <w:r w:rsidRPr="00ED6AED">
              <w:rPr>
                <w:color w:val="auto"/>
              </w:rPr>
              <w:t>N/A</w:t>
            </w:r>
          </w:p>
        </w:tc>
      </w:tr>
      <w:tr w:rsidR="00ED6AED" w:rsidRPr="00566BDC" w14:paraId="725B6406" w14:textId="77777777" w:rsidTr="00ED6AED">
        <w:tc>
          <w:tcPr>
            <w:tcW w:w="2962" w:type="dxa"/>
            <w:tcBorders>
              <w:top w:val="single" w:sz="4" w:space="0" w:color="auto"/>
              <w:left w:val="double" w:sz="4" w:space="0" w:color="auto"/>
              <w:bottom w:val="single" w:sz="4" w:space="0" w:color="auto"/>
              <w:right w:val="single" w:sz="4" w:space="0" w:color="auto"/>
            </w:tcBorders>
          </w:tcPr>
          <w:p w14:paraId="14507515" w14:textId="77777777" w:rsidR="00ED6AED" w:rsidRPr="00566BDC" w:rsidRDefault="00ED6AED" w:rsidP="00ED6AED">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6DA87347" w14:textId="77777777" w:rsidR="00ED6AED" w:rsidRPr="00ED6AED" w:rsidRDefault="00ED6AED" w:rsidP="00ED6AED">
            <w:pPr>
              <w:spacing w:after="0" w:line="240" w:lineRule="auto"/>
              <w:rPr>
                <w:color w:val="auto"/>
              </w:rPr>
            </w:pPr>
            <w:r w:rsidRPr="00ED6AED">
              <w:rPr>
                <w:color w:val="auto"/>
              </w:rPr>
              <w:t>Allocation methodologies to support delivery of the ICS four aims and resource utilisation in a way that addresses equality, diversity, and inclusion issues.</w:t>
            </w:r>
          </w:p>
        </w:tc>
      </w:tr>
      <w:tr w:rsidR="00ED6AED" w:rsidRPr="00566BDC" w14:paraId="18D40EDD" w14:textId="77777777" w:rsidTr="00ED6AED">
        <w:tc>
          <w:tcPr>
            <w:tcW w:w="2962" w:type="dxa"/>
            <w:tcBorders>
              <w:top w:val="single" w:sz="4" w:space="0" w:color="auto"/>
              <w:left w:val="double" w:sz="4" w:space="0" w:color="auto"/>
              <w:bottom w:val="single" w:sz="4" w:space="0" w:color="auto"/>
              <w:right w:val="single" w:sz="4" w:space="0" w:color="auto"/>
            </w:tcBorders>
          </w:tcPr>
          <w:p w14:paraId="3719367D" w14:textId="77777777" w:rsidR="00ED6AED" w:rsidRDefault="00ED6AED" w:rsidP="00ED6AED">
            <w:pPr>
              <w:spacing w:after="0" w:line="240" w:lineRule="auto"/>
              <w:rPr>
                <w:color w:val="auto"/>
              </w:rPr>
            </w:pPr>
            <w:r>
              <w:rPr>
                <w:color w:val="auto"/>
              </w:rPr>
              <w:t>Conflict of Interest Aspects</w:t>
            </w:r>
          </w:p>
          <w:p w14:paraId="5D4C1A12" w14:textId="77777777" w:rsidR="00ED6AED" w:rsidRDefault="00ED6AED" w:rsidP="00ED6AED">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4B911B60" w14:textId="77777777" w:rsidR="00ED6AED" w:rsidRPr="00ED6AED" w:rsidRDefault="00ED6AED" w:rsidP="00ED6AED">
            <w:pPr>
              <w:spacing w:after="0" w:line="240" w:lineRule="auto"/>
              <w:rPr>
                <w:color w:val="auto"/>
              </w:rPr>
            </w:pPr>
            <w:r w:rsidRPr="00ED6AED">
              <w:rPr>
                <w:color w:val="auto"/>
              </w:rPr>
              <w:t>N/A</w:t>
            </w:r>
          </w:p>
        </w:tc>
      </w:tr>
      <w:tr w:rsidR="00ED6AED" w:rsidRPr="00566BDC" w14:paraId="46EBD599" w14:textId="77777777" w:rsidTr="00ED6AED">
        <w:tc>
          <w:tcPr>
            <w:tcW w:w="2962" w:type="dxa"/>
            <w:tcBorders>
              <w:top w:val="single" w:sz="4" w:space="0" w:color="auto"/>
              <w:left w:val="double" w:sz="4" w:space="0" w:color="auto"/>
              <w:bottom w:val="double" w:sz="4" w:space="0" w:color="auto"/>
              <w:right w:val="single" w:sz="4" w:space="0" w:color="auto"/>
            </w:tcBorders>
          </w:tcPr>
          <w:p w14:paraId="1A4AF7B9" w14:textId="77777777" w:rsidR="00ED6AED" w:rsidRDefault="00ED6AED" w:rsidP="00ED6AED">
            <w:pPr>
              <w:spacing w:after="0" w:line="240" w:lineRule="auto"/>
              <w:rPr>
                <w:color w:val="auto"/>
              </w:rPr>
            </w:pPr>
            <w:r>
              <w:rPr>
                <w:color w:val="auto"/>
              </w:rPr>
              <w:t>Sustainability</w:t>
            </w:r>
          </w:p>
          <w:p w14:paraId="490E39F7" w14:textId="77777777" w:rsidR="00ED6AED" w:rsidRPr="00566BDC" w:rsidRDefault="00ED6AED" w:rsidP="00ED6AED">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41D296B1" w14:textId="77777777" w:rsidR="00ED6AED" w:rsidRPr="00ED6AED" w:rsidRDefault="00ED6AED" w:rsidP="00ED6AED">
            <w:pPr>
              <w:spacing w:after="0" w:line="240" w:lineRule="auto"/>
              <w:rPr>
                <w:color w:val="auto"/>
              </w:rPr>
            </w:pPr>
            <w:r w:rsidRPr="00ED6AED">
              <w:rPr>
                <w:color w:val="auto"/>
              </w:rPr>
              <w:t>Ensure that resources deployed in a way that promotes environmental sustainability. Capital spend subject to strict carbon footprint regulations.</w:t>
            </w:r>
          </w:p>
        </w:tc>
      </w:tr>
    </w:tbl>
    <w:p w14:paraId="4A0E2310" w14:textId="77777777" w:rsidR="001D657A" w:rsidRPr="00ED6AED" w:rsidRDefault="001D657A" w:rsidP="00ED6AED">
      <w:pPr>
        <w:spacing w:after="0" w:line="240" w:lineRule="auto"/>
        <w:rPr>
          <w:color w:val="auto"/>
          <w:sz w:val="16"/>
          <w:szCs w:val="16"/>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ED6AED">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0"/>
              <w14:checkedState w14:val="2612" w14:font="MS Gothic"/>
              <w14:uncheckedState w14:val="2610" w14:font="MS Gothic"/>
            </w14:checkbox>
          </w:sdtPr>
          <w:sdtEndPr/>
          <w:sdtContent>
            <w:tc>
              <w:tcPr>
                <w:tcW w:w="1971" w:type="dxa"/>
              </w:tcPr>
              <w:p w14:paraId="796E51FD" w14:textId="4EF2DDC6"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ED6AED">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ED6AED">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73021DB"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ED6AED">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43248" w:rsidRPr="00524FEE" w14:paraId="7143DB11" w14:textId="77777777" w:rsidTr="00ED6AED">
        <w:trPr>
          <w:trHeight w:val="526"/>
        </w:trPr>
        <w:tc>
          <w:tcPr>
            <w:tcW w:w="9608" w:type="dxa"/>
            <w:shd w:val="clear" w:color="auto" w:fill="D9D9D9" w:themeFill="background1" w:themeFillShade="D9"/>
          </w:tcPr>
          <w:p w14:paraId="290ECB21" w14:textId="77777777" w:rsidR="00D43248" w:rsidRDefault="00D43248" w:rsidP="00ED6AED">
            <w:pPr>
              <w:spacing w:after="0" w:line="360" w:lineRule="auto"/>
              <w:rPr>
                <w:b/>
                <w:color w:val="auto"/>
                <w:sz w:val="24"/>
                <w:szCs w:val="24"/>
              </w:rPr>
            </w:pPr>
            <w:r>
              <w:rPr>
                <w:b/>
                <w:color w:val="auto"/>
                <w:sz w:val="24"/>
                <w:szCs w:val="24"/>
              </w:rPr>
              <w:t xml:space="preserve">IMPLICATIONS </w:t>
            </w:r>
          </w:p>
          <w:p w14:paraId="1CE0A5C3" w14:textId="74002AFC" w:rsidR="00ED6AED" w:rsidRPr="00524FEE" w:rsidRDefault="00ED6AED" w:rsidP="00ED6AED">
            <w:pPr>
              <w:spacing w:after="0" w:line="240" w:lineRule="auto"/>
              <w:rPr>
                <w:color w:val="auto"/>
              </w:rPr>
            </w:pPr>
          </w:p>
        </w:tc>
      </w:tr>
    </w:tbl>
    <w:p w14:paraId="606E2B7E" w14:textId="77777777" w:rsidR="00ED6AED" w:rsidRPr="00ED6AED" w:rsidRDefault="00ED6AED" w:rsidP="00ED6AED">
      <w:pPr>
        <w:spacing w:after="0" w:line="240" w:lineRule="auto"/>
        <w:rPr>
          <w:sz w:val="16"/>
          <w:szCs w:val="16"/>
        </w:rPr>
      </w:pPr>
    </w:p>
    <w:tbl>
      <w:tblPr>
        <w:tblStyle w:val="TableGrid"/>
        <w:tblW w:w="0" w:type="auto"/>
        <w:tblLook w:val="04A0" w:firstRow="1" w:lastRow="0" w:firstColumn="1" w:lastColumn="0" w:noHBand="0" w:noVBand="1"/>
      </w:tblPr>
      <w:tblGrid>
        <w:gridCol w:w="9608"/>
      </w:tblGrid>
      <w:tr w:rsidR="005E2527" w:rsidRPr="00566BDC" w14:paraId="6B25BF82" w14:textId="77777777" w:rsidTr="001D657A">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ED6AED" w:rsidRDefault="005E2527" w:rsidP="00ED6AED">
            <w:pPr>
              <w:spacing w:after="0" w:line="240" w:lineRule="auto"/>
              <w:rPr>
                <w:b/>
                <w:color w:val="auto"/>
                <w:sz w:val="16"/>
                <w:szCs w:val="16"/>
              </w:rPr>
            </w:pPr>
            <w:bookmarkStart w:id="6" w:name="_Hlk173744524"/>
            <w:bookmarkStart w:id="7" w:name="_Hlk106134678"/>
          </w:p>
          <w:p w14:paraId="59BBE300" w14:textId="71FDE3AD" w:rsidR="005E2527" w:rsidRDefault="00D00EC7" w:rsidP="00ED6AED">
            <w:pPr>
              <w:spacing w:after="0" w:line="240" w:lineRule="auto"/>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7A046334" w14:textId="77777777" w:rsidR="00ED6AED" w:rsidRPr="00ED6AED" w:rsidRDefault="00ED6AED" w:rsidP="00ED6AED">
            <w:pPr>
              <w:spacing w:after="0" w:line="240" w:lineRule="auto"/>
              <w:rPr>
                <w:color w:val="auto"/>
                <w:sz w:val="16"/>
                <w:szCs w:val="16"/>
              </w:rPr>
            </w:pPr>
          </w:p>
          <w:p w14:paraId="1C51993F" w14:textId="6A6DCE0C" w:rsidR="00B23AD5" w:rsidRDefault="00B02016" w:rsidP="00ED6AED">
            <w:pPr>
              <w:spacing w:after="0" w:line="240" w:lineRule="auto"/>
              <w:rPr>
                <w:color w:val="auto"/>
              </w:rPr>
            </w:pPr>
            <w:r w:rsidRPr="00B02016">
              <w:rPr>
                <w:color w:val="auto"/>
              </w:rPr>
              <w:t>Revenue overspends – each organisation is managing this risk in line with their internal financial governance systems and processes. Monthly reports are collated and reviewed by the ICB and reported through to NHS England. Financial forecasts continue to be reviewed monthly.</w:t>
            </w:r>
          </w:p>
          <w:p w14:paraId="5F7D7606" w14:textId="7E6EE4D6" w:rsidR="00B23AD5" w:rsidRPr="00ED6AED" w:rsidRDefault="00B23AD5" w:rsidP="00ED6AED">
            <w:pPr>
              <w:spacing w:after="0" w:line="240" w:lineRule="auto"/>
              <w:rPr>
                <w:color w:val="auto"/>
                <w:sz w:val="16"/>
                <w:szCs w:val="16"/>
              </w:rPr>
            </w:pPr>
          </w:p>
        </w:tc>
      </w:tr>
      <w:bookmarkEnd w:id="6"/>
      <w:bookmarkEnd w:id="7"/>
    </w:tbl>
    <w:p w14:paraId="0E1133FC" w14:textId="450414A7"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ED6AED" w:rsidRDefault="00043155" w:rsidP="0086751B">
            <w:pPr>
              <w:spacing w:after="0" w:line="240" w:lineRule="auto"/>
              <w:rPr>
                <w:b/>
                <w:color w:val="auto"/>
                <w:sz w:val="16"/>
                <w:szCs w:val="16"/>
              </w:rPr>
            </w:pPr>
          </w:p>
          <w:p w14:paraId="0833180D" w14:textId="77777777" w:rsidR="00B02016" w:rsidRDefault="00043155" w:rsidP="00B02016">
            <w:pPr>
              <w:spacing w:after="0" w:line="240" w:lineRule="auto"/>
              <w:rPr>
                <w:b/>
                <w:color w:val="auto"/>
              </w:rPr>
            </w:pPr>
            <w:r>
              <w:rPr>
                <w:b/>
                <w:color w:val="auto"/>
              </w:rPr>
              <w:t>MONITORING AND ASSURANCE</w:t>
            </w:r>
            <w:r w:rsidRPr="00566BDC">
              <w:rPr>
                <w:b/>
                <w:color w:val="auto"/>
              </w:rPr>
              <w:t>:</w:t>
            </w:r>
            <w:r>
              <w:rPr>
                <w:b/>
                <w:color w:val="auto"/>
              </w:rPr>
              <w:t xml:space="preserve"> </w:t>
            </w:r>
          </w:p>
          <w:p w14:paraId="2E7EC403" w14:textId="77777777" w:rsidR="00ED6AED" w:rsidRPr="00ED6AED" w:rsidRDefault="00ED6AED" w:rsidP="00B02016">
            <w:pPr>
              <w:spacing w:after="0" w:line="240" w:lineRule="auto"/>
              <w:rPr>
                <w:b/>
                <w:color w:val="auto"/>
                <w:sz w:val="16"/>
                <w:szCs w:val="16"/>
              </w:rPr>
            </w:pPr>
          </w:p>
          <w:p w14:paraId="111406BC" w14:textId="77777777" w:rsidR="00043155" w:rsidRDefault="00B02016" w:rsidP="00B02016">
            <w:pPr>
              <w:spacing w:after="0" w:line="240" w:lineRule="auto"/>
              <w:rPr>
                <w:color w:val="auto"/>
              </w:rPr>
            </w:pPr>
            <w:r>
              <w:rPr>
                <w:color w:val="auto"/>
              </w:rPr>
              <w:t>T</w:t>
            </w:r>
            <w:r w:rsidRPr="00B02016">
              <w:rPr>
                <w:color w:val="auto"/>
              </w:rPr>
              <w:t>he financial position is monitored on a monthly basis with a detailed report taken through the Finance Performance and Delivery committee.</w:t>
            </w:r>
          </w:p>
          <w:p w14:paraId="5FEC0180" w14:textId="2A7F379E" w:rsidR="00ED6AED" w:rsidRPr="00ED6AED" w:rsidRDefault="00ED6AED" w:rsidP="00B02016">
            <w:pPr>
              <w:spacing w:after="0" w:line="240" w:lineRule="auto"/>
              <w:rPr>
                <w:color w:val="auto"/>
                <w:sz w:val="16"/>
                <w:szCs w:val="16"/>
              </w:rPr>
            </w:pPr>
          </w:p>
        </w:tc>
      </w:tr>
    </w:tbl>
    <w:p w14:paraId="489916CB" w14:textId="39492D09"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ED6AED" w:rsidRDefault="00566BDC" w:rsidP="00566BDC">
            <w:pPr>
              <w:spacing w:after="0" w:line="240" w:lineRule="auto"/>
              <w:rPr>
                <w:b/>
                <w:color w:val="auto"/>
                <w:sz w:val="16"/>
                <w:szCs w:val="16"/>
              </w:rPr>
            </w:pPr>
            <w:bookmarkStart w:id="8" w:name="_Hlk106098484"/>
          </w:p>
          <w:p w14:paraId="4734DBB0" w14:textId="6971360D" w:rsidR="00880E9F" w:rsidRDefault="00880E9F" w:rsidP="002B4676">
            <w:pPr>
              <w:spacing w:after="0" w:line="240" w:lineRule="auto"/>
              <w:rPr>
                <w:color w:val="auto"/>
              </w:rPr>
            </w:pPr>
            <w:r w:rsidRPr="00566BDC">
              <w:rPr>
                <w:b/>
                <w:color w:val="auto"/>
              </w:rPr>
              <w:t>ENGAGEMENT:</w:t>
            </w:r>
            <w:r w:rsidRPr="00566BDC">
              <w:rPr>
                <w:color w:val="auto"/>
              </w:rPr>
              <w:t xml:space="preserve"> </w:t>
            </w:r>
          </w:p>
          <w:p w14:paraId="1A0FC1B9" w14:textId="77777777" w:rsidR="00ED6AED" w:rsidRPr="00ED6AED" w:rsidRDefault="00ED6AED" w:rsidP="002B4676">
            <w:pPr>
              <w:spacing w:after="0" w:line="240" w:lineRule="auto"/>
              <w:rPr>
                <w:color w:val="auto"/>
                <w:sz w:val="16"/>
                <w:szCs w:val="16"/>
              </w:rPr>
            </w:pPr>
          </w:p>
          <w:p w14:paraId="1129BFB2" w14:textId="77777777" w:rsidR="00880E9F" w:rsidRDefault="00B02016" w:rsidP="00566BDC">
            <w:pPr>
              <w:spacing w:after="0" w:line="240" w:lineRule="auto"/>
              <w:rPr>
                <w:color w:val="auto"/>
              </w:rPr>
            </w:pPr>
            <w:r>
              <w:rPr>
                <w:color w:val="auto"/>
              </w:rPr>
              <w:t>N/A</w:t>
            </w:r>
          </w:p>
          <w:p w14:paraId="02D6A569" w14:textId="33C3611C" w:rsidR="00ED6AED" w:rsidRPr="00ED6AED" w:rsidRDefault="00ED6AED" w:rsidP="00566BDC">
            <w:pPr>
              <w:spacing w:after="0" w:line="240" w:lineRule="auto"/>
              <w:rPr>
                <w:color w:val="auto"/>
                <w:sz w:val="16"/>
                <w:szCs w:val="16"/>
              </w:rPr>
            </w:pPr>
          </w:p>
        </w:tc>
      </w:tr>
      <w:bookmarkEnd w:id="8"/>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4F5470E4"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B02016">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777C61EE" w14:textId="77777777" w:rsidR="004F190C"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474410F4" w:rsidR="00ED6AED" w:rsidRPr="00ED6AED" w:rsidRDefault="00ED6AED" w:rsidP="0086751B">
            <w:pPr>
              <w:spacing w:after="0"/>
              <w:rPr>
                <w:color w:val="auto"/>
                <w:sz w:val="20"/>
              </w:rPr>
            </w:pPr>
          </w:p>
        </w:tc>
      </w:tr>
    </w:tbl>
    <w:p w14:paraId="16B805DE" w14:textId="7B01351E" w:rsidR="006C6CAA" w:rsidRPr="00C416CC" w:rsidRDefault="006C6CAA" w:rsidP="00ED6AED">
      <w:pPr>
        <w:rPr>
          <w:color w:val="auto"/>
          <w:sz w:val="24"/>
          <w:szCs w:val="24"/>
        </w:rPr>
      </w:pPr>
    </w:p>
    <w:sectPr w:rsidR="006C6CAA" w:rsidRPr="00C416CC" w:rsidSect="00ED6AED">
      <w:footerReference w:type="default" r:id="rId13"/>
      <w:pgSz w:w="11906" w:h="16838" w:code="9"/>
      <w:pgMar w:top="1134" w:right="1134" w:bottom="851"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6275" w14:textId="77777777" w:rsidR="00841F9F" w:rsidRDefault="00841F9F" w:rsidP="00206B76">
      <w:pPr>
        <w:spacing w:after="0" w:line="240" w:lineRule="auto"/>
      </w:pPr>
      <w:r>
        <w:separator/>
      </w:r>
    </w:p>
  </w:endnote>
  <w:endnote w:type="continuationSeparator" w:id="0">
    <w:p w14:paraId="10078C7F" w14:textId="77777777" w:rsidR="00841F9F" w:rsidRDefault="00841F9F"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B6E6" w14:textId="77777777" w:rsidR="00841F9F" w:rsidRDefault="00841F9F" w:rsidP="00206B76">
      <w:pPr>
        <w:spacing w:after="0" w:line="240" w:lineRule="auto"/>
      </w:pPr>
      <w:r>
        <w:separator/>
      </w:r>
    </w:p>
  </w:footnote>
  <w:footnote w:type="continuationSeparator" w:id="0">
    <w:p w14:paraId="674D678C" w14:textId="77777777" w:rsidR="00841F9F" w:rsidRDefault="00841F9F"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F19"/>
    <w:multiLevelType w:val="hybridMultilevel"/>
    <w:tmpl w:val="961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DF22AB"/>
    <w:multiLevelType w:val="hybridMultilevel"/>
    <w:tmpl w:val="BAA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40E3F"/>
    <w:multiLevelType w:val="hybridMultilevel"/>
    <w:tmpl w:val="5B86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E8B"/>
    <w:multiLevelType w:val="hybridMultilevel"/>
    <w:tmpl w:val="2FB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11A31"/>
    <w:multiLevelType w:val="hybridMultilevel"/>
    <w:tmpl w:val="D2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6"/>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9"/>
  </w:num>
  <w:num w:numId="7" w16cid:durableId="425927191">
    <w:abstractNumId w:val="11"/>
  </w:num>
  <w:num w:numId="8" w16cid:durableId="1557201209">
    <w:abstractNumId w:val="3"/>
  </w:num>
  <w:num w:numId="9" w16cid:durableId="1165239473">
    <w:abstractNumId w:val="10"/>
  </w:num>
  <w:num w:numId="10" w16cid:durableId="319962829">
    <w:abstractNumId w:val="1"/>
  </w:num>
  <w:num w:numId="11" w16cid:durableId="1875380289">
    <w:abstractNumId w:val="7"/>
  </w:num>
  <w:num w:numId="12" w16cid:durableId="21127745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56190"/>
    <w:rsid w:val="000601A8"/>
    <w:rsid w:val="0006137D"/>
    <w:rsid w:val="00080753"/>
    <w:rsid w:val="00085A81"/>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5DB0"/>
    <w:rsid w:val="0010672E"/>
    <w:rsid w:val="00117908"/>
    <w:rsid w:val="00122DFC"/>
    <w:rsid w:val="00124D1D"/>
    <w:rsid w:val="00133A04"/>
    <w:rsid w:val="00137DBB"/>
    <w:rsid w:val="00165FAE"/>
    <w:rsid w:val="00167407"/>
    <w:rsid w:val="001774D9"/>
    <w:rsid w:val="00186878"/>
    <w:rsid w:val="00191632"/>
    <w:rsid w:val="001920E8"/>
    <w:rsid w:val="0019523A"/>
    <w:rsid w:val="00196845"/>
    <w:rsid w:val="001A441A"/>
    <w:rsid w:val="001B1EF2"/>
    <w:rsid w:val="001B25C2"/>
    <w:rsid w:val="001C09DB"/>
    <w:rsid w:val="001C2543"/>
    <w:rsid w:val="001C6F52"/>
    <w:rsid w:val="001C786C"/>
    <w:rsid w:val="001D657A"/>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535DD"/>
    <w:rsid w:val="0025572F"/>
    <w:rsid w:val="00255925"/>
    <w:rsid w:val="00255E72"/>
    <w:rsid w:val="00270E1F"/>
    <w:rsid w:val="00273C37"/>
    <w:rsid w:val="0029694C"/>
    <w:rsid w:val="002A13D9"/>
    <w:rsid w:val="002A182B"/>
    <w:rsid w:val="002A33AE"/>
    <w:rsid w:val="002A5816"/>
    <w:rsid w:val="002A7A62"/>
    <w:rsid w:val="002B0F1C"/>
    <w:rsid w:val="002B4676"/>
    <w:rsid w:val="002B6F55"/>
    <w:rsid w:val="002B7229"/>
    <w:rsid w:val="002D223A"/>
    <w:rsid w:val="002D22F3"/>
    <w:rsid w:val="002D2FBC"/>
    <w:rsid w:val="002D4BC5"/>
    <w:rsid w:val="002D7FCB"/>
    <w:rsid w:val="002E50F3"/>
    <w:rsid w:val="00303057"/>
    <w:rsid w:val="00310A09"/>
    <w:rsid w:val="00326FBF"/>
    <w:rsid w:val="003312D3"/>
    <w:rsid w:val="003315EE"/>
    <w:rsid w:val="00331688"/>
    <w:rsid w:val="00340567"/>
    <w:rsid w:val="0034324D"/>
    <w:rsid w:val="003728AB"/>
    <w:rsid w:val="003734A1"/>
    <w:rsid w:val="00373698"/>
    <w:rsid w:val="0037462C"/>
    <w:rsid w:val="0037732B"/>
    <w:rsid w:val="00381FC0"/>
    <w:rsid w:val="00386180"/>
    <w:rsid w:val="00390986"/>
    <w:rsid w:val="00390F40"/>
    <w:rsid w:val="003A14A9"/>
    <w:rsid w:val="003A1818"/>
    <w:rsid w:val="003B2F18"/>
    <w:rsid w:val="003B6637"/>
    <w:rsid w:val="003C1D6F"/>
    <w:rsid w:val="003C5AB0"/>
    <w:rsid w:val="003D11C8"/>
    <w:rsid w:val="003D47EE"/>
    <w:rsid w:val="003E2167"/>
    <w:rsid w:val="003E5B87"/>
    <w:rsid w:val="003F6485"/>
    <w:rsid w:val="003F7FBC"/>
    <w:rsid w:val="004159D1"/>
    <w:rsid w:val="004307C4"/>
    <w:rsid w:val="00431C03"/>
    <w:rsid w:val="00440CA7"/>
    <w:rsid w:val="00440CFB"/>
    <w:rsid w:val="00445AFD"/>
    <w:rsid w:val="0046152F"/>
    <w:rsid w:val="00466779"/>
    <w:rsid w:val="004765EA"/>
    <w:rsid w:val="00476E2A"/>
    <w:rsid w:val="00481604"/>
    <w:rsid w:val="00485613"/>
    <w:rsid w:val="0049270B"/>
    <w:rsid w:val="0049375E"/>
    <w:rsid w:val="00496429"/>
    <w:rsid w:val="00497DAE"/>
    <w:rsid w:val="004A4AF8"/>
    <w:rsid w:val="004A4FEF"/>
    <w:rsid w:val="004A6F2B"/>
    <w:rsid w:val="004B0CCF"/>
    <w:rsid w:val="004B6A05"/>
    <w:rsid w:val="004C16F5"/>
    <w:rsid w:val="004C2764"/>
    <w:rsid w:val="004D060E"/>
    <w:rsid w:val="004F1273"/>
    <w:rsid w:val="004F190C"/>
    <w:rsid w:val="004F3385"/>
    <w:rsid w:val="00505381"/>
    <w:rsid w:val="005130CC"/>
    <w:rsid w:val="00521467"/>
    <w:rsid w:val="00524FEE"/>
    <w:rsid w:val="0052611C"/>
    <w:rsid w:val="005518A2"/>
    <w:rsid w:val="00556818"/>
    <w:rsid w:val="00566BDC"/>
    <w:rsid w:val="0059099C"/>
    <w:rsid w:val="0059566F"/>
    <w:rsid w:val="005A3F90"/>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500B1"/>
    <w:rsid w:val="006552CE"/>
    <w:rsid w:val="00662CBF"/>
    <w:rsid w:val="00691FE6"/>
    <w:rsid w:val="00696CD9"/>
    <w:rsid w:val="006C125A"/>
    <w:rsid w:val="006C1E7A"/>
    <w:rsid w:val="006C31DB"/>
    <w:rsid w:val="006C4C28"/>
    <w:rsid w:val="006C6CAA"/>
    <w:rsid w:val="006C7A4C"/>
    <w:rsid w:val="006E1649"/>
    <w:rsid w:val="006F51F1"/>
    <w:rsid w:val="006F7291"/>
    <w:rsid w:val="007025AD"/>
    <w:rsid w:val="007109D4"/>
    <w:rsid w:val="00711DBE"/>
    <w:rsid w:val="00714138"/>
    <w:rsid w:val="007202CF"/>
    <w:rsid w:val="00722B9F"/>
    <w:rsid w:val="00723683"/>
    <w:rsid w:val="00746877"/>
    <w:rsid w:val="00750FD9"/>
    <w:rsid w:val="00752FC4"/>
    <w:rsid w:val="0075500E"/>
    <w:rsid w:val="00764500"/>
    <w:rsid w:val="007650BC"/>
    <w:rsid w:val="007736DB"/>
    <w:rsid w:val="00796FAF"/>
    <w:rsid w:val="007A3FFD"/>
    <w:rsid w:val="007B0DD7"/>
    <w:rsid w:val="007B2220"/>
    <w:rsid w:val="007B7316"/>
    <w:rsid w:val="007C42F1"/>
    <w:rsid w:val="007C6F0E"/>
    <w:rsid w:val="007C7835"/>
    <w:rsid w:val="007D5A7F"/>
    <w:rsid w:val="007E0F0A"/>
    <w:rsid w:val="007E630F"/>
    <w:rsid w:val="007E6CBA"/>
    <w:rsid w:val="007E7D10"/>
    <w:rsid w:val="00800FD9"/>
    <w:rsid w:val="00801D37"/>
    <w:rsid w:val="008104F6"/>
    <w:rsid w:val="008133A3"/>
    <w:rsid w:val="008142EE"/>
    <w:rsid w:val="008205C8"/>
    <w:rsid w:val="00832316"/>
    <w:rsid w:val="00841F9F"/>
    <w:rsid w:val="008502FC"/>
    <w:rsid w:val="00856A5A"/>
    <w:rsid w:val="00856D9A"/>
    <w:rsid w:val="00857751"/>
    <w:rsid w:val="008601C9"/>
    <w:rsid w:val="00862AFA"/>
    <w:rsid w:val="00864DEE"/>
    <w:rsid w:val="00871019"/>
    <w:rsid w:val="00880E9F"/>
    <w:rsid w:val="00884D3A"/>
    <w:rsid w:val="008951B4"/>
    <w:rsid w:val="008A315B"/>
    <w:rsid w:val="008B11BB"/>
    <w:rsid w:val="008B1783"/>
    <w:rsid w:val="008B518F"/>
    <w:rsid w:val="008C54B1"/>
    <w:rsid w:val="008D121F"/>
    <w:rsid w:val="008D4F11"/>
    <w:rsid w:val="008E30C6"/>
    <w:rsid w:val="008E64C6"/>
    <w:rsid w:val="008F2002"/>
    <w:rsid w:val="008F27FD"/>
    <w:rsid w:val="00901FDA"/>
    <w:rsid w:val="0090276F"/>
    <w:rsid w:val="009061A5"/>
    <w:rsid w:val="00912FC7"/>
    <w:rsid w:val="00913A2F"/>
    <w:rsid w:val="00922F3D"/>
    <w:rsid w:val="0093186A"/>
    <w:rsid w:val="009369E8"/>
    <w:rsid w:val="009538C1"/>
    <w:rsid w:val="00953DC4"/>
    <w:rsid w:val="00955029"/>
    <w:rsid w:val="00955C5A"/>
    <w:rsid w:val="00963148"/>
    <w:rsid w:val="009A6569"/>
    <w:rsid w:val="009C5785"/>
    <w:rsid w:val="009D047E"/>
    <w:rsid w:val="009F44BF"/>
    <w:rsid w:val="00A07AA3"/>
    <w:rsid w:val="00A11200"/>
    <w:rsid w:val="00A15276"/>
    <w:rsid w:val="00A24C14"/>
    <w:rsid w:val="00A304AD"/>
    <w:rsid w:val="00A31302"/>
    <w:rsid w:val="00A35FB5"/>
    <w:rsid w:val="00A44F1F"/>
    <w:rsid w:val="00A5045D"/>
    <w:rsid w:val="00A5390B"/>
    <w:rsid w:val="00A569F8"/>
    <w:rsid w:val="00A713CE"/>
    <w:rsid w:val="00A75C83"/>
    <w:rsid w:val="00A76A81"/>
    <w:rsid w:val="00A83562"/>
    <w:rsid w:val="00A87191"/>
    <w:rsid w:val="00A90438"/>
    <w:rsid w:val="00A90556"/>
    <w:rsid w:val="00A928F1"/>
    <w:rsid w:val="00A95265"/>
    <w:rsid w:val="00A958CA"/>
    <w:rsid w:val="00A95E61"/>
    <w:rsid w:val="00A962A9"/>
    <w:rsid w:val="00AC22C8"/>
    <w:rsid w:val="00AC6206"/>
    <w:rsid w:val="00AD0594"/>
    <w:rsid w:val="00AD44BB"/>
    <w:rsid w:val="00AD4F6E"/>
    <w:rsid w:val="00AE0874"/>
    <w:rsid w:val="00AE1706"/>
    <w:rsid w:val="00AE1D23"/>
    <w:rsid w:val="00AF316A"/>
    <w:rsid w:val="00AF4C41"/>
    <w:rsid w:val="00B00F64"/>
    <w:rsid w:val="00B01207"/>
    <w:rsid w:val="00B02016"/>
    <w:rsid w:val="00B0337D"/>
    <w:rsid w:val="00B1044C"/>
    <w:rsid w:val="00B177EC"/>
    <w:rsid w:val="00B17BE3"/>
    <w:rsid w:val="00B23603"/>
    <w:rsid w:val="00B23AD5"/>
    <w:rsid w:val="00B2634B"/>
    <w:rsid w:val="00B42479"/>
    <w:rsid w:val="00B449FA"/>
    <w:rsid w:val="00B52206"/>
    <w:rsid w:val="00B86AF2"/>
    <w:rsid w:val="00B87F8C"/>
    <w:rsid w:val="00B907B0"/>
    <w:rsid w:val="00B91EB9"/>
    <w:rsid w:val="00B9579C"/>
    <w:rsid w:val="00BA2E3F"/>
    <w:rsid w:val="00BA31CD"/>
    <w:rsid w:val="00BB5B75"/>
    <w:rsid w:val="00BC2195"/>
    <w:rsid w:val="00BD03D7"/>
    <w:rsid w:val="00BD6B55"/>
    <w:rsid w:val="00BE0CF5"/>
    <w:rsid w:val="00BE195D"/>
    <w:rsid w:val="00BE579C"/>
    <w:rsid w:val="00BE6F00"/>
    <w:rsid w:val="00C00E2C"/>
    <w:rsid w:val="00C01575"/>
    <w:rsid w:val="00C20147"/>
    <w:rsid w:val="00C252C7"/>
    <w:rsid w:val="00C4131D"/>
    <w:rsid w:val="00C416CC"/>
    <w:rsid w:val="00C448EC"/>
    <w:rsid w:val="00C52EC7"/>
    <w:rsid w:val="00C736DA"/>
    <w:rsid w:val="00C760C9"/>
    <w:rsid w:val="00C8521E"/>
    <w:rsid w:val="00C94B1C"/>
    <w:rsid w:val="00C96C54"/>
    <w:rsid w:val="00CA24E7"/>
    <w:rsid w:val="00CA4189"/>
    <w:rsid w:val="00CC76D1"/>
    <w:rsid w:val="00CD003C"/>
    <w:rsid w:val="00CD20A8"/>
    <w:rsid w:val="00CD5926"/>
    <w:rsid w:val="00CD6317"/>
    <w:rsid w:val="00CD7034"/>
    <w:rsid w:val="00CE23E4"/>
    <w:rsid w:val="00CF4ABB"/>
    <w:rsid w:val="00CF5029"/>
    <w:rsid w:val="00D00EC7"/>
    <w:rsid w:val="00D05ADC"/>
    <w:rsid w:val="00D164AE"/>
    <w:rsid w:val="00D24B48"/>
    <w:rsid w:val="00D33689"/>
    <w:rsid w:val="00D431A0"/>
    <w:rsid w:val="00D43248"/>
    <w:rsid w:val="00D5363C"/>
    <w:rsid w:val="00D619F8"/>
    <w:rsid w:val="00D72226"/>
    <w:rsid w:val="00D72609"/>
    <w:rsid w:val="00D80231"/>
    <w:rsid w:val="00D86D42"/>
    <w:rsid w:val="00D90441"/>
    <w:rsid w:val="00D90801"/>
    <w:rsid w:val="00DA55E6"/>
    <w:rsid w:val="00DC01B6"/>
    <w:rsid w:val="00DC7824"/>
    <w:rsid w:val="00DC7FA8"/>
    <w:rsid w:val="00DD3540"/>
    <w:rsid w:val="00DD7F1F"/>
    <w:rsid w:val="00DE6319"/>
    <w:rsid w:val="00DF212B"/>
    <w:rsid w:val="00DF22AE"/>
    <w:rsid w:val="00E02119"/>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735DB"/>
    <w:rsid w:val="00E750DE"/>
    <w:rsid w:val="00E77806"/>
    <w:rsid w:val="00E84C5B"/>
    <w:rsid w:val="00E93107"/>
    <w:rsid w:val="00EA1442"/>
    <w:rsid w:val="00EA7E82"/>
    <w:rsid w:val="00EC02C2"/>
    <w:rsid w:val="00EC11A1"/>
    <w:rsid w:val="00ED2242"/>
    <w:rsid w:val="00ED6AED"/>
    <w:rsid w:val="00EE3645"/>
    <w:rsid w:val="00EE4E15"/>
    <w:rsid w:val="00EF012F"/>
    <w:rsid w:val="00EF158C"/>
    <w:rsid w:val="00EF2519"/>
    <w:rsid w:val="00EF3216"/>
    <w:rsid w:val="00EF4BA3"/>
    <w:rsid w:val="00F02345"/>
    <w:rsid w:val="00F07B5F"/>
    <w:rsid w:val="00F12D21"/>
    <w:rsid w:val="00F169E7"/>
    <w:rsid w:val="00F17DC9"/>
    <w:rsid w:val="00F32A5F"/>
    <w:rsid w:val="00F4644B"/>
    <w:rsid w:val="00F50234"/>
    <w:rsid w:val="00F51B74"/>
    <w:rsid w:val="00F60A32"/>
    <w:rsid w:val="00F623A5"/>
    <w:rsid w:val="00F637DB"/>
    <w:rsid w:val="00F76790"/>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48"/>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5</cp:revision>
  <cp:lastPrinted>2017-09-01T14:28:00Z</cp:lastPrinted>
  <dcterms:created xsi:type="dcterms:W3CDTF">2024-12-30T12:29:00Z</dcterms:created>
  <dcterms:modified xsi:type="dcterms:W3CDTF">2025-01-02T09:28:00Z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