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C7835">
        <w:tc>
          <w:tcPr>
            <w:tcW w:w="2273" w:type="dxa"/>
            <w:tcBorders>
              <w:top w:val="double" w:sz="4" w:space="0" w:color="auto"/>
              <w:left w:val="double" w:sz="4" w:space="0" w:color="auto"/>
              <w:bottom w:val="single" w:sz="4" w:space="0" w:color="auto"/>
            </w:tcBorders>
          </w:tcPr>
          <w:p w14:paraId="5D88B756" w14:textId="4B7CAF86" w:rsidR="00BB5B75" w:rsidRPr="007B0DD7" w:rsidRDefault="00BB5B75" w:rsidP="00727BAA">
            <w:pPr>
              <w:rPr>
                <w:b/>
                <w:bCs/>
              </w:rPr>
            </w:pPr>
            <w:bookmarkStart w:id="0" w:name="_Hlk138951700"/>
            <w:r>
              <w:rPr>
                <w:b/>
                <w:bCs/>
                <w:color w:val="auto"/>
              </w:rPr>
              <w:t>Agenda Item</w:t>
            </w:r>
            <w:r w:rsidRPr="007B0DD7">
              <w:rPr>
                <w:b/>
                <w:bCs/>
                <w:color w:val="auto"/>
              </w:rPr>
              <w:t xml:space="preserve"> No: </w:t>
            </w:r>
          </w:p>
        </w:tc>
        <w:tc>
          <w:tcPr>
            <w:tcW w:w="821" w:type="dxa"/>
            <w:tcBorders>
              <w:top w:val="double" w:sz="4" w:space="0" w:color="auto"/>
              <w:bottom w:val="single" w:sz="4" w:space="0" w:color="auto"/>
              <w:right w:val="double" w:sz="4" w:space="0" w:color="auto"/>
            </w:tcBorders>
          </w:tcPr>
          <w:p w14:paraId="60EE529B" w14:textId="584227A1" w:rsidR="00BB5B75" w:rsidRPr="004F6B3A" w:rsidRDefault="003D2B79" w:rsidP="007C7835">
            <w:pPr>
              <w:jc w:val="center"/>
              <w:rPr>
                <w:b/>
                <w:bCs/>
                <w:color w:val="auto"/>
                <w:sz w:val="32"/>
                <w:szCs w:val="32"/>
              </w:rPr>
            </w:pPr>
            <w:r>
              <w:rPr>
                <w:b/>
                <w:bCs/>
                <w:color w:val="auto"/>
                <w:sz w:val="32"/>
                <w:szCs w:val="32"/>
              </w:rPr>
              <w:t>12</w:t>
            </w:r>
          </w:p>
        </w:tc>
      </w:tr>
    </w:tbl>
    <w:bookmarkEnd w:id="0"/>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607F4FE4">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tbl>
      <w:tblPr>
        <w:tblStyle w:val="TableGrid"/>
        <w:tblpPr w:leftFromText="180" w:rightFromText="180" w:vertAnchor="page" w:horzAnchor="margin" w:tblpY="2161"/>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2090"/>
        <w:gridCol w:w="7506"/>
      </w:tblGrid>
      <w:tr w:rsidR="004C7CF3" w:rsidRPr="00566BDC" w14:paraId="7EC56D79" w14:textId="77777777" w:rsidTr="00FA1C18">
        <w:tc>
          <w:tcPr>
            <w:tcW w:w="2092" w:type="dxa"/>
            <w:shd w:val="clear" w:color="auto" w:fill="auto"/>
          </w:tcPr>
          <w:p w14:paraId="3008F01A" w14:textId="77777777" w:rsidR="004C7CF3" w:rsidRDefault="004C7CF3" w:rsidP="004C7CF3">
            <w:pPr>
              <w:spacing w:after="0" w:line="240" w:lineRule="auto"/>
              <w:rPr>
                <w:b/>
                <w:color w:val="auto"/>
              </w:rPr>
            </w:pPr>
            <w:bookmarkStart w:id="1" w:name="_Hlk106134195"/>
            <w:r>
              <w:rPr>
                <w:b/>
                <w:color w:val="auto"/>
              </w:rPr>
              <w:t xml:space="preserve">Report to: </w:t>
            </w:r>
          </w:p>
          <w:p w14:paraId="61EFD74F" w14:textId="77777777" w:rsidR="004C7CF3" w:rsidRPr="00524FEE" w:rsidRDefault="004C7CF3" w:rsidP="004C7CF3">
            <w:pPr>
              <w:spacing w:after="0" w:line="240" w:lineRule="auto"/>
              <w:rPr>
                <w:b/>
                <w:color w:val="auto"/>
              </w:rPr>
            </w:pPr>
          </w:p>
        </w:tc>
        <w:tc>
          <w:tcPr>
            <w:tcW w:w="7516" w:type="dxa"/>
          </w:tcPr>
          <w:p w14:paraId="4923D594" w14:textId="77777777" w:rsidR="004C7CF3" w:rsidRPr="00F31E0E" w:rsidRDefault="004C7CF3" w:rsidP="004C7CF3">
            <w:pPr>
              <w:spacing w:after="0" w:line="240" w:lineRule="auto"/>
              <w:rPr>
                <w:color w:val="auto"/>
                <w:sz w:val="24"/>
                <w:szCs w:val="24"/>
              </w:rPr>
            </w:pPr>
            <w:r>
              <w:rPr>
                <w:color w:val="auto"/>
                <w:sz w:val="24"/>
                <w:szCs w:val="24"/>
              </w:rPr>
              <w:t>Humber &amp; North Yorkshire Integrated Care Board</w:t>
            </w:r>
          </w:p>
        </w:tc>
      </w:tr>
      <w:tr w:rsidR="004C7CF3" w:rsidRPr="00566BDC" w14:paraId="12950AFD" w14:textId="77777777" w:rsidTr="00FA1C18">
        <w:tc>
          <w:tcPr>
            <w:tcW w:w="2092" w:type="dxa"/>
            <w:shd w:val="clear" w:color="auto" w:fill="auto"/>
          </w:tcPr>
          <w:p w14:paraId="7705AB92" w14:textId="77777777" w:rsidR="004C7CF3" w:rsidRPr="00524FEE" w:rsidRDefault="004C7CF3" w:rsidP="004C7CF3">
            <w:pPr>
              <w:spacing w:after="0" w:line="240" w:lineRule="auto"/>
              <w:rPr>
                <w:b/>
                <w:color w:val="auto"/>
              </w:rPr>
            </w:pPr>
            <w:r w:rsidRPr="00524FEE">
              <w:rPr>
                <w:b/>
                <w:color w:val="auto"/>
              </w:rPr>
              <w:t>Date of Meeting:</w:t>
            </w:r>
          </w:p>
          <w:p w14:paraId="2F94008B" w14:textId="77777777" w:rsidR="004C7CF3" w:rsidRPr="00524FEE" w:rsidRDefault="004C7CF3" w:rsidP="004C7CF3">
            <w:pPr>
              <w:spacing w:after="0" w:line="240" w:lineRule="auto"/>
              <w:rPr>
                <w:b/>
                <w:color w:val="auto"/>
              </w:rPr>
            </w:pPr>
          </w:p>
        </w:tc>
        <w:tc>
          <w:tcPr>
            <w:tcW w:w="7516" w:type="dxa"/>
          </w:tcPr>
          <w:p w14:paraId="5BE59BC0" w14:textId="40DE5D9A" w:rsidR="004C7CF3" w:rsidRPr="00F31E0E" w:rsidRDefault="005F4F9C" w:rsidP="004C7CF3">
            <w:pPr>
              <w:spacing w:after="0" w:line="240" w:lineRule="auto"/>
              <w:rPr>
                <w:color w:val="auto"/>
                <w:sz w:val="24"/>
                <w:szCs w:val="24"/>
              </w:rPr>
            </w:pPr>
            <w:r>
              <w:rPr>
                <w:color w:val="auto"/>
                <w:sz w:val="24"/>
                <w:szCs w:val="24"/>
              </w:rPr>
              <w:t>8</w:t>
            </w:r>
            <w:r w:rsidR="00577067" w:rsidRPr="00577067">
              <w:rPr>
                <w:color w:val="auto"/>
                <w:sz w:val="24"/>
                <w:szCs w:val="24"/>
                <w:vertAlign w:val="superscript"/>
              </w:rPr>
              <w:t>th</w:t>
            </w:r>
            <w:r w:rsidR="00577067">
              <w:rPr>
                <w:color w:val="auto"/>
                <w:sz w:val="24"/>
                <w:szCs w:val="24"/>
              </w:rPr>
              <w:t xml:space="preserve"> </w:t>
            </w:r>
            <w:r>
              <w:rPr>
                <w:color w:val="auto"/>
                <w:sz w:val="24"/>
                <w:szCs w:val="24"/>
              </w:rPr>
              <w:t>January 2025</w:t>
            </w:r>
          </w:p>
        </w:tc>
      </w:tr>
      <w:tr w:rsidR="004C7CF3" w:rsidRPr="00566BDC" w14:paraId="4E68B1D3" w14:textId="77777777" w:rsidTr="00FA1C18">
        <w:tc>
          <w:tcPr>
            <w:tcW w:w="2092" w:type="dxa"/>
            <w:shd w:val="clear" w:color="auto" w:fill="auto"/>
          </w:tcPr>
          <w:p w14:paraId="7AD35782" w14:textId="77777777" w:rsidR="004C7CF3" w:rsidRPr="00524FEE" w:rsidRDefault="004C7CF3" w:rsidP="004C7CF3">
            <w:pPr>
              <w:spacing w:after="0" w:line="240" w:lineRule="auto"/>
              <w:rPr>
                <w:b/>
                <w:color w:val="auto"/>
              </w:rPr>
            </w:pPr>
            <w:r w:rsidRPr="00524FEE">
              <w:rPr>
                <w:b/>
                <w:color w:val="auto"/>
              </w:rPr>
              <w:t>Subject:</w:t>
            </w:r>
          </w:p>
          <w:p w14:paraId="18D120FF" w14:textId="77777777" w:rsidR="004C7CF3" w:rsidRPr="00524FEE" w:rsidRDefault="004C7CF3" w:rsidP="004C7CF3">
            <w:pPr>
              <w:spacing w:after="0" w:line="240" w:lineRule="auto"/>
              <w:rPr>
                <w:b/>
                <w:color w:val="auto"/>
              </w:rPr>
            </w:pPr>
          </w:p>
        </w:tc>
        <w:tc>
          <w:tcPr>
            <w:tcW w:w="7516" w:type="dxa"/>
          </w:tcPr>
          <w:p w14:paraId="29EB9966" w14:textId="6EFBFD93" w:rsidR="004C7CF3" w:rsidRPr="0020252C" w:rsidRDefault="00CF2962" w:rsidP="004C7CF3">
            <w:pPr>
              <w:spacing w:after="0" w:line="240" w:lineRule="auto"/>
              <w:rPr>
                <w:b/>
                <w:bCs/>
                <w:color w:val="auto"/>
                <w:sz w:val="28"/>
                <w:szCs w:val="28"/>
              </w:rPr>
            </w:pPr>
            <w:r w:rsidRPr="0020252C">
              <w:rPr>
                <w:b/>
                <w:bCs/>
                <w:color w:val="auto"/>
                <w:sz w:val="28"/>
                <w:szCs w:val="28"/>
              </w:rPr>
              <w:t>Board Committees Assurance and Escalation Reports</w:t>
            </w:r>
            <w:r w:rsidR="000D56CB" w:rsidRPr="0020252C">
              <w:rPr>
                <w:b/>
                <w:bCs/>
                <w:color w:val="auto"/>
                <w:sz w:val="28"/>
                <w:szCs w:val="28"/>
              </w:rPr>
              <w:t xml:space="preserve"> </w:t>
            </w:r>
          </w:p>
        </w:tc>
      </w:tr>
      <w:tr w:rsidR="004C7CF3" w:rsidRPr="00566BDC" w14:paraId="140B6ED8" w14:textId="77777777" w:rsidTr="00FA1C18">
        <w:tc>
          <w:tcPr>
            <w:tcW w:w="2092" w:type="dxa"/>
            <w:shd w:val="clear" w:color="auto" w:fill="auto"/>
          </w:tcPr>
          <w:p w14:paraId="217AC857" w14:textId="77777777" w:rsidR="004C7CF3" w:rsidRPr="00524FEE" w:rsidRDefault="004C7CF3" w:rsidP="004C7CF3">
            <w:pPr>
              <w:spacing w:after="0" w:line="240" w:lineRule="auto"/>
              <w:rPr>
                <w:b/>
                <w:color w:val="auto"/>
              </w:rPr>
            </w:pPr>
            <w:r>
              <w:rPr>
                <w:b/>
                <w:color w:val="auto"/>
              </w:rPr>
              <w:t>Director Sponsor</w:t>
            </w:r>
            <w:r w:rsidRPr="00524FEE">
              <w:rPr>
                <w:b/>
                <w:color w:val="auto"/>
              </w:rPr>
              <w:t>:</w:t>
            </w:r>
          </w:p>
          <w:p w14:paraId="7E647F87" w14:textId="77777777" w:rsidR="004C7CF3" w:rsidRPr="00524FEE" w:rsidRDefault="004C7CF3" w:rsidP="004C7CF3">
            <w:pPr>
              <w:spacing w:after="0" w:line="240" w:lineRule="auto"/>
              <w:rPr>
                <w:b/>
                <w:color w:val="auto"/>
              </w:rPr>
            </w:pPr>
          </w:p>
        </w:tc>
        <w:tc>
          <w:tcPr>
            <w:tcW w:w="7516" w:type="dxa"/>
          </w:tcPr>
          <w:p w14:paraId="707D5AA5" w14:textId="076E1155" w:rsidR="004C7CF3" w:rsidRPr="00F31E0E" w:rsidRDefault="004C7CF3" w:rsidP="004C7CF3">
            <w:pPr>
              <w:spacing w:after="0" w:line="240" w:lineRule="auto"/>
              <w:rPr>
                <w:color w:val="auto"/>
                <w:sz w:val="24"/>
                <w:szCs w:val="24"/>
              </w:rPr>
            </w:pPr>
            <w:r>
              <w:rPr>
                <w:color w:val="auto"/>
                <w:sz w:val="24"/>
                <w:szCs w:val="24"/>
              </w:rPr>
              <w:t>Karina Ellis</w:t>
            </w:r>
            <w:r w:rsidR="00C36ADD">
              <w:rPr>
                <w:color w:val="auto"/>
                <w:sz w:val="24"/>
                <w:szCs w:val="24"/>
              </w:rPr>
              <w:t>, E</w:t>
            </w:r>
            <w:r>
              <w:rPr>
                <w:color w:val="auto"/>
                <w:sz w:val="24"/>
                <w:szCs w:val="24"/>
              </w:rPr>
              <w:t>xecutive Director of Corporate Affairs</w:t>
            </w:r>
          </w:p>
        </w:tc>
      </w:tr>
      <w:tr w:rsidR="004C7CF3" w:rsidRPr="00566BDC" w14:paraId="6A855F21" w14:textId="77777777" w:rsidTr="00FA1C18">
        <w:trPr>
          <w:trHeight w:val="310"/>
        </w:trPr>
        <w:tc>
          <w:tcPr>
            <w:tcW w:w="2092" w:type="dxa"/>
            <w:shd w:val="clear" w:color="auto" w:fill="auto"/>
          </w:tcPr>
          <w:p w14:paraId="15A81489" w14:textId="77777777" w:rsidR="004C7CF3" w:rsidRPr="00524FEE" w:rsidRDefault="004C7CF3" w:rsidP="004C7CF3">
            <w:pPr>
              <w:spacing w:after="0" w:line="240" w:lineRule="auto"/>
              <w:rPr>
                <w:b/>
                <w:color w:val="auto"/>
              </w:rPr>
            </w:pPr>
            <w:r w:rsidRPr="00524FEE">
              <w:rPr>
                <w:b/>
                <w:color w:val="auto"/>
              </w:rPr>
              <w:t>Author:</w:t>
            </w:r>
          </w:p>
          <w:p w14:paraId="6C288ADB" w14:textId="77777777" w:rsidR="004C7CF3" w:rsidRPr="00524FEE" w:rsidRDefault="004C7CF3" w:rsidP="004C7CF3">
            <w:pPr>
              <w:spacing w:after="0" w:line="240" w:lineRule="auto"/>
              <w:rPr>
                <w:b/>
                <w:color w:val="auto"/>
              </w:rPr>
            </w:pPr>
          </w:p>
        </w:tc>
        <w:tc>
          <w:tcPr>
            <w:tcW w:w="7516" w:type="dxa"/>
          </w:tcPr>
          <w:p w14:paraId="17351578" w14:textId="017179C3" w:rsidR="00DA7DFF" w:rsidRPr="00F31E0E" w:rsidRDefault="003D2B79" w:rsidP="004C7CF3">
            <w:pPr>
              <w:spacing w:after="0" w:line="240" w:lineRule="auto"/>
              <w:rPr>
                <w:color w:val="auto"/>
                <w:sz w:val="24"/>
                <w:szCs w:val="24"/>
              </w:rPr>
            </w:pPr>
            <w:r>
              <w:rPr>
                <w:color w:val="auto"/>
                <w:sz w:val="24"/>
                <w:szCs w:val="24"/>
              </w:rPr>
              <w:t>Governance and Compliance Team</w:t>
            </w:r>
          </w:p>
        </w:tc>
      </w:tr>
      <w:bookmarkEnd w:id="1"/>
    </w:tbl>
    <w:p w14:paraId="176AC93B" w14:textId="394E2501" w:rsidR="007B0DD7" w:rsidRPr="007B0DD7" w:rsidRDefault="007B0DD7" w:rsidP="007B0DD7"/>
    <w:tbl>
      <w:tblPr>
        <w:tblStyle w:val="TableGrid"/>
        <w:tblW w:w="0" w:type="auto"/>
        <w:tblLook w:val="04A0" w:firstRow="1" w:lastRow="0" w:firstColumn="1" w:lastColumn="0" w:noHBand="0" w:noVBand="1"/>
      </w:tblPr>
      <w:tblGrid>
        <w:gridCol w:w="9596"/>
      </w:tblGrid>
      <w:tr w:rsidR="00D72609" w:rsidRPr="00566BDC" w14:paraId="5E0D93DE" w14:textId="77777777" w:rsidTr="004C0A35">
        <w:trPr>
          <w:trHeight w:val="844"/>
        </w:trPr>
        <w:tc>
          <w:tcPr>
            <w:tcW w:w="9608" w:type="dxa"/>
            <w:tcBorders>
              <w:left w:val="double" w:sz="4" w:space="0" w:color="auto"/>
              <w:bottom w:val="double" w:sz="4" w:space="0" w:color="auto"/>
              <w:right w:val="double" w:sz="4" w:space="0" w:color="auto"/>
            </w:tcBorders>
          </w:tcPr>
          <w:p w14:paraId="4AD3B59A" w14:textId="77777777" w:rsidR="00577067" w:rsidRPr="00577067" w:rsidRDefault="00577067" w:rsidP="004A6F2B">
            <w:pPr>
              <w:spacing w:after="0" w:line="240" w:lineRule="auto"/>
              <w:rPr>
                <w:b/>
                <w:color w:val="auto"/>
                <w:sz w:val="16"/>
                <w:szCs w:val="16"/>
              </w:rPr>
            </w:pPr>
          </w:p>
          <w:p w14:paraId="0A9659D6" w14:textId="2DB9C552"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498FFBF3" w:rsidR="006C6CAA" w:rsidRPr="003E5B87"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6718C">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DA7DFF">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DA7DFF">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DA7DFF">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577067">
        <w:trPr>
          <w:trHeight w:val="112"/>
        </w:trPr>
        <w:tc>
          <w:tcPr>
            <w:tcW w:w="9624" w:type="dxa"/>
            <w:tcBorders>
              <w:top w:val="double" w:sz="4" w:space="0" w:color="auto"/>
              <w:left w:val="double" w:sz="4" w:space="0" w:color="auto"/>
              <w:bottom w:val="double" w:sz="4" w:space="0" w:color="auto"/>
              <w:right w:val="double" w:sz="4" w:space="0" w:color="auto"/>
            </w:tcBorders>
          </w:tcPr>
          <w:p w14:paraId="1DC2E24B" w14:textId="77777777" w:rsidR="00577067" w:rsidRDefault="00577067" w:rsidP="004C7CF3">
            <w:pPr>
              <w:spacing w:after="0" w:line="240" w:lineRule="auto"/>
              <w:rPr>
                <w:b/>
                <w:color w:val="auto"/>
              </w:rPr>
            </w:pPr>
          </w:p>
          <w:p w14:paraId="14EC190B" w14:textId="3ACE7748" w:rsidR="00A958CA" w:rsidRDefault="007650BC" w:rsidP="004C7CF3">
            <w:pPr>
              <w:spacing w:after="0" w:line="240" w:lineRule="auto"/>
              <w:rPr>
                <w:b/>
                <w:color w:val="auto"/>
              </w:rPr>
            </w:pPr>
            <w:r>
              <w:rPr>
                <w:b/>
                <w:color w:val="auto"/>
              </w:rPr>
              <w:t xml:space="preserve">SUMMARY </w:t>
            </w:r>
            <w:r w:rsidR="00F02345">
              <w:rPr>
                <w:b/>
                <w:color w:val="auto"/>
              </w:rPr>
              <w:t>OF REPORT</w:t>
            </w:r>
            <w:r w:rsidR="002B7229">
              <w:rPr>
                <w:b/>
                <w:color w:val="auto"/>
              </w:rPr>
              <w:t>:</w:t>
            </w:r>
          </w:p>
          <w:p w14:paraId="1BA52A33" w14:textId="77777777" w:rsidR="00826000" w:rsidRDefault="00826000" w:rsidP="004C7CF3">
            <w:pPr>
              <w:spacing w:after="0" w:line="240" w:lineRule="auto"/>
              <w:rPr>
                <w:bCs/>
                <w:color w:val="auto"/>
              </w:rPr>
            </w:pPr>
          </w:p>
          <w:p w14:paraId="0FC0C2EB" w14:textId="1C79B702" w:rsidR="004725EA" w:rsidRDefault="004725EA" w:rsidP="00CF2962">
            <w:pPr>
              <w:spacing w:after="0" w:line="240" w:lineRule="auto"/>
              <w:rPr>
                <w:bCs/>
                <w:color w:val="auto"/>
              </w:rPr>
            </w:pPr>
            <w:r>
              <w:rPr>
                <w:bCs/>
                <w:color w:val="auto"/>
              </w:rPr>
              <w:t>In accordance with the revised reporting arrangements previously agreed by the Board, this report sets out the consolidated summaries for e</w:t>
            </w:r>
            <w:r w:rsidR="00CF2962" w:rsidRPr="00CF2962">
              <w:rPr>
                <w:bCs/>
                <w:color w:val="auto"/>
              </w:rPr>
              <w:t xml:space="preserve">ach </w:t>
            </w:r>
            <w:r>
              <w:rPr>
                <w:bCs/>
                <w:color w:val="auto"/>
              </w:rPr>
              <w:t>co</w:t>
            </w:r>
            <w:r w:rsidR="00CF2962" w:rsidRPr="00CF2962">
              <w:rPr>
                <w:bCs/>
                <w:color w:val="auto"/>
              </w:rPr>
              <w:t>mmittee</w:t>
            </w:r>
            <w:r w:rsidR="004F6B3A">
              <w:rPr>
                <w:bCs/>
                <w:color w:val="auto"/>
              </w:rPr>
              <w:t xml:space="preserve"> of the Board </w:t>
            </w:r>
            <w:r>
              <w:rPr>
                <w:bCs/>
                <w:color w:val="auto"/>
              </w:rPr>
              <w:t xml:space="preserve">that has met in the time since the previous Board meeting. </w:t>
            </w:r>
            <w:r w:rsidR="00E35E98">
              <w:rPr>
                <w:bCs/>
                <w:color w:val="auto"/>
              </w:rPr>
              <w:t>A rolling programme of reports will be submitted to the Board in accordance with the committee calendar and as soon as practicable following each committee meeting.</w:t>
            </w:r>
          </w:p>
          <w:p w14:paraId="0442863D" w14:textId="77777777" w:rsidR="004725EA" w:rsidRDefault="004725EA" w:rsidP="00CF2962">
            <w:pPr>
              <w:spacing w:after="0" w:line="240" w:lineRule="auto"/>
              <w:rPr>
                <w:bCs/>
                <w:color w:val="auto"/>
              </w:rPr>
            </w:pPr>
          </w:p>
          <w:p w14:paraId="0FA83266" w14:textId="3DBC2C9C" w:rsidR="004725EA" w:rsidRDefault="004725EA" w:rsidP="00CF2962">
            <w:pPr>
              <w:spacing w:after="0" w:line="240" w:lineRule="auto"/>
              <w:rPr>
                <w:bCs/>
                <w:color w:val="auto"/>
              </w:rPr>
            </w:pPr>
            <w:r>
              <w:rPr>
                <w:bCs/>
                <w:color w:val="auto"/>
              </w:rPr>
              <w:t>The summaries are provided to a consistent format</w:t>
            </w:r>
            <w:r w:rsidR="008C794C">
              <w:rPr>
                <w:bCs/>
                <w:color w:val="auto"/>
              </w:rPr>
              <w:t>,</w:t>
            </w:r>
            <w:r>
              <w:rPr>
                <w:bCs/>
                <w:color w:val="auto"/>
              </w:rPr>
              <w:t xml:space="preserve"> and </w:t>
            </w:r>
            <w:r w:rsidR="00E35E98">
              <w:rPr>
                <w:bCs/>
                <w:color w:val="auto"/>
              </w:rPr>
              <w:t>report by</w:t>
            </w:r>
            <w:r>
              <w:rPr>
                <w:bCs/>
                <w:color w:val="auto"/>
              </w:rPr>
              <w:t xml:space="preserve"> exception on:</w:t>
            </w:r>
          </w:p>
          <w:tbl>
            <w:tblPr>
              <w:tblStyle w:val="ListTable3-Accent5"/>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546"/>
              <w:gridCol w:w="1417"/>
              <w:gridCol w:w="4826"/>
            </w:tblGrid>
            <w:tr w:rsidR="00616D9C" w:rsidRPr="00C41AE1" w14:paraId="026A2449" w14:textId="77777777" w:rsidTr="00463F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4" w:type="dxa"/>
                  <w:tcBorders>
                    <w:bottom w:val="none" w:sz="0" w:space="0" w:color="auto"/>
                    <w:right w:val="none" w:sz="0" w:space="0" w:color="auto"/>
                  </w:tcBorders>
                </w:tcPr>
                <w:p w14:paraId="5A43A046" w14:textId="4ED45D74" w:rsidR="00616D9C" w:rsidRPr="00C41AE1" w:rsidRDefault="00616D9C" w:rsidP="0038777F">
                  <w:pPr>
                    <w:spacing w:after="0"/>
                    <w:jc w:val="center"/>
                    <w:rPr>
                      <w:color w:val="FFFFFF" w:themeColor="background1"/>
                    </w:rPr>
                  </w:pPr>
                  <w:r w:rsidRPr="00C41AE1">
                    <w:rPr>
                      <w:color w:val="FFFFFF" w:themeColor="background1"/>
                    </w:rPr>
                    <w:t>Ref</w:t>
                  </w:r>
                </w:p>
              </w:tc>
              <w:tc>
                <w:tcPr>
                  <w:tcW w:w="2546" w:type="dxa"/>
                </w:tcPr>
                <w:p w14:paraId="1A8A926A" w14:textId="32B4B9AB" w:rsidR="00616D9C" w:rsidRPr="00C41AE1" w:rsidRDefault="00616D9C" w:rsidP="0038777F">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C41AE1">
                    <w:rPr>
                      <w:color w:val="FFFFFF" w:themeColor="background1"/>
                    </w:rPr>
                    <w:t>Committee</w:t>
                  </w:r>
                </w:p>
              </w:tc>
              <w:tc>
                <w:tcPr>
                  <w:tcW w:w="1417" w:type="dxa"/>
                </w:tcPr>
                <w:p w14:paraId="511F9F9C" w14:textId="77777777" w:rsidR="00616D9C" w:rsidRPr="00C41AE1" w:rsidRDefault="00616D9C" w:rsidP="0038777F">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C41AE1">
                    <w:rPr>
                      <w:color w:val="FFFFFF" w:themeColor="background1"/>
                    </w:rPr>
                    <w:t>Meeting Date</w:t>
                  </w:r>
                </w:p>
              </w:tc>
              <w:tc>
                <w:tcPr>
                  <w:tcW w:w="4826" w:type="dxa"/>
                </w:tcPr>
                <w:p w14:paraId="453AF8DE" w14:textId="77777777" w:rsidR="00616D9C" w:rsidRPr="00C41AE1" w:rsidRDefault="00616D9C" w:rsidP="0038777F">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C41AE1">
                    <w:rPr>
                      <w:color w:val="FFFFFF" w:themeColor="background1"/>
                    </w:rPr>
                    <w:t>Matters for the attention of the Board</w:t>
                  </w:r>
                </w:p>
              </w:tc>
            </w:tr>
            <w:tr w:rsidR="002E33EC" w:rsidRPr="00C41AE1" w14:paraId="542175A8" w14:textId="77777777" w:rsidTr="002E33E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84" w:type="dxa"/>
                  <w:tcBorders>
                    <w:top w:val="none" w:sz="0" w:space="0" w:color="auto"/>
                    <w:bottom w:val="none" w:sz="0" w:space="0" w:color="auto"/>
                    <w:right w:val="none" w:sz="0" w:space="0" w:color="auto"/>
                  </w:tcBorders>
                </w:tcPr>
                <w:p w14:paraId="4B824201" w14:textId="22AB8EC4" w:rsidR="002E33EC" w:rsidRPr="00916C64" w:rsidRDefault="002E33EC" w:rsidP="007D7E35">
                  <w:pPr>
                    <w:spacing w:after="0"/>
                    <w:rPr>
                      <w:color w:val="auto"/>
                    </w:rPr>
                  </w:pPr>
                  <w:r w:rsidRPr="00916C64">
                    <w:rPr>
                      <w:color w:val="auto"/>
                    </w:rPr>
                    <w:t>A</w:t>
                  </w:r>
                </w:p>
              </w:tc>
              <w:tc>
                <w:tcPr>
                  <w:tcW w:w="2546" w:type="dxa"/>
                  <w:tcBorders>
                    <w:top w:val="none" w:sz="0" w:space="0" w:color="auto"/>
                    <w:bottom w:val="none" w:sz="0" w:space="0" w:color="auto"/>
                  </w:tcBorders>
                </w:tcPr>
                <w:p w14:paraId="5F2AEB11" w14:textId="53E0E955" w:rsidR="002E33EC" w:rsidRPr="009E1194" w:rsidRDefault="009E1194" w:rsidP="009E1194">
                  <w:p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Population Health and Prevention Committee</w:t>
                  </w:r>
                </w:p>
              </w:tc>
              <w:tc>
                <w:tcPr>
                  <w:tcW w:w="1417" w:type="dxa"/>
                  <w:tcBorders>
                    <w:top w:val="none" w:sz="0" w:space="0" w:color="auto"/>
                    <w:bottom w:val="none" w:sz="0" w:space="0" w:color="auto"/>
                  </w:tcBorders>
                </w:tcPr>
                <w:p w14:paraId="3A4B2FE5" w14:textId="51DE31F2" w:rsidR="002E33EC" w:rsidRDefault="00040705" w:rsidP="007D7E35">
                  <w:pPr>
                    <w:spacing w:after="0"/>
                    <w:ind w:left="29"/>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3 </w:t>
                  </w:r>
                  <w:r w:rsidR="009E1194">
                    <w:rPr>
                      <w:color w:val="auto"/>
                    </w:rPr>
                    <w:t>December</w:t>
                  </w:r>
                </w:p>
                <w:p w14:paraId="0C88C8B1" w14:textId="44234C49" w:rsidR="002E33EC" w:rsidRDefault="002E33EC" w:rsidP="002E33EC">
                  <w:pPr>
                    <w:spacing w:after="0"/>
                    <w:cnfStyle w:val="000000100000" w:firstRow="0" w:lastRow="0" w:firstColumn="0" w:lastColumn="0" w:oddVBand="0" w:evenVBand="0" w:oddHBand="1" w:evenHBand="0" w:firstRowFirstColumn="0" w:firstRowLastColumn="0" w:lastRowFirstColumn="0" w:lastRowLastColumn="0"/>
                    <w:rPr>
                      <w:color w:val="auto"/>
                    </w:rPr>
                  </w:pPr>
                </w:p>
              </w:tc>
              <w:tc>
                <w:tcPr>
                  <w:tcW w:w="4826" w:type="dxa"/>
                  <w:tcBorders>
                    <w:top w:val="none" w:sz="0" w:space="0" w:color="auto"/>
                    <w:bottom w:val="none" w:sz="0" w:space="0" w:color="auto"/>
                  </w:tcBorders>
                </w:tcPr>
                <w:p w14:paraId="30309B2E" w14:textId="68967FC9" w:rsidR="00B65790" w:rsidRPr="00B65790" w:rsidRDefault="00F333D1" w:rsidP="00B65790">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There </w:t>
                  </w:r>
                  <w:r w:rsidR="00421BBF">
                    <w:rPr>
                      <w:color w:val="auto"/>
                    </w:rPr>
                    <w:t>is one alert to escalate to the Board</w:t>
                  </w:r>
                  <w:r w:rsidR="00B65790">
                    <w:rPr>
                      <w:color w:val="auto"/>
                    </w:rPr>
                    <w:t xml:space="preserve"> regarding </w:t>
                  </w:r>
                  <w:r w:rsidR="00AF6EFD">
                    <w:rPr>
                      <w:color w:val="auto"/>
                    </w:rPr>
                    <w:t xml:space="preserve">insufficient evidence to </w:t>
                  </w:r>
                  <w:r w:rsidR="00DD18AA">
                    <w:rPr>
                      <w:color w:val="auto"/>
                    </w:rPr>
                    <w:t>close or amend BAF risk B1</w:t>
                  </w:r>
                  <w:r w:rsidR="001B3CDE">
                    <w:rPr>
                      <w:color w:val="auto"/>
                    </w:rPr>
                    <w:t>.</w:t>
                  </w:r>
                </w:p>
                <w:p w14:paraId="7687D5C9" w14:textId="5F304DB5" w:rsidR="00F333D1" w:rsidRPr="000861B7" w:rsidRDefault="00F333D1" w:rsidP="004562AD">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There are </w:t>
                  </w:r>
                  <w:r w:rsidR="00DD18AA">
                    <w:rPr>
                      <w:color w:val="auto"/>
                    </w:rPr>
                    <w:t>three</w:t>
                  </w:r>
                  <w:r>
                    <w:rPr>
                      <w:color w:val="auto"/>
                    </w:rPr>
                    <w:t xml:space="preserve"> matters t</w:t>
                  </w:r>
                  <w:r w:rsidR="006650DE">
                    <w:rPr>
                      <w:color w:val="auto"/>
                    </w:rPr>
                    <w:t>o advise / assure the Board on.</w:t>
                  </w:r>
                </w:p>
              </w:tc>
            </w:tr>
            <w:tr w:rsidR="007D7E35" w:rsidRPr="00C41AE1" w14:paraId="5A6B0C5F" w14:textId="77777777" w:rsidTr="002E33EC">
              <w:tc>
                <w:tcPr>
                  <w:cnfStyle w:val="001000000000" w:firstRow="0" w:lastRow="0" w:firstColumn="1" w:lastColumn="0" w:oddVBand="0" w:evenVBand="0" w:oddHBand="0" w:evenHBand="0" w:firstRowFirstColumn="0" w:firstRowLastColumn="0" w:lastRowFirstColumn="0" w:lastRowLastColumn="0"/>
                  <w:tcW w:w="584" w:type="dxa"/>
                  <w:tcBorders>
                    <w:right w:val="none" w:sz="0" w:space="0" w:color="auto"/>
                  </w:tcBorders>
                </w:tcPr>
                <w:p w14:paraId="5B447D58" w14:textId="0D80EBE8" w:rsidR="007D7E35" w:rsidRDefault="00EA4CB2" w:rsidP="007D7E35">
                  <w:pPr>
                    <w:spacing w:after="0"/>
                    <w:rPr>
                      <w:color w:val="auto"/>
                    </w:rPr>
                  </w:pPr>
                  <w:r>
                    <w:rPr>
                      <w:color w:val="auto"/>
                    </w:rPr>
                    <w:t>B</w:t>
                  </w:r>
                </w:p>
              </w:tc>
              <w:tc>
                <w:tcPr>
                  <w:tcW w:w="2546" w:type="dxa"/>
                </w:tcPr>
                <w:p w14:paraId="6D8970DB" w14:textId="7EDCCC4E" w:rsidR="007D7E35" w:rsidRDefault="007D7E35" w:rsidP="007D7E35">
                  <w:pPr>
                    <w:spacing w:after="0"/>
                    <w:cnfStyle w:val="000000000000" w:firstRow="0" w:lastRow="0" w:firstColumn="0" w:lastColumn="0" w:oddVBand="0" w:evenVBand="0" w:oddHBand="0" w:evenHBand="0" w:firstRowFirstColumn="0" w:firstRowLastColumn="0" w:lastRowFirstColumn="0" w:lastRowLastColumn="0"/>
                    <w:rPr>
                      <w:color w:val="auto"/>
                    </w:rPr>
                  </w:pPr>
                  <w:r w:rsidRPr="00C41AE1">
                    <w:rPr>
                      <w:color w:val="auto"/>
                    </w:rPr>
                    <w:t>Workforce Board (Workforce Committee)</w:t>
                  </w:r>
                </w:p>
              </w:tc>
              <w:tc>
                <w:tcPr>
                  <w:tcW w:w="1417" w:type="dxa"/>
                </w:tcPr>
                <w:p w14:paraId="4CBB843C" w14:textId="73B7B9EC" w:rsidR="007D7E35" w:rsidRDefault="00A84E0E" w:rsidP="007D7E35">
                  <w:pPr>
                    <w:spacing w:after="0"/>
                    <w:ind w:left="29"/>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w:t>
                  </w:r>
                  <w:r w:rsidR="00DD604A">
                    <w:rPr>
                      <w:color w:val="auto"/>
                    </w:rPr>
                    <w:t>6</w:t>
                  </w:r>
                  <w:r w:rsidR="004B6E21">
                    <w:rPr>
                      <w:color w:val="auto"/>
                    </w:rPr>
                    <w:t xml:space="preserve"> </w:t>
                  </w:r>
                  <w:r w:rsidR="009737F0">
                    <w:rPr>
                      <w:color w:val="auto"/>
                    </w:rPr>
                    <w:t>December</w:t>
                  </w:r>
                  <w:r w:rsidR="00765FE7">
                    <w:rPr>
                      <w:color w:val="auto"/>
                    </w:rPr>
                    <w:t xml:space="preserve"> </w:t>
                  </w:r>
                  <w:r w:rsidR="007D7E35">
                    <w:rPr>
                      <w:color w:val="auto"/>
                    </w:rPr>
                    <w:t xml:space="preserve"> </w:t>
                  </w:r>
                </w:p>
              </w:tc>
              <w:tc>
                <w:tcPr>
                  <w:tcW w:w="4826" w:type="dxa"/>
                </w:tcPr>
                <w:p w14:paraId="7FCB6459" w14:textId="1CAC359C" w:rsidR="007D7E35" w:rsidRPr="000861B7" w:rsidRDefault="007D7E35" w:rsidP="004562AD">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sidRPr="000861B7">
                    <w:rPr>
                      <w:color w:val="auto"/>
                    </w:rPr>
                    <w:t xml:space="preserve">There </w:t>
                  </w:r>
                  <w:r w:rsidR="00D9271A">
                    <w:rPr>
                      <w:color w:val="auto"/>
                    </w:rPr>
                    <w:t>is</w:t>
                  </w:r>
                  <w:r w:rsidRPr="000861B7">
                    <w:rPr>
                      <w:color w:val="auto"/>
                    </w:rPr>
                    <w:t xml:space="preserve"> </w:t>
                  </w:r>
                  <w:r w:rsidR="00D9271A">
                    <w:rPr>
                      <w:color w:val="auto"/>
                    </w:rPr>
                    <w:t>o</w:t>
                  </w:r>
                  <w:r w:rsidRPr="000861B7">
                    <w:rPr>
                      <w:color w:val="auto"/>
                    </w:rPr>
                    <w:t>n</w:t>
                  </w:r>
                  <w:r w:rsidR="00D9271A">
                    <w:rPr>
                      <w:color w:val="auto"/>
                    </w:rPr>
                    <w:t>e</w:t>
                  </w:r>
                  <w:r w:rsidRPr="000861B7">
                    <w:rPr>
                      <w:color w:val="auto"/>
                    </w:rPr>
                    <w:t xml:space="preserve"> alert to escalate to the Board</w:t>
                  </w:r>
                  <w:r w:rsidR="0008440F">
                    <w:rPr>
                      <w:color w:val="auto"/>
                    </w:rPr>
                    <w:t xml:space="preserve"> regarding </w:t>
                  </w:r>
                  <w:r w:rsidR="00BD2F51">
                    <w:rPr>
                      <w:color w:val="auto"/>
                    </w:rPr>
                    <w:t>increase in the risk level of risks associated with finance and capacity</w:t>
                  </w:r>
                  <w:r w:rsidRPr="000861B7">
                    <w:rPr>
                      <w:color w:val="auto"/>
                    </w:rPr>
                    <w:t>.</w:t>
                  </w:r>
                </w:p>
                <w:p w14:paraId="50CCC33E" w14:textId="72D9D3A6" w:rsidR="007D7E35" w:rsidRPr="00217AC6" w:rsidRDefault="007D7E35" w:rsidP="004562AD">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sidRPr="000861B7">
                    <w:rPr>
                      <w:color w:val="auto"/>
                    </w:rPr>
                    <w:t xml:space="preserve">There </w:t>
                  </w:r>
                  <w:r w:rsidR="00B37048">
                    <w:rPr>
                      <w:color w:val="auto"/>
                    </w:rPr>
                    <w:t>are no</w:t>
                  </w:r>
                  <w:r>
                    <w:rPr>
                      <w:color w:val="auto"/>
                    </w:rPr>
                    <w:t xml:space="preserve"> </w:t>
                  </w:r>
                  <w:r w:rsidRPr="000861B7">
                    <w:rPr>
                      <w:color w:val="auto"/>
                    </w:rPr>
                    <w:t>matter</w:t>
                  </w:r>
                  <w:r w:rsidR="00B37048">
                    <w:rPr>
                      <w:color w:val="auto"/>
                    </w:rPr>
                    <w:t>s</w:t>
                  </w:r>
                  <w:r w:rsidRPr="000861B7">
                    <w:rPr>
                      <w:color w:val="auto"/>
                    </w:rPr>
                    <w:t xml:space="preserve"> to advise</w:t>
                  </w:r>
                  <w:r w:rsidR="006650DE">
                    <w:rPr>
                      <w:color w:val="auto"/>
                    </w:rPr>
                    <w:t xml:space="preserve"> </w:t>
                  </w:r>
                  <w:r w:rsidRPr="000861B7">
                    <w:rPr>
                      <w:color w:val="auto"/>
                    </w:rPr>
                    <w:t>/</w:t>
                  </w:r>
                  <w:r w:rsidR="006650DE">
                    <w:rPr>
                      <w:color w:val="auto"/>
                    </w:rPr>
                    <w:t xml:space="preserve"> </w:t>
                  </w:r>
                  <w:r w:rsidRPr="000861B7">
                    <w:rPr>
                      <w:color w:val="auto"/>
                    </w:rPr>
                    <w:t>assure the Board on</w:t>
                  </w:r>
                  <w:r>
                    <w:rPr>
                      <w:color w:val="auto"/>
                    </w:rPr>
                    <w:t>.</w:t>
                  </w:r>
                </w:p>
              </w:tc>
            </w:tr>
            <w:tr w:rsidR="007F1F70" w:rsidRPr="00C41AE1" w14:paraId="1DA3B10A" w14:textId="77777777" w:rsidTr="001B5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 w:type="dxa"/>
                  <w:tcBorders>
                    <w:right w:val="none" w:sz="0" w:space="0" w:color="auto"/>
                  </w:tcBorders>
                </w:tcPr>
                <w:p w14:paraId="1C533024" w14:textId="3D2BD3BC" w:rsidR="007F1F70" w:rsidRPr="00C41AE1" w:rsidRDefault="007F1F70" w:rsidP="001B5AFD">
                  <w:pPr>
                    <w:spacing w:after="0"/>
                    <w:rPr>
                      <w:color w:val="auto"/>
                    </w:rPr>
                  </w:pPr>
                  <w:r>
                    <w:rPr>
                      <w:color w:val="auto"/>
                    </w:rPr>
                    <w:t>C</w:t>
                  </w:r>
                </w:p>
              </w:tc>
              <w:tc>
                <w:tcPr>
                  <w:tcW w:w="2546" w:type="dxa"/>
                </w:tcPr>
                <w:p w14:paraId="3E6AA2A1" w14:textId="5B5E3AED" w:rsidR="007F1F70" w:rsidRPr="00C41AE1" w:rsidRDefault="00620D0E" w:rsidP="001B5AFD">
                  <w:p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Integrated Care Partnership</w:t>
                  </w:r>
                </w:p>
              </w:tc>
              <w:tc>
                <w:tcPr>
                  <w:tcW w:w="1417" w:type="dxa"/>
                </w:tcPr>
                <w:p w14:paraId="1BEDD441" w14:textId="4DE926B9" w:rsidR="007F1F70" w:rsidRPr="00C41AE1" w:rsidRDefault="000E5F6A" w:rsidP="001B5AFD">
                  <w:pPr>
                    <w:spacing w:after="0"/>
                    <w:ind w:left="29"/>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18 December</w:t>
                  </w:r>
                </w:p>
              </w:tc>
              <w:tc>
                <w:tcPr>
                  <w:tcW w:w="4826" w:type="dxa"/>
                </w:tcPr>
                <w:p w14:paraId="0DF48C52" w14:textId="699D3E28" w:rsidR="007F1F70" w:rsidRDefault="007F1F70" w:rsidP="001B5AFD">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There is one alert to escalate to the Board regarding </w:t>
                  </w:r>
                  <w:r w:rsidR="002631FE">
                    <w:rPr>
                      <w:color w:val="auto"/>
                    </w:rPr>
                    <w:t xml:space="preserve">development of a proposal for </w:t>
                  </w:r>
                  <w:proofErr w:type="gramStart"/>
                  <w:r w:rsidR="002631FE">
                    <w:rPr>
                      <w:color w:val="auto"/>
                    </w:rPr>
                    <w:t>coastal-based</w:t>
                  </w:r>
                  <w:proofErr w:type="gramEnd"/>
                  <w:r w:rsidR="002631FE">
                    <w:rPr>
                      <w:color w:val="auto"/>
                    </w:rPr>
                    <w:t xml:space="preserve"> ‘living lab’ research</w:t>
                  </w:r>
                  <w:r w:rsidR="006A5B98">
                    <w:rPr>
                      <w:color w:val="auto"/>
                    </w:rPr>
                    <w:t>, focussed primarily in Scarborough, to be presented to the ICP in June 2025.</w:t>
                  </w:r>
                </w:p>
                <w:p w14:paraId="79B7DCEF" w14:textId="455A7B0F" w:rsidR="007F1F70" w:rsidRPr="00537D63" w:rsidRDefault="007F1F70" w:rsidP="001B5AFD">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sidRPr="00537D63">
                    <w:rPr>
                      <w:color w:val="auto"/>
                    </w:rPr>
                    <w:t xml:space="preserve">There are </w:t>
                  </w:r>
                  <w:r w:rsidR="009A67DA">
                    <w:rPr>
                      <w:color w:val="auto"/>
                    </w:rPr>
                    <w:t>six</w:t>
                  </w:r>
                  <w:r w:rsidRPr="00537D63">
                    <w:rPr>
                      <w:color w:val="auto"/>
                    </w:rPr>
                    <w:t xml:space="preserve"> matters to advise</w:t>
                  </w:r>
                  <w:r w:rsidR="006650DE">
                    <w:rPr>
                      <w:color w:val="auto"/>
                    </w:rPr>
                    <w:t xml:space="preserve"> </w:t>
                  </w:r>
                  <w:r w:rsidRPr="00537D63">
                    <w:rPr>
                      <w:color w:val="auto"/>
                    </w:rPr>
                    <w:t>/</w:t>
                  </w:r>
                  <w:r w:rsidR="006650DE">
                    <w:rPr>
                      <w:color w:val="auto"/>
                    </w:rPr>
                    <w:t xml:space="preserve"> </w:t>
                  </w:r>
                  <w:r w:rsidRPr="00537D63">
                    <w:rPr>
                      <w:color w:val="auto"/>
                    </w:rPr>
                    <w:t>assure the Board on.</w:t>
                  </w:r>
                </w:p>
              </w:tc>
            </w:tr>
            <w:tr w:rsidR="00E2508C" w:rsidRPr="00C41AE1" w14:paraId="08FEEF9B" w14:textId="77777777" w:rsidTr="001B5AFD">
              <w:tc>
                <w:tcPr>
                  <w:cnfStyle w:val="001000000000" w:firstRow="0" w:lastRow="0" w:firstColumn="1" w:lastColumn="0" w:oddVBand="0" w:evenVBand="0" w:oddHBand="0" w:evenHBand="0" w:firstRowFirstColumn="0" w:firstRowLastColumn="0" w:lastRowFirstColumn="0" w:lastRowLastColumn="0"/>
                  <w:tcW w:w="584" w:type="dxa"/>
                </w:tcPr>
                <w:p w14:paraId="11B017DA" w14:textId="65F3FA51" w:rsidR="00E2508C" w:rsidRDefault="00E2508C" w:rsidP="001B5AFD">
                  <w:pPr>
                    <w:spacing w:after="0"/>
                    <w:rPr>
                      <w:color w:val="auto"/>
                    </w:rPr>
                  </w:pPr>
                  <w:r>
                    <w:rPr>
                      <w:color w:val="auto"/>
                    </w:rPr>
                    <w:t>D</w:t>
                  </w:r>
                </w:p>
              </w:tc>
              <w:tc>
                <w:tcPr>
                  <w:tcW w:w="2546" w:type="dxa"/>
                </w:tcPr>
                <w:p w14:paraId="2B8FBC5F" w14:textId="6A21331F" w:rsidR="00E2508C" w:rsidRDefault="00822DA4" w:rsidP="001B5AFD">
                  <w:pPr>
                    <w:spacing w:after="0"/>
                    <w:cnfStyle w:val="000000000000" w:firstRow="0" w:lastRow="0" w:firstColumn="0" w:lastColumn="0" w:oddVBand="0" w:evenVBand="0" w:oddHBand="0" w:evenHBand="0" w:firstRowFirstColumn="0" w:firstRowLastColumn="0" w:lastRowFirstColumn="0" w:lastRowLastColumn="0"/>
                    <w:rPr>
                      <w:color w:val="auto"/>
                    </w:rPr>
                  </w:pPr>
                  <w:r>
                    <w:rPr>
                      <w:color w:val="auto"/>
                    </w:rPr>
                    <w:t>Remuneration Committee</w:t>
                  </w:r>
                </w:p>
              </w:tc>
              <w:tc>
                <w:tcPr>
                  <w:tcW w:w="1417" w:type="dxa"/>
                </w:tcPr>
                <w:p w14:paraId="443A4880" w14:textId="5E58ADDD" w:rsidR="00E2508C" w:rsidRDefault="00ED6F4D" w:rsidP="001B5AFD">
                  <w:pPr>
                    <w:spacing w:after="0"/>
                    <w:ind w:left="29"/>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19 December</w:t>
                  </w:r>
                </w:p>
              </w:tc>
              <w:tc>
                <w:tcPr>
                  <w:tcW w:w="4826" w:type="dxa"/>
                </w:tcPr>
                <w:p w14:paraId="3A1C7A7C" w14:textId="25319A3F" w:rsidR="00702F82" w:rsidRPr="002E0430" w:rsidRDefault="00E2508C" w:rsidP="002E0430">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There </w:t>
                  </w:r>
                  <w:r w:rsidR="0086471A">
                    <w:rPr>
                      <w:color w:val="auto"/>
                    </w:rPr>
                    <w:t xml:space="preserve">are </w:t>
                  </w:r>
                  <w:r w:rsidR="002E0430">
                    <w:rPr>
                      <w:color w:val="auto"/>
                    </w:rPr>
                    <w:t xml:space="preserve">no </w:t>
                  </w:r>
                  <w:r>
                    <w:rPr>
                      <w:color w:val="auto"/>
                    </w:rPr>
                    <w:t>alerts to escalate to the Board</w:t>
                  </w:r>
                  <w:r w:rsidR="002E0430">
                    <w:rPr>
                      <w:color w:val="auto"/>
                    </w:rPr>
                    <w:t>.</w:t>
                  </w:r>
                </w:p>
                <w:p w14:paraId="4B0E91DF" w14:textId="5A14DF79" w:rsidR="00E2508C" w:rsidRDefault="00E2508C" w:rsidP="001B5AFD">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sidRPr="00537D63">
                    <w:rPr>
                      <w:color w:val="auto"/>
                    </w:rPr>
                    <w:t xml:space="preserve">There are </w:t>
                  </w:r>
                  <w:r w:rsidR="002E0430">
                    <w:rPr>
                      <w:color w:val="auto"/>
                    </w:rPr>
                    <w:t>three</w:t>
                  </w:r>
                  <w:r w:rsidRPr="00537D63">
                    <w:rPr>
                      <w:color w:val="auto"/>
                    </w:rPr>
                    <w:t xml:space="preserve"> matters to advise</w:t>
                  </w:r>
                  <w:r w:rsidR="006650DE">
                    <w:rPr>
                      <w:color w:val="auto"/>
                    </w:rPr>
                    <w:t xml:space="preserve"> </w:t>
                  </w:r>
                  <w:r w:rsidRPr="00537D63">
                    <w:rPr>
                      <w:color w:val="auto"/>
                    </w:rPr>
                    <w:t>/</w:t>
                  </w:r>
                  <w:r w:rsidR="006650DE">
                    <w:rPr>
                      <w:color w:val="auto"/>
                    </w:rPr>
                    <w:t xml:space="preserve"> </w:t>
                  </w:r>
                  <w:r w:rsidRPr="00537D63">
                    <w:rPr>
                      <w:color w:val="auto"/>
                    </w:rPr>
                    <w:t>assure the Board on.</w:t>
                  </w:r>
                </w:p>
              </w:tc>
            </w:tr>
          </w:tbl>
          <w:p w14:paraId="63038ECF" w14:textId="77777777" w:rsidR="00DA7DFF" w:rsidRDefault="00DA7DFF" w:rsidP="00BE46BF">
            <w:pPr>
              <w:spacing w:after="0" w:line="240" w:lineRule="auto"/>
              <w:rPr>
                <w:bCs/>
                <w:color w:val="auto"/>
              </w:rPr>
            </w:pPr>
          </w:p>
          <w:p w14:paraId="75B36AB4" w14:textId="39B59440" w:rsidR="00EF412A" w:rsidRDefault="00EA4CB2" w:rsidP="00BE46BF">
            <w:pPr>
              <w:spacing w:after="0" w:line="240" w:lineRule="auto"/>
              <w:rPr>
                <w:bCs/>
                <w:color w:val="auto"/>
              </w:rPr>
            </w:pPr>
            <w:r>
              <w:rPr>
                <w:bCs/>
                <w:color w:val="auto"/>
              </w:rPr>
              <w:t>There was no</w:t>
            </w:r>
            <w:r w:rsidR="00F97B8E">
              <w:rPr>
                <w:bCs/>
                <w:color w:val="auto"/>
              </w:rPr>
              <w:t xml:space="preserve"> feedback to committees</w:t>
            </w:r>
            <w:r>
              <w:rPr>
                <w:bCs/>
                <w:color w:val="auto"/>
              </w:rPr>
              <w:t xml:space="preserve"> to report from the Board at the </w:t>
            </w:r>
            <w:r w:rsidR="00A44EBB">
              <w:rPr>
                <w:bCs/>
                <w:color w:val="auto"/>
              </w:rPr>
              <w:t>December</w:t>
            </w:r>
            <w:r w:rsidR="002D4698">
              <w:rPr>
                <w:bCs/>
                <w:color w:val="auto"/>
              </w:rPr>
              <w:t xml:space="preserve"> 2024</w:t>
            </w:r>
            <w:r>
              <w:rPr>
                <w:bCs/>
                <w:color w:val="auto"/>
              </w:rPr>
              <w:t xml:space="preserve"> meeting</w:t>
            </w:r>
            <w:r w:rsidR="00AC4178">
              <w:rPr>
                <w:bCs/>
                <w:color w:val="auto"/>
              </w:rPr>
              <w:t>.</w:t>
            </w:r>
          </w:p>
          <w:p w14:paraId="2D42A499" w14:textId="77777777" w:rsidR="00F97B8E" w:rsidRDefault="00F97B8E" w:rsidP="00BE46BF">
            <w:pPr>
              <w:spacing w:after="0" w:line="240" w:lineRule="auto"/>
              <w:rPr>
                <w:bCs/>
                <w:color w:val="auto"/>
              </w:rPr>
            </w:pPr>
          </w:p>
          <w:p w14:paraId="0656DFAD" w14:textId="73F1E7DB" w:rsidR="004C7CF3" w:rsidRDefault="00664ED5" w:rsidP="00BE46BF">
            <w:pPr>
              <w:spacing w:after="0" w:line="240" w:lineRule="auto"/>
              <w:rPr>
                <w:color w:val="auto"/>
              </w:rPr>
            </w:pPr>
            <w:r w:rsidRPr="00266A95">
              <w:rPr>
                <w:b/>
                <w:bCs/>
                <w:color w:val="auto"/>
              </w:rPr>
              <w:t>RECOMMENDATIONS:</w:t>
            </w:r>
            <w:r w:rsidRPr="00266A95">
              <w:rPr>
                <w:color w:val="auto"/>
              </w:rPr>
              <w:t xml:space="preserve"> </w:t>
            </w:r>
          </w:p>
          <w:p w14:paraId="5DD056FB" w14:textId="77777777" w:rsidR="0048793F" w:rsidRPr="00577067" w:rsidRDefault="00664ED5" w:rsidP="00577067">
            <w:pPr>
              <w:spacing w:after="0" w:line="240" w:lineRule="auto"/>
              <w:rPr>
                <w:color w:val="auto"/>
                <w:sz w:val="16"/>
                <w:szCs w:val="16"/>
              </w:rPr>
            </w:pPr>
            <w:bookmarkStart w:id="2" w:name="_Hlk106101454"/>
            <w:r w:rsidRPr="00266A95">
              <w:rPr>
                <w:color w:val="auto"/>
              </w:rPr>
              <w:t>Members are asked to</w:t>
            </w:r>
            <w:bookmarkEnd w:id="2"/>
            <w:r w:rsidR="001B3CDE">
              <w:rPr>
                <w:color w:val="auto"/>
              </w:rPr>
              <w:t xml:space="preserve"> n</w:t>
            </w:r>
            <w:r w:rsidR="00CF2962" w:rsidRPr="002D18D3">
              <w:rPr>
                <w:color w:val="auto"/>
              </w:rPr>
              <w:t>ote the</w:t>
            </w:r>
            <w:r w:rsidR="004F6B3A" w:rsidRPr="002D18D3">
              <w:rPr>
                <w:color w:val="auto"/>
              </w:rPr>
              <w:t xml:space="preserve"> content of the</w:t>
            </w:r>
            <w:r w:rsidR="00CF2962" w:rsidRPr="002D18D3">
              <w:rPr>
                <w:color w:val="auto"/>
              </w:rPr>
              <w:t xml:space="preserve"> Committee Assurance and Escalation Reports.</w:t>
            </w:r>
          </w:p>
        </w:tc>
      </w:tr>
    </w:tbl>
    <w:p w14:paraId="653D6F76" w14:textId="77777777" w:rsidR="004C7CF3" w:rsidRDefault="004C7CF3" w:rsidP="00D05ADC">
      <w:pPr>
        <w:spacing w:after="0" w:line="120" w:lineRule="auto"/>
        <w:rPr>
          <w:color w:val="auto"/>
        </w:rPr>
      </w:pPr>
    </w:p>
    <w:tbl>
      <w:tblPr>
        <w:tblStyle w:val="TableGrid"/>
        <w:tblpPr w:leftFromText="180" w:rightFromText="180" w:vertAnchor="text" w:horzAnchor="margin" w:tblpY="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6"/>
      </w:tblGrid>
      <w:tr w:rsidR="00D95FF0" w:rsidRPr="00524FEE" w14:paraId="609B72EA" w14:textId="77777777" w:rsidTr="00256C9B">
        <w:trPr>
          <w:trHeight w:val="427"/>
        </w:trPr>
        <w:tc>
          <w:tcPr>
            <w:tcW w:w="9608" w:type="dxa"/>
            <w:shd w:val="clear" w:color="auto" w:fill="D9D9D9" w:themeFill="background1" w:themeFillShade="D9"/>
          </w:tcPr>
          <w:p w14:paraId="115D220E" w14:textId="77777777" w:rsidR="0048793F" w:rsidRDefault="00D95FF0" w:rsidP="00EA4CB2">
            <w:pPr>
              <w:spacing w:after="0"/>
              <w:rPr>
                <w:b/>
                <w:color w:val="auto"/>
              </w:rPr>
            </w:pPr>
            <w:bookmarkStart w:id="3" w:name="_Hlk138950819"/>
            <w:r w:rsidRPr="00826000">
              <w:rPr>
                <w:b/>
                <w:color w:val="auto"/>
              </w:rPr>
              <w:lastRenderedPageBreak/>
              <w:t>ICB S</w:t>
            </w:r>
            <w:r w:rsidRPr="00FA1C18">
              <w:rPr>
                <w:b/>
                <w:color w:val="auto"/>
              </w:rPr>
              <w:t>TRATEGIC O</w:t>
            </w:r>
            <w:r w:rsidRPr="00826000">
              <w:rPr>
                <w:b/>
                <w:color w:val="auto"/>
              </w:rPr>
              <w:t xml:space="preserve">BJECTIVE </w:t>
            </w:r>
          </w:p>
          <w:p w14:paraId="17CE4E38" w14:textId="0D839DD4" w:rsidR="00577067" w:rsidRPr="004522CE" w:rsidRDefault="00577067" w:rsidP="00EA4CB2">
            <w:pPr>
              <w:spacing w:after="0"/>
              <w:rPr>
                <w:b/>
                <w:color w:val="auto"/>
                <w:sz w:val="24"/>
                <w:szCs w:val="24"/>
              </w:rPr>
            </w:pPr>
          </w:p>
        </w:tc>
      </w:tr>
      <w:bookmarkEnd w:id="3"/>
    </w:tbl>
    <w:p w14:paraId="058B02DB" w14:textId="77777777" w:rsidR="00934A5F" w:rsidRDefault="00934A5F" w:rsidP="00826000">
      <w:pPr>
        <w:spacing w:after="0" w:line="240" w:lineRule="auto"/>
        <w:rPr>
          <w:color w:val="auto"/>
          <w:sz w:val="10"/>
          <w:szCs w:val="10"/>
        </w:rPr>
      </w:pPr>
    </w:p>
    <w:tbl>
      <w:tblPr>
        <w:tblStyle w:val="TableGrid"/>
        <w:tblpPr w:leftFromText="180" w:rightFromText="180" w:vertAnchor="text" w:horzAnchor="margin" w:tblpY="-14"/>
        <w:tblW w:w="0" w:type="auto"/>
        <w:tblLook w:val="04A0" w:firstRow="1" w:lastRow="0" w:firstColumn="1" w:lastColumn="0" w:noHBand="0" w:noVBand="1"/>
      </w:tblPr>
      <w:tblGrid>
        <w:gridCol w:w="7631"/>
        <w:gridCol w:w="1965"/>
      </w:tblGrid>
      <w:tr w:rsidR="00256C9B" w:rsidRPr="00566BDC" w14:paraId="1064C251" w14:textId="77777777" w:rsidTr="00256C9B">
        <w:trPr>
          <w:trHeight w:val="118"/>
        </w:trPr>
        <w:tc>
          <w:tcPr>
            <w:tcW w:w="7634" w:type="dxa"/>
            <w:tcBorders>
              <w:top w:val="double" w:sz="4" w:space="0" w:color="auto"/>
              <w:left w:val="double" w:sz="4" w:space="0" w:color="auto"/>
            </w:tcBorders>
          </w:tcPr>
          <w:p w14:paraId="262ED49C" w14:textId="77777777" w:rsidR="00256C9B" w:rsidRPr="00BE46BF" w:rsidRDefault="00256C9B" w:rsidP="00256C9B">
            <w:pPr>
              <w:spacing w:after="0" w:line="240" w:lineRule="auto"/>
              <w:rPr>
                <w:b/>
                <w:color w:val="auto"/>
              </w:rPr>
            </w:pPr>
            <w:r w:rsidRPr="004A15A3">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66" w:type="dxa"/>
                <w:tcBorders>
                  <w:top w:val="double" w:sz="4" w:space="0" w:color="auto"/>
                  <w:right w:val="double" w:sz="4" w:space="0" w:color="auto"/>
                </w:tcBorders>
              </w:tcPr>
              <w:p w14:paraId="6D9F3943" w14:textId="77777777" w:rsidR="00256C9B" w:rsidRPr="0048793F" w:rsidRDefault="00256C9B" w:rsidP="00256C9B">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r w:rsidR="00256C9B" w:rsidRPr="00566BDC" w14:paraId="3B6228D1" w14:textId="77777777" w:rsidTr="00256C9B">
        <w:tc>
          <w:tcPr>
            <w:tcW w:w="7634" w:type="dxa"/>
            <w:tcBorders>
              <w:left w:val="double" w:sz="4" w:space="0" w:color="auto"/>
            </w:tcBorders>
          </w:tcPr>
          <w:p w14:paraId="047F6463" w14:textId="77777777" w:rsidR="00256C9B" w:rsidRPr="00BE46BF" w:rsidRDefault="00256C9B" w:rsidP="00256C9B">
            <w:pPr>
              <w:spacing w:after="0" w:line="240" w:lineRule="auto"/>
              <w:rPr>
                <w:b/>
                <w:color w:val="auto"/>
              </w:rPr>
            </w:pPr>
            <w:r w:rsidRPr="004A15A3">
              <w:rPr>
                <w:color w:val="auto"/>
              </w:rPr>
              <w:t>Leading for Prevention</w:t>
            </w:r>
          </w:p>
        </w:tc>
        <w:sdt>
          <w:sdtPr>
            <w:rPr>
              <w:color w:val="auto"/>
              <w:sz w:val="40"/>
              <w:szCs w:val="40"/>
            </w:rPr>
            <w:id w:val="1263573161"/>
            <w14:checkbox>
              <w14:checked w14:val="1"/>
              <w14:checkedState w14:val="2612" w14:font="MS Gothic"/>
              <w14:uncheckedState w14:val="2610" w14:font="MS Gothic"/>
            </w14:checkbox>
          </w:sdtPr>
          <w:sdtEndPr/>
          <w:sdtContent>
            <w:tc>
              <w:tcPr>
                <w:tcW w:w="1966" w:type="dxa"/>
                <w:tcBorders>
                  <w:right w:val="double" w:sz="4" w:space="0" w:color="auto"/>
                </w:tcBorders>
              </w:tcPr>
              <w:p w14:paraId="263ADDF8" w14:textId="77777777" w:rsidR="00256C9B" w:rsidRPr="0048793F" w:rsidRDefault="00256C9B" w:rsidP="00256C9B">
                <w:pPr>
                  <w:spacing w:after="0" w:line="240" w:lineRule="auto"/>
                  <w:jc w:val="center"/>
                  <w:rPr>
                    <w:color w:val="auto"/>
                    <w:sz w:val="40"/>
                    <w:szCs w:val="40"/>
                  </w:rPr>
                </w:pPr>
                <w:r w:rsidRPr="003C2504">
                  <w:rPr>
                    <w:rFonts w:ascii="MS Gothic" w:eastAsia="MS Gothic" w:hAnsi="MS Gothic" w:hint="eastAsia"/>
                    <w:color w:val="auto"/>
                    <w:sz w:val="40"/>
                    <w:szCs w:val="40"/>
                  </w:rPr>
                  <w:t>☒</w:t>
                </w:r>
              </w:p>
            </w:tc>
          </w:sdtContent>
        </w:sdt>
      </w:tr>
      <w:tr w:rsidR="00256C9B" w:rsidRPr="00566BDC" w14:paraId="32817289" w14:textId="77777777" w:rsidTr="00256C9B">
        <w:tc>
          <w:tcPr>
            <w:tcW w:w="7634" w:type="dxa"/>
            <w:tcBorders>
              <w:left w:val="double" w:sz="4" w:space="0" w:color="auto"/>
            </w:tcBorders>
          </w:tcPr>
          <w:p w14:paraId="3FC4BCD5" w14:textId="77777777" w:rsidR="00256C9B" w:rsidRPr="00BE46BF" w:rsidRDefault="00256C9B" w:rsidP="00256C9B">
            <w:pPr>
              <w:spacing w:after="0" w:line="240" w:lineRule="auto"/>
              <w:rPr>
                <w:color w:val="auto"/>
              </w:rPr>
            </w:pPr>
            <w:r w:rsidRPr="004A15A3">
              <w:rPr>
                <w:color w:val="auto"/>
              </w:rPr>
              <w:t>Leading for Sustainability</w:t>
            </w:r>
          </w:p>
        </w:tc>
        <w:sdt>
          <w:sdtPr>
            <w:rPr>
              <w:color w:val="auto"/>
              <w:sz w:val="40"/>
              <w:szCs w:val="40"/>
            </w:rPr>
            <w:id w:val="-2049133789"/>
            <w14:checkbox>
              <w14:checked w14:val="1"/>
              <w14:checkedState w14:val="2612" w14:font="MS Gothic"/>
              <w14:uncheckedState w14:val="2610" w14:font="MS Gothic"/>
            </w14:checkbox>
          </w:sdtPr>
          <w:sdtEndPr/>
          <w:sdtContent>
            <w:tc>
              <w:tcPr>
                <w:tcW w:w="1966" w:type="dxa"/>
                <w:tcBorders>
                  <w:right w:val="double" w:sz="4" w:space="0" w:color="auto"/>
                </w:tcBorders>
              </w:tcPr>
              <w:p w14:paraId="798D0839" w14:textId="77777777" w:rsidR="00256C9B" w:rsidRDefault="00256C9B" w:rsidP="00256C9B">
                <w:pPr>
                  <w:spacing w:after="0" w:line="240" w:lineRule="auto"/>
                  <w:jc w:val="center"/>
                  <w:rPr>
                    <w:color w:val="auto"/>
                    <w:sz w:val="40"/>
                    <w:szCs w:val="40"/>
                  </w:rPr>
                </w:pPr>
                <w:r w:rsidRPr="003C2504">
                  <w:rPr>
                    <w:rFonts w:ascii="MS Gothic" w:eastAsia="MS Gothic" w:hAnsi="MS Gothic" w:hint="eastAsia"/>
                    <w:color w:val="auto"/>
                    <w:sz w:val="40"/>
                    <w:szCs w:val="40"/>
                  </w:rPr>
                  <w:t>☒</w:t>
                </w:r>
              </w:p>
            </w:tc>
          </w:sdtContent>
        </w:sdt>
      </w:tr>
      <w:tr w:rsidR="00256C9B" w:rsidRPr="00566BDC" w14:paraId="6294C4EB" w14:textId="77777777" w:rsidTr="00256C9B">
        <w:tc>
          <w:tcPr>
            <w:tcW w:w="7634" w:type="dxa"/>
            <w:tcBorders>
              <w:left w:val="double" w:sz="4" w:space="0" w:color="auto"/>
              <w:bottom w:val="double" w:sz="4" w:space="0" w:color="auto"/>
            </w:tcBorders>
          </w:tcPr>
          <w:p w14:paraId="2B13C71D" w14:textId="77777777" w:rsidR="00256C9B" w:rsidRPr="00BE46BF" w:rsidRDefault="00256C9B" w:rsidP="00256C9B">
            <w:pPr>
              <w:spacing w:after="0" w:line="240" w:lineRule="auto"/>
              <w:jc w:val="both"/>
              <w:rPr>
                <w:b/>
                <w:color w:val="auto"/>
              </w:rPr>
            </w:pPr>
            <w:r w:rsidRPr="004A15A3">
              <w:rPr>
                <w:color w:val="auto"/>
              </w:rPr>
              <w:t>Voice at the Heart</w:t>
            </w:r>
          </w:p>
        </w:tc>
        <w:sdt>
          <w:sdtPr>
            <w:rPr>
              <w:color w:val="auto"/>
              <w:sz w:val="40"/>
              <w:szCs w:val="40"/>
            </w:rPr>
            <w:id w:val="-925952836"/>
            <w14:checkbox>
              <w14:checked w14:val="1"/>
              <w14:checkedState w14:val="2612" w14:font="MS Gothic"/>
              <w14:uncheckedState w14:val="2610" w14:font="MS Gothic"/>
            </w14:checkbox>
          </w:sdtPr>
          <w:sdtEndPr/>
          <w:sdtContent>
            <w:tc>
              <w:tcPr>
                <w:tcW w:w="1966" w:type="dxa"/>
                <w:tcBorders>
                  <w:bottom w:val="double" w:sz="4" w:space="0" w:color="auto"/>
                  <w:right w:val="double" w:sz="4" w:space="0" w:color="auto"/>
                </w:tcBorders>
              </w:tcPr>
              <w:p w14:paraId="30CA791B" w14:textId="77777777" w:rsidR="00256C9B" w:rsidRPr="0048793F" w:rsidRDefault="00256C9B" w:rsidP="00256C9B">
                <w:pPr>
                  <w:spacing w:after="0" w:line="240" w:lineRule="auto"/>
                  <w:jc w:val="center"/>
                  <w:rPr>
                    <w:color w:val="auto"/>
                    <w:sz w:val="40"/>
                    <w:szCs w:val="40"/>
                  </w:rPr>
                </w:pPr>
                <w:r w:rsidRPr="003C2504">
                  <w:rPr>
                    <w:rFonts w:ascii="MS Gothic" w:eastAsia="MS Gothic" w:hAnsi="MS Gothic" w:hint="eastAsia"/>
                    <w:color w:val="auto"/>
                    <w:sz w:val="40"/>
                    <w:szCs w:val="40"/>
                  </w:rPr>
                  <w:t>☒</w:t>
                </w:r>
              </w:p>
            </w:tc>
          </w:sdtContent>
        </w:sdt>
      </w:tr>
    </w:tbl>
    <w:p w14:paraId="0D45649E" w14:textId="77777777" w:rsidR="006C1E7A" w:rsidRDefault="006C1E7A" w:rsidP="00D05ADC">
      <w:pPr>
        <w:spacing w:after="0" w:line="120" w:lineRule="auto"/>
        <w:rPr>
          <w:color w:val="auto"/>
        </w:rPr>
      </w:pPr>
    </w:p>
    <w:tbl>
      <w:tblPr>
        <w:tblStyle w:val="TableGrid"/>
        <w:tblpPr w:leftFromText="180" w:rightFromText="180" w:vertAnchor="text" w:horzAnchor="margin" w:tblpY="-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6"/>
      </w:tblGrid>
      <w:tr w:rsidR="00B23603" w:rsidRPr="00524FEE" w14:paraId="789A9B3F" w14:textId="77777777" w:rsidTr="00256C9B">
        <w:trPr>
          <w:trHeight w:val="112"/>
        </w:trPr>
        <w:tc>
          <w:tcPr>
            <w:tcW w:w="9600" w:type="dxa"/>
            <w:shd w:val="clear" w:color="auto" w:fill="D9D9D9" w:themeFill="background1" w:themeFillShade="D9"/>
          </w:tcPr>
          <w:p w14:paraId="3D0BA9FD" w14:textId="77777777" w:rsidR="00E705A6" w:rsidRDefault="00B23603" w:rsidP="00934A5F">
            <w:pPr>
              <w:spacing w:after="0" w:line="240" w:lineRule="auto"/>
              <w:rPr>
                <w:b/>
                <w:color w:val="auto"/>
              </w:rPr>
            </w:pPr>
            <w:r w:rsidRPr="00566BDC">
              <w:rPr>
                <w:b/>
                <w:color w:val="auto"/>
              </w:rPr>
              <w:t>IMPLICATIONS</w:t>
            </w:r>
          </w:p>
          <w:p w14:paraId="266D9FF1" w14:textId="77777777" w:rsidR="00926731" w:rsidRPr="00926731" w:rsidRDefault="00926731" w:rsidP="00934A5F">
            <w:pPr>
              <w:spacing w:after="0" w:line="240" w:lineRule="auto"/>
              <w:rPr>
                <w:b/>
                <w:color w:val="auto"/>
                <w:sz w:val="24"/>
                <w:szCs w:val="24"/>
              </w:rPr>
            </w:pPr>
          </w:p>
          <w:p w14:paraId="24FC2816" w14:textId="62DE0338" w:rsidR="00926731" w:rsidRPr="00E705A6" w:rsidRDefault="00926731" w:rsidP="00934A5F">
            <w:pPr>
              <w:spacing w:after="0" w:line="240" w:lineRule="auto"/>
              <w:rPr>
                <w:color w:val="auto"/>
                <w:sz w:val="4"/>
                <w:szCs w:val="4"/>
              </w:rPr>
            </w:pPr>
          </w:p>
        </w:tc>
      </w:tr>
    </w:tbl>
    <w:p w14:paraId="73320C36" w14:textId="77777777" w:rsidR="00256C9B" w:rsidRPr="00256C9B" w:rsidRDefault="00256C9B" w:rsidP="00256C9B">
      <w:pPr>
        <w:spacing w:after="0" w:line="240" w:lineRule="auto"/>
        <w:rPr>
          <w:sz w:val="6"/>
          <w:szCs w:val="6"/>
        </w:rPr>
      </w:pPr>
    </w:p>
    <w:tbl>
      <w:tblPr>
        <w:tblStyle w:val="TableGrid"/>
        <w:tblW w:w="0" w:type="auto"/>
        <w:tblInd w:w="-15" w:type="dxa"/>
        <w:tblLook w:val="04A0" w:firstRow="1" w:lastRow="0" w:firstColumn="1" w:lastColumn="0" w:noHBand="0" w:noVBand="1"/>
      </w:tblPr>
      <w:tblGrid>
        <w:gridCol w:w="1970"/>
        <w:gridCol w:w="7630"/>
      </w:tblGrid>
      <w:tr w:rsidR="004307C4" w:rsidRPr="00566BDC" w14:paraId="20FF7694" w14:textId="77777777" w:rsidTr="00256C9B">
        <w:tc>
          <w:tcPr>
            <w:tcW w:w="1970" w:type="dxa"/>
            <w:tcBorders>
              <w:top w:val="double" w:sz="4" w:space="0" w:color="auto"/>
              <w:left w:val="double" w:sz="4" w:space="0" w:color="auto"/>
            </w:tcBorders>
          </w:tcPr>
          <w:p w14:paraId="0F1AF5E8" w14:textId="37243330" w:rsidR="004307C4" w:rsidRPr="00566BDC" w:rsidRDefault="004307C4" w:rsidP="00566BDC">
            <w:pPr>
              <w:spacing w:after="0" w:line="240" w:lineRule="auto"/>
              <w:rPr>
                <w:b/>
                <w:color w:val="auto"/>
              </w:rPr>
            </w:pPr>
            <w:r w:rsidRPr="00566BDC">
              <w:rPr>
                <w:color w:val="auto"/>
              </w:rPr>
              <w:t>Finance</w:t>
            </w:r>
          </w:p>
        </w:tc>
        <w:tc>
          <w:tcPr>
            <w:tcW w:w="7630" w:type="dxa"/>
            <w:tcBorders>
              <w:top w:val="double" w:sz="4" w:space="0" w:color="auto"/>
              <w:right w:val="double" w:sz="4" w:space="0" w:color="auto"/>
            </w:tcBorders>
          </w:tcPr>
          <w:p w14:paraId="16D2687E" w14:textId="2E4B0A5F" w:rsidR="002D2FBC" w:rsidRPr="00566BDC" w:rsidRDefault="004F6B3A" w:rsidP="00995601">
            <w:pPr>
              <w:spacing w:after="0" w:line="240" w:lineRule="auto"/>
              <w:rPr>
                <w:b/>
                <w:color w:val="auto"/>
              </w:rPr>
            </w:pPr>
            <w:r>
              <w:rPr>
                <w:b/>
                <w:color w:val="auto"/>
              </w:rPr>
              <w:t xml:space="preserve">The Finance, Performance and Delivery Committee </w:t>
            </w:r>
            <w:r w:rsidRPr="004F6B3A">
              <w:rPr>
                <w:bCs/>
                <w:color w:val="auto"/>
              </w:rPr>
              <w:t>is responsible for overseeing, monitoring, and reviewing the stewardship of the finances, investments and sustainability of the ICB, including planning, financial performance, capital expenditure and the delivery of the informatics and estates, facilities and capital development annual plans</w:t>
            </w:r>
          </w:p>
        </w:tc>
      </w:tr>
      <w:tr w:rsidR="00E238FC" w:rsidRPr="00566BDC" w14:paraId="7F287BB4" w14:textId="77777777" w:rsidTr="00256C9B">
        <w:tc>
          <w:tcPr>
            <w:tcW w:w="1970" w:type="dxa"/>
            <w:tcBorders>
              <w:left w:val="double" w:sz="4" w:space="0" w:color="auto"/>
            </w:tcBorders>
          </w:tcPr>
          <w:p w14:paraId="4EFA89F3" w14:textId="49F7FB96" w:rsidR="00E238FC" w:rsidRPr="00566BDC" w:rsidRDefault="00F50234" w:rsidP="00566BDC">
            <w:pPr>
              <w:spacing w:after="0" w:line="240" w:lineRule="auto"/>
              <w:rPr>
                <w:color w:val="auto"/>
              </w:rPr>
            </w:pPr>
            <w:r w:rsidRPr="00566BDC">
              <w:rPr>
                <w:color w:val="auto"/>
              </w:rPr>
              <w:t>Quality</w:t>
            </w:r>
          </w:p>
        </w:tc>
        <w:tc>
          <w:tcPr>
            <w:tcW w:w="7630" w:type="dxa"/>
            <w:tcBorders>
              <w:right w:val="double" w:sz="4" w:space="0" w:color="auto"/>
            </w:tcBorders>
          </w:tcPr>
          <w:p w14:paraId="7C8B1819" w14:textId="48EB0313" w:rsidR="002D2FBC" w:rsidRPr="00566BDC" w:rsidRDefault="004F6B3A" w:rsidP="00995601">
            <w:pPr>
              <w:spacing w:after="0" w:line="240" w:lineRule="auto"/>
              <w:rPr>
                <w:b/>
                <w:color w:val="auto"/>
              </w:rPr>
            </w:pPr>
            <w:r>
              <w:rPr>
                <w:b/>
                <w:bCs/>
                <w:color w:val="auto"/>
              </w:rPr>
              <w:t>The Quality Committee</w:t>
            </w:r>
            <w:r w:rsidR="00995601">
              <w:rPr>
                <w:color w:val="auto"/>
              </w:rPr>
              <w:t xml:space="preserve"> </w:t>
            </w:r>
            <w:r w:rsidRPr="004F6B3A">
              <w:rPr>
                <w:color w:val="auto"/>
              </w:rPr>
              <w:t>provide the ICB with assurance that is delivering its functions in a way that secures continuous improvement in the quality of services, against each of the dimensions of quality set out in the Shared Commitment to Quality and enshrined in the Health and Care Act 2021. This includes reducing inequalities in the quality of care.</w:t>
            </w:r>
          </w:p>
        </w:tc>
      </w:tr>
      <w:tr w:rsidR="00995601" w:rsidRPr="00566BDC" w14:paraId="3285F263" w14:textId="77777777" w:rsidTr="00256C9B">
        <w:tc>
          <w:tcPr>
            <w:tcW w:w="1970" w:type="dxa"/>
            <w:tcBorders>
              <w:left w:val="double" w:sz="4" w:space="0" w:color="auto"/>
            </w:tcBorders>
          </w:tcPr>
          <w:p w14:paraId="23F52933" w14:textId="0F3A4A92" w:rsidR="00995601" w:rsidRDefault="00995601" w:rsidP="00995601">
            <w:pPr>
              <w:spacing w:after="0" w:line="240" w:lineRule="auto"/>
              <w:rPr>
                <w:color w:val="auto"/>
              </w:rPr>
            </w:pPr>
            <w:r w:rsidRPr="00566BDC">
              <w:rPr>
                <w:color w:val="auto"/>
              </w:rPr>
              <w:t>HR</w:t>
            </w:r>
          </w:p>
          <w:p w14:paraId="0374C637" w14:textId="77777777" w:rsidR="00995601" w:rsidRPr="00566BDC" w:rsidRDefault="00995601" w:rsidP="00995601">
            <w:pPr>
              <w:spacing w:after="0" w:line="240" w:lineRule="auto"/>
              <w:rPr>
                <w:b/>
                <w:color w:val="auto"/>
              </w:rPr>
            </w:pPr>
          </w:p>
        </w:tc>
        <w:tc>
          <w:tcPr>
            <w:tcW w:w="7630" w:type="dxa"/>
            <w:tcBorders>
              <w:right w:val="double" w:sz="4" w:space="0" w:color="auto"/>
            </w:tcBorders>
          </w:tcPr>
          <w:p w14:paraId="31E4D32B" w14:textId="5C4F4FFB" w:rsidR="00995601" w:rsidRPr="00566BDC" w:rsidRDefault="004F6B3A" w:rsidP="004F6B3A">
            <w:pPr>
              <w:spacing w:after="0" w:line="240" w:lineRule="auto"/>
              <w:rPr>
                <w:b/>
                <w:color w:val="auto"/>
              </w:rPr>
            </w:pPr>
            <w:r>
              <w:rPr>
                <w:b/>
                <w:color w:val="auto"/>
              </w:rPr>
              <w:t xml:space="preserve">The Workforce Committee (aka Workforce Board) </w:t>
            </w:r>
            <w:r w:rsidRPr="004F6B3A">
              <w:rPr>
                <w:bCs/>
                <w:color w:val="auto"/>
              </w:rPr>
              <w:t>provide strategic system oversight of the development and delivery of the Humber and North Yorkshire People Strategy and associated HNY people focused workstreams</w:t>
            </w:r>
            <w:r w:rsidR="00995601" w:rsidRPr="004F6B3A">
              <w:rPr>
                <w:bCs/>
                <w:color w:val="auto"/>
              </w:rPr>
              <w:t xml:space="preserve"> </w:t>
            </w:r>
          </w:p>
        </w:tc>
      </w:tr>
      <w:tr w:rsidR="00995601" w:rsidRPr="00566BDC" w14:paraId="021977C1" w14:textId="77777777" w:rsidTr="00256C9B">
        <w:tc>
          <w:tcPr>
            <w:tcW w:w="1970" w:type="dxa"/>
            <w:tcBorders>
              <w:left w:val="double" w:sz="4" w:space="0" w:color="auto"/>
            </w:tcBorders>
          </w:tcPr>
          <w:p w14:paraId="76E8A113" w14:textId="7091C2A2" w:rsidR="00995601" w:rsidRDefault="00995601" w:rsidP="00995601">
            <w:pPr>
              <w:spacing w:after="0" w:line="240" w:lineRule="auto"/>
              <w:rPr>
                <w:color w:val="auto"/>
              </w:rPr>
            </w:pPr>
            <w:r>
              <w:rPr>
                <w:color w:val="auto"/>
              </w:rPr>
              <w:t>Legal / Regulatory</w:t>
            </w:r>
          </w:p>
        </w:tc>
        <w:tc>
          <w:tcPr>
            <w:tcW w:w="7630" w:type="dxa"/>
            <w:tcBorders>
              <w:right w:val="double" w:sz="4" w:space="0" w:color="auto"/>
            </w:tcBorders>
          </w:tcPr>
          <w:p w14:paraId="557845C5" w14:textId="632FE5A6" w:rsidR="00995601" w:rsidRPr="00566BDC" w:rsidRDefault="00C55029" w:rsidP="00995601">
            <w:pPr>
              <w:spacing w:after="0" w:line="240" w:lineRule="auto"/>
              <w:rPr>
                <w:b/>
                <w:color w:val="auto"/>
              </w:rPr>
            </w:pPr>
            <w:r>
              <w:rPr>
                <w:bCs/>
                <w:color w:val="auto"/>
              </w:rPr>
              <w:t>The ICB Constitution and Standing Orders details that Committees of the Board are required to submit agreed key messages of each of its meetings, for information, to the Board.</w:t>
            </w:r>
          </w:p>
        </w:tc>
      </w:tr>
      <w:tr w:rsidR="00995601" w:rsidRPr="00566BDC" w14:paraId="4514A14F" w14:textId="77777777" w:rsidTr="00256C9B">
        <w:tc>
          <w:tcPr>
            <w:tcW w:w="1970" w:type="dxa"/>
            <w:tcBorders>
              <w:left w:val="double" w:sz="4" w:space="0" w:color="auto"/>
            </w:tcBorders>
          </w:tcPr>
          <w:p w14:paraId="7AD7246B" w14:textId="77777777" w:rsidR="00995601" w:rsidRDefault="00995601" w:rsidP="00995601">
            <w:pPr>
              <w:spacing w:after="0" w:line="240" w:lineRule="auto"/>
              <w:rPr>
                <w:color w:val="auto"/>
              </w:rPr>
            </w:pPr>
            <w:r>
              <w:rPr>
                <w:color w:val="auto"/>
              </w:rPr>
              <w:t>Data Protection / IG</w:t>
            </w:r>
          </w:p>
          <w:p w14:paraId="4EBADFBE" w14:textId="14A0963E" w:rsidR="00995601" w:rsidRPr="00566BDC" w:rsidRDefault="00995601" w:rsidP="00995601">
            <w:pPr>
              <w:spacing w:after="0" w:line="240" w:lineRule="auto"/>
              <w:rPr>
                <w:color w:val="auto"/>
              </w:rPr>
            </w:pPr>
          </w:p>
        </w:tc>
        <w:tc>
          <w:tcPr>
            <w:tcW w:w="7630" w:type="dxa"/>
            <w:tcBorders>
              <w:right w:val="double" w:sz="4" w:space="0" w:color="auto"/>
            </w:tcBorders>
          </w:tcPr>
          <w:p w14:paraId="5D2F9620" w14:textId="77777777" w:rsidR="00995601" w:rsidRDefault="00995601" w:rsidP="00995601">
            <w:pPr>
              <w:spacing w:after="0" w:line="240" w:lineRule="auto"/>
              <w:rPr>
                <w:bCs/>
                <w:color w:val="auto"/>
              </w:rPr>
            </w:pPr>
            <w:r w:rsidRPr="00A876EE">
              <w:rPr>
                <w:bCs/>
                <w:color w:val="auto"/>
              </w:rPr>
              <w:t xml:space="preserve">There are no </w:t>
            </w:r>
            <w:r>
              <w:rPr>
                <w:bCs/>
                <w:color w:val="auto"/>
              </w:rPr>
              <w:t xml:space="preserve">direct </w:t>
            </w:r>
            <w:r w:rsidRPr="00A876EE">
              <w:rPr>
                <w:bCs/>
                <w:color w:val="auto"/>
              </w:rPr>
              <w:t>data protection / IG implications relating to this paper</w:t>
            </w:r>
            <w:r w:rsidR="00C55029">
              <w:rPr>
                <w:bCs/>
                <w:color w:val="auto"/>
              </w:rPr>
              <w:t>.</w:t>
            </w:r>
          </w:p>
          <w:p w14:paraId="72265EED" w14:textId="700E75E7" w:rsidR="00C55029" w:rsidRPr="00566BDC" w:rsidRDefault="00C55029" w:rsidP="00995601">
            <w:pPr>
              <w:spacing w:after="0" w:line="240" w:lineRule="auto"/>
              <w:rPr>
                <w:b/>
                <w:color w:val="auto"/>
              </w:rPr>
            </w:pPr>
            <w:r w:rsidRPr="00C55029">
              <w:rPr>
                <w:b/>
                <w:color w:val="auto"/>
              </w:rPr>
              <w:t>The Audit Committee</w:t>
            </w:r>
            <w:r>
              <w:rPr>
                <w:bCs/>
                <w:color w:val="auto"/>
              </w:rPr>
              <w:t xml:space="preserve"> </w:t>
            </w:r>
            <w:r w:rsidRPr="00C55029">
              <w:rPr>
                <w:bCs/>
                <w:color w:val="auto"/>
              </w:rPr>
              <w:t>receive</w:t>
            </w:r>
            <w:r>
              <w:rPr>
                <w:bCs/>
                <w:color w:val="auto"/>
              </w:rPr>
              <w:t>s</w:t>
            </w:r>
            <w:r w:rsidRPr="00C55029">
              <w:rPr>
                <w:bCs/>
                <w:color w:val="auto"/>
              </w:rPr>
              <w:t xml:space="preserve"> regular updates on IG compliance (including uptake &amp; completion of data security training), data breaches and any related issues and risks.</w:t>
            </w:r>
          </w:p>
        </w:tc>
      </w:tr>
      <w:tr w:rsidR="008057DB" w:rsidRPr="00566BDC" w14:paraId="542CD7B3" w14:textId="77777777" w:rsidTr="00256C9B">
        <w:tc>
          <w:tcPr>
            <w:tcW w:w="1970" w:type="dxa"/>
            <w:tcBorders>
              <w:left w:val="double" w:sz="4" w:space="0" w:color="auto"/>
            </w:tcBorders>
          </w:tcPr>
          <w:p w14:paraId="57B08AAB" w14:textId="5E2EF19D" w:rsidR="008057DB" w:rsidRPr="00566BDC" w:rsidRDefault="008057DB" w:rsidP="008057DB">
            <w:pPr>
              <w:spacing w:after="0" w:line="240" w:lineRule="auto"/>
              <w:rPr>
                <w:b/>
                <w:color w:val="auto"/>
              </w:rPr>
            </w:pPr>
            <w:r>
              <w:rPr>
                <w:color w:val="auto"/>
              </w:rPr>
              <w:t>Health inequality / equality</w:t>
            </w:r>
          </w:p>
        </w:tc>
        <w:tc>
          <w:tcPr>
            <w:tcW w:w="7630" w:type="dxa"/>
            <w:tcBorders>
              <w:right w:val="double" w:sz="4" w:space="0" w:color="auto"/>
            </w:tcBorders>
          </w:tcPr>
          <w:p w14:paraId="18DFE238" w14:textId="77777777" w:rsidR="008057DB" w:rsidRDefault="00C55029" w:rsidP="008057DB">
            <w:pPr>
              <w:spacing w:after="0" w:line="240" w:lineRule="auto"/>
              <w:rPr>
                <w:color w:val="auto"/>
              </w:rPr>
            </w:pPr>
            <w:r>
              <w:rPr>
                <w:b/>
                <w:bCs/>
                <w:color w:val="auto"/>
              </w:rPr>
              <w:t xml:space="preserve">The Clinical and Professional Committee </w:t>
            </w:r>
            <w:r w:rsidRPr="00C55029">
              <w:rPr>
                <w:color w:val="auto"/>
              </w:rPr>
              <w:t>provide</w:t>
            </w:r>
            <w:r>
              <w:rPr>
                <w:color w:val="auto"/>
              </w:rPr>
              <w:t>s</w:t>
            </w:r>
            <w:r w:rsidRPr="00C55029">
              <w:rPr>
                <w:color w:val="auto"/>
              </w:rPr>
              <w:t xml:space="preserve"> population health led, strategic and collaborative clinical and professional oversight across the NHS Humber and North Yorkshire Integrated Care Board and support the Partnership to achieve its vision of helping the population to ‘start well, live well, age well and end life well.’</w:t>
            </w:r>
          </w:p>
          <w:p w14:paraId="01EDC1F5" w14:textId="77777777" w:rsidR="00C55029" w:rsidRPr="00256C9B" w:rsidRDefault="00C55029" w:rsidP="008057DB">
            <w:pPr>
              <w:spacing w:after="0" w:line="240" w:lineRule="auto"/>
              <w:rPr>
                <w:color w:val="auto"/>
                <w:sz w:val="16"/>
                <w:szCs w:val="16"/>
              </w:rPr>
            </w:pPr>
          </w:p>
          <w:p w14:paraId="2AC49FA2" w14:textId="6D71092C" w:rsidR="00C55029" w:rsidRPr="008057DB" w:rsidRDefault="00C55029" w:rsidP="008057DB">
            <w:pPr>
              <w:spacing w:after="0" w:line="240" w:lineRule="auto"/>
              <w:rPr>
                <w:b/>
                <w:color w:val="auto"/>
              </w:rPr>
            </w:pPr>
            <w:r w:rsidRPr="00C55029">
              <w:rPr>
                <w:b/>
                <w:bCs/>
                <w:color w:val="auto"/>
              </w:rPr>
              <w:t>The Population Health &amp; Prevention Committee</w:t>
            </w:r>
            <w:r>
              <w:rPr>
                <w:color w:val="auto"/>
              </w:rPr>
              <w:t xml:space="preserve"> oversees the ICB’s key </w:t>
            </w:r>
            <w:r w:rsidRPr="00C55029">
              <w:rPr>
                <w:color w:val="auto"/>
              </w:rPr>
              <w:t xml:space="preserve">ambition to improve outcomes in population health and healthcare. </w:t>
            </w:r>
          </w:p>
        </w:tc>
      </w:tr>
      <w:tr w:rsidR="008057DB" w:rsidRPr="00566BDC" w14:paraId="1C67E1C3" w14:textId="77777777" w:rsidTr="00256C9B">
        <w:tc>
          <w:tcPr>
            <w:tcW w:w="1970" w:type="dxa"/>
            <w:tcBorders>
              <w:left w:val="double" w:sz="4" w:space="0" w:color="auto"/>
            </w:tcBorders>
          </w:tcPr>
          <w:p w14:paraId="13F94CB5" w14:textId="244B5D6A" w:rsidR="008057DB" w:rsidRDefault="008057DB" w:rsidP="008057DB">
            <w:pPr>
              <w:spacing w:after="0" w:line="240" w:lineRule="auto"/>
              <w:rPr>
                <w:color w:val="auto"/>
              </w:rPr>
            </w:pPr>
            <w:r>
              <w:rPr>
                <w:color w:val="auto"/>
              </w:rPr>
              <w:t>Conflict of Interest Aspects</w:t>
            </w:r>
          </w:p>
          <w:p w14:paraId="2F9D1286" w14:textId="584CC39D" w:rsidR="008057DB" w:rsidRDefault="008057DB" w:rsidP="008057DB">
            <w:pPr>
              <w:spacing w:after="0" w:line="240" w:lineRule="auto"/>
              <w:rPr>
                <w:color w:val="auto"/>
              </w:rPr>
            </w:pPr>
          </w:p>
        </w:tc>
        <w:tc>
          <w:tcPr>
            <w:tcW w:w="7630" w:type="dxa"/>
            <w:tcBorders>
              <w:right w:val="double" w:sz="4" w:space="0" w:color="auto"/>
            </w:tcBorders>
          </w:tcPr>
          <w:p w14:paraId="33592DD4" w14:textId="77777777" w:rsidR="008057DB" w:rsidRDefault="008057DB" w:rsidP="008057DB">
            <w:pPr>
              <w:spacing w:after="0" w:line="240" w:lineRule="auto"/>
              <w:rPr>
                <w:color w:val="auto"/>
              </w:rPr>
            </w:pPr>
            <w:r w:rsidRPr="008057DB">
              <w:rPr>
                <w:color w:val="auto"/>
              </w:rPr>
              <w:t xml:space="preserve">No conflicts of interest are identified in relation to </w:t>
            </w:r>
            <w:r w:rsidR="00C55029">
              <w:rPr>
                <w:color w:val="auto"/>
              </w:rPr>
              <w:t xml:space="preserve">this paper. </w:t>
            </w:r>
          </w:p>
          <w:p w14:paraId="54D7D56F" w14:textId="77777777" w:rsidR="00C55029" w:rsidRPr="00256C9B" w:rsidRDefault="00C55029" w:rsidP="008057DB">
            <w:pPr>
              <w:spacing w:after="0" w:line="240" w:lineRule="auto"/>
              <w:rPr>
                <w:color w:val="auto"/>
                <w:sz w:val="16"/>
                <w:szCs w:val="16"/>
              </w:rPr>
            </w:pPr>
          </w:p>
          <w:p w14:paraId="37DC6051" w14:textId="2C60B7C4" w:rsidR="00C55029" w:rsidRPr="008057DB" w:rsidRDefault="00C55029" w:rsidP="00C55029">
            <w:pPr>
              <w:spacing w:after="0" w:line="240" w:lineRule="auto"/>
              <w:rPr>
                <w:b/>
                <w:color w:val="auto"/>
              </w:rPr>
            </w:pPr>
            <w:r w:rsidRPr="00C55029">
              <w:rPr>
                <w:b/>
                <w:color w:val="auto"/>
              </w:rPr>
              <w:t>The Audit Committee</w:t>
            </w:r>
            <w:r>
              <w:rPr>
                <w:bCs/>
                <w:color w:val="auto"/>
              </w:rPr>
              <w:t xml:space="preserve"> oversees </w:t>
            </w:r>
            <w:r w:rsidRPr="00C55029">
              <w:rPr>
                <w:bCs/>
                <w:color w:val="auto"/>
              </w:rPr>
              <w:t>that the ICB’s policy, systems and processes for the management of conflicts, (including gifts and hospitality and bribery) are effective including receiving reports relating to non-compliance with the ICB policy and procedures relating to conflicts of interest.</w:t>
            </w:r>
          </w:p>
        </w:tc>
      </w:tr>
      <w:tr w:rsidR="00995601" w:rsidRPr="00566BDC" w14:paraId="7420D59D" w14:textId="77777777" w:rsidTr="00256C9B">
        <w:trPr>
          <w:trHeight w:val="283"/>
        </w:trPr>
        <w:tc>
          <w:tcPr>
            <w:tcW w:w="1970" w:type="dxa"/>
            <w:tcBorders>
              <w:left w:val="double" w:sz="4" w:space="0" w:color="auto"/>
              <w:bottom w:val="double" w:sz="4" w:space="0" w:color="auto"/>
            </w:tcBorders>
          </w:tcPr>
          <w:p w14:paraId="575BE3AA" w14:textId="045B106E" w:rsidR="00995601" w:rsidRPr="00566BDC" w:rsidRDefault="00995601" w:rsidP="00E35E2B">
            <w:pPr>
              <w:spacing w:after="0" w:line="240" w:lineRule="auto"/>
              <w:rPr>
                <w:b/>
                <w:color w:val="auto"/>
              </w:rPr>
            </w:pPr>
            <w:r>
              <w:rPr>
                <w:color w:val="auto"/>
              </w:rPr>
              <w:t>Sustainability</w:t>
            </w:r>
          </w:p>
        </w:tc>
        <w:tc>
          <w:tcPr>
            <w:tcW w:w="7630" w:type="dxa"/>
            <w:tcBorders>
              <w:bottom w:val="double" w:sz="4" w:space="0" w:color="auto"/>
              <w:right w:val="double" w:sz="4" w:space="0" w:color="auto"/>
            </w:tcBorders>
          </w:tcPr>
          <w:p w14:paraId="715F6906" w14:textId="77777777" w:rsidR="00256C9B" w:rsidRDefault="008057DB" w:rsidP="00995601">
            <w:pPr>
              <w:spacing w:after="0" w:line="240" w:lineRule="auto"/>
              <w:rPr>
                <w:bCs/>
                <w:color w:val="auto"/>
              </w:rPr>
            </w:pPr>
            <w:r w:rsidRPr="00A876EE">
              <w:rPr>
                <w:bCs/>
                <w:color w:val="auto"/>
              </w:rPr>
              <w:t>There are no sustainability implications relating to this paper</w:t>
            </w:r>
            <w:r w:rsidR="00C55029">
              <w:rPr>
                <w:bCs/>
                <w:color w:val="auto"/>
              </w:rPr>
              <w:t>.</w:t>
            </w:r>
          </w:p>
          <w:p w14:paraId="7B39D156" w14:textId="4A95931B" w:rsidR="003C62F6" w:rsidRPr="00256C9B" w:rsidRDefault="008057DB" w:rsidP="00995601">
            <w:pPr>
              <w:spacing w:after="0" w:line="240" w:lineRule="auto"/>
              <w:rPr>
                <w:bCs/>
                <w:color w:val="auto"/>
                <w:sz w:val="6"/>
                <w:szCs w:val="6"/>
              </w:rPr>
            </w:pPr>
            <w:r w:rsidRPr="00A876EE">
              <w:rPr>
                <w:bCs/>
                <w:color w:val="auto"/>
              </w:rPr>
              <w:t xml:space="preserve"> </w:t>
            </w:r>
          </w:p>
        </w:tc>
      </w:tr>
    </w:tbl>
    <w:p w14:paraId="45A4FF25" w14:textId="77777777" w:rsidR="00256C9B" w:rsidRDefault="00256C9B" w:rsidP="0010586B">
      <w:pPr>
        <w:spacing w:after="0" w:line="120" w:lineRule="auto"/>
        <w:rPr>
          <w:color w:val="auto"/>
          <w:sz w:val="16"/>
          <w:szCs w:val="16"/>
        </w:rPr>
      </w:pPr>
    </w:p>
    <w:p w14:paraId="5B790695" w14:textId="77777777" w:rsidR="00256C9B" w:rsidRDefault="00256C9B" w:rsidP="0010586B">
      <w:pPr>
        <w:spacing w:after="0" w:line="120" w:lineRule="auto"/>
        <w:rPr>
          <w:color w:val="auto"/>
          <w:sz w:val="16"/>
          <w:szCs w:val="16"/>
        </w:rPr>
      </w:pPr>
    </w:p>
    <w:p w14:paraId="71E91D40" w14:textId="77777777" w:rsidR="00577067" w:rsidRDefault="00577067" w:rsidP="0010586B">
      <w:pPr>
        <w:spacing w:after="0" w:line="120" w:lineRule="auto"/>
        <w:rPr>
          <w:color w:val="auto"/>
          <w:sz w:val="16"/>
          <w:szCs w:val="16"/>
        </w:rPr>
      </w:pPr>
    </w:p>
    <w:p w14:paraId="7776332E" w14:textId="77777777" w:rsidR="00577067" w:rsidRDefault="00577067" w:rsidP="0010586B">
      <w:pPr>
        <w:spacing w:after="0" w:line="120" w:lineRule="auto"/>
        <w:rPr>
          <w:color w:val="auto"/>
          <w:sz w:val="16"/>
          <w:szCs w:val="16"/>
        </w:rPr>
      </w:pPr>
    </w:p>
    <w:p w14:paraId="6268A8FC" w14:textId="77777777" w:rsidR="00577067" w:rsidRDefault="00577067" w:rsidP="0010586B">
      <w:pPr>
        <w:spacing w:after="0" w:line="120" w:lineRule="auto"/>
        <w:rPr>
          <w:color w:val="auto"/>
          <w:sz w:val="16"/>
          <w:szCs w:val="16"/>
        </w:rPr>
      </w:pPr>
    </w:p>
    <w:p w14:paraId="6527FD46" w14:textId="77777777" w:rsidR="00577067" w:rsidRDefault="00577067" w:rsidP="0010586B">
      <w:pPr>
        <w:spacing w:after="0" w:line="120" w:lineRule="auto"/>
        <w:rPr>
          <w:color w:val="auto"/>
          <w:sz w:val="16"/>
          <w:szCs w:val="16"/>
        </w:rPr>
      </w:pPr>
    </w:p>
    <w:p w14:paraId="22959B9B" w14:textId="77777777" w:rsidR="00577067" w:rsidRDefault="00577067" w:rsidP="0010586B">
      <w:pPr>
        <w:spacing w:after="0" w:line="120" w:lineRule="auto"/>
        <w:rPr>
          <w:color w:val="auto"/>
          <w:sz w:val="16"/>
          <w:szCs w:val="16"/>
        </w:rPr>
      </w:pPr>
    </w:p>
    <w:p w14:paraId="0235281C" w14:textId="77777777" w:rsidR="00577067" w:rsidRDefault="00577067" w:rsidP="0010586B">
      <w:pPr>
        <w:spacing w:after="0" w:line="120" w:lineRule="auto"/>
        <w:rPr>
          <w:color w:val="auto"/>
          <w:sz w:val="16"/>
          <w:szCs w:val="16"/>
        </w:rPr>
      </w:pPr>
    </w:p>
    <w:p w14:paraId="4940130E" w14:textId="77777777" w:rsidR="00577067" w:rsidRDefault="00577067" w:rsidP="0010586B">
      <w:pPr>
        <w:spacing w:after="0" w:line="120" w:lineRule="auto"/>
        <w:rPr>
          <w:color w:val="auto"/>
          <w:sz w:val="16"/>
          <w:szCs w:val="16"/>
        </w:rPr>
      </w:pPr>
    </w:p>
    <w:p w14:paraId="0D2AC4CC" w14:textId="77777777" w:rsidR="00577067" w:rsidRDefault="00577067" w:rsidP="0010586B">
      <w:pPr>
        <w:spacing w:after="0" w:line="120" w:lineRule="auto"/>
        <w:rPr>
          <w:color w:val="auto"/>
          <w:sz w:val="16"/>
          <w:szCs w:val="16"/>
        </w:rPr>
      </w:pPr>
    </w:p>
    <w:p w14:paraId="5A6B4EDB" w14:textId="77777777" w:rsidR="00577067" w:rsidRPr="004C7CF3" w:rsidRDefault="00577067"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596"/>
      </w:tblGrid>
      <w:tr w:rsidR="005E2527" w:rsidRPr="00566BDC" w14:paraId="6B25BF82" w14:textId="77777777" w:rsidTr="006C1E7A">
        <w:tc>
          <w:tcPr>
            <w:tcW w:w="9747" w:type="dxa"/>
            <w:tcBorders>
              <w:top w:val="double" w:sz="4" w:space="0" w:color="auto"/>
              <w:left w:val="double" w:sz="4" w:space="0" w:color="auto"/>
              <w:bottom w:val="double" w:sz="4" w:space="0" w:color="auto"/>
              <w:right w:val="double" w:sz="4" w:space="0" w:color="auto"/>
            </w:tcBorders>
          </w:tcPr>
          <w:p w14:paraId="47B590EE" w14:textId="77777777" w:rsidR="004522CE" w:rsidRDefault="004522CE" w:rsidP="0086751B">
            <w:pPr>
              <w:spacing w:after="0" w:line="240" w:lineRule="auto"/>
              <w:rPr>
                <w:b/>
                <w:color w:val="auto"/>
              </w:rPr>
            </w:pPr>
            <w:bookmarkStart w:id="4" w:name="_Hlk106134678"/>
          </w:p>
          <w:p w14:paraId="002A3CDE" w14:textId="345F5110" w:rsidR="00E705A6" w:rsidRDefault="00D00EC7" w:rsidP="0086751B">
            <w:pPr>
              <w:spacing w:after="0" w:line="240" w:lineRule="auto"/>
              <w:rPr>
                <w:color w:val="auto"/>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p>
          <w:p w14:paraId="3B7E5387" w14:textId="77777777" w:rsidR="0048793F" w:rsidRPr="00256C9B" w:rsidRDefault="0048793F" w:rsidP="008057DB">
            <w:pPr>
              <w:spacing w:after="0" w:line="240" w:lineRule="auto"/>
              <w:rPr>
                <w:color w:val="auto"/>
                <w:sz w:val="16"/>
                <w:szCs w:val="16"/>
              </w:rPr>
            </w:pPr>
          </w:p>
          <w:p w14:paraId="3FDB4BB9" w14:textId="3A21BDE2" w:rsidR="008057DB" w:rsidRPr="00A876EE" w:rsidRDefault="008057DB" w:rsidP="008057DB">
            <w:pPr>
              <w:spacing w:after="0" w:line="240" w:lineRule="auto"/>
              <w:rPr>
                <w:color w:val="auto"/>
              </w:rPr>
            </w:pPr>
            <w:r w:rsidRPr="00A876EE">
              <w:rPr>
                <w:color w:val="auto"/>
              </w:rPr>
              <w:t>The ICB has a statutory and regulatory obligation to ensure that systems of control are in place</w:t>
            </w:r>
            <w:r>
              <w:rPr>
                <w:color w:val="auto"/>
              </w:rPr>
              <w:t>,</w:t>
            </w:r>
          </w:p>
          <w:p w14:paraId="2A36BC0F" w14:textId="77777777" w:rsidR="003C62F6" w:rsidRDefault="008057DB" w:rsidP="00EC228E">
            <w:pPr>
              <w:spacing w:after="0" w:line="240" w:lineRule="auto"/>
              <w:rPr>
                <w:color w:val="auto"/>
              </w:rPr>
            </w:pPr>
            <w:r w:rsidRPr="00A876EE">
              <w:rPr>
                <w:color w:val="auto"/>
              </w:rPr>
              <w:t>to minimise the impact of all types of risk.</w:t>
            </w:r>
            <w:r w:rsidR="00E35E2B">
              <w:rPr>
                <w:color w:val="auto"/>
              </w:rPr>
              <w:t xml:space="preserve"> </w:t>
            </w:r>
          </w:p>
          <w:p w14:paraId="5F7D7606" w14:textId="1EF2C11B" w:rsidR="006A6CFD" w:rsidRPr="00256C9B" w:rsidRDefault="006A6CFD" w:rsidP="00EC228E">
            <w:pPr>
              <w:spacing w:after="0" w:line="240" w:lineRule="auto"/>
              <w:rPr>
                <w:color w:val="auto"/>
                <w:sz w:val="16"/>
                <w:szCs w:val="16"/>
              </w:rPr>
            </w:pPr>
          </w:p>
        </w:tc>
      </w:tr>
      <w:bookmarkEnd w:id="4"/>
    </w:tbl>
    <w:p w14:paraId="0E1133FC" w14:textId="450414A7" w:rsidR="00043155" w:rsidRPr="004C7CF3" w:rsidRDefault="00043155"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596"/>
      </w:tblGrid>
      <w:tr w:rsidR="00043155" w:rsidRPr="00566BDC" w14:paraId="7C027CCA" w14:textId="77777777" w:rsidTr="00826000">
        <w:tc>
          <w:tcPr>
            <w:tcW w:w="9608" w:type="dxa"/>
            <w:tcBorders>
              <w:top w:val="double" w:sz="4" w:space="0" w:color="auto"/>
              <w:left w:val="double" w:sz="4" w:space="0" w:color="auto"/>
              <w:bottom w:val="double" w:sz="4" w:space="0" w:color="auto"/>
              <w:right w:val="double" w:sz="4" w:space="0" w:color="auto"/>
            </w:tcBorders>
          </w:tcPr>
          <w:p w14:paraId="75C45B72" w14:textId="77777777" w:rsidR="004522CE" w:rsidRDefault="004522CE" w:rsidP="00EC228E">
            <w:pPr>
              <w:spacing w:after="0" w:line="240" w:lineRule="auto"/>
              <w:rPr>
                <w:b/>
                <w:color w:val="auto"/>
              </w:rPr>
            </w:pPr>
          </w:p>
          <w:p w14:paraId="2D1FF8A2" w14:textId="1B85C431" w:rsidR="00E705A6" w:rsidRDefault="00043155" w:rsidP="00EC228E">
            <w:pPr>
              <w:spacing w:after="0" w:line="240" w:lineRule="auto"/>
              <w:rPr>
                <w:b/>
                <w:color w:val="auto"/>
              </w:rPr>
            </w:pPr>
            <w:r>
              <w:rPr>
                <w:b/>
                <w:color w:val="auto"/>
              </w:rPr>
              <w:t>MONITORI</w:t>
            </w:r>
            <w:r w:rsidR="00E35E2B">
              <w:rPr>
                <w:b/>
                <w:color w:val="auto"/>
              </w:rPr>
              <w:t>N</w:t>
            </w:r>
            <w:r>
              <w:rPr>
                <w:b/>
                <w:color w:val="auto"/>
              </w:rPr>
              <w:t>G AND ASSURANCE</w:t>
            </w:r>
            <w:r w:rsidRPr="00566BDC">
              <w:rPr>
                <w:b/>
                <w:color w:val="auto"/>
              </w:rPr>
              <w:t>:</w:t>
            </w:r>
            <w:r>
              <w:rPr>
                <w:b/>
                <w:color w:val="auto"/>
              </w:rPr>
              <w:t xml:space="preserve"> </w:t>
            </w:r>
          </w:p>
          <w:p w14:paraId="17B19325" w14:textId="77777777" w:rsidR="0048793F" w:rsidRPr="00256C9B" w:rsidRDefault="0048793F" w:rsidP="00C55029">
            <w:pPr>
              <w:spacing w:after="0" w:line="240" w:lineRule="auto"/>
              <w:rPr>
                <w:bCs/>
                <w:color w:val="auto"/>
                <w:sz w:val="16"/>
                <w:szCs w:val="16"/>
              </w:rPr>
            </w:pPr>
          </w:p>
          <w:p w14:paraId="7C101C15" w14:textId="1FA8542A" w:rsidR="003C62F6" w:rsidRDefault="00C55029" w:rsidP="00C55029">
            <w:pPr>
              <w:spacing w:after="0" w:line="240" w:lineRule="auto"/>
              <w:rPr>
                <w:bCs/>
                <w:color w:val="auto"/>
              </w:rPr>
            </w:pPr>
            <w:r w:rsidRPr="00C55029">
              <w:rPr>
                <w:bCs/>
                <w:color w:val="auto"/>
              </w:rPr>
              <w:t>The board remains accountable for all functions, including those that it has delegated to committees and, therefore, appropriate reporting and assurance arrangements are in place and documented in the terms of reference</w:t>
            </w:r>
            <w:r>
              <w:rPr>
                <w:bCs/>
                <w:color w:val="auto"/>
              </w:rPr>
              <w:t xml:space="preserve"> of each Committee</w:t>
            </w:r>
            <w:r w:rsidRPr="00C55029">
              <w:rPr>
                <w:bCs/>
                <w:color w:val="auto"/>
              </w:rPr>
              <w:t>.</w:t>
            </w:r>
          </w:p>
          <w:p w14:paraId="5FEC0180" w14:textId="083972B8" w:rsidR="006A6CFD" w:rsidRPr="00256C9B" w:rsidRDefault="006A6CFD" w:rsidP="00C55029">
            <w:pPr>
              <w:spacing w:after="0" w:line="240" w:lineRule="auto"/>
              <w:rPr>
                <w:bCs/>
                <w:color w:val="auto"/>
                <w:sz w:val="16"/>
                <w:szCs w:val="16"/>
              </w:rPr>
            </w:pPr>
          </w:p>
        </w:tc>
      </w:tr>
    </w:tbl>
    <w:p w14:paraId="489916CB" w14:textId="39492D09" w:rsidR="00043155" w:rsidRDefault="00043155" w:rsidP="0010586B">
      <w:pPr>
        <w:spacing w:after="0" w:line="12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596"/>
      </w:tblGrid>
      <w:tr w:rsidR="00880E9F" w:rsidRPr="00566BDC" w14:paraId="7F94535B" w14:textId="77777777" w:rsidTr="00256C9B">
        <w:tc>
          <w:tcPr>
            <w:tcW w:w="9600" w:type="dxa"/>
          </w:tcPr>
          <w:p w14:paraId="40062DA9" w14:textId="77777777" w:rsidR="004522CE" w:rsidRDefault="004522CE" w:rsidP="00EC228E">
            <w:pPr>
              <w:spacing w:after="0" w:line="240" w:lineRule="auto"/>
              <w:rPr>
                <w:b/>
                <w:color w:val="auto"/>
              </w:rPr>
            </w:pPr>
            <w:bookmarkStart w:id="5" w:name="_Hlk106098484"/>
          </w:p>
          <w:p w14:paraId="64F1EBFE" w14:textId="08F527D8" w:rsidR="0048793F" w:rsidRPr="00217AC6" w:rsidRDefault="00880E9F" w:rsidP="00EC228E">
            <w:pPr>
              <w:spacing w:after="0" w:line="240" w:lineRule="auto"/>
              <w:rPr>
                <w:b/>
                <w:color w:val="auto"/>
              </w:rPr>
            </w:pPr>
            <w:r w:rsidRPr="004C7CF3">
              <w:rPr>
                <w:b/>
                <w:color w:val="auto"/>
              </w:rPr>
              <w:t>ENGAGEMENT:</w:t>
            </w:r>
          </w:p>
          <w:p w14:paraId="3396B593" w14:textId="77777777" w:rsidR="00256C9B" w:rsidRDefault="00256C9B" w:rsidP="00EC228E">
            <w:pPr>
              <w:spacing w:after="0" w:line="240" w:lineRule="auto"/>
              <w:rPr>
                <w:color w:val="auto"/>
              </w:rPr>
            </w:pPr>
          </w:p>
          <w:p w14:paraId="2C47FF76" w14:textId="0C2CF3EE" w:rsidR="006A6CFD" w:rsidRDefault="008057DB" w:rsidP="00EC228E">
            <w:pPr>
              <w:spacing w:after="0" w:line="240" w:lineRule="auto"/>
              <w:rPr>
                <w:color w:val="auto"/>
              </w:rPr>
            </w:pPr>
            <w:r w:rsidRPr="004C7CF3">
              <w:rPr>
                <w:color w:val="auto"/>
              </w:rPr>
              <w:t xml:space="preserve">A wide variety of ICB subject matter specialists, senior officers and the ICB Board have been engaged in the development of </w:t>
            </w:r>
            <w:r w:rsidR="00E35E2B">
              <w:rPr>
                <w:color w:val="auto"/>
              </w:rPr>
              <w:t>this paper</w:t>
            </w:r>
            <w:r w:rsidRPr="004C7CF3">
              <w:rPr>
                <w:color w:val="auto"/>
              </w:rPr>
              <w:t xml:space="preserve">. </w:t>
            </w:r>
          </w:p>
          <w:p w14:paraId="70BA4D2F" w14:textId="77777777" w:rsidR="00256C9B" w:rsidRPr="00934A5F" w:rsidRDefault="00256C9B" w:rsidP="00EC228E">
            <w:pPr>
              <w:spacing w:after="0" w:line="240" w:lineRule="auto"/>
              <w:rPr>
                <w:color w:val="auto"/>
              </w:rPr>
            </w:pPr>
          </w:p>
          <w:p w14:paraId="02D6A569" w14:textId="4B302BFD" w:rsidR="004C7CF3" w:rsidRPr="004C7CF3" w:rsidRDefault="004C7CF3" w:rsidP="00EC228E">
            <w:pPr>
              <w:spacing w:after="0" w:line="240" w:lineRule="auto"/>
              <w:rPr>
                <w:color w:val="auto"/>
                <w:sz w:val="4"/>
                <w:szCs w:val="4"/>
              </w:rPr>
            </w:pPr>
          </w:p>
        </w:tc>
      </w:tr>
    </w:tbl>
    <w:p w14:paraId="0A8A2FF1" w14:textId="77777777" w:rsidR="004C7CF3" w:rsidRPr="003C62F6" w:rsidRDefault="004C7CF3" w:rsidP="004C7CF3">
      <w:pPr>
        <w:spacing w:after="0" w:line="240" w:lineRule="auto"/>
        <w:rPr>
          <w:sz w:val="10"/>
          <w:szCs w:val="1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6"/>
      </w:tblGrid>
      <w:tr w:rsidR="00CD20A8" w14:paraId="0FEFEDA4" w14:textId="77777777" w:rsidTr="003C62F6">
        <w:trPr>
          <w:trHeight w:val="427"/>
        </w:trPr>
        <w:tc>
          <w:tcPr>
            <w:tcW w:w="9600" w:type="dxa"/>
          </w:tcPr>
          <w:bookmarkEnd w:id="5"/>
          <w:p w14:paraId="1DE73435" w14:textId="67394D78" w:rsidR="00FA1C18" w:rsidRPr="00256C9B" w:rsidRDefault="00CD20A8" w:rsidP="00FA1C18">
            <w:pPr>
              <w:tabs>
                <w:tab w:val="right" w:pos="9384"/>
              </w:tabs>
              <w:spacing w:after="0"/>
              <w:rPr>
                <w:color w:val="auto"/>
                <w:sz w:val="16"/>
                <w:szCs w:val="16"/>
              </w:rPr>
            </w:pPr>
            <w:r w:rsidRPr="00E35E2B">
              <w:rPr>
                <w:b/>
                <w:color w:val="auto"/>
              </w:rPr>
              <w:t>RE</w:t>
            </w:r>
            <w:r w:rsidR="00417D0C" w:rsidRPr="00E35E2B">
              <w:rPr>
                <w:b/>
                <w:color w:val="auto"/>
              </w:rPr>
              <w:t>P</w:t>
            </w:r>
            <w:r w:rsidRPr="00E35E2B">
              <w:rPr>
                <w:b/>
                <w:color w:val="auto"/>
              </w:rPr>
              <w:t>ORT EX</w:t>
            </w:r>
            <w:r w:rsidR="00934A5F">
              <w:rPr>
                <w:b/>
                <w:color w:val="auto"/>
              </w:rPr>
              <w:t>E</w:t>
            </w:r>
            <w:r w:rsidRPr="00E35E2B">
              <w:rPr>
                <w:b/>
                <w:color w:val="auto"/>
              </w:rPr>
              <w:t xml:space="preserve">MPT FROM PUBLIC DISCLOSURE                          </w:t>
            </w:r>
            <w:r w:rsidRPr="00E35E2B">
              <w:rPr>
                <w:color w:val="auto"/>
              </w:rPr>
              <w:t xml:space="preserve">No   </w:t>
            </w:r>
            <w:sdt>
              <w:sdtPr>
                <w:rPr>
                  <w:color w:val="auto"/>
                  <w:sz w:val="40"/>
                  <w:szCs w:val="40"/>
                </w:rPr>
                <w:id w:val="1459919931"/>
                <w14:checkbox>
                  <w14:checked w14:val="1"/>
                  <w14:checkedState w14:val="2612" w14:font="MS Gothic"/>
                  <w14:uncheckedState w14:val="2610" w14:font="MS Gothic"/>
                </w14:checkbox>
              </w:sdtPr>
              <w:sdtEndPr/>
              <w:sdtContent>
                <w:r w:rsidR="008057DB" w:rsidRPr="00E35E2B">
                  <w:rPr>
                    <w:rFonts w:ascii="MS Gothic" w:eastAsia="MS Gothic" w:hAnsi="MS Gothic" w:hint="eastAsia"/>
                    <w:color w:val="auto"/>
                    <w:sz w:val="40"/>
                    <w:szCs w:val="40"/>
                  </w:rPr>
                  <w:t>☒</w:t>
                </w:r>
              </w:sdtContent>
            </w:sdt>
            <w:r w:rsidRPr="00E35E2B">
              <w:rPr>
                <w:color w:val="auto"/>
                <w:sz w:val="40"/>
                <w:szCs w:val="40"/>
              </w:rPr>
              <w:t xml:space="preserve">   </w:t>
            </w:r>
            <w:r w:rsidRPr="00E35E2B">
              <w:rPr>
                <w:color w:val="auto"/>
              </w:rPr>
              <w:t xml:space="preserve">Yes   </w:t>
            </w:r>
            <w:sdt>
              <w:sdtPr>
                <w:rPr>
                  <w:color w:val="auto"/>
                  <w:sz w:val="40"/>
                  <w:szCs w:val="40"/>
                </w:rPr>
                <w:id w:val="1948345607"/>
                <w14:checkbox>
                  <w14:checked w14:val="0"/>
                  <w14:checkedState w14:val="2612" w14:font="MS Gothic"/>
                  <w14:uncheckedState w14:val="2610" w14:font="MS Gothic"/>
                </w14:checkbox>
              </w:sdtPr>
              <w:sdtEndPr/>
              <w:sdtContent>
                <w:r w:rsidRPr="00E35E2B">
                  <w:rPr>
                    <w:rFonts w:ascii="MS Gothic" w:eastAsia="MS Gothic" w:hAnsi="MS Gothic" w:hint="eastAsia"/>
                    <w:color w:val="auto"/>
                    <w:sz w:val="40"/>
                    <w:szCs w:val="40"/>
                  </w:rPr>
                  <w:t>☐</w:t>
                </w:r>
              </w:sdtContent>
            </w:sdt>
          </w:p>
          <w:p w14:paraId="39D3DDC7" w14:textId="2FAC930C" w:rsidR="00FA1C18" w:rsidRPr="00FA1C18" w:rsidRDefault="00FA1C18" w:rsidP="00FA1C18">
            <w:pPr>
              <w:tabs>
                <w:tab w:val="right" w:pos="9384"/>
              </w:tabs>
              <w:spacing w:after="0"/>
              <w:rPr>
                <w:color w:val="auto"/>
                <w:sz w:val="6"/>
                <w:szCs w:val="6"/>
              </w:rPr>
            </w:pPr>
          </w:p>
        </w:tc>
      </w:tr>
    </w:tbl>
    <w:p w14:paraId="5D57D432" w14:textId="77777777" w:rsidR="004C0A35" w:rsidRDefault="004C0A35" w:rsidP="00926731">
      <w:pPr>
        <w:spacing w:after="0" w:line="240" w:lineRule="auto"/>
        <w:rPr>
          <w:b/>
          <w:bCs/>
          <w:color w:val="auto"/>
          <w:sz w:val="24"/>
          <w:szCs w:val="24"/>
        </w:rPr>
      </w:pPr>
    </w:p>
    <w:p w14:paraId="000081FB" w14:textId="6AD9101A" w:rsidR="004C0A35" w:rsidRDefault="004C0A35" w:rsidP="00C41AE1">
      <w:pPr>
        <w:spacing w:after="0" w:line="240" w:lineRule="auto"/>
        <w:rPr>
          <w:b/>
          <w:bCs/>
          <w:color w:val="auto"/>
          <w:sz w:val="24"/>
          <w:szCs w:val="24"/>
        </w:rPr>
      </w:pPr>
      <w:r>
        <w:rPr>
          <w:b/>
          <w:bCs/>
          <w:color w:val="auto"/>
          <w:sz w:val="24"/>
          <w:szCs w:val="24"/>
        </w:rPr>
        <w:t>END.</w:t>
      </w:r>
    </w:p>
    <w:sectPr w:rsidR="004C0A35" w:rsidSect="00577067">
      <w:footerReference w:type="default" r:id="rId13"/>
      <w:pgSz w:w="11906" w:h="16838" w:code="9"/>
      <w:pgMar w:top="1140" w:right="1140" w:bottom="851" w:left="11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E8DCE" w14:textId="77777777" w:rsidR="00271173" w:rsidRDefault="00271173" w:rsidP="00206B76">
      <w:pPr>
        <w:spacing w:after="0" w:line="240" w:lineRule="auto"/>
      </w:pPr>
      <w:r>
        <w:separator/>
      </w:r>
    </w:p>
  </w:endnote>
  <w:endnote w:type="continuationSeparator" w:id="0">
    <w:p w14:paraId="76D7FA97" w14:textId="77777777" w:rsidR="00271173" w:rsidRDefault="00271173"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792F0AF7" w14:textId="77777777" w:rsidR="00727BAA" w:rsidRDefault="00727BAA" w:rsidP="006C6CAA">
            <w:pPr>
              <w:pStyle w:val="Footer"/>
              <w:jc w:val="right"/>
            </w:pPr>
          </w:p>
          <w:p w14:paraId="6010A07D" w14:textId="5062CBBE"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3F649" w14:textId="77777777" w:rsidR="00271173" w:rsidRDefault="00271173" w:rsidP="00206B76">
      <w:pPr>
        <w:spacing w:after="0" w:line="240" w:lineRule="auto"/>
      </w:pPr>
      <w:r>
        <w:separator/>
      </w:r>
    </w:p>
  </w:footnote>
  <w:footnote w:type="continuationSeparator" w:id="0">
    <w:p w14:paraId="093B5AF7" w14:textId="77777777" w:rsidR="00271173" w:rsidRDefault="00271173"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B36F1"/>
    <w:multiLevelType w:val="hybridMultilevel"/>
    <w:tmpl w:val="07A4782E"/>
    <w:lvl w:ilvl="0" w:tplc="B83A4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B01E84"/>
    <w:multiLevelType w:val="hybridMultilevel"/>
    <w:tmpl w:val="A3881834"/>
    <w:lvl w:ilvl="0" w:tplc="BBE00226">
      <w:start w:val="25"/>
      <w:numFmt w:val="bullet"/>
      <w:lvlText w:val="-"/>
      <w:lvlJc w:val="left"/>
      <w:pPr>
        <w:ind w:left="536" w:hanging="360"/>
      </w:pPr>
      <w:rPr>
        <w:rFonts w:ascii="Arial" w:eastAsia="Calibri" w:hAnsi="Arial" w:cs="Aria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 w15:restartNumberingAfterBreak="0">
    <w:nsid w:val="729E6795"/>
    <w:multiLevelType w:val="hybridMultilevel"/>
    <w:tmpl w:val="EFEE332A"/>
    <w:lvl w:ilvl="0" w:tplc="38FA45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8308068">
    <w:abstractNumId w:val="3"/>
  </w:num>
  <w:num w:numId="2" w16cid:durableId="1887982203">
    <w:abstractNumId w:val="2"/>
  </w:num>
  <w:num w:numId="3" w16cid:durableId="495461827">
    <w:abstractNumId w:val="0"/>
  </w:num>
  <w:num w:numId="4" w16cid:durableId="149784146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18D0"/>
    <w:rsid w:val="00007950"/>
    <w:rsid w:val="000102CB"/>
    <w:rsid w:val="000126CA"/>
    <w:rsid w:val="00015848"/>
    <w:rsid w:val="00025877"/>
    <w:rsid w:val="00026704"/>
    <w:rsid w:val="00040705"/>
    <w:rsid w:val="00043155"/>
    <w:rsid w:val="00045447"/>
    <w:rsid w:val="000601A8"/>
    <w:rsid w:val="0006137D"/>
    <w:rsid w:val="00076A2C"/>
    <w:rsid w:val="00080753"/>
    <w:rsid w:val="00083AAB"/>
    <w:rsid w:val="00083F73"/>
    <w:rsid w:val="0008440F"/>
    <w:rsid w:val="00085A81"/>
    <w:rsid w:val="000861B7"/>
    <w:rsid w:val="00090582"/>
    <w:rsid w:val="00095494"/>
    <w:rsid w:val="000A2C91"/>
    <w:rsid w:val="000A33FF"/>
    <w:rsid w:val="000A6313"/>
    <w:rsid w:val="000B082B"/>
    <w:rsid w:val="000B6058"/>
    <w:rsid w:val="000B7B78"/>
    <w:rsid w:val="000C3DF7"/>
    <w:rsid w:val="000D2F25"/>
    <w:rsid w:val="000D56CB"/>
    <w:rsid w:val="000E4B82"/>
    <w:rsid w:val="000E537D"/>
    <w:rsid w:val="000E54A7"/>
    <w:rsid w:val="000E5F6A"/>
    <w:rsid w:val="000E6CE5"/>
    <w:rsid w:val="000F00F0"/>
    <w:rsid w:val="000F39AC"/>
    <w:rsid w:val="000F5A35"/>
    <w:rsid w:val="000F681C"/>
    <w:rsid w:val="0010196D"/>
    <w:rsid w:val="001034F6"/>
    <w:rsid w:val="001049D6"/>
    <w:rsid w:val="0010586B"/>
    <w:rsid w:val="0010672E"/>
    <w:rsid w:val="00107138"/>
    <w:rsid w:val="00113853"/>
    <w:rsid w:val="00117908"/>
    <w:rsid w:val="00122DFC"/>
    <w:rsid w:val="001262F5"/>
    <w:rsid w:val="00133A04"/>
    <w:rsid w:val="00137102"/>
    <w:rsid w:val="00137DBB"/>
    <w:rsid w:val="0014133D"/>
    <w:rsid w:val="001537B1"/>
    <w:rsid w:val="00165FAE"/>
    <w:rsid w:val="00167407"/>
    <w:rsid w:val="0017498F"/>
    <w:rsid w:val="00174D18"/>
    <w:rsid w:val="001774D9"/>
    <w:rsid w:val="00177597"/>
    <w:rsid w:val="00186878"/>
    <w:rsid w:val="00196845"/>
    <w:rsid w:val="001A441A"/>
    <w:rsid w:val="001A7218"/>
    <w:rsid w:val="001B0880"/>
    <w:rsid w:val="001B0D5B"/>
    <w:rsid w:val="001B1EF2"/>
    <w:rsid w:val="001B25C2"/>
    <w:rsid w:val="001B3CDE"/>
    <w:rsid w:val="001C09DB"/>
    <w:rsid w:val="001C2543"/>
    <w:rsid w:val="001C6F52"/>
    <w:rsid w:val="001C786C"/>
    <w:rsid w:val="001E6526"/>
    <w:rsid w:val="001E780C"/>
    <w:rsid w:val="001E7ECF"/>
    <w:rsid w:val="002001E7"/>
    <w:rsid w:val="00202518"/>
    <w:rsid w:val="0020252C"/>
    <w:rsid w:val="00203608"/>
    <w:rsid w:val="00204AC7"/>
    <w:rsid w:val="00206B76"/>
    <w:rsid w:val="00207EC3"/>
    <w:rsid w:val="00211B1F"/>
    <w:rsid w:val="0021269C"/>
    <w:rsid w:val="00213DF2"/>
    <w:rsid w:val="0021698E"/>
    <w:rsid w:val="00216A97"/>
    <w:rsid w:val="002170BA"/>
    <w:rsid w:val="00217AC6"/>
    <w:rsid w:val="00221680"/>
    <w:rsid w:val="002258B0"/>
    <w:rsid w:val="00235E46"/>
    <w:rsid w:val="002415F0"/>
    <w:rsid w:val="0024399F"/>
    <w:rsid w:val="00254603"/>
    <w:rsid w:val="0025569E"/>
    <w:rsid w:val="0025572F"/>
    <w:rsid w:val="00255925"/>
    <w:rsid w:val="00256C9B"/>
    <w:rsid w:val="002631FE"/>
    <w:rsid w:val="00265298"/>
    <w:rsid w:val="00266A95"/>
    <w:rsid w:val="00270E1F"/>
    <w:rsid w:val="00271173"/>
    <w:rsid w:val="00273C37"/>
    <w:rsid w:val="002773B3"/>
    <w:rsid w:val="00283D34"/>
    <w:rsid w:val="0029694C"/>
    <w:rsid w:val="002A13D9"/>
    <w:rsid w:val="002A33AE"/>
    <w:rsid w:val="002A5816"/>
    <w:rsid w:val="002B0F1C"/>
    <w:rsid w:val="002B269B"/>
    <w:rsid w:val="002B29A6"/>
    <w:rsid w:val="002B4676"/>
    <w:rsid w:val="002B6F55"/>
    <w:rsid w:val="002B7229"/>
    <w:rsid w:val="002C16E2"/>
    <w:rsid w:val="002C6844"/>
    <w:rsid w:val="002D18D3"/>
    <w:rsid w:val="002D223A"/>
    <w:rsid w:val="002D22F3"/>
    <w:rsid w:val="002D2FBC"/>
    <w:rsid w:val="002D4698"/>
    <w:rsid w:val="002D4BC5"/>
    <w:rsid w:val="002D522E"/>
    <w:rsid w:val="002D5CE3"/>
    <w:rsid w:val="002D7FCB"/>
    <w:rsid w:val="002E0430"/>
    <w:rsid w:val="002E33EC"/>
    <w:rsid w:val="002E50F3"/>
    <w:rsid w:val="002E5D33"/>
    <w:rsid w:val="002F489C"/>
    <w:rsid w:val="00303057"/>
    <w:rsid w:val="00310A09"/>
    <w:rsid w:val="00316ED2"/>
    <w:rsid w:val="00321510"/>
    <w:rsid w:val="003233EB"/>
    <w:rsid w:val="00326FBF"/>
    <w:rsid w:val="003312D3"/>
    <w:rsid w:val="003315EE"/>
    <w:rsid w:val="00331688"/>
    <w:rsid w:val="00335D6B"/>
    <w:rsid w:val="00340567"/>
    <w:rsid w:val="00341035"/>
    <w:rsid w:val="0034324D"/>
    <w:rsid w:val="00343CF3"/>
    <w:rsid w:val="0034527C"/>
    <w:rsid w:val="00351585"/>
    <w:rsid w:val="00353CC0"/>
    <w:rsid w:val="003541B7"/>
    <w:rsid w:val="0036718C"/>
    <w:rsid w:val="003725D5"/>
    <w:rsid w:val="003728AB"/>
    <w:rsid w:val="003734A1"/>
    <w:rsid w:val="00373698"/>
    <w:rsid w:val="0037462C"/>
    <w:rsid w:val="0037732B"/>
    <w:rsid w:val="00381FC0"/>
    <w:rsid w:val="00386180"/>
    <w:rsid w:val="0038777F"/>
    <w:rsid w:val="00390986"/>
    <w:rsid w:val="00390F40"/>
    <w:rsid w:val="003A14A9"/>
    <w:rsid w:val="003A1818"/>
    <w:rsid w:val="003B0880"/>
    <w:rsid w:val="003B2F18"/>
    <w:rsid w:val="003B6637"/>
    <w:rsid w:val="003C091E"/>
    <w:rsid w:val="003C1D6F"/>
    <w:rsid w:val="003C3AA0"/>
    <w:rsid w:val="003C5AB0"/>
    <w:rsid w:val="003C62F6"/>
    <w:rsid w:val="003C680E"/>
    <w:rsid w:val="003D11C8"/>
    <w:rsid w:val="003D2B79"/>
    <w:rsid w:val="003D47EE"/>
    <w:rsid w:val="003E2167"/>
    <w:rsid w:val="003E517B"/>
    <w:rsid w:val="003E5B87"/>
    <w:rsid w:val="003F6485"/>
    <w:rsid w:val="003F7FBC"/>
    <w:rsid w:val="004014F1"/>
    <w:rsid w:val="00406F0A"/>
    <w:rsid w:val="00414BD3"/>
    <w:rsid w:val="004159D1"/>
    <w:rsid w:val="00417D0C"/>
    <w:rsid w:val="00421BBF"/>
    <w:rsid w:val="00426EEA"/>
    <w:rsid w:val="00427D2F"/>
    <w:rsid w:val="004307C4"/>
    <w:rsid w:val="00431C03"/>
    <w:rsid w:val="00440CA7"/>
    <w:rsid w:val="00440CFB"/>
    <w:rsid w:val="00441174"/>
    <w:rsid w:val="0044290F"/>
    <w:rsid w:val="00445AFD"/>
    <w:rsid w:val="004476F4"/>
    <w:rsid w:val="00451D86"/>
    <w:rsid w:val="004522CE"/>
    <w:rsid w:val="004562AD"/>
    <w:rsid w:val="0046152F"/>
    <w:rsid w:val="00463F13"/>
    <w:rsid w:val="00466779"/>
    <w:rsid w:val="004725EA"/>
    <w:rsid w:val="00472B38"/>
    <w:rsid w:val="004765EA"/>
    <w:rsid w:val="00476604"/>
    <w:rsid w:val="00476E2A"/>
    <w:rsid w:val="00477084"/>
    <w:rsid w:val="00481604"/>
    <w:rsid w:val="004839C0"/>
    <w:rsid w:val="00485613"/>
    <w:rsid w:val="0048793F"/>
    <w:rsid w:val="0049270B"/>
    <w:rsid w:val="0049375E"/>
    <w:rsid w:val="00496397"/>
    <w:rsid w:val="00496429"/>
    <w:rsid w:val="00497DAE"/>
    <w:rsid w:val="004A4AF8"/>
    <w:rsid w:val="004A4FEF"/>
    <w:rsid w:val="004A6F2B"/>
    <w:rsid w:val="004B0CCF"/>
    <w:rsid w:val="004B6A05"/>
    <w:rsid w:val="004B6E21"/>
    <w:rsid w:val="004B7E86"/>
    <w:rsid w:val="004C0A35"/>
    <w:rsid w:val="004C16F5"/>
    <w:rsid w:val="004C2764"/>
    <w:rsid w:val="004C7CF3"/>
    <w:rsid w:val="004D060E"/>
    <w:rsid w:val="004F1273"/>
    <w:rsid w:val="004F190C"/>
    <w:rsid w:val="004F3385"/>
    <w:rsid w:val="004F6B3A"/>
    <w:rsid w:val="00504DDC"/>
    <w:rsid w:val="0050536F"/>
    <w:rsid w:val="00505381"/>
    <w:rsid w:val="00507C47"/>
    <w:rsid w:val="00521467"/>
    <w:rsid w:val="00524FEE"/>
    <w:rsid w:val="0052611C"/>
    <w:rsid w:val="00527BB0"/>
    <w:rsid w:val="00537D63"/>
    <w:rsid w:val="0055138A"/>
    <w:rsid w:val="00556818"/>
    <w:rsid w:val="00557DAA"/>
    <w:rsid w:val="00566BDC"/>
    <w:rsid w:val="00577067"/>
    <w:rsid w:val="00582191"/>
    <w:rsid w:val="0059099C"/>
    <w:rsid w:val="005945DC"/>
    <w:rsid w:val="0059566F"/>
    <w:rsid w:val="00597A59"/>
    <w:rsid w:val="005A3F90"/>
    <w:rsid w:val="005A56EA"/>
    <w:rsid w:val="005A57FF"/>
    <w:rsid w:val="005A6971"/>
    <w:rsid w:val="005A6CEB"/>
    <w:rsid w:val="005C4DDD"/>
    <w:rsid w:val="005C6C78"/>
    <w:rsid w:val="005D3300"/>
    <w:rsid w:val="005E139D"/>
    <w:rsid w:val="005E2527"/>
    <w:rsid w:val="005E3460"/>
    <w:rsid w:val="005E7F76"/>
    <w:rsid w:val="005F3077"/>
    <w:rsid w:val="005F4F9C"/>
    <w:rsid w:val="00604489"/>
    <w:rsid w:val="00606936"/>
    <w:rsid w:val="0061348C"/>
    <w:rsid w:val="006160E2"/>
    <w:rsid w:val="006164C6"/>
    <w:rsid w:val="00616D9C"/>
    <w:rsid w:val="00616F94"/>
    <w:rsid w:val="00620983"/>
    <w:rsid w:val="00620B51"/>
    <w:rsid w:val="00620C9B"/>
    <w:rsid w:val="00620D0E"/>
    <w:rsid w:val="006219EE"/>
    <w:rsid w:val="0063018A"/>
    <w:rsid w:val="00631BEE"/>
    <w:rsid w:val="00632879"/>
    <w:rsid w:val="0063382E"/>
    <w:rsid w:val="00634CC3"/>
    <w:rsid w:val="006353ED"/>
    <w:rsid w:val="006362B9"/>
    <w:rsid w:val="0063726D"/>
    <w:rsid w:val="00640904"/>
    <w:rsid w:val="006412B9"/>
    <w:rsid w:val="006500B1"/>
    <w:rsid w:val="006552CE"/>
    <w:rsid w:val="00660E0D"/>
    <w:rsid w:val="00663885"/>
    <w:rsid w:val="00664ED5"/>
    <w:rsid w:val="006650DE"/>
    <w:rsid w:val="006749BB"/>
    <w:rsid w:val="0068637D"/>
    <w:rsid w:val="00694560"/>
    <w:rsid w:val="00696CD9"/>
    <w:rsid w:val="006A414B"/>
    <w:rsid w:val="006A5B98"/>
    <w:rsid w:val="006A6CFD"/>
    <w:rsid w:val="006B50F8"/>
    <w:rsid w:val="006C125A"/>
    <w:rsid w:val="006C1E7A"/>
    <w:rsid w:val="006C31DB"/>
    <w:rsid w:val="006C4C28"/>
    <w:rsid w:val="006C6CAA"/>
    <w:rsid w:val="006C7A4C"/>
    <w:rsid w:val="006E125E"/>
    <w:rsid w:val="006E1649"/>
    <w:rsid w:val="006F461A"/>
    <w:rsid w:val="006F51F1"/>
    <w:rsid w:val="006F7291"/>
    <w:rsid w:val="0070094E"/>
    <w:rsid w:val="007025AD"/>
    <w:rsid w:val="00702F82"/>
    <w:rsid w:val="007104AB"/>
    <w:rsid w:val="007109D4"/>
    <w:rsid w:val="00711CA5"/>
    <w:rsid w:val="00714138"/>
    <w:rsid w:val="00722B9F"/>
    <w:rsid w:val="00723683"/>
    <w:rsid w:val="00727BAA"/>
    <w:rsid w:val="00727F8B"/>
    <w:rsid w:val="007316B3"/>
    <w:rsid w:val="00734A43"/>
    <w:rsid w:val="007369C7"/>
    <w:rsid w:val="00746877"/>
    <w:rsid w:val="00750FD9"/>
    <w:rsid w:val="00752FC4"/>
    <w:rsid w:val="00753C81"/>
    <w:rsid w:val="00764500"/>
    <w:rsid w:val="007650BC"/>
    <w:rsid w:val="00765FE7"/>
    <w:rsid w:val="007736DB"/>
    <w:rsid w:val="00775734"/>
    <w:rsid w:val="00776D06"/>
    <w:rsid w:val="007936B9"/>
    <w:rsid w:val="007A2A26"/>
    <w:rsid w:val="007A3FFD"/>
    <w:rsid w:val="007A45E2"/>
    <w:rsid w:val="007A5491"/>
    <w:rsid w:val="007A6B14"/>
    <w:rsid w:val="007B0DD7"/>
    <w:rsid w:val="007B157F"/>
    <w:rsid w:val="007B27F1"/>
    <w:rsid w:val="007B7316"/>
    <w:rsid w:val="007B748F"/>
    <w:rsid w:val="007C42F1"/>
    <w:rsid w:val="007C6F0E"/>
    <w:rsid w:val="007C7835"/>
    <w:rsid w:val="007D38B7"/>
    <w:rsid w:val="007D5A7F"/>
    <w:rsid w:val="007D7E35"/>
    <w:rsid w:val="007E0F0A"/>
    <w:rsid w:val="007E630F"/>
    <w:rsid w:val="007E7D10"/>
    <w:rsid w:val="007F1F70"/>
    <w:rsid w:val="007F2243"/>
    <w:rsid w:val="00801D37"/>
    <w:rsid w:val="008057DB"/>
    <w:rsid w:val="008104F6"/>
    <w:rsid w:val="00812F01"/>
    <w:rsid w:val="008133A3"/>
    <w:rsid w:val="008142EE"/>
    <w:rsid w:val="008161FC"/>
    <w:rsid w:val="008205C8"/>
    <w:rsid w:val="00822DA4"/>
    <w:rsid w:val="00823A36"/>
    <w:rsid w:val="008259EA"/>
    <w:rsid w:val="00826000"/>
    <w:rsid w:val="00826898"/>
    <w:rsid w:val="0083029C"/>
    <w:rsid w:val="00832316"/>
    <w:rsid w:val="00847E00"/>
    <w:rsid w:val="008507B4"/>
    <w:rsid w:val="008517F7"/>
    <w:rsid w:val="00852042"/>
    <w:rsid w:val="00856A5A"/>
    <w:rsid w:val="00856D9A"/>
    <w:rsid w:val="00857751"/>
    <w:rsid w:val="008601C9"/>
    <w:rsid w:val="00862AFA"/>
    <w:rsid w:val="00863C4E"/>
    <w:rsid w:val="0086471A"/>
    <w:rsid w:val="00864DEE"/>
    <w:rsid w:val="0086545C"/>
    <w:rsid w:val="0087141C"/>
    <w:rsid w:val="00880E9F"/>
    <w:rsid w:val="00884D3A"/>
    <w:rsid w:val="0088574E"/>
    <w:rsid w:val="0088653F"/>
    <w:rsid w:val="00891785"/>
    <w:rsid w:val="008921D9"/>
    <w:rsid w:val="008951B4"/>
    <w:rsid w:val="00897723"/>
    <w:rsid w:val="008B11BB"/>
    <w:rsid w:val="008B1783"/>
    <w:rsid w:val="008B518F"/>
    <w:rsid w:val="008B56DF"/>
    <w:rsid w:val="008C54B1"/>
    <w:rsid w:val="008C794C"/>
    <w:rsid w:val="008D121F"/>
    <w:rsid w:val="008D1DC7"/>
    <w:rsid w:val="008D4F11"/>
    <w:rsid w:val="008E64C6"/>
    <w:rsid w:val="008E6863"/>
    <w:rsid w:val="008E788F"/>
    <w:rsid w:val="008F17D2"/>
    <w:rsid w:val="008F2002"/>
    <w:rsid w:val="008F27FD"/>
    <w:rsid w:val="008F30B6"/>
    <w:rsid w:val="00901FDA"/>
    <w:rsid w:val="0090276F"/>
    <w:rsid w:val="009061A5"/>
    <w:rsid w:val="00911587"/>
    <w:rsid w:val="00912FC7"/>
    <w:rsid w:val="00913A2F"/>
    <w:rsid w:val="00916A1C"/>
    <w:rsid w:val="00916C64"/>
    <w:rsid w:val="00922F3D"/>
    <w:rsid w:val="00926731"/>
    <w:rsid w:val="0093186A"/>
    <w:rsid w:val="00934A5F"/>
    <w:rsid w:val="00936178"/>
    <w:rsid w:val="009369E8"/>
    <w:rsid w:val="009435E9"/>
    <w:rsid w:val="009538C1"/>
    <w:rsid w:val="00953DC4"/>
    <w:rsid w:val="00955029"/>
    <w:rsid w:val="00955B99"/>
    <w:rsid w:val="00961C51"/>
    <w:rsid w:val="00963148"/>
    <w:rsid w:val="00970EE4"/>
    <w:rsid w:val="0097278F"/>
    <w:rsid w:val="009737F0"/>
    <w:rsid w:val="009765A8"/>
    <w:rsid w:val="00984E97"/>
    <w:rsid w:val="0098785B"/>
    <w:rsid w:val="00995601"/>
    <w:rsid w:val="009A4350"/>
    <w:rsid w:val="009A45CB"/>
    <w:rsid w:val="009A6569"/>
    <w:rsid w:val="009A67DA"/>
    <w:rsid w:val="009B0DA4"/>
    <w:rsid w:val="009B12B2"/>
    <w:rsid w:val="009C5785"/>
    <w:rsid w:val="009C5809"/>
    <w:rsid w:val="009D047E"/>
    <w:rsid w:val="009E1194"/>
    <w:rsid w:val="009F44BF"/>
    <w:rsid w:val="009F62E6"/>
    <w:rsid w:val="009F7378"/>
    <w:rsid w:val="00A06A4B"/>
    <w:rsid w:val="00A07AA3"/>
    <w:rsid w:val="00A11200"/>
    <w:rsid w:val="00A13E88"/>
    <w:rsid w:val="00A15276"/>
    <w:rsid w:val="00A24C14"/>
    <w:rsid w:val="00A304AD"/>
    <w:rsid w:val="00A31302"/>
    <w:rsid w:val="00A35FB5"/>
    <w:rsid w:val="00A44EBB"/>
    <w:rsid w:val="00A5045D"/>
    <w:rsid w:val="00A5390B"/>
    <w:rsid w:val="00A569F8"/>
    <w:rsid w:val="00A57E8B"/>
    <w:rsid w:val="00A62081"/>
    <w:rsid w:val="00A647FA"/>
    <w:rsid w:val="00A713CE"/>
    <w:rsid w:val="00A75C83"/>
    <w:rsid w:val="00A76A81"/>
    <w:rsid w:val="00A83562"/>
    <w:rsid w:val="00A84E0E"/>
    <w:rsid w:val="00A87191"/>
    <w:rsid w:val="00A90438"/>
    <w:rsid w:val="00A90556"/>
    <w:rsid w:val="00A928F1"/>
    <w:rsid w:val="00A958CA"/>
    <w:rsid w:val="00A95E61"/>
    <w:rsid w:val="00A962A9"/>
    <w:rsid w:val="00AA7D97"/>
    <w:rsid w:val="00AB6A63"/>
    <w:rsid w:val="00AB6E2D"/>
    <w:rsid w:val="00AC051F"/>
    <w:rsid w:val="00AC22C8"/>
    <w:rsid w:val="00AC2ADB"/>
    <w:rsid w:val="00AC4178"/>
    <w:rsid w:val="00AC4F6B"/>
    <w:rsid w:val="00AC6206"/>
    <w:rsid w:val="00AD0594"/>
    <w:rsid w:val="00AD44BB"/>
    <w:rsid w:val="00AD4F6E"/>
    <w:rsid w:val="00AD7F08"/>
    <w:rsid w:val="00AE0874"/>
    <w:rsid w:val="00AE15C7"/>
    <w:rsid w:val="00AE1706"/>
    <w:rsid w:val="00AE1D23"/>
    <w:rsid w:val="00AE295A"/>
    <w:rsid w:val="00AE3216"/>
    <w:rsid w:val="00AE4786"/>
    <w:rsid w:val="00AF316A"/>
    <w:rsid w:val="00AF4C41"/>
    <w:rsid w:val="00AF6EFD"/>
    <w:rsid w:val="00B00F64"/>
    <w:rsid w:val="00B01207"/>
    <w:rsid w:val="00B0337D"/>
    <w:rsid w:val="00B05EBF"/>
    <w:rsid w:val="00B1044C"/>
    <w:rsid w:val="00B177EC"/>
    <w:rsid w:val="00B17BE3"/>
    <w:rsid w:val="00B210B6"/>
    <w:rsid w:val="00B21743"/>
    <w:rsid w:val="00B22F5E"/>
    <w:rsid w:val="00B23603"/>
    <w:rsid w:val="00B2634B"/>
    <w:rsid w:val="00B37048"/>
    <w:rsid w:val="00B42479"/>
    <w:rsid w:val="00B42A79"/>
    <w:rsid w:val="00B4438F"/>
    <w:rsid w:val="00B449FA"/>
    <w:rsid w:val="00B519D8"/>
    <w:rsid w:val="00B52206"/>
    <w:rsid w:val="00B65790"/>
    <w:rsid w:val="00B665F6"/>
    <w:rsid w:val="00B80295"/>
    <w:rsid w:val="00B86AF2"/>
    <w:rsid w:val="00B87F8C"/>
    <w:rsid w:val="00B907B0"/>
    <w:rsid w:val="00B91EB9"/>
    <w:rsid w:val="00B9579C"/>
    <w:rsid w:val="00BA1005"/>
    <w:rsid w:val="00BA2E3F"/>
    <w:rsid w:val="00BA31CD"/>
    <w:rsid w:val="00BB13BA"/>
    <w:rsid w:val="00BB5B75"/>
    <w:rsid w:val="00BB72B0"/>
    <w:rsid w:val="00BC2195"/>
    <w:rsid w:val="00BC3FB6"/>
    <w:rsid w:val="00BC725E"/>
    <w:rsid w:val="00BD03D7"/>
    <w:rsid w:val="00BD2F51"/>
    <w:rsid w:val="00BD6B55"/>
    <w:rsid w:val="00BE46BF"/>
    <w:rsid w:val="00BE579C"/>
    <w:rsid w:val="00BE6F00"/>
    <w:rsid w:val="00BF06DB"/>
    <w:rsid w:val="00C00E2C"/>
    <w:rsid w:val="00C01316"/>
    <w:rsid w:val="00C106F0"/>
    <w:rsid w:val="00C20147"/>
    <w:rsid w:val="00C252C7"/>
    <w:rsid w:val="00C342EB"/>
    <w:rsid w:val="00C36ADD"/>
    <w:rsid w:val="00C4131D"/>
    <w:rsid w:val="00C41AE1"/>
    <w:rsid w:val="00C448EC"/>
    <w:rsid w:val="00C50A58"/>
    <w:rsid w:val="00C52EC7"/>
    <w:rsid w:val="00C531B3"/>
    <w:rsid w:val="00C55029"/>
    <w:rsid w:val="00C6279D"/>
    <w:rsid w:val="00C632AF"/>
    <w:rsid w:val="00C736DA"/>
    <w:rsid w:val="00C760C9"/>
    <w:rsid w:val="00C81C65"/>
    <w:rsid w:val="00C84552"/>
    <w:rsid w:val="00C8521E"/>
    <w:rsid w:val="00C918AA"/>
    <w:rsid w:val="00C92CD2"/>
    <w:rsid w:val="00CA24E7"/>
    <w:rsid w:val="00CA4189"/>
    <w:rsid w:val="00CB0219"/>
    <w:rsid w:val="00CB3223"/>
    <w:rsid w:val="00CC549F"/>
    <w:rsid w:val="00CC5AAC"/>
    <w:rsid w:val="00CD003C"/>
    <w:rsid w:val="00CD20A8"/>
    <w:rsid w:val="00CD5926"/>
    <w:rsid w:val="00CD6317"/>
    <w:rsid w:val="00CD7034"/>
    <w:rsid w:val="00CE5841"/>
    <w:rsid w:val="00CE714C"/>
    <w:rsid w:val="00CF2962"/>
    <w:rsid w:val="00CF5029"/>
    <w:rsid w:val="00D002FA"/>
    <w:rsid w:val="00D00EC7"/>
    <w:rsid w:val="00D05ADC"/>
    <w:rsid w:val="00D164AE"/>
    <w:rsid w:val="00D24B48"/>
    <w:rsid w:val="00D35D50"/>
    <w:rsid w:val="00D40F0E"/>
    <w:rsid w:val="00D431A0"/>
    <w:rsid w:val="00D4661D"/>
    <w:rsid w:val="00D5363C"/>
    <w:rsid w:val="00D55D86"/>
    <w:rsid w:val="00D619F8"/>
    <w:rsid w:val="00D72226"/>
    <w:rsid w:val="00D72609"/>
    <w:rsid w:val="00D72F9D"/>
    <w:rsid w:val="00D80231"/>
    <w:rsid w:val="00D82726"/>
    <w:rsid w:val="00D86D42"/>
    <w:rsid w:val="00D872AC"/>
    <w:rsid w:val="00D90441"/>
    <w:rsid w:val="00D90801"/>
    <w:rsid w:val="00D9271A"/>
    <w:rsid w:val="00D95588"/>
    <w:rsid w:val="00D95FF0"/>
    <w:rsid w:val="00DA22CE"/>
    <w:rsid w:val="00DA55E6"/>
    <w:rsid w:val="00DA7DFF"/>
    <w:rsid w:val="00DB02CD"/>
    <w:rsid w:val="00DB23F1"/>
    <w:rsid w:val="00DC01B6"/>
    <w:rsid w:val="00DC3040"/>
    <w:rsid w:val="00DC7824"/>
    <w:rsid w:val="00DC7FA8"/>
    <w:rsid w:val="00DD1692"/>
    <w:rsid w:val="00DD18AA"/>
    <w:rsid w:val="00DD2439"/>
    <w:rsid w:val="00DD3540"/>
    <w:rsid w:val="00DD604A"/>
    <w:rsid w:val="00DD7F1F"/>
    <w:rsid w:val="00DF212B"/>
    <w:rsid w:val="00DF22AE"/>
    <w:rsid w:val="00E02119"/>
    <w:rsid w:val="00E061D6"/>
    <w:rsid w:val="00E16508"/>
    <w:rsid w:val="00E16E8E"/>
    <w:rsid w:val="00E213AA"/>
    <w:rsid w:val="00E22336"/>
    <w:rsid w:val="00E238FC"/>
    <w:rsid w:val="00E23F16"/>
    <w:rsid w:val="00E2508C"/>
    <w:rsid w:val="00E26982"/>
    <w:rsid w:val="00E3188D"/>
    <w:rsid w:val="00E35E2B"/>
    <w:rsid w:val="00E35E98"/>
    <w:rsid w:val="00E3617B"/>
    <w:rsid w:val="00E36CAA"/>
    <w:rsid w:val="00E37AF0"/>
    <w:rsid w:val="00E37CAD"/>
    <w:rsid w:val="00E428C9"/>
    <w:rsid w:val="00E42977"/>
    <w:rsid w:val="00E4346B"/>
    <w:rsid w:val="00E43B29"/>
    <w:rsid w:val="00E53C49"/>
    <w:rsid w:val="00E705A6"/>
    <w:rsid w:val="00E735DB"/>
    <w:rsid w:val="00E750DE"/>
    <w:rsid w:val="00E77806"/>
    <w:rsid w:val="00E84C5B"/>
    <w:rsid w:val="00E93107"/>
    <w:rsid w:val="00EA1442"/>
    <w:rsid w:val="00EA3B1B"/>
    <w:rsid w:val="00EA4CB2"/>
    <w:rsid w:val="00EA7E82"/>
    <w:rsid w:val="00EC02C2"/>
    <w:rsid w:val="00EC11A1"/>
    <w:rsid w:val="00EC228E"/>
    <w:rsid w:val="00EC26B6"/>
    <w:rsid w:val="00ED2242"/>
    <w:rsid w:val="00ED6F4D"/>
    <w:rsid w:val="00EE3645"/>
    <w:rsid w:val="00EE4E15"/>
    <w:rsid w:val="00EF012F"/>
    <w:rsid w:val="00EF158C"/>
    <w:rsid w:val="00EF1F1A"/>
    <w:rsid w:val="00EF2519"/>
    <w:rsid w:val="00EF412A"/>
    <w:rsid w:val="00EF4BA3"/>
    <w:rsid w:val="00F02345"/>
    <w:rsid w:val="00F07B5F"/>
    <w:rsid w:val="00F07F93"/>
    <w:rsid w:val="00F12D21"/>
    <w:rsid w:val="00F169E7"/>
    <w:rsid w:val="00F17DC9"/>
    <w:rsid w:val="00F232D6"/>
    <w:rsid w:val="00F32A5F"/>
    <w:rsid w:val="00F333D1"/>
    <w:rsid w:val="00F43905"/>
    <w:rsid w:val="00F4644B"/>
    <w:rsid w:val="00F50118"/>
    <w:rsid w:val="00F50234"/>
    <w:rsid w:val="00F51B74"/>
    <w:rsid w:val="00F52F7B"/>
    <w:rsid w:val="00F607BC"/>
    <w:rsid w:val="00F60A32"/>
    <w:rsid w:val="00F623A5"/>
    <w:rsid w:val="00F637DB"/>
    <w:rsid w:val="00F64462"/>
    <w:rsid w:val="00F70EF9"/>
    <w:rsid w:val="00F7522F"/>
    <w:rsid w:val="00F76790"/>
    <w:rsid w:val="00F8688A"/>
    <w:rsid w:val="00F86952"/>
    <w:rsid w:val="00F87E85"/>
    <w:rsid w:val="00F90304"/>
    <w:rsid w:val="00F94AB4"/>
    <w:rsid w:val="00F96AEC"/>
    <w:rsid w:val="00F97B8E"/>
    <w:rsid w:val="00FA0BF7"/>
    <w:rsid w:val="00FA1C18"/>
    <w:rsid w:val="00FA2BB6"/>
    <w:rsid w:val="00FA5C25"/>
    <w:rsid w:val="00FA6456"/>
    <w:rsid w:val="00FB0A31"/>
    <w:rsid w:val="00FB159E"/>
    <w:rsid w:val="00FB15FB"/>
    <w:rsid w:val="00FB2356"/>
    <w:rsid w:val="00FB76C8"/>
    <w:rsid w:val="00FC40F8"/>
    <w:rsid w:val="00FC6A4D"/>
    <w:rsid w:val="00FD4E1D"/>
    <w:rsid w:val="00FE1045"/>
    <w:rsid w:val="00FE4442"/>
    <w:rsid w:val="00FE4D38"/>
    <w:rsid w:val="00FF0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63"/>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DC3040"/>
    <w:rPr>
      <w:color w:val="FF0000"/>
      <w:sz w:val="22"/>
      <w:szCs w:val="22"/>
      <w:lang w:eastAsia="en-US"/>
    </w:rPr>
  </w:style>
  <w:style w:type="character" w:styleId="CommentReference">
    <w:name w:val="annotation reference"/>
    <w:basedOn w:val="DefaultParagraphFont"/>
    <w:uiPriority w:val="99"/>
    <w:semiHidden/>
    <w:unhideWhenUsed/>
    <w:rsid w:val="00EC228E"/>
    <w:rPr>
      <w:sz w:val="16"/>
      <w:szCs w:val="16"/>
    </w:rPr>
  </w:style>
  <w:style w:type="paragraph" w:styleId="CommentText">
    <w:name w:val="annotation text"/>
    <w:basedOn w:val="Normal"/>
    <w:link w:val="CommentTextChar"/>
    <w:uiPriority w:val="99"/>
    <w:unhideWhenUsed/>
    <w:rsid w:val="00EC228E"/>
    <w:pPr>
      <w:spacing w:line="240" w:lineRule="auto"/>
    </w:pPr>
    <w:rPr>
      <w:sz w:val="20"/>
      <w:szCs w:val="20"/>
    </w:rPr>
  </w:style>
  <w:style w:type="character" w:customStyle="1" w:styleId="CommentTextChar">
    <w:name w:val="Comment Text Char"/>
    <w:basedOn w:val="DefaultParagraphFont"/>
    <w:link w:val="CommentText"/>
    <w:uiPriority w:val="99"/>
    <w:rsid w:val="00EC228E"/>
    <w:rPr>
      <w:color w:val="FF0000"/>
      <w:lang w:eastAsia="en-US"/>
    </w:rPr>
  </w:style>
  <w:style w:type="paragraph" w:styleId="CommentSubject">
    <w:name w:val="annotation subject"/>
    <w:basedOn w:val="CommentText"/>
    <w:next w:val="CommentText"/>
    <w:link w:val="CommentSubjectChar"/>
    <w:uiPriority w:val="99"/>
    <w:semiHidden/>
    <w:unhideWhenUsed/>
    <w:rsid w:val="00EC228E"/>
    <w:rPr>
      <w:b/>
      <w:bCs/>
    </w:rPr>
  </w:style>
  <w:style w:type="character" w:customStyle="1" w:styleId="CommentSubjectChar">
    <w:name w:val="Comment Subject Char"/>
    <w:basedOn w:val="CommentTextChar"/>
    <w:link w:val="CommentSubject"/>
    <w:uiPriority w:val="99"/>
    <w:semiHidden/>
    <w:rsid w:val="00EC228E"/>
    <w:rPr>
      <w:b/>
      <w:bCs/>
      <w:color w:val="FF0000"/>
      <w:lang w:eastAsia="en-US"/>
    </w:rPr>
  </w:style>
  <w:style w:type="character" w:styleId="Hyperlink">
    <w:name w:val="Hyperlink"/>
    <w:basedOn w:val="DefaultParagraphFont"/>
    <w:uiPriority w:val="99"/>
    <w:unhideWhenUsed/>
    <w:rsid w:val="002B29A6"/>
    <w:rPr>
      <w:color w:val="0000FF" w:themeColor="hyperlink"/>
      <w:u w:val="single"/>
    </w:rPr>
  </w:style>
  <w:style w:type="character" w:styleId="UnresolvedMention">
    <w:name w:val="Unresolved Mention"/>
    <w:basedOn w:val="DefaultParagraphFont"/>
    <w:uiPriority w:val="99"/>
    <w:semiHidden/>
    <w:unhideWhenUsed/>
    <w:rsid w:val="002B29A6"/>
    <w:rPr>
      <w:color w:val="605E5C"/>
      <w:shd w:val="clear" w:color="auto" w:fill="E1DFDD"/>
    </w:rPr>
  </w:style>
  <w:style w:type="table" w:styleId="ListTable3-Accent5">
    <w:name w:val="List Table 3 Accent 5"/>
    <w:basedOn w:val="TableNormal"/>
    <w:uiPriority w:val="48"/>
    <w:rsid w:val="00616D9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1">
    <w:name w:val="Table Grid1"/>
    <w:basedOn w:val="TableNormal"/>
    <w:next w:val="TableGrid"/>
    <w:uiPriority w:val="39"/>
    <w:rsid w:val="00F97B8E"/>
    <w:rPr>
      <w:rFonts w:ascii="Calibri" w:hAnsi="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680E"/>
    <w:rPr>
      <w:color w:val="FF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30111415">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36063182">
      <w:bodyDiv w:val="1"/>
      <w:marLeft w:val="0"/>
      <w:marRight w:val="0"/>
      <w:marTop w:val="0"/>
      <w:marBottom w:val="0"/>
      <w:divBdr>
        <w:top w:val="none" w:sz="0" w:space="0" w:color="auto"/>
        <w:left w:val="none" w:sz="0" w:space="0" w:color="auto"/>
        <w:bottom w:val="none" w:sz="0" w:space="0" w:color="auto"/>
        <w:right w:val="none" w:sz="0" w:space="0" w:color="auto"/>
      </w:divBdr>
    </w:div>
    <w:div w:id="296304147">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51828581">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3467527">
      <w:bodyDiv w:val="1"/>
      <w:marLeft w:val="0"/>
      <w:marRight w:val="0"/>
      <w:marTop w:val="0"/>
      <w:marBottom w:val="0"/>
      <w:divBdr>
        <w:top w:val="none" w:sz="0" w:space="0" w:color="auto"/>
        <w:left w:val="none" w:sz="0" w:space="0" w:color="auto"/>
        <w:bottom w:val="none" w:sz="0" w:space="0" w:color="auto"/>
        <w:right w:val="none" w:sz="0" w:space="0" w:color="auto"/>
      </w:divBdr>
    </w:div>
    <w:div w:id="598636069">
      <w:bodyDiv w:val="1"/>
      <w:marLeft w:val="0"/>
      <w:marRight w:val="0"/>
      <w:marTop w:val="0"/>
      <w:marBottom w:val="0"/>
      <w:divBdr>
        <w:top w:val="none" w:sz="0" w:space="0" w:color="auto"/>
        <w:left w:val="none" w:sz="0" w:space="0" w:color="auto"/>
        <w:bottom w:val="none" w:sz="0" w:space="0" w:color="auto"/>
        <w:right w:val="none" w:sz="0" w:space="0" w:color="auto"/>
      </w:divBdr>
    </w:div>
    <w:div w:id="607079376">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4043081">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794566661">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37840895">
      <w:bodyDiv w:val="1"/>
      <w:marLeft w:val="0"/>
      <w:marRight w:val="0"/>
      <w:marTop w:val="0"/>
      <w:marBottom w:val="0"/>
      <w:divBdr>
        <w:top w:val="none" w:sz="0" w:space="0" w:color="auto"/>
        <w:left w:val="none" w:sz="0" w:space="0" w:color="auto"/>
        <w:bottom w:val="none" w:sz="0" w:space="0" w:color="auto"/>
        <w:right w:val="none" w:sz="0" w:space="0" w:color="auto"/>
      </w:divBdr>
    </w:div>
    <w:div w:id="853303288">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92933523">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1690073">
      <w:bodyDiv w:val="1"/>
      <w:marLeft w:val="0"/>
      <w:marRight w:val="0"/>
      <w:marTop w:val="0"/>
      <w:marBottom w:val="0"/>
      <w:divBdr>
        <w:top w:val="none" w:sz="0" w:space="0" w:color="auto"/>
        <w:left w:val="none" w:sz="0" w:space="0" w:color="auto"/>
        <w:bottom w:val="none" w:sz="0" w:space="0" w:color="auto"/>
        <w:right w:val="none" w:sz="0" w:space="0" w:color="auto"/>
      </w:divBdr>
    </w:div>
    <w:div w:id="972752222">
      <w:bodyDiv w:val="1"/>
      <w:marLeft w:val="0"/>
      <w:marRight w:val="0"/>
      <w:marTop w:val="0"/>
      <w:marBottom w:val="0"/>
      <w:divBdr>
        <w:top w:val="none" w:sz="0" w:space="0" w:color="auto"/>
        <w:left w:val="none" w:sz="0" w:space="0" w:color="auto"/>
        <w:bottom w:val="none" w:sz="0" w:space="0" w:color="auto"/>
        <w:right w:val="none" w:sz="0" w:space="0" w:color="auto"/>
      </w:divBdr>
    </w:div>
    <w:div w:id="1008172341">
      <w:bodyDiv w:val="1"/>
      <w:marLeft w:val="0"/>
      <w:marRight w:val="0"/>
      <w:marTop w:val="0"/>
      <w:marBottom w:val="0"/>
      <w:divBdr>
        <w:top w:val="none" w:sz="0" w:space="0" w:color="auto"/>
        <w:left w:val="none" w:sz="0" w:space="0" w:color="auto"/>
        <w:bottom w:val="none" w:sz="0" w:space="0" w:color="auto"/>
        <w:right w:val="none" w:sz="0" w:space="0" w:color="auto"/>
      </w:divBdr>
    </w:div>
    <w:div w:id="1016275018">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0031785">
      <w:bodyDiv w:val="1"/>
      <w:marLeft w:val="0"/>
      <w:marRight w:val="0"/>
      <w:marTop w:val="0"/>
      <w:marBottom w:val="0"/>
      <w:divBdr>
        <w:top w:val="none" w:sz="0" w:space="0" w:color="auto"/>
        <w:left w:val="none" w:sz="0" w:space="0" w:color="auto"/>
        <w:bottom w:val="none" w:sz="0" w:space="0" w:color="auto"/>
        <w:right w:val="none" w:sz="0" w:space="0" w:color="auto"/>
      </w:divBdr>
      <w:divsChild>
        <w:div w:id="1341810145">
          <w:marLeft w:val="274"/>
          <w:marRight w:val="0"/>
          <w:marTop w:val="0"/>
          <w:marBottom w:val="0"/>
          <w:divBdr>
            <w:top w:val="none" w:sz="0" w:space="0" w:color="auto"/>
            <w:left w:val="none" w:sz="0" w:space="0" w:color="auto"/>
            <w:bottom w:val="none" w:sz="0" w:space="0" w:color="auto"/>
            <w:right w:val="none" w:sz="0" w:space="0" w:color="auto"/>
          </w:divBdr>
        </w:div>
        <w:div w:id="46415151">
          <w:marLeft w:val="274"/>
          <w:marRight w:val="0"/>
          <w:marTop w:val="0"/>
          <w:marBottom w:val="0"/>
          <w:divBdr>
            <w:top w:val="none" w:sz="0" w:space="0" w:color="auto"/>
            <w:left w:val="none" w:sz="0" w:space="0" w:color="auto"/>
            <w:bottom w:val="none" w:sz="0" w:space="0" w:color="auto"/>
            <w:right w:val="none" w:sz="0" w:space="0" w:color="auto"/>
          </w:divBdr>
        </w:div>
      </w:divsChild>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265725685">
      <w:bodyDiv w:val="1"/>
      <w:marLeft w:val="0"/>
      <w:marRight w:val="0"/>
      <w:marTop w:val="0"/>
      <w:marBottom w:val="0"/>
      <w:divBdr>
        <w:top w:val="none" w:sz="0" w:space="0" w:color="auto"/>
        <w:left w:val="none" w:sz="0" w:space="0" w:color="auto"/>
        <w:bottom w:val="none" w:sz="0" w:space="0" w:color="auto"/>
        <w:right w:val="none" w:sz="0" w:space="0" w:color="auto"/>
      </w:divBdr>
    </w:div>
    <w:div w:id="1284340678">
      <w:bodyDiv w:val="1"/>
      <w:marLeft w:val="0"/>
      <w:marRight w:val="0"/>
      <w:marTop w:val="0"/>
      <w:marBottom w:val="0"/>
      <w:divBdr>
        <w:top w:val="none" w:sz="0" w:space="0" w:color="auto"/>
        <w:left w:val="none" w:sz="0" w:space="0" w:color="auto"/>
        <w:bottom w:val="none" w:sz="0" w:space="0" w:color="auto"/>
        <w:right w:val="none" w:sz="0" w:space="0" w:color="auto"/>
      </w:divBdr>
      <w:divsChild>
        <w:div w:id="767968796">
          <w:marLeft w:val="274"/>
          <w:marRight w:val="0"/>
          <w:marTop w:val="0"/>
          <w:marBottom w:val="0"/>
          <w:divBdr>
            <w:top w:val="none" w:sz="0" w:space="0" w:color="auto"/>
            <w:left w:val="none" w:sz="0" w:space="0" w:color="auto"/>
            <w:bottom w:val="none" w:sz="0" w:space="0" w:color="auto"/>
            <w:right w:val="none" w:sz="0" w:space="0" w:color="auto"/>
          </w:divBdr>
        </w:div>
        <w:div w:id="1240018562">
          <w:marLeft w:val="274"/>
          <w:marRight w:val="0"/>
          <w:marTop w:val="0"/>
          <w:marBottom w:val="0"/>
          <w:divBdr>
            <w:top w:val="none" w:sz="0" w:space="0" w:color="auto"/>
            <w:left w:val="none" w:sz="0" w:space="0" w:color="auto"/>
            <w:bottom w:val="none" w:sz="0" w:space="0" w:color="auto"/>
            <w:right w:val="none" w:sz="0" w:space="0" w:color="auto"/>
          </w:divBdr>
        </w:div>
      </w:divsChild>
    </w:div>
    <w:div w:id="1288049305">
      <w:bodyDiv w:val="1"/>
      <w:marLeft w:val="0"/>
      <w:marRight w:val="0"/>
      <w:marTop w:val="0"/>
      <w:marBottom w:val="0"/>
      <w:divBdr>
        <w:top w:val="none" w:sz="0" w:space="0" w:color="auto"/>
        <w:left w:val="none" w:sz="0" w:space="0" w:color="auto"/>
        <w:bottom w:val="none" w:sz="0" w:space="0" w:color="auto"/>
        <w:right w:val="none" w:sz="0" w:space="0" w:color="auto"/>
      </w:divBdr>
    </w:div>
    <w:div w:id="1308973304">
      <w:bodyDiv w:val="1"/>
      <w:marLeft w:val="0"/>
      <w:marRight w:val="0"/>
      <w:marTop w:val="0"/>
      <w:marBottom w:val="0"/>
      <w:divBdr>
        <w:top w:val="none" w:sz="0" w:space="0" w:color="auto"/>
        <w:left w:val="none" w:sz="0" w:space="0" w:color="auto"/>
        <w:bottom w:val="none" w:sz="0" w:space="0" w:color="auto"/>
        <w:right w:val="none" w:sz="0" w:space="0" w:color="auto"/>
      </w:divBdr>
    </w:div>
    <w:div w:id="1349286203">
      <w:bodyDiv w:val="1"/>
      <w:marLeft w:val="0"/>
      <w:marRight w:val="0"/>
      <w:marTop w:val="0"/>
      <w:marBottom w:val="0"/>
      <w:divBdr>
        <w:top w:val="none" w:sz="0" w:space="0" w:color="auto"/>
        <w:left w:val="none" w:sz="0" w:space="0" w:color="auto"/>
        <w:bottom w:val="none" w:sz="0" w:space="0" w:color="auto"/>
        <w:right w:val="none" w:sz="0" w:space="0" w:color="auto"/>
      </w:divBdr>
    </w:div>
    <w:div w:id="1431513145">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66599338">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03997633">
      <w:bodyDiv w:val="1"/>
      <w:marLeft w:val="0"/>
      <w:marRight w:val="0"/>
      <w:marTop w:val="0"/>
      <w:marBottom w:val="0"/>
      <w:divBdr>
        <w:top w:val="none" w:sz="0" w:space="0" w:color="auto"/>
        <w:left w:val="none" w:sz="0" w:space="0" w:color="auto"/>
        <w:bottom w:val="none" w:sz="0" w:space="0" w:color="auto"/>
        <w:right w:val="none" w:sz="0" w:space="0" w:color="auto"/>
      </w:divBdr>
      <w:divsChild>
        <w:div w:id="1013917184">
          <w:marLeft w:val="274"/>
          <w:marRight w:val="0"/>
          <w:marTop w:val="0"/>
          <w:marBottom w:val="0"/>
          <w:divBdr>
            <w:top w:val="none" w:sz="0" w:space="0" w:color="auto"/>
            <w:left w:val="none" w:sz="0" w:space="0" w:color="auto"/>
            <w:bottom w:val="none" w:sz="0" w:space="0" w:color="auto"/>
            <w:right w:val="none" w:sz="0" w:space="0" w:color="auto"/>
          </w:divBdr>
        </w:div>
      </w:divsChild>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80229557">
      <w:bodyDiv w:val="1"/>
      <w:marLeft w:val="0"/>
      <w:marRight w:val="0"/>
      <w:marTop w:val="0"/>
      <w:marBottom w:val="0"/>
      <w:divBdr>
        <w:top w:val="none" w:sz="0" w:space="0" w:color="auto"/>
        <w:left w:val="none" w:sz="0" w:space="0" w:color="auto"/>
        <w:bottom w:val="none" w:sz="0" w:space="0" w:color="auto"/>
        <w:right w:val="none" w:sz="0" w:space="0" w:color="auto"/>
      </w:divBdr>
    </w:div>
    <w:div w:id="1733312628">
      <w:bodyDiv w:val="1"/>
      <w:marLeft w:val="0"/>
      <w:marRight w:val="0"/>
      <w:marTop w:val="0"/>
      <w:marBottom w:val="0"/>
      <w:divBdr>
        <w:top w:val="none" w:sz="0" w:space="0" w:color="auto"/>
        <w:left w:val="none" w:sz="0" w:space="0" w:color="auto"/>
        <w:bottom w:val="none" w:sz="0" w:space="0" w:color="auto"/>
        <w:right w:val="none" w:sz="0" w:space="0" w:color="auto"/>
      </w:divBdr>
    </w:div>
    <w:div w:id="1739786414">
      <w:bodyDiv w:val="1"/>
      <w:marLeft w:val="0"/>
      <w:marRight w:val="0"/>
      <w:marTop w:val="0"/>
      <w:marBottom w:val="0"/>
      <w:divBdr>
        <w:top w:val="none" w:sz="0" w:space="0" w:color="auto"/>
        <w:left w:val="none" w:sz="0" w:space="0" w:color="auto"/>
        <w:bottom w:val="none" w:sz="0" w:space="0" w:color="auto"/>
        <w:right w:val="none" w:sz="0" w:space="0" w:color="auto"/>
      </w:divBdr>
    </w:div>
    <w:div w:id="1777670918">
      <w:bodyDiv w:val="1"/>
      <w:marLeft w:val="0"/>
      <w:marRight w:val="0"/>
      <w:marTop w:val="0"/>
      <w:marBottom w:val="0"/>
      <w:divBdr>
        <w:top w:val="none" w:sz="0" w:space="0" w:color="auto"/>
        <w:left w:val="none" w:sz="0" w:space="0" w:color="auto"/>
        <w:bottom w:val="none" w:sz="0" w:space="0" w:color="auto"/>
        <w:right w:val="none" w:sz="0" w:space="0" w:color="auto"/>
      </w:divBdr>
    </w:div>
    <w:div w:id="1873300996">
      <w:bodyDiv w:val="1"/>
      <w:marLeft w:val="0"/>
      <w:marRight w:val="0"/>
      <w:marTop w:val="0"/>
      <w:marBottom w:val="0"/>
      <w:divBdr>
        <w:top w:val="none" w:sz="0" w:space="0" w:color="auto"/>
        <w:left w:val="none" w:sz="0" w:space="0" w:color="auto"/>
        <w:bottom w:val="none" w:sz="0" w:space="0" w:color="auto"/>
        <w:right w:val="none" w:sz="0" w:space="0" w:color="auto"/>
      </w:divBdr>
    </w:div>
    <w:div w:id="1878273511">
      <w:bodyDiv w:val="1"/>
      <w:marLeft w:val="0"/>
      <w:marRight w:val="0"/>
      <w:marTop w:val="0"/>
      <w:marBottom w:val="0"/>
      <w:divBdr>
        <w:top w:val="none" w:sz="0" w:space="0" w:color="auto"/>
        <w:left w:val="none" w:sz="0" w:space="0" w:color="auto"/>
        <w:bottom w:val="none" w:sz="0" w:space="0" w:color="auto"/>
        <w:right w:val="none" w:sz="0" w:space="0" w:color="auto"/>
      </w:divBdr>
    </w:div>
    <w:div w:id="1891574514">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83806154">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900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4b720c11ff68b94241aa8a58bb131899">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b44aa3b6f92793e3a27edfd2ba9a060d"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a3bdf5-4daf-4fdd-98bb-3d605b58f822">
      <Terms xmlns="http://schemas.microsoft.com/office/infopath/2007/PartnerControls"/>
    </lcf76f155ced4ddcb4097134ff3c332f>
    <TaxCatchAll xmlns="ad541163-cd74-4f1b-bfd4-993ad071712c" xsi:nil="true"/>
  </documentManagement>
</p:properties>
</file>

<file path=customXml/itemProps1.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2.xml><?xml version="1.0" encoding="utf-8"?>
<ds:datastoreItem xmlns:ds="http://schemas.openxmlformats.org/officeDocument/2006/customXml" ds:itemID="{E45C5298-78B2-4C0B-B6E8-D71EAD072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4.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d4a3bdf5-4daf-4fdd-98bb-3d605b58f822"/>
    <ds:schemaRef ds:uri="ad541163-cd74-4f1b-bfd4-993ad071712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50</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55</cp:revision>
  <cp:lastPrinted>2024-02-07T12:58:00Z</cp:lastPrinted>
  <dcterms:created xsi:type="dcterms:W3CDTF">2024-12-02T10:15:00Z</dcterms:created>
  <dcterms:modified xsi:type="dcterms:W3CDTF">2025-01-02T09:26:00Z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y fmtid="{D5CDD505-2E9C-101B-9397-08002B2CF9AE}" pid="3" name="MediaServiceImageTags">
    <vt:lpwstr/>
  </property>
</Properties>
</file>