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0173337E" w:rsidR="00B23603" w:rsidRPr="00F31E0E" w:rsidRDefault="00955C5A" w:rsidP="007B0DD7">
            <w:pPr>
              <w:spacing w:after="0" w:line="240" w:lineRule="auto"/>
              <w:rPr>
                <w:color w:val="auto"/>
                <w:sz w:val="24"/>
                <w:szCs w:val="24"/>
              </w:rPr>
            </w:pPr>
            <w:r>
              <w:rPr>
                <w:color w:val="auto"/>
                <w:sz w:val="24"/>
                <w:szCs w:val="24"/>
              </w:rPr>
              <w:t>H</w:t>
            </w:r>
            <w:r w:rsidR="00CA14EE">
              <w:rPr>
                <w:color w:val="auto"/>
                <w:sz w:val="24"/>
                <w:szCs w:val="24"/>
              </w:rPr>
              <w:t>umber and North Yorkshire</w:t>
            </w:r>
            <w:r>
              <w:rPr>
                <w:color w:val="auto"/>
                <w:sz w:val="24"/>
                <w:szCs w:val="24"/>
              </w:rPr>
              <w:t xml:space="preserve"> </w:t>
            </w:r>
            <w:r w:rsidR="0075500E">
              <w:rPr>
                <w:color w:val="auto"/>
                <w:sz w:val="24"/>
                <w:szCs w:val="24"/>
              </w:rPr>
              <w:t>I</w:t>
            </w:r>
            <w:r w:rsidR="00732C37">
              <w:rPr>
                <w:color w:val="auto"/>
                <w:sz w:val="24"/>
                <w:szCs w:val="24"/>
              </w:rPr>
              <w:t>ntegrated Care</w:t>
            </w:r>
            <w:r w:rsidR="0075500E">
              <w:rPr>
                <w:color w:val="auto"/>
                <w:sz w:val="24"/>
                <w:szCs w:val="24"/>
              </w:rPr>
              <w:t xml:space="preserve"> Board</w:t>
            </w:r>
          </w:p>
        </w:tc>
      </w:tr>
      <w:tr w:rsidR="00373698" w:rsidRPr="00566BDC"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524FEE" w:rsidRDefault="00373698" w:rsidP="007B0DD7">
            <w:pPr>
              <w:spacing w:after="0" w:line="240" w:lineRule="auto"/>
              <w:rPr>
                <w:b/>
                <w:color w:val="auto"/>
              </w:rPr>
            </w:pPr>
            <w:r w:rsidRPr="00360D84">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6A62B942" w14:textId="3ACF5F4C" w:rsidR="00373698" w:rsidRPr="00F31E0E" w:rsidRDefault="00360D84" w:rsidP="007B0DD7">
            <w:pPr>
              <w:spacing w:after="0" w:line="240" w:lineRule="auto"/>
              <w:rPr>
                <w:color w:val="auto"/>
                <w:sz w:val="24"/>
                <w:szCs w:val="24"/>
              </w:rPr>
            </w:pPr>
            <w:r>
              <w:rPr>
                <w:color w:val="auto"/>
                <w:sz w:val="24"/>
                <w:szCs w:val="24"/>
              </w:rPr>
              <w:t>8</w:t>
            </w:r>
            <w:r w:rsidRPr="00360D84">
              <w:rPr>
                <w:color w:val="auto"/>
                <w:sz w:val="24"/>
                <w:szCs w:val="24"/>
                <w:vertAlign w:val="superscript"/>
              </w:rPr>
              <w:t>th</w:t>
            </w:r>
            <w:r>
              <w:rPr>
                <w:color w:val="auto"/>
                <w:sz w:val="24"/>
                <w:szCs w:val="24"/>
              </w:rPr>
              <w:t xml:space="preserve"> January 2025</w:t>
            </w:r>
          </w:p>
        </w:tc>
      </w:tr>
      <w:tr w:rsidR="00373698" w:rsidRPr="00566BDC"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4F67ACAB" w14:textId="142F51AE" w:rsidR="00373698" w:rsidRPr="0063726D" w:rsidRDefault="00A35485" w:rsidP="007B0DD7">
            <w:pPr>
              <w:spacing w:after="0" w:line="240" w:lineRule="auto"/>
              <w:rPr>
                <w:b/>
                <w:bCs/>
                <w:color w:val="auto"/>
                <w:sz w:val="32"/>
                <w:szCs w:val="32"/>
              </w:rPr>
            </w:pPr>
            <w:r>
              <w:rPr>
                <w:b/>
                <w:bCs/>
                <w:color w:val="auto"/>
                <w:sz w:val="32"/>
                <w:szCs w:val="32"/>
              </w:rPr>
              <w:t xml:space="preserve">Information Governance – Data Security &amp; Protection Toolkit – Updates &amp; Audit </w:t>
            </w:r>
          </w:p>
        </w:tc>
      </w:tr>
      <w:tr w:rsidR="00373698" w:rsidRPr="00566BDC"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270ACB40" w14:textId="6C746F8C" w:rsidR="00373698" w:rsidRPr="00F31E0E" w:rsidRDefault="00A35485" w:rsidP="007B0DD7">
            <w:pPr>
              <w:spacing w:after="0" w:line="240" w:lineRule="auto"/>
              <w:rPr>
                <w:color w:val="auto"/>
                <w:sz w:val="24"/>
                <w:szCs w:val="24"/>
              </w:rPr>
            </w:pPr>
            <w:r>
              <w:rPr>
                <w:color w:val="auto"/>
                <w:sz w:val="24"/>
                <w:szCs w:val="24"/>
              </w:rPr>
              <w:t xml:space="preserve">Karina Ellis – Executive Director of Corporate Affairs </w:t>
            </w:r>
          </w:p>
        </w:tc>
      </w:tr>
      <w:tr w:rsidR="008142EE" w:rsidRPr="00566BDC" w14:paraId="40590258" w14:textId="77777777" w:rsidTr="00EF3216">
        <w:tc>
          <w:tcPr>
            <w:tcW w:w="2092" w:type="dxa"/>
            <w:tcBorders>
              <w:left w:val="double" w:sz="4" w:space="0" w:color="auto"/>
            </w:tcBorders>
            <w:shd w:val="clear" w:color="auto" w:fill="D9D9D9" w:themeFill="background1" w:themeFillShade="D9"/>
          </w:tcPr>
          <w:p w14:paraId="58C65183" w14:textId="77777777" w:rsidR="008142EE" w:rsidRPr="00524FEE" w:rsidRDefault="008142EE" w:rsidP="007B0DD7">
            <w:pPr>
              <w:spacing w:after="0" w:line="240" w:lineRule="auto"/>
              <w:rPr>
                <w:b/>
                <w:color w:val="auto"/>
              </w:rPr>
            </w:pPr>
            <w:r w:rsidRPr="00524FEE">
              <w:rPr>
                <w:b/>
                <w:color w:val="auto"/>
              </w:rPr>
              <w:t>Author:</w:t>
            </w:r>
          </w:p>
          <w:p w14:paraId="4B31FADC" w14:textId="77777777" w:rsidR="008142EE" w:rsidRPr="00524FEE" w:rsidRDefault="008142EE" w:rsidP="007B0DD7">
            <w:pPr>
              <w:spacing w:after="0" w:line="240" w:lineRule="auto"/>
              <w:rPr>
                <w:b/>
                <w:color w:val="auto"/>
              </w:rPr>
            </w:pPr>
          </w:p>
        </w:tc>
        <w:tc>
          <w:tcPr>
            <w:tcW w:w="7516" w:type="dxa"/>
            <w:tcBorders>
              <w:right w:val="double" w:sz="4" w:space="0" w:color="auto"/>
            </w:tcBorders>
          </w:tcPr>
          <w:p w14:paraId="5771B5D1" w14:textId="67D913F5" w:rsidR="008142EE" w:rsidRPr="00F31E0E" w:rsidRDefault="00A35485" w:rsidP="007B0DD7">
            <w:pPr>
              <w:spacing w:after="0" w:line="240" w:lineRule="auto"/>
              <w:rPr>
                <w:color w:val="auto"/>
                <w:sz w:val="24"/>
                <w:szCs w:val="24"/>
              </w:rPr>
            </w:pPr>
            <w:r>
              <w:rPr>
                <w:color w:val="auto"/>
                <w:sz w:val="24"/>
                <w:szCs w:val="24"/>
              </w:rPr>
              <w:t xml:space="preserve">Hayley Gillingwater – Senior Information Governance Manager </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5BA8B966" w:rsidR="00BB5B75" w:rsidRPr="00BB5B75" w:rsidRDefault="00360D84" w:rsidP="007C7835">
            <w:pPr>
              <w:jc w:val="center"/>
              <w:rPr>
                <w:b/>
                <w:bCs/>
                <w:sz w:val="32"/>
                <w:szCs w:val="32"/>
              </w:rPr>
            </w:pPr>
            <w:r>
              <w:rPr>
                <w:b/>
                <w:bCs/>
                <w:color w:val="auto"/>
                <w:sz w:val="32"/>
                <w:szCs w:val="32"/>
              </w:rPr>
              <w:t>13</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58241" behindDoc="0" locked="0" layoutInCell="1" allowOverlap="1" wp14:anchorId="35A678BF" wp14:editId="200CC81F">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5824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566BDC" w14:paraId="5E0D93DE" w14:textId="77777777" w:rsidTr="00C96C54">
        <w:trPr>
          <w:trHeight w:val="1274"/>
        </w:trPr>
        <w:tc>
          <w:tcPr>
            <w:tcW w:w="9608" w:type="dxa"/>
          </w:tcPr>
          <w:p w14:paraId="104A39C1" w14:textId="77777777" w:rsidR="00D72609" w:rsidRDefault="00D72609" w:rsidP="004A6F2B">
            <w:pPr>
              <w:spacing w:after="0" w:line="240" w:lineRule="auto"/>
              <w:rPr>
                <w:b/>
                <w:color w:val="auto"/>
              </w:rPr>
            </w:pPr>
          </w:p>
          <w:p w14:paraId="0A9659D6" w14:textId="7DFE8E1F"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5C08B26E" w14:textId="6F69C60F" w:rsidR="00C96C54"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1"/>
                  <w14:checkedState w14:val="2612" w14:font="MS Gothic"/>
                  <w14:uncheckedState w14:val="2610" w14:font="MS Gothic"/>
                </w14:checkbox>
              </w:sdtPr>
              <w:sdtEndPr/>
              <w:sdtContent>
                <w:r w:rsidR="00A35485">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C96C54">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p w14:paraId="61D25B83" w14:textId="3D683030" w:rsidR="00C96C54" w:rsidRPr="00C96C54" w:rsidRDefault="00C96C54" w:rsidP="00E42977">
            <w:pPr>
              <w:spacing w:after="0" w:line="240" w:lineRule="auto"/>
              <w:rPr>
                <w:color w:val="auto"/>
                <w:sz w:val="16"/>
                <w:szCs w:val="16"/>
              </w:rPr>
            </w:pPr>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2C44F1">
            <w:pPr>
              <w:spacing w:after="0" w:line="240" w:lineRule="auto"/>
              <w:jc w:val="both"/>
              <w:rPr>
                <w:b/>
                <w:color w:val="auto"/>
              </w:rPr>
            </w:pPr>
          </w:p>
          <w:p w14:paraId="75EBF78A" w14:textId="77777777" w:rsidR="003F0BD3" w:rsidRDefault="007650BC" w:rsidP="002C44F1">
            <w:pPr>
              <w:spacing w:after="0" w:line="240" w:lineRule="auto"/>
              <w:jc w:val="both"/>
              <w:rPr>
                <w:b/>
                <w:color w:val="auto"/>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0B0ED6E4" w14:textId="77777777" w:rsidR="003F0BD3" w:rsidRDefault="003F0BD3" w:rsidP="002C44F1">
            <w:pPr>
              <w:spacing w:after="0" w:line="240" w:lineRule="auto"/>
              <w:jc w:val="both"/>
              <w:rPr>
                <w:b/>
                <w:color w:val="auto"/>
              </w:rPr>
            </w:pPr>
          </w:p>
          <w:p w14:paraId="40787A15" w14:textId="77777777" w:rsidR="002C1C60" w:rsidRPr="003F0BD3" w:rsidRDefault="002C1C60" w:rsidP="002C44F1">
            <w:pPr>
              <w:spacing w:after="0" w:line="240" w:lineRule="auto"/>
              <w:jc w:val="both"/>
              <w:rPr>
                <w:color w:val="auto"/>
              </w:rPr>
            </w:pPr>
            <w:r w:rsidRPr="003F0BD3">
              <w:rPr>
                <w:color w:val="auto"/>
              </w:rPr>
              <w:t xml:space="preserve">The ICB must complete a Data Security and Protection Toolkit (DSPT) annual self-assessment and submit this to NHS England. This year the data security and protection toolkit has changed to adopt the National Cyber Security Centre’s Cyber Assessment Framework (CAF) as its basis for cyber security and IG assurance. </w:t>
            </w:r>
          </w:p>
          <w:p w14:paraId="68F047E0" w14:textId="77777777" w:rsidR="002C1C60" w:rsidRDefault="002C1C60" w:rsidP="002C44F1">
            <w:pPr>
              <w:spacing w:after="0" w:line="240" w:lineRule="auto"/>
              <w:jc w:val="both"/>
            </w:pPr>
          </w:p>
          <w:p w14:paraId="65024AD1" w14:textId="77777777" w:rsidR="002C1C60" w:rsidRPr="003F0BD3" w:rsidRDefault="002C1C60" w:rsidP="002C44F1">
            <w:pPr>
              <w:spacing w:after="0" w:line="240" w:lineRule="auto"/>
              <w:jc w:val="both"/>
              <w:rPr>
                <w:bCs/>
                <w:color w:val="auto"/>
              </w:rPr>
            </w:pPr>
            <w:r w:rsidRPr="003F0BD3">
              <w:rPr>
                <w:bCs/>
                <w:color w:val="auto"/>
              </w:rPr>
              <w:t>Organisations will self-assess their level of compliance against each outcome using the indicators of good practice as a guide.  The process of submitting assessments to NHS England will not change.  National assurance will continue to be based on organisations commissioning independent audits of their self-assessments, complemented by national sampling audits.</w:t>
            </w:r>
          </w:p>
          <w:p w14:paraId="23FD2A17" w14:textId="77777777" w:rsidR="002C1C60" w:rsidRPr="003F0BD3" w:rsidRDefault="002C1C60" w:rsidP="002C44F1">
            <w:pPr>
              <w:spacing w:after="0" w:line="240" w:lineRule="auto"/>
              <w:jc w:val="both"/>
              <w:rPr>
                <w:bCs/>
                <w:color w:val="auto"/>
              </w:rPr>
            </w:pPr>
          </w:p>
          <w:p w14:paraId="424478FD" w14:textId="77777777" w:rsidR="002C1C60" w:rsidRPr="003F0BD3" w:rsidRDefault="002C1C60" w:rsidP="002C44F1">
            <w:pPr>
              <w:spacing w:after="0" w:line="240" w:lineRule="auto"/>
              <w:jc w:val="both"/>
              <w:rPr>
                <w:bCs/>
                <w:color w:val="auto"/>
              </w:rPr>
            </w:pPr>
            <w:r w:rsidRPr="003F0BD3">
              <w:rPr>
                <w:bCs/>
                <w:color w:val="auto"/>
              </w:rPr>
              <w:t>There is a total of 47 outcomes in the CAF-aligned DSPT, which will all be assessed over a multi-year period. Each year, a selection of outcomes from across the five objectives will be tested by independent assessment providers. NHSE will mandate a common core set of outcomes to be assessed for all organisations that undertake the CAF-aligned DSPT, while a further four outcomes will be selected by individual organisations. These outcomes should be approved by the Board of each organisation (or person with delegated responsibility</w:t>
            </w:r>
            <w:proofErr w:type="gramStart"/>
            <w:r w:rsidRPr="003F0BD3">
              <w:rPr>
                <w:bCs/>
                <w:color w:val="auto"/>
              </w:rPr>
              <w:t>), and</w:t>
            </w:r>
            <w:proofErr w:type="gramEnd"/>
            <w:r w:rsidRPr="003F0BD3">
              <w:rPr>
                <w:bCs/>
                <w:color w:val="auto"/>
              </w:rPr>
              <w:t xml:space="preserve"> will reflect areas of concern that warrant additional assurance over the controls in place during that audit period.</w:t>
            </w:r>
          </w:p>
          <w:p w14:paraId="57E26A6F" w14:textId="77777777" w:rsidR="002C1C60" w:rsidRPr="003F0BD3" w:rsidRDefault="002C1C60" w:rsidP="002C44F1">
            <w:pPr>
              <w:spacing w:after="0" w:line="240" w:lineRule="auto"/>
              <w:jc w:val="both"/>
              <w:rPr>
                <w:bCs/>
                <w:color w:val="auto"/>
              </w:rPr>
            </w:pPr>
          </w:p>
          <w:p w14:paraId="241A0D13" w14:textId="77777777" w:rsidR="002C1C60" w:rsidRPr="002C1C60" w:rsidRDefault="002C1C60" w:rsidP="002C44F1">
            <w:pPr>
              <w:spacing w:after="0" w:line="240" w:lineRule="auto"/>
              <w:jc w:val="both"/>
              <w:rPr>
                <w:bCs/>
                <w:color w:val="auto"/>
              </w:rPr>
            </w:pPr>
            <w:r w:rsidRPr="003F0BD3">
              <w:rPr>
                <w:bCs/>
                <w:color w:val="auto"/>
              </w:rPr>
              <w:t xml:space="preserve">The Senior Information Governance Manager and Senior Information Risk Owner have selected the additional 4 </w:t>
            </w:r>
            <w:r>
              <w:rPr>
                <w:bCs/>
                <w:color w:val="auto"/>
              </w:rPr>
              <w:t>o</w:t>
            </w:r>
            <w:r w:rsidRPr="003F0BD3">
              <w:rPr>
                <w:bCs/>
                <w:color w:val="auto"/>
              </w:rPr>
              <w:t>utcomes to be audited these will be detailed in the report below. The Board are asked to approve</w:t>
            </w:r>
            <w:r>
              <w:rPr>
                <w:bCs/>
                <w:color w:val="auto"/>
              </w:rPr>
              <w:t xml:space="preserve"> </w:t>
            </w:r>
            <w:r w:rsidRPr="003F0BD3">
              <w:rPr>
                <w:bCs/>
                <w:color w:val="auto"/>
              </w:rPr>
              <w:t xml:space="preserve">these </w:t>
            </w:r>
            <w:r>
              <w:rPr>
                <w:bCs/>
                <w:color w:val="auto"/>
              </w:rPr>
              <w:t xml:space="preserve">areas for audit. </w:t>
            </w:r>
          </w:p>
          <w:p w14:paraId="16746932" w14:textId="77777777" w:rsidR="002C1C60" w:rsidRDefault="002C1C60" w:rsidP="002C44F1">
            <w:pPr>
              <w:spacing w:after="0" w:line="240" w:lineRule="auto"/>
              <w:jc w:val="both"/>
              <w:rPr>
                <w:color w:val="auto"/>
              </w:rPr>
            </w:pPr>
          </w:p>
          <w:p w14:paraId="0AF46E19" w14:textId="77777777" w:rsidR="002C1C60" w:rsidRDefault="002C1C60" w:rsidP="002C44F1">
            <w:pPr>
              <w:spacing w:after="0" w:line="240" w:lineRule="auto"/>
              <w:jc w:val="both"/>
              <w:rPr>
                <w:color w:val="auto"/>
              </w:rPr>
            </w:pPr>
            <w:r w:rsidRPr="00566BDC">
              <w:rPr>
                <w:b/>
                <w:color w:val="auto"/>
              </w:rPr>
              <w:t>RECOMMENDATIONS:</w:t>
            </w:r>
            <w:r>
              <w:rPr>
                <w:color w:val="auto"/>
              </w:rPr>
              <w:t xml:space="preserve"> </w:t>
            </w:r>
          </w:p>
          <w:p w14:paraId="5E305AC5" w14:textId="77777777" w:rsidR="002C1C60" w:rsidRDefault="002C1C60" w:rsidP="002C44F1">
            <w:pPr>
              <w:spacing w:after="0" w:line="240" w:lineRule="auto"/>
              <w:jc w:val="both"/>
              <w:rPr>
                <w:color w:val="auto"/>
              </w:rPr>
            </w:pPr>
          </w:p>
          <w:p w14:paraId="00171F6C" w14:textId="77777777" w:rsidR="002C1C60" w:rsidRDefault="002C1C60" w:rsidP="002C44F1">
            <w:pPr>
              <w:spacing w:after="0" w:line="240" w:lineRule="auto"/>
              <w:jc w:val="both"/>
              <w:rPr>
                <w:color w:val="auto"/>
              </w:rPr>
            </w:pPr>
            <w:bookmarkStart w:id="2" w:name="_Hlk106101454"/>
            <w:r>
              <w:rPr>
                <w:color w:val="auto"/>
              </w:rPr>
              <w:t>Members are asked to:</w:t>
            </w:r>
          </w:p>
          <w:p w14:paraId="121D1C46" w14:textId="77777777" w:rsidR="002C1C60" w:rsidRDefault="002C1C60" w:rsidP="002C44F1">
            <w:pPr>
              <w:spacing w:after="0" w:line="240" w:lineRule="auto"/>
              <w:jc w:val="both"/>
              <w:rPr>
                <w:color w:val="auto"/>
              </w:rPr>
            </w:pPr>
          </w:p>
          <w:p w14:paraId="01D25917" w14:textId="77777777" w:rsidR="002C1C60" w:rsidRDefault="002C1C60" w:rsidP="002C44F1">
            <w:pPr>
              <w:pStyle w:val="ListParagraph"/>
              <w:numPr>
                <w:ilvl w:val="0"/>
                <w:numId w:val="7"/>
              </w:numPr>
              <w:spacing w:after="0" w:line="240" w:lineRule="auto"/>
              <w:jc w:val="both"/>
              <w:rPr>
                <w:color w:val="auto"/>
              </w:rPr>
            </w:pPr>
            <w:r>
              <w:rPr>
                <w:color w:val="auto"/>
              </w:rPr>
              <w:t>Note the changes to the Data Security &amp; Protection Toolkit for 2024-25</w:t>
            </w:r>
          </w:p>
          <w:p w14:paraId="7DB07633" w14:textId="77777777" w:rsidR="002C1C60" w:rsidRDefault="002C1C60" w:rsidP="002C44F1">
            <w:pPr>
              <w:pStyle w:val="ListParagraph"/>
              <w:numPr>
                <w:ilvl w:val="0"/>
                <w:numId w:val="7"/>
              </w:numPr>
              <w:spacing w:after="0" w:line="240" w:lineRule="auto"/>
              <w:jc w:val="both"/>
              <w:rPr>
                <w:color w:val="auto"/>
              </w:rPr>
            </w:pPr>
            <w:r>
              <w:rPr>
                <w:color w:val="auto"/>
              </w:rPr>
              <w:t xml:space="preserve">Approve the additional 4 outcomes suggested for audit. </w:t>
            </w:r>
            <w:bookmarkEnd w:id="2"/>
          </w:p>
          <w:p w14:paraId="5DD056FB" w14:textId="3F6E2F17" w:rsidR="000B2507" w:rsidRPr="002C44F1" w:rsidRDefault="00697666" w:rsidP="002C44F1">
            <w:pPr>
              <w:pStyle w:val="ListParagraph"/>
              <w:numPr>
                <w:ilvl w:val="0"/>
                <w:numId w:val="7"/>
              </w:numPr>
              <w:spacing w:before="200" w:line="240" w:lineRule="auto"/>
              <w:jc w:val="both"/>
              <w:rPr>
                <w:color w:val="auto"/>
              </w:rPr>
            </w:pPr>
            <w:r w:rsidRPr="00697666">
              <w:rPr>
                <w:color w:val="auto"/>
              </w:rPr>
              <w:t>Support the Senior Information Governance Manager to raise awareness of the changes within the ICB</w:t>
            </w:r>
            <w:r>
              <w:rPr>
                <w:color w:val="auto"/>
              </w:rPr>
              <w:t>.</w:t>
            </w:r>
          </w:p>
        </w:tc>
      </w:tr>
    </w:tbl>
    <w:p w14:paraId="74775CD0" w14:textId="77777777" w:rsidR="002C44F1" w:rsidRDefault="002C44F1"/>
    <w:tbl>
      <w:tblPr>
        <w:tblStyle w:val="TableGrid"/>
        <w:tblpPr w:leftFromText="180" w:rightFromText="180" w:vertAnchor="text" w:horzAnchor="margin" w:tblpY="-36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C44F1" w:rsidRPr="00524FEE" w14:paraId="62DD2D5F" w14:textId="77777777" w:rsidTr="002C44F1">
        <w:trPr>
          <w:trHeight w:val="427"/>
        </w:trPr>
        <w:tc>
          <w:tcPr>
            <w:tcW w:w="9608" w:type="dxa"/>
            <w:shd w:val="clear" w:color="auto" w:fill="D9D9D9" w:themeFill="background1" w:themeFillShade="D9"/>
          </w:tcPr>
          <w:p w14:paraId="452E5D8F" w14:textId="77777777" w:rsidR="002C44F1" w:rsidRDefault="002C44F1" w:rsidP="002C44F1">
            <w:pPr>
              <w:spacing w:after="0"/>
              <w:rPr>
                <w:bCs/>
                <w:i/>
                <w:iCs/>
                <w:color w:val="auto"/>
                <w:sz w:val="20"/>
                <w:szCs w:val="20"/>
              </w:rPr>
            </w:pPr>
            <w:bookmarkStart w:id="3" w:name="_Hlk138950819"/>
            <w:r>
              <w:rPr>
                <w:b/>
                <w:color w:val="auto"/>
                <w:sz w:val="24"/>
                <w:szCs w:val="24"/>
              </w:rPr>
              <w:lastRenderedPageBreak/>
              <w:t xml:space="preserve">ICB STRATEGIC </w:t>
            </w:r>
            <w:r w:rsidRPr="00753A32">
              <w:rPr>
                <w:b/>
                <w:color w:val="auto"/>
                <w:sz w:val="24"/>
                <w:szCs w:val="24"/>
              </w:rPr>
              <w:t>OBJECTIVE</w:t>
            </w:r>
            <w:r>
              <w:rPr>
                <w:b/>
                <w:color w:val="auto"/>
                <w:sz w:val="24"/>
                <w:szCs w:val="24"/>
              </w:rPr>
              <w:t xml:space="preserve"> </w:t>
            </w:r>
          </w:p>
          <w:p w14:paraId="1EC80A0C" w14:textId="77777777" w:rsidR="002C44F1" w:rsidRPr="00CA14EE" w:rsidRDefault="002C44F1" w:rsidP="002C44F1">
            <w:pPr>
              <w:spacing w:after="0"/>
              <w:rPr>
                <w:bCs/>
                <w:i/>
                <w:iCs/>
                <w:color w:val="auto"/>
                <w:sz w:val="6"/>
                <w:szCs w:val="6"/>
              </w:rPr>
            </w:pPr>
          </w:p>
          <w:p w14:paraId="7B3632B1" w14:textId="77777777" w:rsidR="002C44F1" w:rsidRPr="00CA14EE" w:rsidRDefault="002C44F1" w:rsidP="002C44F1">
            <w:pPr>
              <w:spacing w:after="0"/>
              <w:rPr>
                <w:bCs/>
                <w:i/>
                <w:iCs/>
                <w:color w:val="auto"/>
                <w:sz w:val="6"/>
                <w:szCs w:val="6"/>
              </w:rPr>
            </w:pPr>
          </w:p>
          <w:p w14:paraId="6943A350" w14:textId="77777777" w:rsidR="002C44F1" w:rsidRPr="00CA14EE" w:rsidRDefault="002C44F1" w:rsidP="002C44F1">
            <w:pPr>
              <w:spacing w:after="0"/>
              <w:rPr>
                <w:color w:val="auto"/>
                <w:sz w:val="6"/>
                <w:szCs w:val="6"/>
              </w:rPr>
            </w:pPr>
          </w:p>
        </w:tc>
      </w:tr>
      <w:bookmarkEnd w:id="3"/>
    </w:tbl>
    <w:p w14:paraId="019D6696" w14:textId="0E753FDE" w:rsidR="00381FC0" w:rsidRDefault="00381FC0" w:rsidP="00D05ADC">
      <w:pPr>
        <w:spacing w:after="0" w:line="120" w:lineRule="auto"/>
        <w:rPr>
          <w:color w:val="auto"/>
        </w:rPr>
      </w:pPr>
    </w:p>
    <w:tbl>
      <w:tblPr>
        <w:tblStyle w:val="TableGrid"/>
        <w:tblpPr w:leftFromText="180" w:rightFromText="180" w:vertAnchor="text" w:horzAnchor="margin" w:tblpY="38"/>
        <w:tblW w:w="962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584"/>
        <w:gridCol w:w="2040"/>
      </w:tblGrid>
      <w:tr w:rsidR="002C44F1" w:rsidRPr="00566BDC" w14:paraId="7BD7FCDF" w14:textId="77777777" w:rsidTr="002C44F1">
        <w:trPr>
          <w:trHeight w:val="506"/>
        </w:trPr>
        <w:tc>
          <w:tcPr>
            <w:tcW w:w="7584" w:type="dxa"/>
          </w:tcPr>
          <w:p w14:paraId="3F98E99B" w14:textId="77777777" w:rsidR="002C44F1" w:rsidRPr="00524FEE" w:rsidRDefault="002C44F1" w:rsidP="002C44F1">
            <w:pPr>
              <w:spacing w:after="0" w:line="240" w:lineRule="auto"/>
              <w:rPr>
                <w:b/>
                <w:color w:val="auto"/>
              </w:rPr>
            </w:pPr>
            <w:r>
              <w:rPr>
                <w:color w:val="auto"/>
              </w:rPr>
              <w:t>Leading for Excellence</w:t>
            </w:r>
          </w:p>
        </w:tc>
        <w:tc>
          <w:tcPr>
            <w:tcW w:w="2040" w:type="dxa"/>
          </w:tcPr>
          <w:p w14:paraId="6846B699" w14:textId="77777777" w:rsidR="002C44F1" w:rsidRPr="00F31E0E" w:rsidRDefault="002C44F1" w:rsidP="002C44F1">
            <w:pPr>
              <w:spacing w:after="0" w:line="240" w:lineRule="auto"/>
              <w:jc w:val="center"/>
              <w:rPr>
                <w:color w:val="auto"/>
                <w:sz w:val="24"/>
                <w:szCs w:val="24"/>
              </w:rPr>
            </w:pPr>
            <w:r>
              <w:rPr>
                <w:rFonts w:ascii="MS Gothic" w:eastAsia="MS Gothic" w:hAnsi="MS Gothic" w:hint="eastAsia"/>
                <w:color w:val="auto"/>
                <w:sz w:val="40"/>
                <w:szCs w:val="40"/>
              </w:rPr>
              <w:t>☒</w:t>
            </w:r>
          </w:p>
        </w:tc>
      </w:tr>
      <w:tr w:rsidR="002C44F1" w:rsidRPr="00566BDC" w14:paraId="2552CC42" w14:textId="77777777" w:rsidTr="002C44F1">
        <w:trPr>
          <w:trHeight w:val="489"/>
        </w:trPr>
        <w:tc>
          <w:tcPr>
            <w:tcW w:w="7584" w:type="dxa"/>
          </w:tcPr>
          <w:p w14:paraId="280CE96E" w14:textId="77777777" w:rsidR="002C44F1" w:rsidRDefault="002C44F1" w:rsidP="002C44F1">
            <w:pPr>
              <w:spacing w:after="0" w:line="240" w:lineRule="auto"/>
              <w:rPr>
                <w:color w:val="auto"/>
              </w:rPr>
            </w:pPr>
            <w:r>
              <w:rPr>
                <w:color w:val="auto"/>
              </w:rPr>
              <w:t>Leading for Prevention</w:t>
            </w:r>
          </w:p>
          <w:p w14:paraId="1263E287" w14:textId="77777777" w:rsidR="002C44F1" w:rsidRPr="00524FEE" w:rsidRDefault="002C44F1" w:rsidP="002C44F1">
            <w:pPr>
              <w:spacing w:after="0" w:line="240" w:lineRule="auto"/>
              <w:rPr>
                <w:b/>
                <w:color w:val="auto"/>
              </w:rPr>
            </w:pPr>
          </w:p>
        </w:tc>
        <w:tc>
          <w:tcPr>
            <w:tcW w:w="2040" w:type="dxa"/>
          </w:tcPr>
          <w:p w14:paraId="1CF6060C" w14:textId="77777777" w:rsidR="002C44F1" w:rsidRPr="00F31E0E" w:rsidRDefault="002C44F1" w:rsidP="002C44F1">
            <w:pPr>
              <w:spacing w:after="0" w:line="240" w:lineRule="auto"/>
              <w:jc w:val="center"/>
              <w:rPr>
                <w:color w:val="auto"/>
                <w:sz w:val="24"/>
                <w:szCs w:val="24"/>
              </w:rPr>
            </w:pPr>
            <w:r>
              <w:rPr>
                <w:rFonts w:ascii="MS Gothic" w:eastAsia="MS Gothic" w:hAnsi="MS Gothic" w:hint="eastAsia"/>
                <w:color w:val="auto"/>
                <w:sz w:val="40"/>
                <w:szCs w:val="40"/>
              </w:rPr>
              <w:t>☒</w:t>
            </w:r>
          </w:p>
        </w:tc>
      </w:tr>
      <w:tr w:rsidR="002C44F1" w:rsidRPr="00566BDC" w14:paraId="159DC42B" w14:textId="77777777" w:rsidTr="002C44F1">
        <w:trPr>
          <w:trHeight w:val="489"/>
        </w:trPr>
        <w:tc>
          <w:tcPr>
            <w:tcW w:w="7584" w:type="dxa"/>
          </w:tcPr>
          <w:p w14:paraId="7472C7E8" w14:textId="77777777" w:rsidR="002C44F1" w:rsidRDefault="002C44F1" w:rsidP="002C44F1">
            <w:pPr>
              <w:spacing w:after="0" w:line="240" w:lineRule="auto"/>
              <w:jc w:val="both"/>
              <w:rPr>
                <w:color w:val="auto"/>
              </w:rPr>
            </w:pPr>
            <w:r>
              <w:rPr>
                <w:color w:val="auto"/>
              </w:rPr>
              <w:t>Leading for Sustainability</w:t>
            </w:r>
          </w:p>
          <w:p w14:paraId="726BF781" w14:textId="77777777" w:rsidR="002C44F1" w:rsidRPr="00524FEE" w:rsidRDefault="002C44F1" w:rsidP="002C44F1">
            <w:pPr>
              <w:spacing w:after="0" w:line="240" w:lineRule="auto"/>
              <w:rPr>
                <w:b/>
                <w:color w:val="auto"/>
              </w:rPr>
            </w:pPr>
          </w:p>
        </w:tc>
        <w:tc>
          <w:tcPr>
            <w:tcW w:w="2040" w:type="dxa"/>
          </w:tcPr>
          <w:p w14:paraId="3303032E" w14:textId="77777777" w:rsidR="002C44F1" w:rsidRPr="00F31E0E" w:rsidRDefault="002C44F1" w:rsidP="002C44F1">
            <w:pPr>
              <w:spacing w:after="0" w:line="240" w:lineRule="auto"/>
              <w:jc w:val="center"/>
              <w:rPr>
                <w:color w:val="auto"/>
                <w:sz w:val="24"/>
                <w:szCs w:val="24"/>
              </w:rPr>
            </w:pPr>
            <w:r>
              <w:rPr>
                <w:rFonts w:ascii="MS Gothic" w:eastAsia="MS Gothic" w:hAnsi="MS Gothic" w:hint="eastAsia"/>
                <w:color w:val="auto"/>
                <w:sz w:val="40"/>
                <w:szCs w:val="40"/>
              </w:rPr>
              <w:t>☐</w:t>
            </w:r>
          </w:p>
        </w:tc>
      </w:tr>
      <w:tr w:rsidR="002C44F1" w:rsidRPr="00566BDC" w14:paraId="3326E050" w14:textId="77777777" w:rsidTr="002C44F1">
        <w:trPr>
          <w:trHeight w:val="489"/>
        </w:trPr>
        <w:tc>
          <w:tcPr>
            <w:tcW w:w="7584" w:type="dxa"/>
          </w:tcPr>
          <w:p w14:paraId="607B71E5" w14:textId="77777777" w:rsidR="002C44F1" w:rsidRDefault="002C44F1" w:rsidP="002C44F1">
            <w:pPr>
              <w:spacing w:after="0" w:line="240" w:lineRule="auto"/>
              <w:jc w:val="both"/>
              <w:rPr>
                <w:color w:val="auto"/>
              </w:rPr>
            </w:pPr>
            <w:r>
              <w:rPr>
                <w:color w:val="auto"/>
              </w:rPr>
              <w:t>Voice at the Heart</w:t>
            </w:r>
          </w:p>
        </w:tc>
        <w:tc>
          <w:tcPr>
            <w:tcW w:w="2040" w:type="dxa"/>
          </w:tcPr>
          <w:p w14:paraId="7ACD5AF2" w14:textId="77777777" w:rsidR="002C44F1" w:rsidRDefault="002C44F1" w:rsidP="002C44F1">
            <w:pPr>
              <w:spacing w:after="0" w:line="240" w:lineRule="auto"/>
              <w:jc w:val="center"/>
              <w:rPr>
                <w:color w:val="auto"/>
                <w:sz w:val="40"/>
                <w:szCs w:val="40"/>
              </w:rPr>
            </w:pPr>
            <w:r>
              <w:rPr>
                <w:rFonts w:ascii="MS Gothic" w:eastAsia="MS Gothic" w:hAnsi="MS Gothic" w:hint="eastAsia"/>
                <w:color w:val="auto"/>
                <w:sz w:val="40"/>
                <w:szCs w:val="40"/>
              </w:rPr>
              <w:t>☐</w:t>
            </w:r>
          </w:p>
        </w:tc>
      </w:tr>
    </w:tbl>
    <w:p w14:paraId="1AD82938" w14:textId="77777777" w:rsidR="002C44F1" w:rsidRDefault="002C44F1" w:rsidP="00D05ADC">
      <w:pPr>
        <w:spacing w:after="0" w:line="120" w:lineRule="auto"/>
        <w:rPr>
          <w:color w:val="auto"/>
        </w:rPr>
      </w:pPr>
    </w:p>
    <w:p w14:paraId="6D2D6112" w14:textId="77777777" w:rsidR="002C44F1" w:rsidRDefault="002C44F1"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C44F1" w14:paraId="13D1C37D" w14:textId="77777777" w:rsidTr="002C44F1">
        <w:tc>
          <w:tcPr>
            <w:tcW w:w="9628" w:type="dxa"/>
            <w:shd w:val="clear" w:color="auto" w:fill="D9D9D9" w:themeFill="background1" w:themeFillShade="D9"/>
          </w:tcPr>
          <w:p w14:paraId="29A3D49E" w14:textId="77777777" w:rsidR="002C44F1" w:rsidRDefault="002C44F1" w:rsidP="002C44F1">
            <w:pPr>
              <w:spacing w:after="0" w:line="240" w:lineRule="auto"/>
              <w:rPr>
                <w:b/>
                <w:bCs/>
                <w:color w:val="auto"/>
                <w:sz w:val="24"/>
                <w:szCs w:val="24"/>
              </w:rPr>
            </w:pPr>
            <w:r>
              <w:rPr>
                <w:b/>
                <w:bCs/>
                <w:color w:val="auto"/>
                <w:sz w:val="24"/>
                <w:szCs w:val="24"/>
              </w:rPr>
              <w:t>IMPLICATIONS</w:t>
            </w:r>
          </w:p>
          <w:p w14:paraId="4F0F2A2C" w14:textId="2E6810CE" w:rsidR="002C44F1" w:rsidRPr="002C44F1" w:rsidRDefault="002C44F1" w:rsidP="002C44F1">
            <w:pPr>
              <w:spacing w:after="0" w:line="240" w:lineRule="auto"/>
              <w:rPr>
                <w:b/>
                <w:bCs/>
                <w:color w:val="auto"/>
                <w:sz w:val="24"/>
                <w:szCs w:val="24"/>
              </w:rPr>
            </w:pPr>
          </w:p>
        </w:tc>
      </w:tr>
    </w:tbl>
    <w:p w14:paraId="5B50ABBC" w14:textId="77777777" w:rsidR="002C44F1" w:rsidRDefault="002C44F1" w:rsidP="00D05ADC">
      <w:pPr>
        <w:spacing w:after="0" w:line="120" w:lineRule="auto"/>
        <w:rPr>
          <w:color w:val="auto"/>
        </w:rPr>
      </w:pPr>
    </w:p>
    <w:tbl>
      <w:tblPr>
        <w:tblStyle w:val="TableGrid"/>
        <w:tblpPr w:leftFromText="180" w:rightFromText="180" w:vertAnchor="page" w:horzAnchor="margin" w:tblpY="4771"/>
        <w:tblOverlap w:val="never"/>
        <w:tblW w:w="9624" w:type="dxa"/>
        <w:tblLayout w:type="fixed"/>
        <w:tblLook w:val="04A0" w:firstRow="1" w:lastRow="0" w:firstColumn="1" w:lastColumn="0" w:noHBand="0" w:noVBand="1"/>
      </w:tblPr>
      <w:tblGrid>
        <w:gridCol w:w="2904"/>
        <w:gridCol w:w="6720"/>
      </w:tblGrid>
      <w:tr w:rsidR="002C44F1" w:rsidRPr="00566BDC" w14:paraId="1FE2B58D" w14:textId="77777777" w:rsidTr="002C44F1">
        <w:tc>
          <w:tcPr>
            <w:tcW w:w="2904" w:type="dxa"/>
            <w:tcBorders>
              <w:top w:val="double" w:sz="4" w:space="0" w:color="auto"/>
              <w:left w:val="double" w:sz="4" w:space="0" w:color="auto"/>
              <w:bottom w:val="single" w:sz="4" w:space="0" w:color="auto"/>
              <w:right w:val="single" w:sz="4" w:space="0" w:color="auto"/>
            </w:tcBorders>
          </w:tcPr>
          <w:p w14:paraId="632D9C45" w14:textId="77777777" w:rsidR="002C44F1" w:rsidRPr="00566BDC" w:rsidRDefault="002C44F1" w:rsidP="002C44F1">
            <w:pPr>
              <w:spacing w:after="0" w:line="240" w:lineRule="auto"/>
              <w:rPr>
                <w:b/>
                <w:color w:val="auto"/>
              </w:rPr>
            </w:pPr>
            <w:r w:rsidRPr="00566BDC">
              <w:rPr>
                <w:color w:val="auto"/>
              </w:rPr>
              <w:t>Finance</w:t>
            </w:r>
          </w:p>
        </w:tc>
        <w:tc>
          <w:tcPr>
            <w:tcW w:w="6720" w:type="dxa"/>
            <w:tcBorders>
              <w:top w:val="double" w:sz="4" w:space="0" w:color="auto"/>
              <w:left w:val="single" w:sz="4" w:space="0" w:color="auto"/>
              <w:bottom w:val="single" w:sz="4" w:space="0" w:color="auto"/>
              <w:right w:val="double" w:sz="4" w:space="0" w:color="auto"/>
            </w:tcBorders>
          </w:tcPr>
          <w:p w14:paraId="67D0E4C5" w14:textId="77777777" w:rsidR="002C44F1" w:rsidRPr="00262604" w:rsidRDefault="002C44F1" w:rsidP="002C44F1">
            <w:pPr>
              <w:tabs>
                <w:tab w:val="left" w:pos="5540"/>
              </w:tabs>
              <w:spacing w:after="0" w:line="240" w:lineRule="auto"/>
              <w:rPr>
                <w:bCs/>
                <w:color w:val="auto"/>
              </w:rPr>
            </w:pPr>
            <w:r w:rsidRPr="00262604">
              <w:rPr>
                <w:bCs/>
                <w:color w:val="auto"/>
              </w:rPr>
              <w:t xml:space="preserve">There may be financial implications for the ICB due to some of the additional requirements in the new DSPT. </w:t>
            </w:r>
            <w:r w:rsidRPr="00262604">
              <w:rPr>
                <w:bCs/>
                <w:color w:val="auto"/>
              </w:rPr>
              <w:tab/>
            </w:r>
          </w:p>
          <w:p w14:paraId="53E5545F" w14:textId="77777777" w:rsidR="002C44F1" w:rsidRPr="00566BDC" w:rsidRDefault="002C44F1" w:rsidP="002C44F1">
            <w:pPr>
              <w:spacing w:after="0" w:line="240" w:lineRule="auto"/>
              <w:rPr>
                <w:b/>
                <w:color w:val="auto"/>
              </w:rPr>
            </w:pPr>
          </w:p>
        </w:tc>
      </w:tr>
      <w:tr w:rsidR="002C44F1" w:rsidRPr="00566BDC" w14:paraId="22BFEB32" w14:textId="77777777" w:rsidTr="002C44F1">
        <w:tc>
          <w:tcPr>
            <w:tcW w:w="2904" w:type="dxa"/>
            <w:tcBorders>
              <w:top w:val="single" w:sz="4" w:space="0" w:color="auto"/>
              <w:left w:val="double" w:sz="4" w:space="0" w:color="auto"/>
              <w:bottom w:val="single" w:sz="4" w:space="0" w:color="auto"/>
              <w:right w:val="single" w:sz="4" w:space="0" w:color="auto"/>
            </w:tcBorders>
          </w:tcPr>
          <w:p w14:paraId="575BB16C" w14:textId="77777777" w:rsidR="002C44F1" w:rsidRPr="00566BDC" w:rsidRDefault="002C44F1" w:rsidP="002C44F1">
            <w:pPr>
              <w:spacing w:after="0" w:line="240" w:lineRule="auto"/>
              <w:rPr>
                <w:color w:val="auto"/>
              </w:rPr>
            </w:pPr>
            <w:r w:rsidRPr="00566BDC">
              <w:rPr>
                <w:color w:val="auto"/>
              </w:rPr>
              <w:t>Quality</w:t>
            </w:r>
          </w:p>
        </w:tc>
        <w:tc>
          <w:tcPr>
            <w:tcW w:w="6720" w:type="dxa"/>
            <w:tcBorders>
              <w:top w:val="single" w:sz="4" w:space="0" w:color="auto"/>
              <w:left w:val="single" w:sz="4" w:space="0" w:color="auto"/>
              <w:bottom w:val="single" w:sz="4" w:space="0" w:color="auto"/>
              <w:right w:val="double" w:sz="4" w:space="0" w:color="auto"/>
            </w:tcBorders>
          </w:tcPr>
          <w:p w14:paraId="73B255D9" w14:textId="77777777" w:rsidR="002C44F1" w:rsidRPr="00185AA9" w:rsidRDefault="002C44F1" w:rsidP="002C44F1">
            <w:pPr>
              <w:spacing w:after="0" w:line="240" w:lineRule="auto"/>
              <w:rPr>
                <w:b/>
                <w:color w:val="auto"/>
              </w:rPr>
            </w:pPr>
            <w:r w:rsidRPr="00185AA9">
              <w:rPr>
                <w:color w:val="auto"/>
              </w:rPr>
              <w:t>No adverse implications identified.</w:t>
            </w:r>
          </w:p>
          <w:p w14:paraId="1B9448F7" w14:textId="77777777" w:rsidR="002C44F1" w:rsidRPr="00185AA9" w:rsidRDefault="002C44F1" w:rsidP="002C44F1">
            <w:pPr>
              <w:spacing w:after="0" w:line="240" w:lineRule="auto"/>
              <w:rPr>
                <w:b/>
                <w:color w:val="auto"/>
              </w:rPr>
            </w:pPr>
          </w:p>
        </w:tc>
      </w:tr>
      <w:tr w:rsidR="002C44F1" w:rsidRPr="00566BDC" w14:paraId="5BD8562D" w14:textId="77777777" w:rsidTr="002C44F1">
        <w:tc>
          <w:tcPr>
            <w:tcW w:w="2904" w:type="dxa"/>
            <w:tcBorders>
              <w:top w:val="single" w:sz="4" w:space="0" w:color="auto"/>
              <w:left w:val="double" w:sz="4" w:space="0" w:color="auto"/>
              <w:bottom w:val="single" w:sz="4" w:space="0" w:color="auto"/>
              <w:right w:val="single" w:sz="4" w:space="0" w:color="auto"/>
            </w:tcBorders>
          </w:tcPr>
          <w:p w14:paraId="37AEB13C" w14:textId="77777777" w:rsidR="002C44F1" w:rsidRDefault="002C44F1" w:rsidP="002C44F1">
            <w:pPr>
              <w:spacing w:after="0" w:line="240" w:lineRule="auto"/>
              <w:rPr>
                <w:color w:val="auto"/>
              </w:rPr>
            </w:pPr>
            <w:r w:rsidRPr="00566BDC">
              <w:rPr>
                <w:color w:val="auto"/>
              </w:rPr>
              <w:t>HR</w:t>
            </w:r>
          </w:p>
          <w:p w14:paraId="43D21CFE" w14:textId="77777777" w:rsidR="002C44F1" w:rsidRPr="00566BDC" w:rsidRDefault="002C44F1" w:rsidP="002C44F1">
            <w:pPr>
              <w:spacing w:after="0" w:line="240" w:lineRule="auto"/>
              <w:rPr>
                <w:b/>
                <w:color w:val="auto"/>
              </w:rPr>
            </w:pPr>
          </w:p>
        </w:tc>
        <w:tc>
          <w:tcPr>
            <w:tcW w:w="6720" w:type="dxa"/>
            <w:tcBorders>
              <w:top w:val="single" w:sz="4" w:space="0" w:color="auto"/>
              <w:left w:val="single" w:sz="4" w:space="0" w:color="auto"/>
              <w:bottom w:val="single" w:sz="4" w:space="0" w:color="auto"/>
              <w:right w:val="double" w:sz="4" w:space="0" w:color="auto"/>
            </w:tcBorders>
          </w:tcPr>
          <w:p w14:paraId="6EAF2013" w14:textId="77777777" w:rsidR="002C44F1" w:rsidRPr="00185AA9" w:rsidRDefault="002C44F1" w:rsidP="002C44F1">
            <w:pPr>
              <w:spacing w:after="0" w:line="240" w:lineRule="auto"/>
              <w:rPr>
                <w:b/>
                <w:color w:val="auto"/>
              </w:rPr>
            </w:pPr>
            <w:r w:rsidRPr="00185AA9">
              <w:rPr>
                <w:color w:val="auto"/>
              </w:rPr>
              <w:t>No adverse implications identified.</w:t>
            </w:r>
          </w:p>
          <w:p w14:paraId="4F6E7702" w14:textId="77777777" w:rsidR="002C44F1" w:rsidRPr="00185AA9" w:rsidRDefault="002C44F1" w:rsidP="002C44F1">
            <w:pPr>
              <w:spacing w:after="0" w:line="240" w:lineRule="auto"/>
              <w:rPr>
                <w:b/>
                <w:color w:val="auto"/>
              </w:rPr>
            </w:pPr>
          </w:p>
        </w:tc>
      </w:tr>
      <w:tr w:rsidR="002C44F1" w:rsidRPr="00566BDC" w14:paraId="1B4027CD" w14:textId="77777777" w:rsidTr="002C44F1">
        <w:tc>
          <w:tcPr>
            <w:tcW w:w="2904" w:type="dxa"/>
            <w:tcBorders>
              <w:top w:val="single" w:sz="4" w:space="0" w:color="auto"/>
              <w:left w:val="double" w:sz="4" w:space="0" w:color="auto"/>
              <w:bottom w:val="single" w:sz="4" w:space="0" w:color="auto"/>
              <w:right w:val="single" w:sz="4" w:space="0" w:color="auto"/>
            </w:tcBorders>
          </w:tcPr>
          <w:p w14:paraId="156EDD02" w14:textId="77777777" w:rsidR="002C44F1" w:rsidRDefault="002C44F1" w:rsidP="002C44F1">
            <w:pPr>
              <w:spacing w:after="0" w:line="240" w:lineRule="auto"/>
              <w:rPr>
                <w:color w:val="auto"/>
              </w:rPr>
            </w:pPr>
            <w:r>
              <w:rPr>
                <w:color w:val="auto"/>
              </w:rPr>
              <w:t>Legal / Regulatory</w:t>
            </w:r>
          </w:p>
        </w:tc>
        <w:tc>
          <w:tcPr>
            <w:tcW w:w="6720" w:type="dxa"/>
            <w:tcBorders>
              <w:top w:val="single" w:sz="4" w:space="0" w:color="auto"/>
              <w:left w:val="single" w:sz="4" w:space="0" w:color="auto"/>
              <w:bottom w:val="single" w:sz="4" w:space="0" w:color="auto"/>
              <w:right w:val="double" w:sz="4" w:space="0" w:color="auto"/>
            </w:tcBorders>
          </w:tcPr>
          <w:p w14:paraId="59215557" w14:textId="77777777" w:rsidR="002C44F1" w:rsidRPr="0034297B" w:rsidRDefault="002C44F1" w:rsidP="002C44F1">
            <w:pPr>
              <w:spacing w:after="0" w:line="240" w:lineRule="auto"/>
              <w:rPr>
                <w:bCs/>
                <w:color w:val="auto"/>
              </w:rPr>
            </w:pPr>
            <w:r w:rsidRPr="0034297B">
              <w:rPr>
                <w:bCs/>
                <w:color w:val="auto"/>
              </w:rPr>
              <w:t>All organisations that have access to NHS patient data and systems must use the data security &amp; protection toolkit to provide assurance that they are practising good data security and that personal information is handled correctly.</w:t>
            </w:r>
          </w:p>
          <w:p w14:paraId="6ED3CC9C" w14:textId="77777777" w:rsidR="002C44F1" w:rsidRPr="0034297B" w:rsidRDefault="002C44F1" w:rsidP="002C44F1">
            <w:pPr>
              <w:spacing w:after="0" w:line="240" w:lineRule="auto"/>
              <w:rPr>
                <w:bCs/>
                <w:color w:val="auto"/>
              </w:rPr>
            </w:pPr>
          </w:p>
          <w:p w14:paraId="4E5D6CFD" w14:textId="77777777" w:rsidR="002C44F1" w:rsidRPr="0034297B" w:rsidRDefault="002C44F1" w:rsidP="002C44F1">
            <w:pPr>
              <w:spacing w:after="0" w:line="240" w:lineRule="auto"/>
              <w:rPr>
                <w:bCs/>
                <w:color w:val="auto"/>
              </w:rPr>
            </w:pPr>
            <w:r w:rsidRPr="0034297B">
              <w:rPr>
                <w:bCs/>
                <w:color w:val="auto"/>
              </w:rPr>
              <w:t>Independent Providers who have been designated Operators of Essential Service and IT Suppliers must ensure that their audit provider follows the mandated scope which for this year is set out in the DSPT Independent Assessment Guide.</w:t>
            </w:r>
          </w:p>
          <w:p w14:paraId="712B0A89" w14:textId="77777777" w:rsidR="002C44F1" w:rsidRPr="00566BDC" w:rsidRDefault="002C44F1" w:rsidP="002C44F1">
            <w:pPr>
              <w:spacing w:after="0" w:line="240" w:lineRule="auto"/>
              <w:rPr>
                <w:b/>
                <w:color w:val="auto"/>
              </w:rPr>
            </w:pPr>
          </w:p>
        </w:tc>
      </w:tr>
      <w:tr w:rsidR="002C44F1" w:rsidRPr="00566BDC" w14:paraId="0A99FCB1" w14:textId="77777777" w:rsidTr="002C44F1">
        <w:tc>
          <w:tcPr>
            <w:tcW w:w="2904" w:type="dxa"/>
            <w:tcBorders>
              <w:top w:val="single" w:sz="4" w:space="0" w:color="auto"/>
              <w:left w:val="double" w:sz="4" w:space="0" w:color="auto"/>
              <w:bottom w:val="single" w:sz="4" w:space="0" w:color="auto"/>
              <w:right w:val="single" w:sz="4" w:space="0" w:color="auto"/>
            </w:tcBorders>
          </w:tcPr>
          <w:p w14:paraId="0743AB08" w14:textId="77777777" w:rsidR="002C44F1" w:rsidRDefault="002C44F1" w:rsidP="002C44F1">
            <w:pPr>
              <w:spacing w:after="0" w:line="240" w:lineRule="auto"/>
              <w:rPr>
                <w:color w:val="auto"/>
              </w:rPr>
            </w:pPr>
            <w:r>
              <w:rPr>
                <w:color w:val="auto"/>
              </w:rPr>
              <w:t>Data Protection / IG</w:t>
            </w:r>
          </w:p>
          <w:p w14:paraId="4A05174A" w14:textId="77777777" w:rsidR="002C44F1" w:rsidRPr="00566BDC" w:rsidRDefault="002C44F1" w:rsidP="002C44F1">
            <w:pPr>
              <w:spacing w:after="0" w:line="240" w:lineRule="auto"/>
              <w:rPr>
                <w:color w:val="auto"/>
              </w:rPr>
            </w:pPr>
          </w:p>
        </w:tc>
        <w:tc>
          <w:tcPr>
            <w:tcW w:w="6720" w:type="dxa"/>
            <w:tcBorders>
              <w:top w:val="single" w:sz="4" w:space="0" w:color="auto"/>
              <w:left w:val="single" w:sz="4" w:space="0" w:color="auto"/>
              <w:bottom w:val="single" w:sz="4" w:space="0" w:color="auto"/>
              <w:right w:val="double" w:sz="4" w:space="0" w:color="auto"/>
            </w:tcBorders>
          </w:tcPr>
          <w:p w14:paraId="405B535D" w14:textId="77777777" w:rsidR="002C44F1" w:rsidRPr="00185AA9" w:rsidRDefault="002C44F1" w:rsidP="002C44F1">
            <w:pPr>
              <w:spacing w:after="0" w:line="240" w:lineRule="auto"/>
              <w:rPr>
                <w:bCs/>
                <w:color w:val="auto"/>
              </w:rPr>
            </w:pPr>
            <w:r w:rsidRPr="00185AA9">
              <w:rPr>
                <w:bCs/>
                <w:color w:val="auto"/>
              </w:rPr>
              <w:t xml:space="preserve">As above. </w:t>
            </w:r>
          </w:p>
        </w:tc>
      </w:tr>
      <w:tr w:rsidR="002C44F1" w:rsidRPr="00566BDC" w14:paraId="46F993BB" w14:textId="77777777" w:rsidTr="002C44F1">
        <w:tc>
          <w:tcPr>
            <w:tcW w:w="2904" w:type="dxa"/>
            <w:tcBorders>
              <w:top w:val="single" w:sz="4" w:space="0" w:color="auto"/>
              <w:left w:val="double" w:sz="4" w:space="0" w:color="auto"/>
              <w:bottom w:val="single" w:sz="4" w:space="0" w:color="auto"/>
              <w:right w:val="single" w:sz="4" w:space="0" w:color="auto"/>
            </w:tcBorders>
          </w:tcPr>
          <w:p w14:paraId="507FC6FA" w14:textId="77777777" w:rsidR="002C44F1" w:rsidRPr="00566BDC" w:rsidRDefault="002C44F1" w:rsidP="002C44F1">
            <w:pPr>
              <w:spacing w:after="0" w:line="240" w:lineRule="auto"/>
              <w:rPr>
                <w:b/>
                <w:color w:val="auto"/>
              </w:rPr>
            </w:pPr>
            <w:r>
              <w:rPr>
                <w:color w:val="auto"/>
              </w:rPr>
              <w:t>Health inequality / equality</w:t>
            </w:r>
          </w:p>
        </w:tc>
        <w:tc>
          <w:tcPr>
            <w:tcW w:w="6720" w:type="dxa"/>
            <w:tcBorders>
              <w:top w:val="single" w:sz="4" w:space="0" w:color="auto"/>
              <w:left w:val="single" w:sz="4" w:space="0" w:color="auto"/>
              <w:bottom w:val="single" w:sz="4" w:space="0" w:color="auto"/>
              <w:right w:val="double" w:sz="4" w:space="0" w:color="auto"/>
            </w:tcBorders>
          </w:tcPr>
          <w:p w14:paraId="510132E5" w14:textId="77777777" w:rsidR="002C44F1" w:rsidRPr="00185AA9" w:rsidRDefault="002C44F1" w:rsidP="002C44F1">
            <w:pPr>
              <w:spacing w:after="0" w:line="240" w:lineRule="auto"/>
              <w:rPr>
                <w:b/>
                <w:color w:val="auto"/>
              </w:rPr>
            </w:pPr>
            <w:r w:rsidRPr="00185AA9">
              <w:rPr>
                <w:color w:val="auto"/>
              </w:rPr>
              <w:t>No adverse implications identified.</w:t>
            </w:r>
          </w:p>
          <w:p w14:paraId="360A5F5F" w14:textId="77777777" w:rsidR="002C44F1" w:rsidRPr="00185AA9" w:rsidRDefault="002C44F1" w:rsidP="002C44F1">
            <w:pPr>
              <w:spacing w:after="0" w:line="240" w:lineRule="auto"/>
              <w:rPr>
                <w:b/>
                <w:color w:val="auto"/>
              </w:rPr>
            </w:pPr>
          </w:p>
        </w:tc>
      </w:tr>
      <w:tr w:rsidR="002C44F1" w:rsidRPr="00566BDC" w14:paraId="55F45E3D" w14:textId="77777777" w:rsidTr="002C44F1">
        <w:tc>
          <w:tcPr>
            <w:tcW w:w="2904" w:type="dxa"/>
            <w:tcBorders>
              <w:top w:val="single" w:sz="4" w:space="0" w:color="auto"/>
              <w:left w:val="double" w:sz="4" w:space="0" w:color="auto"/>
              <w:bottom w:val="single" w:sz="4" w:space="0" w:color="auto"/>
              <w:right w:val="single" w:sz="4" w:space="0" w:color="auto"/>
            </w:tcBorders>
          </w:tcPr>
          <w:p w14:paraId="6FA54D10" w14:textId="77777777" w:rsidR="002C44F1" w:rsidRDefault="002C44F1" w:rsidP="002C44F1">
            <w:pPr>
              <w:spacing w:after="0" w:line="240" w:lineRule="auto"/>
              <w:rPr>
                <w:color w:val="auto"/>
              </w:rPr>
            </w:pPr>
            <w:r>
              <w:rPr>
                <w:color w:val="auto"/>
              </w:rPr>
              <w:t>Conflict of Interest Aspects</w:t>
            </w:r>
          </w:p>
          <w:p w14:paraId="338A60BD" w14:textId="77777777" w:rsidR="002C44F1" w:rsidRDefault="002C44F1" w:rsidP="002C44F1">
            <w:pPr>
              <w:spacing w:after="0" w:line="240" w:lineRule="auto"/>
              <w:rPr>
                <w:color w:val="auto"/>
              </w:rPr>
            </w:pPr>
          </w:p>
        </w:tc>
        <w:tc>
          <w:tcPr>
            <w:tcW w:w="6720" w:type="dxa"/>
            <w:tcBorders>
              <w:top w:val="single" w:sz="4" w:space="0" w:color="auto"/>
              <w:left w:val="single" w:sz="4" w:space="0" w:color="auto"/>
              <w:bottom w:val="single" w:sz="4" w:space="0" w:color="auto"/>
              <w:right w:val="double" w:sz="4" w:space="0" w:color="auto"/>
            </w:tcBorders>
          </w:tcPr>
          <w:p w14:paraId="5EAE0B4C" w14:textId="77777777" w:rsidR="002C44F1" w:rsidRPr="00185AA9" w:rsidRDefault="002C44F1" w:rsidP="002C44F1">
            <w:pPr>
              <w:spacing w:after="0" w:line="240" w:lineRule="auto"/>
              <w:rPr>
                <w:b/>
                <w:color w:val="auto"/>
              </w:rPr>
            </w:pPr>
            <w:r w:rsidRPr="00185AA9">
              <w:rPr>
                <w:color w:val="auto"/>
              </w:rPr>
              <w:t>No adverse implications identified.</w:t>
            </w:r>
          </w:p>
        </w:tc>
      </w:tr>
      <w:tr w:rsidR="002C44F1" w:rsidRPr="00566BDC" w14:paraId="222E3E47" w14:textId="77777777" w:rsidTr="002C44F1">
        <w:tc>
          <w:tcPr>
            <w:tcW w:w="2904" w:type="dxa"/>
            <w:tcBorders>
              <w:top w:val="single" w:sz="4" w:space="0" w:color="auto"/>
              <w:left w:val="double" w:sz="4" w:space="0" w:color="auto"/>
              <w:bottom w:val="double" w:sz="4" w:space="0" w:color="auto"/>
              <w:right w:val="single" w:sz="4" w:space="0" w:color="auto"/>
            </w:tcBorders>
          </w:tcPr>
          <w:p w14:paraId="1AD03F20" w14:textId="77777777" w:rsidR="002C44F1" w:rsidRDefault="002C44F1" w:rsidP="002C44F1">
            <w:pPr>
              <w:spacing w:after="0" w:line="240" w:lineRule="auto"/>
              <w:rPr>
                <w:color w:val="auto"/>
              </w:rPr>
            </w:pPr>
            <w:r>
              <w:rPr>
                <w:color w:val="auto"/>
              </w:rPr>
              <w:t>Sustainability</w:t>
            </w:r>
          </w:p>
          <w:p w14:paraId="421276DB" w14:textId="77777777" w:rsidR="002C44F1" w:rsidRPr="00566BDC" w:rsidRDefault="002C44F1" w:rsidP="002C44F1">
            <w:pPr>
              <w:spacing w:after="0" w:line="240" w:lineRule="auto"/>
              <w:rPr>
                <w:b/>
                <w:color w:val="auto"/>
              </w:rPr>
            </w:pPr>
          </w:p>
        </w:tc>
        <w:tc>
          <w:tcPr>
            <w:tcW w:w="6720" w:type="dxa"/>
            <w:tcBorders>
              <w:top w:val="single" w:sz="4" w:space="0" w:color="auto"/>
              <w:left w:val="single" w:sz="4" w:space="0" w:color="auto"/>
              <w:bottom w:val="double" w:sz="4" w:space="0" w:color="auto"/>
              <w:right w:val="double" w:sz="4" w:space="0" w:color="auto"/>
            </w:tcBorders>
          </w:tcPr>
          <w:p w14:paraId="59668D4B" w14:textId="77777777" w:rsidR="002C44F1" w:rsidRPr="00185AA9" w:rsidRDefault="002C44F1" w:rsidP="002C44F1">
            <w:pPr>
              <w:spacing w:after="0" w:line="240" w:lineRule="auto"/>
              <w:rPr>
                <w:b/>
                <w:color w:val="auto"/>
              </w:rPr>
            </w:pPr>
            <w:r w:rsidRPr="00185AA9">
              <w:rPr>
                <w:color w:val="auto"/>
              </w:rPr>
              <w:t>No adverse implications identified.</w:t>
            </w:r>
          </w:p>
          <w:p w14:paraId="4E475900" w14:textId="77777777" w:rsidR="002C44F1" w:rsidRPr="00185AA9" w:rsidRDefault="002C44F1" w:rsidP="002C44F1">
            <w:pPr>
              <w:spacing w:after="0" w:line="240" w:lineRule="auto"/>
              <w:rPr>
                <w:b/>
                <w:color w:val="auto"/>
              </w:rPr>
            </w:pPr>
          </w:p>
        </w:tc>
      </w:tr>
    </w:tbl>
    <w:p w14:paraId="4BDE9CC9" w14:textId="77777777" w:rsidR="002C44F1" w:rsidRDefault="002C44F1" w:rsidP="00D05ADC">
      <w:pPr>
        <w:spacing w:after="0" w:line="120" w:lineRule="auto"/>
        <w:rPr>
          <w:color w:val="auto"/>
        </w:rPr>
      </w:pPr>
    </w:p>
    <w:tbl>
      <w:tblPr>
        <w:tblStyle w:val="TableGrid"/>
        <w:tblpPr w:leftFromText="180" w:rightFromText="180" w:vertAnchor="text" w:horzAnchor="margin" w:tblpY="-9"/>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2C44F1" w:rsidRPr="00566BDC" w14:paraId="51E83556" w14:textId="77777777" w:rsidTr="002C44F1">
        <w:tc>
          <w:tcPr>
            <w:tcW w:w="9608" w:type="dxa"/>
          </w:tcPr>
          <w:p w14:paraId="597C66DC" w14:textId="77777777" w:rsidR="002C44F1" w:rsidRPr="00566BDC" w:rsidRDefault="002C44F1" w:rsidP="002C44F1">
            <w:pPr>
              <w:spacing w:after="0" w:line="240" w:lineRule="auto"/>
              <w:rPr>
                <w:b/>
                <w:color w:val="auto"/>
              </w:rPr>
            </w:pPr>
            <w:bookmarkStart w:id="4" w:name="_Hlk106134678"/>
          </w:p>
          <w:p w14:paraId="1482E8E8" w14:textId="77777777" w:rsidR="002C44F1" w:rsidRDefault="002C44F1" w:rsidP="002C44F1">
            <w:pPr>
              <w:spacing w:after="0" w:line="240" w:lineRule="auto"/>
              <w:rPr>
                <w:color w:val="auto"/>
                <w:sz w:val="20"/>
                <w:szCs w:val="20"/>
              </w:rPr>
            </w:pPr>
            <w:r>
              <w:rPr>
                <w:b/>
                <w:color w:val="auto"/>
              </w:rPr>
              <w:t>ASSESSED RISK</w:t>
            </w:r>
            <w:r w:rsidRPr="00566BDC">
              <w:rPr>
                <w:b/>
                <w:color w:val="auto"/>
              </w:rPr>
              <w:t>:</w:t>
            </w:r>
            <w:r w:rsidRPr="00566BDC">
              <w:rPr>
                <w:color w:val="auto"/>
              </w:rPr>
              <w:t xml:space="preserve"> </w:t>
            </w:r>
            <w:r>
              <w:rPr>
                <w:color w:val="auto"/>
                <w:sz w:val="20"/>
                <w:szCs w:val="20"/>
              </w:rPr>
              <w:t>Risks associated with failure to meet the standards of the DSPT:</w:t>
            </w:r>
          </w:p>
          <w:p w14:paraId="7D2DBDBB" w14:textId="77777777" w:rsidR="002C44F1" w:rsidRDefault="002C44F1" w:rsidP="002C44F1">
            <w:pPr>
              <w:spacing w:after="0" w:line="240" w:lineRule="auto"/>
              <w:rPr>
                <w:color w:val="auto"/>
                <w:sz w:val="20"/>
                <w:szCs w:val="20"/>
              </w:rPr>
            </w:pPr>
          </w:p>
          <w:p w14:paraId="5ED4AAA3" w14:textId="77777777" w:rsidR="002C44F1" w:rsidRPr="0039551A" w:rsidRDefault="002C44F1" w:rsidP="002C44F1">
            <w:pPr>
              <w:pStyle w:val="ListParagraph"/>
              <w:numPr>
                <w:ilvl w:val="0"/>
                <w:numId w:val="8"/>
              </w:numPr>
              <w:spacing w:before="200" w:line="240" w:lineRule="auto"/>
              <w:ind w:left="447"/>
              <w:rPr>
                <w:color w:val="auto"/>
              </w:rPr>
            </w:pPr>
            <w:r w:rsidRPr="0039551A">
              <w:rPr>
                <w:color w:val="auto"/>
              </w:rPr>
              <w:t>a removal of services (e.g. ICB not achieving could mean the ICB not receiving national data flows)</w:t>
            </w:r>
          </w:p>
          <w:p w14:paraId="1FA32B39" w14:textId="77777777" w:rsidR="002C44F1" w:rsidRPr="0039551A" w:rsidRDefault="002C44F1" w:rsidP="002C44F1">
            <w:pPr>
              <w:pStyle w:val="ListParagraph"/>
              <w:numPr>
                <w:ilvl w:val="0"/>
                <w:numId w:val="8"/>
              </w:numPr>
              <w:spacing w:before="200" w:line="240" w:lineRule="auto"/>
              <w:ind w:left="447"/>
              <w:rPr>
                <w:color w:val="auto"/>
              </w:rPr>
            </w:pPr>
            <w:r w:rsidRPr="0039551A">
              <w:rPr>
                <w:color w:val="auto"/>
              </w:rPr>
              <w:t xml:space="preserve">Increased risk of financial impact/reputational damage in the event of an ICO reportable incident, as the ICO will </w:t>
            </w:r>
            <w:proofErr w:type="gramStart"/>
            <w:r w:rsidRPr="0039551A">
              <w:rPr>
                <w:color w:val="auto"/>
              </w:rPr>
              <w:t>take into account</w:t>
            </w:r>
            <w:proofErr w:type="gramEnd"/>
            <w:r w:rsidRPr="0039551A">
              <w:rPr>
                <w:color w:val="auto"/>
              </w:rPr>
              <w:t xml:space="preserve"> any non-compliance with DSPT as part of its assessment of a breach </w:t>
            </w:r>
          </w:p>
          <w:p w14:paraId="51BDF4C9" w14:textId="77777777" w:rsidR="002C44F1" w:rsidRPr="0039551A" w:rsidRDefault="002C44F1" w:rsidP="002C44F1">
            <w:pPr>
              <w:pStyle w:val="ListParagraph"/>
              <w:numPr>
                <w:ilvl w:val="0"/>
                <w:numId w:val="8"/>
              </w:numPr>
              <w:spacing w:before="200" w:line="240" w:lineRule="auto"/>
              <w:ind w:left="447"/>
              <w:rPr>
                <w:color w:val="auto"/>
              </w:rPr>
            </w:pPr>
            <w:r w:rsidRPr="0039551A">
              <w:rPr>
                <w:color w:val="auto"/>
              </w:rPr>
              <w:t>breach of contracts/ data sharing agreements where we have confirmed DSPT standards are met.</w:t>
            </w:r>
          </w:p>
          <w:p w14:paraId="7F649D01" w14:textId="77777777" w:rsidR="002C44F1" w:rsidRPr="00566BDC" w:rsidRDefault="002C44F1" w:rsidP="002C44F1">
            <w:pPr>
              <w:spacing w:after="0" w:line="240" w:lineRule="auto"/>
              <w:rPr>
                <w:color w:val="auto"/>
              </w:rPr>
            </w:pPr>
          </w:p>
        </w:tc>
      </w:tr>
      <w:bookmarkEnd w:id="4"/>
    </w:tbl>
    <w:p w14:paraId="2015A7BE" w14:textId="77777777" w:rsidR="002C44F1" w:rsidRDefault="002C44F1" w:rsidP="00D05ADC">
      <w:pPr>
        <w:spacing w:after="0" w:line="120" w:lineRule="auto"/>
        <w:rPr>
          <w:color w:val="auto"/>
        </w:rPr>
      </w:pPr>
    </w:p>
    <w:p w14:paraId="4902719E" w14:textId="77777777" w:rsidR="002C44F1" w:rsidRDefault="002C44F1" w:rsidP="00D05ADC">
      <w:pPr>
        <w:spacing w:after="0" w:line="120" w:lineRule="auto"/>
        <w:rPr>
          <w:color w:val="auto"/>
        </w:rPr>
      </w:pPr>
    </w:p>
    <w:p w14:paraId="22E1B80F" w14:textId="77777777" w:rsidR="002C44F1" w:rsidRDefault="002C44F1" w:rsidP="00D05ADC">
      <w:pPr>
        <w:spacing w:after="0" w:line="120" w:lineRule="auto"/>
        <w:rPr>
          <w:color w:val="auto"/>
        </w:rPr>
      </w:pPr>
    </w:p>
    <w:p w14:paraId="2195B2E9" w14:textId="77777777" w:rsidR="002C44F1" w:rsidRDefault="002C44F1" w:rsidP="00D05ADC">
      <w:pPr>
        <w:spacing w:after="0" w:line="120" w:lineRule="auto"/>
        <w:rPr>
          <w:color w:val="auto"/>
        </w:rPr>
      </w:pPr>
    </w:p>
    <w:p w14:paraId="5E59A640" w14:textId="77777777" w:rsidR="002C44F1" w:rsidRDefault="002C44F1" w:rsidP="00D05ADC">
      <w:pPr>
        <w:spacing w:after="0" w:line="120" w:lineRule="auto"/>
        <w:rPr>
          <w:color w:val="auto"/>
        </w:rPr>
      </w:pPr>
    </w:p>
    <w:p w14:paraId="5AF6BA99" w14:textId="77777777" w:rsidR="002C44F1" w:rsidRDefault="002C44F1" w:rsidP="00D05ADC">
      <w:pPr>
        <w:spacing w:after="0" w:line="120" w:lineRule="auto"/>
        <w:rPr>
          <w:color w:val="auto"/>
        </w:rPr>
      </w:pPr>
    </w:p>
    <w:p w14:paraId="65202255" w14:textId="77777777" w:rsidR="002C44F1" w:rsidRDefault="002C44F1" w:rsidP="00D05ADC">
      <w:pPr>
        <w:spacing w:after="0" w:line="120" w:lineRule="auto"/>
        <w:rPr>
          <w:color w:val="auto"/>
        </w:rPr>
      </w:pPr>
    </w:p>
    <w:tbl>
      <w:tblPr>
        <w:tblStyle w:val="TableGrid"/>
        <w:tblW w:w="0" w:type="auto"/>
        <w:tblLook w:val="04A0" w:firstRow="1" w:lastRow="0" w:firstColumn="1" w:lastColumn="0" w:noHBand="0" w:noVBand="1"/>
      </w:tblPr>
      <w:tblGrid>
        <w:gridCol w:w="9608"/>
      </w:tblGrid>
      <w:tr w:rsidR="00043155" w:rsidRPr="00566BDC" w14:paraId="7C027CCA" w14:textId="77777777" w:rsidTr="002C44F1">
        <w:tc>
          <w:tcPr>
            <w:tcW w:w="9608" w:type="dxa"/>
            <w:tcBorders>
              <w:top w:val="double" w:sz="4" w:space="0" w:color="auto"/>
              <w:left w:val="double" w:sz="4" w:space="0" w:color="auto"/>
              <w:bottom w:val="double" w:sz="4" w:space="0" w:color="auto"/>
              <w:right w:val="double" w:sz="4" w:space="0" w:color="auto"/>
            </w:tcBorders>
          </w:tcPr>
          <w:p w14:paraId="3E9DE11A" w14:textId="77777777" w:rsidR="00043155" w:rsidRPr="00566BDC" w:rsidRDefault="00043155" w:rsidP="002C44F1">
            <w:pPr>
              <w:spacing w:after="0" w:line="240" w:lineRule="auto"/>
              <w:rPr>
                <w:b/>
                <w:color w:val="auto"/>
              </w:rPr>
            </w:pPr>
          </w:p>
          <w:p w14:paraId="4809098E" w14:textId="77777777" w:rsidR="00043155" w:rsidRDefault="00043155" w:rsidP="002C44F1">
            <w:pPr>
              <w:spacing w:after="0" w:line="240" w:lineRule="auto"/>
              <w:rPr>
                <w:color w:val="auto"/>
                <w:sz w:val="20"/>
                <w:szCs w:val="20"/>
              </w:rPr>
            </w:pPr>
            <w:r>
              <w:rPr>
                <w:b/>
                <w:color w:val="auto"/>
              </w:rPr>
              <w:t>MONITORING AND ASSURANCE</w:t>
            </w:r>
            <w:r w:rsidRPr="00566BDC">
              <w:rPr>
                <w:b/>
                <w:color w:val="auto"/>
              </w:rPr>
              <w:t>:</w:t>
            </w:r>
            <w:r>
              <w:rPr>
                <w:b/>
                <w:color w:val="auto"/>
              </w:rPr>
              <w:t xml:space="preserve"> </w:t>
            </w:r>
          </w:p>
          <w:p w14:paraId="21F9EB94" w14:textId="77777777" w:rsidR="0039551A" w:rsidRDefault="0039551A" w:rsidP="002C44F1">
            <w:pPr>
              <w:spacing w:after="0" w:line="240" w:lineRule="auto"/>
              <w:rPr>
                <w:color w:val="auto"/>
              </w:rPr>
            </w:pPr>
          </w:p>
          <w:p w14:paraId="42EE403C" w14:textId="77777777" w:rsidR="0039551A" w:rsidRDefault="0039551A" w:rsidP="002C44F1">
            <w:pPr>
              <w:spacing w:after="0" w:line="240" w:lineRule="auto"/>
              <w:rPr>
                <w:color w:val="auto"/>
              </w:rPr>
            </w:pPr>
            <w:r>
              <w:rPr>
                <w:color w:val="auto"/>
              </w:rPr>
              <w:t xml:space="preserve">The external audit of the data security and protection toolkit will provide assurance that </w:t>
            </w:r>
            <w:r w:rsidR="00322DA2">
              <w:rPr>
                <w:color w:val="auto"/>
              </w:rPr>
              <w:t xml:space="preserve">standards are being met. </w:t>
            </w:r>
          </w:p>
          <w:p w14:paraId="5FEC0180" w14:textId="60D67FCB" w:rsidR="002C44F1" w:rsidRPr="00566BDC" w:rsidRDefault="002C44F1" w:rsidP="002C44F1">
            <w:pPr>
              <w:spacing w:after="0" w:line="240" w:lineRule="auto"/>
              <w:rPr>
                <w:color w:val="auto"/>
              </w:rPr>
            </w:pPr>
          </w:p>
        </w:tc>
      </w:tr>
    </w:tbl>
    <w:p w14:paraId="489916CB" w14:textId="39492D09" w:rsidR="00043155" w:rsidRPr="002C44F1" w:rsidRDefault="00043155" w:rsidP="002C44F1">
      <w:pPr>
        <w:spacing w:after="0" w:line="240" w:lineRule="auto"/>
        <w:rPr>
          <w:color w:val="auto"/>
          <w:sz w:val="16"/>
          <w:szCs w:val="16"/>
        </w:rPr>
      </w:pPr>
    </w:p>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566BDC" w:rsidRDefault="00566BDC" w:rsidP="002C44F1">
            <w:pPr>
              <w:spacing w:after="0" w:line="240" w:lineRule="auto"/>
              <w:rPr>
                <w:b/>
                <w:color w:val="auto"/>
              </w:rPr>
            </w:pPr>
            <w:bookmarkStart w:id="5" w:name="_Hlk106098484"/>
          </w:p>
          <w:p w14:paraId="4734DBB0" w14:textId="32AA193C" w:rsidR="00880E9F" w:rsidRDefault="00880E9F" w:rsidP="002C44F1">
            <w:pPr>
              <w:spacing w:after="0" w:line="240" w:lineRule="auto"/>
              <w:rPr>
                <w:color w:val="auto"/>
              </w:rPr>
            </w:pPr>
            <w:r w:rsidRPr="00566BDC">
              <w:rPr>
                <w:b/>
                <w:color w:val="auto"/>
              </w:rPr>
              <w:t>ENGAGEMENT:</w:t>
            </w:r>
            <w:r w:rsidRPr="00566BDC">
              <w:rPr>
                <w:color w:val="auto"/>
              </w:rPr>
              <w:t xml:space="preserve"> </w:t>
            </w:r>
          </w:p>
          <w:p w14:paraId="2EDC4A9C" w14:textId="77777777" w:rsidR="000E7D48" w:rsidRDefault="000E7D48" w:rsidP="002C44F1">
            <w:pPr>
              <w:spacing w:after="0" w:line="240" w:lineRule="auto"/>
              <w:rPr>
                <w:color w:val="auto"/>
              </w:rPr>
            </w:pPr>
          </w:p>
          <w:p w14:paraId="795897F6" w14:textId="4E1FAECE" w:rsidR="000E7D48" w:rsidRDefault="000E7D48" w:rsidP="002C44F1">
            <w:pPr>
              <w:spacing w:after="0" w:line="240" w:lineRule="auto"/>
              <w:rPr>
                <w:i/>
                <w:iCs/>
                <w:color w:val="auto"/>
                <w:sz w:val="20"/>
                <w:szCs w:val="20"/>
              </w:rPr>
            </w:pPr>
            <w:r>
              <w:rPr>
                <w:color w:val="auto"/>
              </w:rPr>
              <w:t xml:space="preserve">Not applicable. </w:t>
            </w:r>
          </w:p>
          <w:p w14:paraId="02D6A569" w14:textId="625C926B" w:rsidR="00880E9F" w:rsidRPr="00566BDC" w:rsidRDefault="00880E9F" w:rsidP="002C44F1">
            <w:pPr>
              <w:spacing w:after="0" w:line="240" w:lineRule="auto"/>
              <w:rPr>
                <w:color w:val="auto"/>
              </w:rPr>
            </w:pPr>
          </w:p>
        </w:tc>
      </w:tr>
    </w:tbl>
    <w:tbl>
      <w:tblPr>
        <w:tblStyle w:val="TableGrid"/>
        <w:tblpPr w:leftFromText="180" w:rightFromText="180" w:vertAnchor="text" w:horzAnchor="margin" w:tblpY="28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16719C" w14:paraId="79784BC1" w14:textId="77777777" w:rsidTr="0016719C">
        <w:trPr>
          <w:trHeight w:val="427"/>
        </w:trPr>
        <w:tc>
          <w:tcPr>
            <w:tcW w:w="9608" w:type="dxa"/>
            <w:tcBorders>
              <w:bottom w:val="nil"/>
            </w:tcBorders>
          </w:tcPr>
          <w:bookmarkEnd w:id="5"/>
          <w:p w14:paraId="49EBE335" w14:textId="77777777" w:rsidR="0016719C" w:rsidRPr="00524FEE" w:rsidRDefault="0016719C" w:rsidP="002C44F1">
            <w:pPr>
              <w:spacing w:after="0" w:line="240" w:lineRule="auto"/>
              <w:rPr>
                <w:color w:val="auto"/>
              </w:rPr>
            </w:pPr>
            <w:r>
              <w:rPr>
                <w:b/>
                <w:color w:val="auto"/>
              </w:rPr>
              <w:t xml:space="preserve">REPORT EXEMPT FROM PUBLIC DISCLOSURE                            </w:t>
            </w:r>
            <w:r w:rsidRPr="00524FEE">
              <w:rPr>
                <w:color w:val="auto"/>
              </w:rPr>
              <w:t>No</w:t>
            </w:r>
            <w:r>
              <w:rPr>
                <w:color w:val="auto"/>
              </w:rPr>
              <w:t xml:space="preserve">   </w:t>
            </w:r>
            <w:r>
              <w:rPr>
                <w:rFonts w:ascii="MS Gothic" w:eastAsia="MS Gothic" w:hAnsi="MS Gothic" w:hint="eastAsia"/>
                <w:color w:val="auto"/>
                <w:sz w:val="40"/>
                <w:szCs w:val="40"/>
              </w:rPr>
              <w:t>☒</w:t>
            </w:r>
            <w:r>
              <w:rPr>
                <w:color w:val="auto"/>
                <w:sz w:val="40"/>
                <w:szCs w:val="40"/>
              </w:rPr>
              <w:t xml:space="preserve">   </w:t>
            </w:r>
            <w:r w:rsidRPr="00524FEE">
              <w:rPr>
                <w:color w:val="auto"/>
              </w:rPr>
              <w:t>Yes</w:t>
            </w:r>
            <w:r>
              <w:rPr>
                <w:color w:val="auto"/>
              </w:rPr>
              <w:t xml:space="preserve">   </w:t>
            </w:r>
            <w:r w:rsidRPr="00CD20A8">
              <w:rPr>
                <w:rFonts w:ascii="MS Gothic" w:eastAsia="MS Gothic" w:hAnsi="MS Gothic" w:hint="eastAsia"/>
                <w:color w:val="auto"/>
                <w:sz w:val="40"/>
                <w:szCs w:val="40"/>
              </w:rPr>
              <w:t>☐</w:t>
            </w:r>
          </w:p>
        </w:tc>
      </w:tr>
      <w:tr w:rsidR="0016719C" w14:paraId="6C689018" w14:textId="77777777" w:rsidTr="0016719C">
        <w:tc>
          <w:tcPr>
            <w:tcW w:w="9608" w:type="dxa"/>
            <w:tcBorders>
              <w:top w:val="nil"/>
            </w:tcBorders>
          </w:tcPr>
          <w:p w14:paraId="16FF33B6" w14:textId="77777777" w:rsidR="0016719C" w:rsidRPr="00CD20A8" w:rsidRDefault="0016719C" w:rsidP="002C44F1">
            <w:pPr>
              <w:spacing w:after="0" w:line="240" w:lineRule="auto"/>
              <w:rPr>
                <w:color w:val="auto"/>
                <w:sz w:val="20"/>
              </w:rPr>
            </w:pPr>
            <w:r w:rsidRPr="00BD03D7">
              <w:rPr>
                <w:color w:val="auto"/>
                <w:sz w:val="20"/>
              </w:rPr>
              <w:t xml:space="preserve">If yes, </w:t>
            </w:r>
            <w:r>
              <w:rPr>
                <w:color w:val="auto"/>
                <w:sz w:val="20"/>
              </w:rPr>
              <w:t xml:space="preserve">please detail the specific grounds for exemption.    </w:t>
            </w:r>
          </w:p>
          <w:p w14:paraId="576F85B0" w14:textId="77777777" w:rsidR="0016719C" w:rsidRPr="00BD03D7" w:rsidRDefault="0016719C" w:rsidP="002C44F1">
            <w:pPr>
              <w:spacing w:after="0" w:line="240" w:lineRule="auto"/>
              <w:rPr>
                <w:b/>
                <w:color w:val="auto"/>
              </w:rPr>
            </w:pPr>
          </w:p>
        </w:tc>
      </w:tr>
    </w:tbl>
    <w:p w14:paraId="67606C08" w14:textId="77777777" w:rsidR="007109D4" w:rsidRPr="002C44F1" w:rsidRDefault="007109D4" w:rsidP="00E735DB">
      <w:pPr>
        <w:jc w:val="center"/>
        <w:rPr>
          <w:b/>
          <w:bCs/>
          <w:color w:val="auto"/>
          <w:sz w:val="6"/>
          <w:szCs w:val="6"/>
        </w:rPr>
      </w:pPr>
    </w:p>
    <w:p w14:paraId="053FD6D0" w14:textId="373C03BC" w:rsidR="00A958CA" w:rsidRDefault="006C6CAA" w:rsidP="002C44F1">
      <w:pPr>
        <w:spacing w:after="0" w:line="240" w:lineRule="auto"/>
        <w:jc w:val="center"/>
        <w:rPr>
          <w:b/>
          <w:bCs/>
          <w:color w:val="auto"/>
          <w:sz w:val="24"/>
          <w:szCs w:val="24"/>
        </w:rPr>
      </w:pPr>
      <w:r>
        <w:rPr>
          <w:b/>
          <w:bCs/>
          <w:color w:val="auto"/>
          <w:sz w:val="24"/>
          <w:szCs w:val="24"/>
        </w:rPr>
        <w:br w:type="page"/>
      </w:r>
      <w:r w:rsidR="00060D40">
        <w:rPr>
          <w:b/>
          <w:bCs/>
          <w:color w:val="auto"/>
          <w:sz w:val="24"/>
          <w:szCs w:val="24"/>
        </w:rPr>
        <w:lastRenderedPageBreak/>
        <w:t xml:space="preserve">Data Security &amp; Protection Toolkit Updates &amp; Audit Requirements </w:t>
      </w:r>
    </w:p>
    <w:p w14:paraId="7D2093E5" w14:textId="77777777" w:rsidR="00A958CA" w:rsidRPr="00A958CA" w:rsidRDefault="00A958CA" w:rsidP="002C44F1">
      <w:pPr>
        <w:spacing w:after="0" w:line="240" w:lineRule="auto"/>
        <w:jc w:val="center"/>
        <w:rPr>
          <w:b/>
          <w:bCs/>
          <w:color w:val="auto"/>
          <w:sz w:val="24"/>
          <w:szCs w:val="24"/>
        </w:rPr>
      </w:pPr>
    </w:p>
    <w:p w14:paraId="65D6AA15" w14:textId="77777777" w:rsidR="00A958CA" w:rsidRPr="00A958CA" w:rsidRDefault="00A958CA" w:rsidP="002C44F1">
      <w:pPr>
        <w:pStyle w:val="ListParagraph"/>
        <w:numPr>
          <w:ilvl w:val="0"/>
          <w:numId w:val="1"/>
        </w:numPr>
        <w:spacing w:after="0" w:line="240" w:lineRule="auto"/>
        <w:ind w:left="567" w:hanging="567"/>
        <w:jc w:val="both"/>
        <w:rPr>
          <w:b/>
          <w:bCs/>
          <w:color w:val="auto"/>
          <w:sz w:val="24"/>
          <w:szCs w:val="24"/>
        </w:rPr>
      </w:pPr>
      <w:r w:rsidRPr="00A958CA">
        <w:rPr>
          <w:b/>
          <w:bCs/>
          <w:color w:val="auto"/>
          <w:sz w:val="24"/>
          <w:szCs w:val="24"/>
        </w:rPr>
        <w:t>INTRODUCTION</w:t>
      </w:r>
    </w:p>
    <w:p w14:paraId="7747C510" w14:textId="77777777" w:rsidR="00A958CA" w:rsidRPr="00A958CA" w:rsidRDefault="00A958CA" w:rsidP="002C44F1">
      <w:pPr>
        <w:pStyle w:val="ListParagraph"/>
        <w:spacing w:after="0" w:line="240" w:lineRule="auto"/>
        <w:ind w:left="360"/>
        <w:jc w:val="both"/>
        <w:rPr>
          <w:b/>
          <w:bCs/>
          <w:color w:val="auto"/>
          <w:sz w:val="24"/>
          <w:szCs w:val="24"/>
        </w:rPr>
      </w:pPr>
    </w:p>
    <w:p w14:paraId="1F303E12" w14:textId="77777777" w:rsidR="000445F2" w:rsidRPr="000445F2" w:rsidRDefault="00D950E3" w:rsidP="002C44F1">
      <w:pPr>
        <w:pStyle w:val="ListParagraph"/>
        <w:numPr>
          <w:ilvl w:val="1"/>
          <w:numId w:val="1"/>
        </w:numPr>
        <w:spacing w:after="0" w:line="240" w:lineRule="auto"/>
        <w:ind w:left="567" w:hanging="567"/>
        <w:jc w:val="both"/>
        <w:rPr>
          <w:color w:val="auto"/>
          <w:sz w:val="24"/>
          <w:szCs w:val="24"/>
        </w:rPr>
      </w:pPr>
      <w:r w:rsidRPr="000445F2">
        <w:rPr>
          <w:color w:val="auto"/>
          <w:sz w:val="24"/>
          <w:szCs w:val="24"/>
        </w:rPr>
        <w:t>In September 2024 the DSPT changed to adopt the National Cyber Security Centre’s Cyber Assessment Framework (CAF) as its basis for cyber security and IG assurance.  The Goal of the CAF is to set out broad principles to drive good decision making, rather than a “compliance checklist” of good practices.</w:t>
      </w:r>
    </w:p>
    <w:p w14:paraId="2A288373" w14:textId="77777777" w:rsidR="000445F2" w:rsidRPr="000445F2" w:rsidRDefault="000445F2" w:rsidP="002C44F1">
      <w:pPr>
        <w:pStyle w:val="ListParagraph"/>
        <w:spacing w:after="0" w:line="240" w:lineRule="auto"/>
        <w:ind w:left="567"/>
        <w:jc w:val="both"/>
        <w:rPr>
          <w:color w:val="auto"/>
          <w:sz w:val="24"/>
          <w:szCs w:val="24"/>
        </w:rPr>
      </w:pPr>
    </w:p>
    <w:p w14:paraId="175FE410" w14:textId="5F891CF3" w:rsidR="00A958CA" w:rsidRPr="000445F2" w:rsidRDefault="000445F2" w:rsidP="002C44F1">
      <w:pPr>
        <w:pStyle w:val="ListParagraph"/>
        <w:spacing w:after="0" w:line="240" w:lineRule="auto"/>
        <w:ind w:left="567"/>
        <w:jc w:val="both"/>
        <w:rPr>
          <w:color w:val="auto"/>
          <w:sz w:val="24"/>
          <w:szCs w:val="24"/>
        </w:rPr>
      </w:pPr>
      <w:r w:rsidRPr="000445F2">
        <w:rPr>
          <w:color w:val="auto"/>
          <w:sz w:val="24"/>
          <w:szCs w:val="24"/>
        </w:rPr>
        <w:t>Organisations will self-assess their level of compliance against each outcome using the indicators of good practice as a guide.  The process of submitting assessments to NHS England will not change.  National assurance will continue to be based on organisations commissioning independent audits of their self-assessments, complemented by national sampling audits.</w:t>
      </w:r>
    </w:p>
    <w:p w14:paraId="54BCE6FE" w14:textId="77777777" w:rsidR="00A958CA" w:rsidRPr="00A958CA" w:rsidRDefault="00A958CA" w:rsidP="002C44F1">
      <w:pPr>
        <w:spacing w:after="0" w:line="240" w:lineRule="auto"/>
        <w:jc w:val="both"/>
        <w:rPr>
          <w:b/>
          <w:bCs/>
          <w:color w:val="auto"/>
          <w:sz w:val="24"/>
          <w:szCs w:val="24"/>
        </w:rPr>
      </w:pPr>
    </w:p>
    <w:p w14:paraId="638702FC" w14:textId="2E1380DD" w:rsidR="00A958CA" w:rsidRPr="00974759" w:rsidRDefault="00A958CA" w:rsidP="002C44F1">
      <w:pPr>
        <w:pStyle w:val="ListParagraph"/>
        <w:numPr>
          <w:ilvl w:val="0"/>
          <w:numId w:val="1"/>
        </w:numPr>
        <w:spacing w:after="0" w:line="240" w:lineRule="auto"/>
        <w:ind w:left="567" w:hanging="567"/>
        <w:jc w:val="both"/>
        <w:rPr>
          <w:b/>
          <w:bCs/>
          <w:color w:val="auto"/>
          <w:sz w:val="24"/>
          <w:szCs w:val="24"/>
        </w:rPr>
      </w:pPr>
      <w:r w:rsidRPr="00A958CA">
        <w:rPr>
          <w:b/>
          <w:bCs/>
          <w:color w:val="auto"/>
          <w:sz w:val="24"/>
          <w:szCs w:val="24"/>
        </w:rPr>
        <w:t xml:space="preserve">BACKGROUND </w:t>
      </w:r>
      <w:r w:rsidRPr="00974759">
        <w:rPr>
          <w:i/>
          <w:iCs/>
          <w:color w:val="auto"/>
          <w:sz w:val="24"/>
          <w:szCs w:val="24"/>
        </w:rPr>
        <w:t xml:space="preserve"> </w:t>
      </w:r>
    </w:p>
    <w:p w14:paraId="4D8A7043" w14:textId="62B62079" w:rsidR="00A958CA" w:rsidRPr="00A958CA" w:rsidRDefault="006906DA" w:rsidP="002C44F1">
      <w:pPr>
        <w:spacing w:after="0" w:line="240" w:lineRule="auto"/>
        <w:jc w:val="both"/>
        <w:rPr>
          <w:b/>
          <w:bCs/>
          <w:color w:val="auto"/>
          <w:sz w:val="24"/>
          <w:szCs w:val="24"/>
        </w:rPr>
      </w:pPr>
      <w:r>
        <w:rPr>
          <w:b/>
          <w:bCs/>
          <w:color w:val="auto"/>
          <w:sz w:val="24"/>
          <w:szCs w:val="24"/>
        </w:rPr>
        <w:tab/>
      </w:r>
    </w:p>
    <w:p w14:paraId="35D1ED82" w14:textId="77777777" w:rsidR="006906DA" w:rsidRPr="006906DA" w:rsidRDefault="006906DA" w:rsidP="002C44F1">
      <w:pPr>
        <w:spacing w:after="0" w:line="240" w:lineRule="auto"/>
        <w:ind w:left="567"/>
        <w:jc w:val="both"/>
        <w:rPr>
          <w:color w:val="auto"/>
          <w:sz w:val="24"/>
          <w:szCs w:val="24"/>
        </w:rPr>
      </w:pPr>
      <w:r w:rsidRPr="006906DA">
        <w:rPr>
          <w:color w:val="auto"/>
          <w:sz w:val="24"/>
          <w:szCs w:val="24"/>
        </w:rPr>
        <w:t>The new toolkit aims to emphasise good decision making over compliance, with better understanding and ownership of information risks at the local organisation level, where those risks can be most effectively managed.  They aim to support a culture of evaluation and improvement, as organisations will need to understand the effectiveness of their practices at meeting the desired outcomes, and expend effort on what works, not what ticks a compliance box.  It also aims to create opportunities for better practice, by prompting and enabling organisations to remain current with new security measures to meet new threats and risks.</w:t>
      </w:r>
    </w:p>
    <w:p w14:paraId="51915FAE" w14:textId="77777777" w:rsidR="006906DA" w:rsidRPr="006906DA" w:rsidRDefault="006906DA" w:rsidP="002C44F1">
      <w:pPr>
        <w:spacing w:after="0" w:line="240" w:lineRule="auto"/>
        <w:ind w:left="567"/>
        <w:jc w:val="both"/>
        <w:rPr>
          <w:b/>
          <w:bCs/>
          <w:color w:val="auto"/>
          <w:sz w:val="24"/>
          <w:szCs w:val="24"/>
        </w:rPr>
      </w:pPr>
    </w:p>
    <w:p w14:paraId="16C88301" w14:textId="10394597" w:rsidR="006906DA" w:rsidRPr="006906DA" w:rsidRDefault="006906DA" w:rsidP="002C44F1">
      <w:pPr>
        <w:spacing w:after="0" w:line="240" w:lineRule="auto"/>
        <w:ind w:left="567"/>
        <w:jc w:val="both"/>
        <w:rPr>
          <w:color w:val="auto"/>
          <w:sz w:val="24"/>
          <w:szCs w:val="24"/>
        </w:rPr>
      </w:pPr>
      <w:r w:rsidRPr="006906DA">
        <w:rPr>
          <w:color w:val="auto"/>
          <w:sz w:val="24"/>
          <w:szCs w:val="24"/>
        </w:rPr>
        <w:t>The first step for all organisations will be to carry out a scoping exercise to understand, and document, what their essential functions are as many of the outcomes reference the measures that need to be in place to ensure these essential functions are safe/secure and can be brought back online in the correct way/order if an incident occurs.</w:t>
      </w:r>
    </w:p>
    <w:p w14:paraId="02257A4F" w14:textId="77777777" w:rsidR="006906DA" w:rsidRPr="006906DA" w:rsidRDefault="006906DA" w:rsidP="002C44F1">
      <w:pPr>
        <w:spacing w:after="0" w:line="240" w:lineRule="auto"/>
        <w:ind w:left="567"/>
        <w:jc w:val="both"/>
        <w:rPr>
          <w:color w:val="auto"/>
          <w:sz w:val="24"/>
          <w:szCs w:val="24"/>
        </w:rPr>
      </w:pPr>
    </w:p>
    <w:p w14:paraId="25567ABB" w14:textId="525E2E5D" w:rsidR="006906DA" w:rsidRPr="006906DA" w:rsidRDefault="006906DA" w:rsidP="002C44F1">
      <w:pPr>
        <w:spacing w:after="0" w:line="240" w:lineRule="auto"/>
        <w:ind w:left="567"/>
        <w:jc w:val="both"/>
        <w:rPr>
          <w:color w:val="auto"/>
          <w:sz w:val="24"/>
          <w:szCs w:val="24"/>
        </w:rPr>
      </w:pPr>
      <w:r w:rsidRPr="006906DA">
        <w:rPr>
          <w:color w:val="auto"/>
          <w:sz w:val="24"/>
          <w:szCs w:val="24"/>
        </w:rPr>
        <w:t>The CAF Aligned DSPT is split into Objectives, Principles &amp; Outcomes covering the following areas:</w:t>
      </w:r>
    </w:p>
    <w:p w14:paraId="77578343" w14:textId="77777777" w:rsidR="006906DA" w:rsidRPr="006906DA" w:rsidRDefault="006906DA" w:rsidP="002C44F1">
      <w:pPr>
        <w:spacing w:after="0" w:line="240" w:lineRule="auto"/>
        <w:ind w:left="567"/>
        <w:jc w:val="both"/>
        <w:rPr>
          <w:color w:val="auto"/>
          <w:sz w:val="24"/>
          <w:szCs w:val="24"/>
        </w:rPr>
      </w:pPr>
    </w:p>
    <w:p w14:paraId="01AF28B6" w14:textId="77777777" w:rsidR="006906DA" w:rsidRPr="006906DA" w:rsidRDefault="006906DA" w:rsidP="002C44F1">
      <w:pPr>
        <w:spacing w:after="0" w:line="240" w:lineRule="auto"/>
        <w:ind w:left="567"/>
        <w:jc w:val="both"/>
        <w:rPr>
          <w:color w:val="auto"/>
          <w:sz w:val="24"/>
          <w:szCs w:val="24"/>
        </w:rPr>
      </w:pPr>
      <w:r w:rsidRPr="006906DA">
        <w:rPr>
          <w:color w:val="auto"/>
          <w:sz w:val="24"/>
          <w:szCs w:val="24"/>
        </w:rPr>
        <w:t>Objective A</w:t>
      </w:r>
      <w:r w:rsidRPr="006906DA">
        <w:rPr>
          <w:color w:val="auto"/>
          <w:sz w:val="24"/>
          <w:szCs w:val="24"/>
        </w:rPr>
        <w:tab/>
        <w:t>Managing Risk</w:t>
      </w:r>
    </w:p>
    <w:p w14:paraId="37B97A40" w14:textId="77777777" w:rsidR="006906DA" w:rsidRPr="006906DA" w:rsidRDefault="006906DA" w:rsidP="002C44F1">
      <w:pPr>
        <w:spacing w:after="0" w:line="240" w:lineRule="auto"/>
        <w:ind w:left="567"/>
        <w:jc w:val="both"/>
        <w:rPr>
          <w:color w:val="auto"/>
          <w:sz w:val="24"/>
          <w:szCs w:val="24"/>
        </w:rPr>
      </w:pPr>
      <w:r w:rsidRPr="006906DA">
        <w:rPr>
          <w:color w:val="auto"/>
          <w:sz w:val="24"/>
          <w:szCs w:val="24"/>
        </w:rPr>
        <w:t>Objective B</w:t>
      </w:r>
      <w:r w:rsidRPr="006906DA">
        <w:rPr>
          <w:color w:val="auto"/>
          <w:sz w:val="24"/>
          <w:szCs w:val="24"/>
        </w:rPr>
        <w:tab/>
        <w:t xml:space="preserve">Protecting against </w:t>
      </w:r>
      <w:proofErr w:type="spellStart"/>
      <w:r w:rsidRPr="006906DA">
        <w:rPr>
          <w:color w:val="auto"/>
          <w:sz w:val="24"/>
          <w:szCs w:val="24"/>
        </w:rPr>
        <w:t>cyber attack</w:t>
      </w:r>
      <w:proofErr w:type="spellEnd"/>
      <w:r w:rsidRPr="006906DA">
        <w:rPr>
          <w:color w:val="auto"/>
          <w:sz w:val="24"/>
          <w:szCs w:val="24"/>
        </w:rPr>
        <w:t xml:space="preserve"> and data breaches</w:t>
      </w:r>
    </w:p>
    <w:p w14:paraId="6193C291" w14:textId="77777777" w:rsidR="006906DA" w:rsidRPr="006906DA" w:rsidRDefault="006906DA" w:rsidP="002C44F1">
      <w:pPr>
        <w:spacing w:after="0" w:line="240" w:lineRule="auto"/>
        <w:ind w:left="567"/>
        <w:jc w:val="both"/>
        <w:rPr>
          <w:color w:val="auto"/>
          <w:sz w:val="24"/>
          <w:szCs w:val="24"/>
        </w:rPr>
      </w:pPr>
      <w:r w:rsidRPr="006906DA">
        <w:rPr>
          <w:color w:val="auto"/>
          <w:sz w:val="24"/>
          <w:szCs w:val="24"/>
        </w:rPr>
        <w:t>Objective C</w:t>
      </w:r>
      <w:r w:rsidRPr="006906DA">
        <w:rPr>
          <w:color w:val="auto"/>
          <w:sz w:val="24"/>
          <w:szCs w:val="24"/>
        </w:rPr>
        <w:tab/>
        <w:t>Detecting cyber security events</w:t>
      </w:r>
    </w:p>
    <w:p w14:paraId="7C9C12EF" w14:textId="77777777" w:rsidR="006906DA" w:rsidRPr="006906DA" w:rsidRDefault="006906DA" w:rsidP="002C44F1">
      <w:pPr>
        <w:spacing w:after="0" w:line="240" w:lineRule="auto"/>
        <w:ind w:left="567"/>
        <w:jc w:val="both"/>
        <w:rPr>
          <w:color w:val="auto"/>
          <w:sz w:val="24"/>
          <w:szCs w:val="24"/>
        </w:rPr>
      </w:pPr>
      <w:r w:rsidRPr="006906DA">
        <w:rPr>
          <w:color w:val="auto"/>
          <w:sz w:val="24"/>
          <w:szCs w:val="24"/>
        </w:rPr>
        <w:t>Objective D</w:t>
      </w:r>
      <w:r w:rsidRPr="006906DA">
        <w:rPr>
          <w:color w:val="auto"/>
          <w:sz w:val="24"/>
          <w:szCs w:val="24"/>
        </w:rPr>
        <w:tab/>
        <w:t>Minimising the impact of incidents</w:t>
      </w:r>
    </w:p>
    <w:p w14:paraId="35C9CE24" w14:textId="7A903292" w:rsidR="006906DA" w:rsidRPr="00974759" w:rsidRDefault="006906DA" w:rsidP="002C44F1">
      <w:pPr>
        <w:spacing w:after="0" w:line="240" w:lineRule="auto"/>
        <w:ind w:left="567"/>
        <w:jc w:val="both"/>
        <w:rPr>
          <w:color w:val="auto"/>
          <w:sz w:val="24"/>
          <w:szCs w:val="24"/>
        </w:rPr>
      </w:pPr>
      <w:r w:rsidRPr="006906DA">
        <w:rPr>
          <w:color w:val="auto"/>
          <w:sz w:val="24"/>
          <w:szCs w:val="24"/>
        </w:rPr>
        <w:t>Objective E</w:t>
      </w:r>
      <w:r w:rsidRPr="006906DA">
        <w:rPr>
          <w:color w:val="auto"/>
          <w:sz w:val="24"/>
          <w:szCs w:val="24"/>
        </w:rPr>
        <w:tab/>
        <w:t>Using and sharing information appropriately</w:t>
      </w:r>
    </w:p>
    <w:p w14:paraId="19F60004" w14:textId="77777777" w:rsidR="006906DA" w:rsidRPr="006906DA" w:rsidRDefault="006906DA" w:rsidP="002C44F1">
      <w:pPr>
        <w:pStyle w:val="ListParagraph"/>
        <w:spacing w:after="0" w:line="240" w:lineRule="auto"/>
        <w:ind w:left="567"/>
        <w:jc w:val="both"/>
        <w:rPr>
          <w:b/>
          <w:bCs/>
          <w:color w:val="auto"/>
          <w:sz w:val="24"/>
          <w:szCs w:val="24"/>
        </w:rPr>
      </w:pPr>
    </w:p>
    <w:p w14:paraId="691410E3" w14:textId="670C813C" w:rsidR="006906DA" w:rsidRDefault="006906DA" w:rsidP="002C44F1">
      <w:pPr>
        <w:spacing w:after="0" w:line="240" w:lineRule="auto"/>
        <w:ind w:left="567"/>
        <w:jc w:val="both"/>
        <w:rPr>
          <w:color w:val="auto"/>
          <w:sz w:val="24"/>
          <w:szCs w:val="24"/>
        </w:rPr>
      </w:pPr>
      <w:r w:rsidRPr="00974759">
        <w:rPr>
          <w:color w:val="auto"/>
          <w:sz w:val="24"/>
          <w:szCs w:val="24"/>
        </w:rPr>
        <w:t xml:space="preserve">Organisations will need to assess themselves against 47 outcomes across the 5 Objectives, each outcome is assessed against a set of statements that fall into categories of “Not Achieved”, “Partially Achieved” or “Achieved”.  NHSE have determined the expected achievement level for each outcome to enable an organisation to meet Standards Met.  All statements within a category must apply </w:t>
      </w:r>
      <w:proofErr w:type="gramStart"/>
      <w:r w:rsidRPr="00974759">
        <w:rPr>
          <w:color w:val="auto"/>
          <w:sz w:val="24"/>
          <w:szCs w:val="24"/>
        </w:rPr>
        <w:t>in order to</w:t>
      </w:r>
      <w:proofErr w:type="gramEnd"/>
      <w:r w:rsidRPr="00974759">
        <w:rPr>
          <w:color w:val="auto"/>
          <w:sz w:val="24"/>
          <w:szCs w:val="24"/>
        </w:rPr>
        <w:t xml:space="preserve"> achieve that outcome, if any of them are not then the lower category must be selected.  There are 6 Outcomes where organisations can assess themselves as “Not Achieved” this year, however as part of the assessment it is expected that a plan is submitted to move to the next category up in future years.</w:t>
      </w:r>
    </w:p>
    <w:p w14:paraId="1C2182C1" w14:textId="77777777" w:rsidR="002C44F1" w:rsidRPr="00974759" w:rsidRDefault="002C44F1" w:rsidP="002C44F1">
      <w:pPr>
        <w:spacing w:after="0" w:line="240" w:lineRule="auto"/>
        <w:ind w:left="567"/>
        <w:jc w:val="both"/>
        <w:rPr>
          <w:color w:val="auto"/>
          <w:sz w:val="24"/>
          <w:szCs w:val="24"/>
        </w:rPr>
      </w:pPr>
    </w:p>
    <w:p w14:paraId="41D8D39E" w14:textId="77777777" w:rsidR="006906DA" w:rsidRPr="003F55C7" w:rsidRDefault="006906DA" w:rsidP="002C44F1">
      <w:pPr>
        <w:spacing w:after="0" w:line="240" w:lineRule="auto"/>
        <w:ind w:left="567"/>
        <w:jc w:val="both"/>
        <w:rPr>
          <w:color w:val="auto"/>
          <w:sz w:val="24"/>
          <w:szCs w:val="24"/>
        </w:rPr>
      </w:pPr>
      <w:r w:rsidRPr="003F55C7">
        <w:rPr>
          <w:color w:val="auto"/>
          <w:sz w:val="24"/>
          <w:szCs w:val="24"/>
        </w:rPr>
        <w:lastRenderedPageBreak/>
        <w:t>Whilst expectations for cyber security and IG controls remain at a reasonably comparable level to the previous DSPT assessment, 12 of the Outcomes have an increase in requirements to achieve the NHSE minimum achievement level to achieve Standards Met.</w:t>
      </w:r>
    </w:p>
    <w:p w14:paraId="48BE4C12" w14:textId="77777777" w:rsidR="00CF51CF" w:rsidRPr="003F55C7" w:rsidRDefault="00CF51CF" w:rsidP="002C44F1">
      <w:pPr>
        <w:spacing w:after="0" w:line="240" w:lineRule="auto"/>
        <w:ind w:left="567"/>
        <w:jc w:val="both"/>
        <w:rPr>
          <w:color w:val="auto"/>
          <w:sz w:val="24"/>
          <w:szCs w:val="24"/>
        </w:rPr>
      </w:pPr>
    </w:p>
    <w:p w14:paraId="530197B3" w14:textId="648B22AE" w:rsidR="00A958CA" w:rsidRPr="003F55C7" w:rsidRDefault="006906DA" w:rsidP="002C44F1">
      <w:pPr>
        <w:spacing w:after="0" w:line="240" w:lineRule="auto"/>
        <w:ind w:left="567"/>
        <w:jc w:val="both"/>
        <w:rPr>
          <w:color w:val="auto"/>
          <w:sz w:val="24"/>
          <w:szCs w:val="24"/>
        </w:rPr>
      </w:pPr>
      <w:r w:rsidRPr="003F55C7">
        <w:rPr>
          <w:color w:val="auto"/>
          <w:sz w:val="24"/>
          <w:szCs w:val="24"/>
        </w:rPr>
        <w:t>New ways of working will mean, for this year at least, an increase in the resource needed to complete, both from within Cyber &amp; IG teams and from the wider teams within each organisation, for the ICB this includes EPRR/Corporate/Comms/HR/Asset Owners.  NHSE have already indicated that in future years the expected achievement levels will increase, this could again have an impact from a resource perspective and from a financial perspective if additional/different tools are required to enable organisations to meet the minimum achievement level.</w:t>
      </w:r>
    </w:p>
    <w:p w14:paraId="7F25944D" w14:textId="77777777" w:rsidR="00A958CA" w:rsidRPr="003F55C7" w:rsidRDefault="00A958CA" w:rsidP="002C44F1">
      <w:pPr>
        <w:pStyle w:val="ListParagraph"/>
        <w:spacing w:after="0" w:line="240" w:lineRule="auto"/>
        <w:ind w:left="1277"/>
        <w:jc w:val="both"/>
        <w:rPr>
          <w:color w:val="auto"/>
          <w:sz w:val="24"/>
          <w:szCs w:val="24"/>
        </w:rPr>
      </w:pPr>
    </w:p>
    <w:p w14:paraId="0EAE3432" w14:textId="5C471864" w:rsidR="00A958CA" w:rsidRDefault="00A958CA" w:rsidP="002C44F1">
      <w:pPr>
        <w:pStyle w:val="Heading4"/>
        <w:numPr>
          <w:ilvl w:val="0"/>
          <w:numId w:val="1"/>
        </w:numPr>
        <w:ind w:left="567" w:hanging="567"/>
        <w:rPr>
          <w:rFonts w:ascii="Arial" w:hAnsi="Arial" w:cs="Arial"/>
        </w:rPr>
      </w:pPr>
      <w:r w:rsidRPr="00A958CA">
        <w:rPr>
          <w:rFonts w:ascii="Arial" w:hAnsi="Arial" w:cs="Arial"/>
        </w:rPr>
        <w:t>ASSESSMENT</w:t>
      </w:r>
    </w:p>
    <w:p w14:paraId="719CF556" w14:textId="77777777" w:rsidR="00D833F0" w:rsidRPr="00D833F0" w:rsidRDefault="00D833F0" w:rsidP="002C44F1">
      <w:pPr>
        <w:spacing w:after="0" w:line="240" w:lineRule="auto"/>
        <w:jc w:val="both"/>
      </w:pPr>
    </w:p>
    <w:p w14:paraId="4C1527FF" w14:textId="14EC26B4" w:rsidR="00A958CA" w:rsidRDefault="00D833F0" w:rsidP="002C44F1">
      <w:pPr>
        <w:pStyle w:val="Heading4"/>
        <w:ind w:left="567"/>
        <w:rPr>
          <w:rFonts w:ascii="Arial" w:hAnsi="Arial" w:cs="Arial"/>
          <w:b w:val="0"/>
          <w:bCs w:val="0"/>
        </w:rPr>
      </w:pPr>
      <w:r>
        <w:rPr>
          <w:rFonts w:ascii="Arial" w:hAnsi="Arial" w:cs="Arial"/>
          <w:b w:val="0"/>
          <w:bCs w:val="0"/>
        </w:rPr>
        <w:t>A</w:t>
      </w:r>
      <w:r w:rsidRPr="00D833F0">
        <w:rPr>
          <w:rFonts w:ascii="Arial" w:hAnsi="Arial" w:cs="Arial"/>
          <w:b w:val="0"/>
          <w:bCs w:val="0"/>
        </w:rPr>
        <w:t xml:space="preserve"> selection of outcomes from across the five objectives will be tested by independent assessment providers. NHSE will mandate a common core set outcomes to be assessed for all organisations that undertake the CAF-aligned DSPT, while a further four outcomes will be selected by individual organisations.</w:t>
      </w:r>
    </w:p>
    <w:p w14:paraId="1DF60DE1" w14:textId="77777777" w:rsidR="00D833F0" w:rsidRPr="00C36A7E" w:rsidRDefault="00D833F0" w:rsidP="002C44F1">
      <w:pPr>
        <w:spacing w:after="0" w:line="240" w:lineRule="auto"/>
        <w:jc w:val="both"/>
        <w:rPr>
          <w:sz w:val="24"/>
          <w:szCs w:val="24"/>
        </w:rPr>
      </w:pPr>
    </w:p>
    <w:p w14:paraId="0FF3338D" w14:textId="71AA81AD" w:rsidR="00210CB8" w:rsidRPr="00C36A7E" w:rsidRDefault="002C44F1" w:rsidP="002C44F1">
      <w:pPr>
        <w:pStyle w:val="ListParagraph"/>
        <w:tabs>
          <w:tab w:val="left" w:pos="567"/>
        </w:tabs>
        <w:spacing w:after="0" w:line="240" w:lineRule="auto"/>
        <w:ind w:left="360"/>
        <w:jc w:val="both"/>
        <w:rPr>
          <w:b/>
          <w:bCs/>
          <w:color w:val="auto"/>
          <w:sz w:val="24"/>
          <w:szCs w:val="24"/>
        </w:rPr>
      </w:pPr>
      <w:r>
        <w:rPr>
          <w:b/>
          <w:bCs/>
          <w:color w:val="auto"/>
          <w:sz w:val="24"/>
          <w:szCs w:val="24"/>
        </w:rPr>
        <w:tab/>
      </w:r>
      <w:r w:rsidR="00210CB8" w:rsidRPr="00C36A7E">
        <w:rPr>
          <w:b/>
          <w:bCs/>
          <w:color w:val="auto"/>
          <w:sz w:val="24"/>
          <w:szCs w:val="24"/>
        </w:rPr>
        <w:t>Mandatory Outcomes</w:t>
      </w:r>
    </w:p>
    <w:p w14:paraId="663320D2" w14:textId="77777777" w:rsidR="0089733B" w:rsidRPr="00C36A7E" w:rsidRDefault="0089733B" w:rsidP="002C44F1">
      <w:pPr>
        <w:pStyle w:val="ListParagraph"/>
        <w:spacing w:after="0" w:line="240" w:lineRule="auto"/>
        <w:ind w:left="360"/>
        <w:jc w:val="both"/>
        <w:rPr>
          <w:color w:val="auto"/>
          <w:sz w:val="24"/>
          <w:szCs w:val="24"/>
        </w:rPr>
      </w:pPr>
    </w:p>
    <w:p w14:paraId="34639472" w14:textId="77777777" w:rsidR="00220719" w:rsidRDefault="00210CB8" w:rsidP="002C44F1">
      <w:pPr>
        <w:pStyle w:val="ListParagraph"/>
        <w:numPr>
          <w:ilvl w:val="0"/>
          <w:numId w:val="18"/>
        </w:numPr>
        <w:spacing w:after="0" w:line="240" w:lineRule="auto"/>
        <w:rPr>
          <w:color w:val="auto"/>
          <w:sz w:val="24"/>
          <w:szCs w:val="24"/>
        </w:rPr>
      </w:pPr>
      <w:r w:rsidRPr="00220719">
        <w:rPr>
          <w:b/>
          <w:bCs/>
          <w:color w:val="auto"/>
          <w:sz w:val="24"/>
          <w:szCs w:val="24"/>
        </w:rPr>
        <w:t>A2.a Risk management process</w:t>
      </w:r>
      <w:r w:rsidRPr="00220719">
        <w:rPr>
          <w:color w:val="auto"/>
          <w:sz w:val="24"/>
          <w:szCs w:val="24"/>
        </w:rPr>
        <w:br/>
        <w:t>Your organisation has effective internal processes for managing risks to the security and governance of information, systems and networks related to the operation of your essential function(s) and communicating associated activities. This includes a process for data protection impact assessments (DPIAs).</w:t>
      </w:r>
    </w:p>
    <w:p w14:paraId="010DE41E" w14:textId="77777777" w:rsidR="00220719" w:rsidRDefault="00220719" w:rsidP="002C44F1">
      <w:pPr>
        <w:pStyle w:val="ListParagraph"/>
        <w:numPr>
          <w:ilvl w:val="0"/>
          <w:numId w:val="18"/>
        </w:numPr>
        <w:spacing w:after="0" w:line="240" w:lineRule="auto"/>
        <w:rPr>
          <w:color w:val="auto"/>
          <w:sz w:val="24"/>
          <w:szCs w:val="24"/>
        </w:rPr>
      </w:pPr>
      <w:r w:rsidRPr="00220719">
        <w:rPr>
          <w:b/>
          <w:bCs/>
          <w:color w:val="auto"/>
          <w:sz w:val="24"/>
          <w:szCs w:val="24"/>
        </w:rPr>
        <w:t>A4.a Supply chain</w:t>
      </w:r>
      <w:r w:rsidRPr="00220719">
        <w:rPr>
          <w:color w:val="auto"/>
          <w:sz w:val="24"/>
          <w:szCs w:val="24"/>
        </w:rPr>
        <w:br/>
        <w:t xml:space="preserve">The organisation understands and manages security and IG risks to information, systems and networks supporting the operation of essential functions that arise </w:t>
      </w:r>
      <w:proofErr w:type="gramStart"/>
      <w:r w:rsidRPr="00220719">
        <w:rPr>
          <w:color w:val="auto"/>
          <w:sz w:val="24"/>
          <w:szCs w:val="24"/>
        </w:rPr>
        <w:t>as a result of</w:t>
      </w:r>
      <w:proofErr w:type="gramEnd"/>
      <w:r w:rsidRPr="00220719">
        <w:rPr>
          <w:color w:val="auto"/>
          <w:sz w:val="24"/>
          <w:szCs w:val="24"/>
        </w:rPr>
        <w:t xml:space="preserve"> dependencies on external suppliers. This includes ensuring that appropriate measures are employed where third party services are used.</w:t>
      </w:r>
    </w:p>
    <w:p w14:paraId="052BFC6A" w14:textId="77777777" w:rsidR="00220719" w:rsidRDefault="00220719" w:rsidP="002C44F1">
      <w:pPr>
        <w:pStyle w:val="ListParagraph"/>
        <w:numPr>
          <w:ilvl w:val="0"/>
          <w:numId w:val="18"/>
        </w:numPr>
        <w:spacing w:after="0" w:line="240" w:lineRule="auto"/>
        <w:rPr>
          <w:color w:val="auto"/>
          <w:sz w:val="24"/>
          <w:szCs w:val="24"/>
        </w:rPr>
      </w:pPr>
      <w:r w:rsidRPr="00220719">
        <w:rPr>
          <w:b/>
          <w:bCs/>
          <w:color w:val="auto"/>
          <w:sz w:val="24"/>
          <w:szCs w:val="24"/>
        </w:rPr>
        <w:t>B2.a - Identity verification, authentication and authorisation</w:t>
      </w:r>
      <w:r w:rsidRPr="00220719">
        <w:rPr>
          <w:color w:val="auto"/>
          <w:sz w:val="24"/>
          <w:szCs w:val="24"/>
        </w:rPr>
        <w:br/>
        <w:t>You robustly verify, authenticate and authorise access to the information, systems and networks supporting your essential function(s).</w:t>
      </w:r>
    </w:p>
    <w:p w14:paraId="31672B6B" w14:textId="77777777" w:rsidR="00220719" w:rsidRDefault="00220719" w:rsidP="002C44F1">
      <w:pPr>
        <w:pStyle w:val="ListParagraph"/>
        <w:numPr>
          <w:ilvl w:val="0"/>
          <w:numId w:val="18"/>
        </w:numPr>
        <w:spacing w:after="0" w:line="240" w:lineRule="auto"/>
        <w:rPr>
          <w:color w:val="auto"/>
          <w:sz w:val="24"/>
          <w:szCs w:val="24"/>
        </w:rPr>
      </w:pPr>
      <w:r w:rsidRPr="00220719">
        <w:rPr>
          <w:b/>
          <w:bCs/>
          <w:color w:val="auto"/>
          <w:sz w:val="24"/>
          <w:szCs w:val="24"/>
        </w:rPr>
        <w:t>B4.d - Vulnerability management</w:t>
      </w:r>
      <w:r w:rsidRPr="00220719">
        <w:rPr>
          <w:color w:val="auto"/>
          <w:sz w:val="24"/>
          <w:szCs w:val="24"/>
        </w:rPr>
        <w:br/>
        <w:t>You manage known vulnerabilities in your network and information systems to prevent adverse impact on your essential function(s).</w:t>
      </w:r>
    </w:p>
    <w:p w14:paraId="73A6FB3B" w14:textId="77777777" w:rsidR="00220719" w:rsidRDefault="00220719" w:rsidP="002C44F1">
      <w:pPr>
        <w:pStyle w:val="ListParagraph"/>
        <w:numPr>
          <w:ilvl w:val="0"/>
          <w:numId w:val="18"/>
        </w:numPr>
        <w:spacing w:after="0" w:line="240" w:lineRule="auto"/>
        <w:rPr>
          <w:color w:val="auto"/>
          <w:sz w:val="24"/>
          <w:szCs w:val="24"/>
        </w:rPr>
      </w:pPr>
      <w:r w:rsidRPr="00220719">
        <w:rPr>
          <w:b/>
          <w:bCs/>
          <w:color w:val="auto"/>
          <w:sz w:val="24"/>
          <w:szCs w:val="24"/>
        </w:rPr>
        <w:t>C1.a Monitoring coverage</w:t>
      </w:r>
      <w:r w:rsidRPr="00220719">
        <w:rPr>
          <w:color w:val="auto"/>
          <w:sz w:val="24"/>
          <w:szCs w:val="24"/>
        </w:rPr>
        <w:br/>
        <w:t>The data sources that you include in your monitoring allow for timely identification of security events which might affect the operation of your essential function(s).</w:t>
      </w:r>
    </w:p>
    <w:p w14:paraId="36EFE2DA" w14:textId="77777777" w:rsidR="00220719" w:rsidRDefault="00220719" w:rsidP="002C44F1">
      <w:pPr>
        <w:pStyle w:val="ListParagraph"/>
        <w:numPr>
          <w:ilvl w:val="0"/>
          <w:numId w:val="18"/>
        </w:numPr>
        <w:spacing w:after="0" w:line="240" w:lineRule="auto"/>
        <w:rPr>
          <w:color w:val="auto"/>
          <w:sz w:val="24"/>
          <w:szCs w:val="24"/>
        </w:rPr>
      </w:pPr>
      <w:r w:rsidRPr="00220719">
        <w:rPr>
          <w:b/>
          <w:bCs/>
          <w:color w:val="auto"/>
          <w:sz w:val="24"/>
          <w:szCs w:val="24"/>
        </w:rPr>
        <w:t>D1.a - Response plan</w:t>
      </w:r>
      <w:r w:rsidRPr="00220719">
        <w:rPr>
          <w:color w:val="auto"/>
          <w:sz w:val="24"/>
          <w:szCs w:val="24"/>
        </w:rPr>
        <w:br/>
        <w:t>You have an up-to-date incident response plan that is grounded in a thorough risk assessment that takes account of your essential function(s) and covers a range of incident scenarios.</w:t>
      </w:r>
    </w:p>
    <w:p w14:paraId="6382063C" w14:textId="77777777" w:rsidR="00220719" w:rsidRDefault="00220719" w:rsidP="002C44F1">
      <w:pPr>
        <w:pStyle w:val="ListParagraph"/>
        <w:numPr>
          <w:ilvl w:val="0"/>
          <w:numId w:val="18"/>
        </w:numPr>
        <w:spacing w:after="0" w:line="240" w:lineRule="auto"/>
        <w:rPr>
          <w:color w:val="auto"/>
          <w:sz w:val="24"/>
          <w:szCs w:val="24"/>
        </w:rPr>
      </w:pPr>
      <w:r w:rsidRPr="00220719">
        <w:rPr>
          <w:b/>
          <w:bCs/>
          <w:color w:val="auto"/>
          <w:sz w:val="24"/>
          <w:szCs w:val="24"/>
        </w:rPr>
        <w:t>E2.b – Consent</w:t>
      </w:r>
      <w:r w:rsidRPr="00220719">
        <w:rPr>
          <w:color w:val="auto"/>
          <w:sz w:val="24"/>
          <w:szCs w:val="24"/>
        </w:rPr>
        <w:br/>
        <w:t>You have a good understanding of requirements around consent and privacy, including the common law duty of confidentiality, and use these to manage consent.</w:t>
      </w:r>
    </w:p>
    <w:p w14:paraId="000D6C56" w14:textId="4CA1DD1C" w:rsidR="00210CB8" w:rsidRPr="00220719" w:rsidRDefault="00220719" w:rsidP="002C44F1">
      <w:pPr>
        <w:pStyle w:val="ListParagraph"/>
        <w:numPr>
          <w:ilvl w:val="0"/>
          <w:numId w:val="18"/>
        </w:numPr>
        <w:spacing w:after="0" w:line="240" w:lineRule="auto"/>
        <w:rPr>
          <w:color w:val="auto"/>
          <w:sz w:val="24"/>
          <w:szCs w:val="24"/>
        </w:rPr>
      </w:pPr>
      <w:r w:rsidRPr="00220719">
        <w:rPr>
          <w:b/>
          <w:bCs/>
          <w:color w:val="auto"/>
          <w:sz w:val="24"/>
          <w:szCs w:val="24"/>
        </w:rPr>
        <w:t>E3.a Using and sharing information sharing for direct care</w:t>
      </w:r>
      <w:r w:rsidRPr="00220719">
        <w:rPr>
          <w:color w:val="auto"/>
          <w:sz w:val="24"/>
          <w:szCs w:val="24"/>
        </w:rPr>
        <w:br/>
        <w:t>You lawfully and appropriately use and share information for direct care.</w:t>
      </w:r>
      <w:r w:rsidR="00210CB8" w:rsidRPr="00220719">
        <w:rPr>
          <w:color w:val="auto"/>
          <w:sz w:val="24"/>
          <w:szCs w:val="24"/>
        </w:rPr>
        <w:br/>
      </w:r>
    </w:p>
    <w:p w14:paraId="62AC4690" w14:textId="2415CD01" w:rsidR="00A958CA" w:rsidRDefault="005F0E00" w:rsidP="002C44F1">
      <w:pPr>
        <w:spacing w:after="0" w:line="240" w:lineRule="auto"/>
        <w:ind w:left="360"/>
        <w:jc w:val="both"/>
        <w:rPr>
          <w:b/>
          <w:bCs/>
          <w:color w:val="auto"/>
          <w:sz w:val="24"/>
          <w:szCs w:val="24"/>
        </w:rPr>
      </w:pPr>
      <w:r w:rsidRPr="00C36A7E">
        <w:rPr>
          <w:b/>
          <w:bCs/>
          <w:color w:val="auto"/>
          <w:sz w:val="24"/>
          <w:szCs w:val="24"/>
        </w:rPr>
        <w:lastRenderedPageBreak/>
        <w:t xml:space="preserve">The Senior Information Governance Manager and the Senior Information Risk Owner have selected the below additional </w:t>
      </w:r>
      <w:r w:rsidR="003A1771" w:rsidRPr="00C36A7E">
        <w:rPr>
          <w:b/>
          <w:bCs/>
          <w:color w:val="auto"/>
          <w:sz w:val="24"/>
          <w:szCs w:val="24"/>
        </w:rPr>
        <w:t xml:space="preserve">4 outcomes: </w:t>
      </w:r>
    </w:p>
    <w:p w14:paraId="421A61BF" w14:textId="77777777" w:rsidR="003A1771" w:rsidRPr="00C36A7E" w:rsidRDefault="003A1771" w:rsidP="002C44F1">
      <w:pPr>
        <w:spacing w:after="0" w:line="240" w:lineRule="auto"/>
        <w:ind w:left="360"/>
        <w:jc w:val="both"/>
        <w:rPr>
          <w:color w:val="auto"/>
          <w:sz w:val="24"/>
          <w:szCs w:val="24"/>
        </w:rPr>
      </w:pPr>
    </w:p>
    <w:p w14:paraId="60D0A40A" w14:textId="77777777" w:rsidR="00F72054" w:rsidRPr="006C31D5" w:rsidRDefault="00F72054" w:rsidP="002C44F1">
      <w:pPr>
        <w:pStyle w:val="ListParagraph"/>
        <w:numPr>
          <w:ilvl w:val="0"/>
          <w:numId w:val="25"/>
        </w:numPr>
        <w:spacing w:after="0" w:line="240" w:lineRule="auto"/>
        <w:jc w:val="both"/>
        <w:rPr>
          <w:b/>
          <w:bCs/>
          <w:color w:val="auto"/>
          <w:sz w:val="24"/>
          <w:szCs w:val="24"/>
        </w:rPr>
      </w:pPr>
      <w:r w:rsidRPr="006C31D5">
        <w:rPr>
          <w:b/>
          <w:bCs/>
          <w:color w:val="auto"/>
          <w:sz w:val="24"/>
          <w:szCs w:val="24"/>
        </w:rPr>
        <w:t>E2.a Managing data subject rights under UK GDPR</w:t>
      </w:r>
    </w:p>
    <w:p w14:paraId="3F31F604" w14:textId="77777777" w:rsidR="00F72054" w:rsidRPr="00BF4C28" w:rsidRDefault="00F72054" w:rsidP="002C44F1">
      <w:pPr>
        <w:spacing w:after="0" w:line="240" w:lineRule="auto"/>
        <w:ind w:left="360"/>
        <w:jc w:val="both"/>
        <w:rPr>
          <w:color w:val="auto"/>
          <w:sz w:val="24"/>
          <w:szCs w:val="24"/>
        </w:rPr>
      </w:pPr>
      <w:r w:rsidRPr="00BF4C28">
        <w:rPr>
          <w:color w:val="auto"/>
          <w:sz w:val="24"/>
          <w:szCs w:val="24"/>
        </w:rPr>
        <w:t>You appropriately assess and manage information rights requests such as subject access, rectification and objections.</w:t>
      </w:r>
    </w:p>
    <w:p w14:paraId="16C1250C" w14:textId="77777777" w:rsidR="0089733B" w:rsidRPr="00F72054" w:rsidRDefault="0089733B" w:rsidP="002C44F1">
      <w:pPr>
        <w:spacing w:after="0" w:line="240" w:lineRule="auto"/>
        <w:ind w:left="360"/>
        <w:jc w:val="both"/>
        <w:rPr>
          <w:color w:val="auto"/>
          <w:sz w:val="24"/>
          <w:szCs w:val="24"/>
        </w:rPr>
      </w:pPr>
    </w:p>
    <w:p w14:paraId="7AB7BDE2" w14:textId="186A18D9" w:rsidR="00F72054" w:rsidRPr="00BF4C28" w:rsidRDefault="00F72054" w:rsidP="002C44F1">
      <w:pPr>
        <w:spacing w:after="0" w:line="240" w:lineRule="auto"/>
        <w:ind w:left="360"/>
        <w:jc w:val="both"/>
        <w:rPr>
          <w:i/>
          <w:iCs/>
          <w:color w:val="auto"/>
          <w:sz w:val="24"/>
          <w:szCs w:val="24"/>
        </w:rPr>
      </w:pPr>
      <w:r w:rsidRPr="00BF4C28">
        <w:rPr>
          <w:i/>
          <w:iCs/>
          <w:color w:val="auto"/>
          <w:sz w:val="24"/>
          <w:szCs w:val="24"/>
        </w:rPr>
        <w:t xml:space="preserve">As a result of complaints and reports to the ICO the SAR Team has </w:t>
      </w:r>
      <w:r w:rsidR="00565C16" w:rsidRPr="00BF4C28">
        <w:rPr>
          <w:i/>
          <w:iCs/>
          <w:color w:val="auto"/>
          <w:sz w:val="24"/>
          <w:szCs w:val="24"/>
        </w:rPr>
        <w:t>undertaken significant</w:t>
      </w:r>
      <w:r w:rsidRPr="00BF4C28">
        <w:rPr>
          <w:i/>
          <w:iCs/>
          <w:color w:val="auto"/>
          <w:sz w:val="24"/>
          <w:szCs w:val="24"/>
        </w:rPr>
        <w:t xml:space="preserve"> work to strengthen the process and we have produced additional guidance for staff. </w:t>
      </w:r>
      <w:r w:rsidR="00565C16" w:rsidRPr="00BF4C28">
        <w:rPr>
          <w:i/>
          <w:iCs/>
          <w:color w:val="auto"/>
          <w:sz w:val="24"/>
          <w:szCs w:val="24"/>
        </w:rPr>
        <w:t xml:space="preserve">In the event of any further complaints to the ICO </w:t>
      </w:r>
      <w:r w:rsidR="0089733B" w:rsidRPr="00BF4C28">
        <w:rPr>
          <w:i/>
          <w:iCs/>
          <w:color w:val="auto"/>
          <w:sz w:val="24"/>
          <w:szCs w:val="24"/>
        </w:rPr>
        <w:t xml:space="preserve">it would be useful to have external assurance from our auditors on the process to present as part of any investigation that may arise. </w:t>
      </w:r>
    </w:p>
    <w:p w14:paraId="75FC7D69" w14:textId="77777777" w:rsidR="00F72054" w:rsidRPr="00F72054" w:rsidRDefault="00F72054" w:rsidP="002C44F1">
      <w:pPr>
        <w:spacing w:after="0" w:line="240" w:lineRule="auto"/>
        <w:ind w:left="360"/>
        <w:jc w:val="both"/>
        <w:rPr>
          <w:b/>
          <w:bCs/>
          <w:color w:val="auto"/>
          <w:sz w:val="24"/>
          <w:szCs w:val="24"/>
        </w:rPr>
      </w:pPr>
    </w:p>
    <w:p w14:paraId="72641E27" w14:textId="77777777" w:rsidR="00F72054" w:rsidRPr="006C31D5" w:rsidRDefault="00F72054" w:rsidP="002C44F1">
      <w:pPr>
        <w:pStyle w:val="ListParagraph"/>
        <w:numPr>
          <w:ilvl w:val="0"/>
          <w:numId w:val="25"/>
        </w:numPr>
        <w:spacing w:after="0" w:line="240" w:lineRule="auto"/>
        <w:jc w:val="both"/>
        <w:rPr>
          <w:b/>
          <w:bCs/>
          <w:color w:val="auto"/>
          <w:sz w:val="24"/>
          <w:szCs w:val="24"/>
        </w:rPr>
      </w:pPr>
      <w:r w:rsidRPr="006C31D5">
        <w:rPr>
          <w:b/>
          <w:bCs/>
          <w:color w:val="auto"/>
          <w:sz w:val="24"/>
          <w:szCs w:val="24"/>
        </w:rPr>
        <w:t xml:space="preserve">B3.d Mobile data </w:t>
      </w:r>
    </w:p>
    <w:p w14:paraId="05E5A57F" w14:textId="77777777" w:rsidR="00F72054" w:rsidRPr="00C36A7E" w:rsidRDefault="00F72054" w:rsidP="002C44F1">
      <w:pPr>
        <w:spacing w:after="0" w:line="240" w:lineRule="auto"/>
        <w:ind w:left="360"/>
        <w:jc w:val="both"/>
        <w:rPr>
          <w:color w:val="auto"/>
          <w:sz w:val="24"/>
          <w:szCs w:val="24"/>
        </w:rPr>
      </w:pPr>
      <w:r w:rsidRPr="00F72054">
        <w:rPr>
          <w:color w:val="auto"/>
          <w:sz w:val="24"/>
          <w:szCs w:val="24"/>
        </w:rPr>
        <w:t>You have protected data important to the operation of your essential function(s) on mobile devices.</w:t>
      </w:r>
    </w:p>
    <w:p w14:paraId="71241268" w14:textId="77777777" w:rsidR="00567A93" w:rsidRPr="00F72054" w:rsidRDefault="00567A93" w:rsidP="002C44F1">
      <w:pPr>
        <w:spacing w:after="0" w:line="240" w:lineRule="auto"/>
        <w:ind w:left="360"/>
        <w:jc w:val="both"/>
        <w:rPr>
          <w:color w:val="auto"/>
          <w:sz w:val="24"/>
          <w:szCs w:val="24"/>
        </w:rPr>
      </w:pPr>
    </w:p>
    <w:p w14:paraId="560ABF32" w14:textId="1C5B3890" w:rsidR="00F72054" w:rsidRPr="00F72054" w:rsidRDefault="00F72054" w:rsidP="002C44F1">
      <w:pPr>
        <w:spacing w:after="0" w:line="240" w:lineRule="auto"/>
        <w:ind w:left="360"/>
        <w:jc w:val="both"/>
        <w:rPr>
          <w:i/>
          <w:iCs/>
          <w:color w:val="auto"/>
          <w:sz w:val="24"/>
          <w:szCs w:val="24"/>
        </w:rPr>
      </w:pPr>
      <w:r w:rsidRPr="00F72054">
        <w:rPr>
          <w:i/>
          <w:iCs/>
          <w:color w:val="auto"/>
          <w:sz w:val="24"/>
          <w:szCs w:val="24"/>
        </w:rPr>
        <w:t>M</w:t>
      </w:r>
      <w:r w:rsidR="00C63133" w:rsidRPr="00C36A7E">
        <w:rPr>
          <w:i/>
          <w:iCs/>
          <w:color w:val="auto"/>
          <w:sz w:val="24"/>
          <w:szCs w:val="24"/>
        </w:rPr>
        <w:t xml:space="preserve">obile </w:t>
      </w:r>
      <w:r w:rsidR="00D366CD" w:rsidRPr="00C36A7E">
        <w:rPr>
          <w:i/>
          <w:iCs/>
          <w:color w:val="auto"/>
          <w:sz w:val="24"/>
          <w:szCs w:val="24"/>
        </w:rPr>
        <w:t>D</w:t>
      </w:r>
      <w:r w:rsidR="00C63133" w:rsidRPr="00C36A7E">
        <w:rPr>
          <w:i/>
          <w:iCs/>
          <w:color w:val="auto"/>
          <w:sz w:val="24"/>
          <w:szCs w:val="24"/>
        </w:rPr>
        <w:t>evice Management</w:t>
      </w:r>
      <w:r w:rsidRPr="00F72054">
        <w:rPr>
          <w:i/>
          <w:iCs/>
          <w:color w:val="auto"/>
          <w:sz w:val="24"/>
          <w:szCs w:val="24"/>
        </w:rPr>
        <w:t xml:space="preserve"> </w:t>
      </w:r>
      <w:r w:rsidR="00D366CD" w:rsidRPr="00C36A7E">
        <w:rPr>
          <w:i/>
          <w:iCs/>
          <w:color w:val="auto"/>
          <w:sz w:val="24"/>
          <w:szCs w:val="24"/>
        </w:rPr>
        <w:t xml:space="preserve">(MDM) </w:t>
      </w:r>
      <w:r w:rsidRPr="00F72054">
        <w:rPr>
          <w:i/>
          <w:iCs/>
          <w:color w:val="auto"/>
          <w:sz w:val="24"/>
          <w:szCs w:val="24"/>
        </w:rPr>
        <w:t xml:space="preserve">rollout has been completed on all mobile </w:t>
      </w:r>
      <w:r w:rsidR="0075326A" w:rsidRPr="00C36A7E">
        <w:rPr>
          <w:i/>
          <w:iCs/>
          <w:color w:val="auto"/>
          <w:sz w:val="24"/>
          <w:szCs w:val="24"/>
        </w:rPr>
        <w:t>devices;</w:t>
      </w:r>
      <w:r w:rsidRPr="00F72054">
        <w:rPr>
          <w:i/>
          <w:iCs/>
          <w:color w:val="auto"/>
          <w:sz w:val="24"/>
          <w:szCs w:val="24"/>
        </w:rPr>
        <w:t xml:space="preserve"> </w:t>
      </w:r>
      <w:r w:rsidR="00C63133" w:rsidRPr="00C36A7E">
        <w:rPr>
          <w:i/>
          <w:iCs/>
          <w:color w:val="auto"/>
          <w:sz w:val="24"/>
          <w:szCs w:val="24"/>
        </w:rPr>
        <w:t xml:space="preserve">however, we are now moving to a new mobile provider </w:t>
      </w:r>
      <w:r w:rsidR="00007D8B" w:rsidRPr="00C36A7E">
        <w:rPr>
          <w:i/>
          <w:iCs/>
          <w:color w:val="auto"/>
          <w:sz w:val="24"/>
          <w:szCs w:val="24"/>
        </w:rPr>
        <w:t xml:space="preserve">and as a result staff will need to move from the existing MDM system to </w:t>
      </w:r>
      <w:r w:rsidR="00275F82" w:rsidRPr="00C36A7E">
        <w:rPr>
          <w:i/>
          <w:iCs/>
          <w:color w:val="auto"/>
          <w:sz w:val="24"/>
          <w:szCs w:val="24"/>
        </w:rPr>
        <w:t xml:space="preserve">a </w:t>
      </w:r>
      <w:r w:rsidR="00007D8B" w:rsidRPr="00C36A7E">
        <w:rPr>
          <w:i/>
          <w:iCs/>
          <w:color w:val="auto"/>
          <w:sz w:val="24"/>
          <w:szCs w:val="24"/>
        </w:rPr>
        <w:t xml:space="preserve">new one. </w:t>
      </w:r>
      <w:r w:rsidR="00275F82" w:rsidRPr="00C36A7E">
        <w:rPr>
          <w:i/>
          <w:iCs/>
          <w:color w:val="auto"/>
          <w:sz w:val="24"/>
          <w:szCs w:val="24"/>
        </w:rPr>
        <w:t xml:space="preserve">Guidance on the new rollout has been issued to staff but we are aware </w:t>
      </w:r>
      <w:r w:rsidR="009C7727" w:rsidRPr="00C36A7E">
        <w:rPr>
          <w:i/>
          <w:iCs/>
          <w:color w:val="auto"/>
          <w:sz w:val="24"/>
          <w:szCs w:val="24"/>
        </w:rPr>
        <w:t xml:space="preserve">IT have been experiencing issues with this process and we would like external assurance that </w:t>
      </w:r>
      <w:r w:rsidR="00F804CF" w:rsidRPr="00C36A7E">
        <w:rPr>
          <w:i/>
          <w:iCs/>
          <w:color w:val="auto"/>
          <w:sz w:val="24"/>
          <w:szCs w:val="24"/>
        </w:rPr>
        <w:t>MDM has been appropriately installed on all ICB mobile devices</w:t>
      </w:r>
      <w:r w:rsidR="00275F82" w:rsidRPr="00C36A7E">
        <w:rPr>
          <w:i/>
          <w:iCs/>
          <w:color w:val="auto"/>
          <w:sz w:val="24"/>
          <w:szCs w:val="24"/>
        </w:rPr>
        <w:t xml:space="preserve">. </w:t>
      </w:r>
    </w:p>
    <w:p w14:paraId="7555B4A2" w14:textId="77777777" w:rsidR="00F72054" w:rsidRPr="00F72054" w:rsidRDefault="00F72054" w:rsidP="002C44F1">
      <w:pPr>
        <w:spacing w:after="0" w:line="240" w:lineRule="auto"/>
        <w:ind w:left="360"/>
        <w:jc w:val="both"/>
        <w:rPr>
          <w:b/>
          <w:bCs/>
          <w:color w:val="auto"/>
          <w:sz w:val="24"/>
          <w:szCs w:val="24"/>
        </w:rPr>
      </w:pPr>
    </w:p>
    <w:p w14:paraId="73FF9206" w14:textId="77777777" w:rsidR="00F72054" w:rsidRPr="006C31D5" w:rsidRDefault="00F72054" w:rsidP="002C44F1">
      <w:pPr>
        <w:pStyle w:val="ListParagraph"/>
        <w:numPr>
          <w:ilvl w:val="0"/>
          <w:numId w:val="25"/>
        </w:numPr>
        <w:spacing w:after="0" w:line="240" w:lineRule="auto"/>
        <w:jc w:val="both"/>
        <w:rPr>
          <w:b/>
          <w:bCs/>
          <w:color w:val="auto"/>
          <w:sz w:val="24"/>
          <w:szCs w:val="24"/>
        </w:rPr>
      </w:pPr>
      <w:r w:rsidRPr="006C31D5">
        <w:rPr>
          <w:b/>
          <w:bCs/>
          <w:color w:val="auto"/>
          <w:sz w:val="24"/>
          <w:szCs w:val="24"/>
        </w:rPr>
        <w:t>B3.e Media/equipment sanitisation</w:t>
      </w:r>
    </w:p>
    <w:p w14:paraId="2E91F507" w14:textId="77777777" w:rsidR="00F72054" w:rsidRPr="00C36A7E" w:rsidRDefault="00F72054" w:rsidP="002C44F1">
      <w:pPr>
        <w:spacing w:after="0" w:line="240" w:lineRule="auto"/>
        <w:ind w:left="360"/>
        <w:jc w:val="both"/>
        <w:rPr>
          <w:color w:val="auto"/>
          <w:sz w:val="24"/>
          <w:szCs w:val="24"/>
        </w:rPr>
      </w:pPr>
      <w:r w:rsidRPr="00F72054">
        <w:rPr>
          <w:color w:val="auto"/>
          <w:sz w:val="24"/>
          <w:szCs w:val="24"/>
        </w:rPr>
        <w:t>Before reuse and / or disposal you appropriately sanitise devices, equipment and removable media holding data important to the operation of your essential function(s).</w:t>
      </w:r>
    </w:p>
    <w:p w14:paraId="7876DE27" w14:textId="77777777" w:rsidR="00567A93" w:rsidRPr="00F72054" w:rsidRDefault="00567A93" w:rsidP="002C44F1">
      <w:pPr>
        <w:spacing w:after="0" w:line="240" w:lineRule="auto"/>
        <w:ind w:left="360"/>
        <w:jc w:val="both"/>
        <w:rPr>
          <w:color w:val="auto"/>
          <w:sz w:val="24"/>
          <w:szCs w:val="24"/>
        </w:rPr>
      </w:pPr>
    </w:p>
    <w:p w14:paraId="3071E955" w14:textId="4AD400C1" w:rsidR="00F72054" w:rsidRPr="00F72054" w:rsidRDefault="00F72054" w:rsidP="002C44F1">
      <w:pPr>
        <w:spacing w:after="0" w:line="240" w:lineRule="auto"/>
        <w:ind w:left="360"/>
        <w:jc w:val="both"/>
        <w:rPr>
          <w:b/>
          <w:bCs/>
          <w:color w:val="auto"/>
          <w:sz w:val="24"/>
          <w:szCs w:val="24"/>
        </w:rPr>
      </w:pPr>
      <w:r w:rsidRPr="00F72054">
        <w:rPr>
          <w:i/>
          <w:iCs/>
          <w:color w:val="auto"/>
          <w:sz w:val="24"/>
          <w:szCs w:val="24"/>
        </w:rPr>
        <w:t xml:space="preserve">As part of the </w:t>
      </w:r>
      <w:r w:rsidR="00703F47" w:rsidRPr="00C36A7E">
        <w:rPr>
          <w:i/>
          <w:iCs/>
          <w:color w:val="auto"/>
          <w:sz w:val="24"/>
          <w:szCs w:val="24"/>
        </w:rPr>
        <w:t>transition</w:t>
      </w:r>
      <w:r w:rsidRPr="00F72054">
        <w:rPr>
          <w:i/>
          <w:iCs/>
          <w:color w:val="auto"/>
          <w:sz w:val="24"/>
          <w:szCs w:val="24"/>
        </w:rPr>
        <w:t xml:space="preserve"> to the new</w:t>
      </w:r>
      <w:r w:rsidR="00703F47" w:rsidRPr="00C36A7E">
        <w:rPr>
          <w:i/>
          <w:iCs/>
          <w:color w:val="auto"/>
          <w:sz w:val="24"/>
          <w:szCs w:val="24"/>
        </w:rPr>
        <w:t xml:space="preserve"> IT</w:t>
      </w:r>
      <w:r w:rsidRPr="00F72054">
        <w:rPr>
          <w:i/>
          <w:iCs/>
          <w:color w:val="auto"/>
          <w:sz w:val="24"/>
          <w:szCs w:val="24"/>
        </w:rPr>
        <w:t xml:space="preserve"> provider </w:t>
      </w:r>
      <w:proofErr w:type="gramStart"/>
      <w:r w:rsidRPr="00F72054">
        <w:rPr>
          <w:i/>
          <w:iCs/>
          <w:color w:val="auto"/>
          <w:sz w:val="24"/>
          <w:szCs w:val="24"/>
        </w:rPr>
        <w:t xml:space="preserve">a </w:t>
      </w:r>
      <w:r w:rsidR="00703F47" w:rsidRPr="00C36A7E">
        <w:rPr>
          <w:i/>
          <w:iCs/>
          <w:color w:val="auto"/>
          <w:sz w:val="24"/>
          <w:szCs w:val="24"/>
        </w:rPr>
        <w:t>number</w:t>
      </w:r>
      <w:r w:rsidRPr="00F72054">
        <w:rPr>
          <w:i/>
          <w:iCs/>
          <w:color w:val="auto"/>
          <w:sz w:val="24"/>
          <w:szCs w:val="24"/>
        </w:rPr>
        <w:t xml:space="preserve"> of</w:t>
      </w:r>
      <w:proofErr w:type="gramEnd"/>
      <w:r w:rsidRPr="00F72054">
        <w:rPr>
          <w:i/>
          <w:iCs/>
          <w:color w:val="auto"/>
          <w:sz w:val="24"/>
          <w:szCs w:val="24"/>
        </w:rPr>
        <w:t xml:space="preserve"> devices will need to be reimaged or potentially disposed of, </w:t>
      </w:r>
      <w:r w:rsidR="00567A93" w:rsidRPr="00C36A7E">
        <w:rPr>
          <w:i/>
          <w:iCs/>
          <w:color w:val="auto"/>
          <w:sz w:val="24"/>
          <w:szCs w:val="24"/>
        </w:rPr>
        <w:t xml:space="preserve">the ICB </w:t>
      </w:r>
      <w:r w:rsidRPr="00F72054">
        <w:rPr>
          <w:i/>
          <w:iCs/>
          <w:color w:val="auto"/>
          <w:sz w:val="24"/>
          <w:szCs w:val="24"/>
        </w:rPr>
        <w:t>would like assurance that this is being managed appropriately</w:t>
      </w:r>
      <w:r w:rsidRPr="00F72054">
        <w:rPr>
          <w:b/>
          <w:bCs/>
          <w:color w:val="auto"/>
          <w:sz w:val="24"/>
          <w:szCs w:val="24"/>
        </w:rPr>
        <w:t>.</w:t>
      </w:r>
    </w:p>
    <w:p w14:paraId="1D1128EA" w14:textId="77777777" w:rsidR="00F72054" w:rsidRPr="00F72054" w:rsidRDefault="00F72054" w:rsidP="002C44F1">
      <w:pPr>
        <w:spacing w:after="0" w:line="240" w:lineRule="auto"/>
        <w:ind w:left="360"/>
        <w:jc w:val="both"/>
        <w:rPr>
          <w:b/>
          <w:bCs/>
          <w:color w:val="auto"/>
          <w:sz w:val="24"/>
          <w:szCs w:val="24"/>
        </w:rPr>
      </w:pPr>
    </w:p>
    <w:p w14:paraId="365B53FA" w14:textId="77777777" w:rsidR="00F72054" w:rsidRPr="006C31D5" w:rsidRDefault="00F72054" w:rsidP="002C44F1">
      <w:pPr>
        <w:pStyle w:val="ListParagraph"/>
        <w:numPr>
          <w:ilvl w:val="0"/>
          <w:numId w:val="25"/>
        </w:numPr>
        <w:spacing w:after="0" w:line="240" w:lineRule="auto"/>
        <w:jc w:val="both"/>
        <w:rPr>
          <w:b/>
          <w:bCs/>
          <w:color w:val="auto"/>
          <w:sz w:val="24"/>
          <w:szCs w:val="24"/>
        </w:rPr>
      </w:pPr>
      <w:r w:rsidRPr="006C31D5">
        <w:rPr>
          <w:b/>
          <w:bCs/>
          <w:color w:val="auto"/>
          <w:sz w:val="24"/>
          <w:szCs w:val="24"/>
        </w:rPr>
        <w:t>C2.a System abnormalities for attack detection</w:t>
      </w:r>
    </w:p>
    <w:p w14:paraId="68B175C9" w14:textId="77777777" w:rsidR="00F72054" w:rsidRPr="00C36A7E" w:rsidRDefault="00F72054" w:rsidP="002C44F1">
      <w:pPr>
        <w:spacing w:after="0" w:line="240" w:lineRule="auto"/>
        <w:ind w:left="360"/>
        <w:jc w:val="both"/>
        <w:rPr>
          <w:color w:val="auto"/>
          <w:sz w:val="24"/>
          <w:szCs w:val="24"/>
        </w:rPr>
      </w:pPr>
      <w:r w:rsidRPr="00F72054">
        <w:rPr>
          <w:color w:val="auto"/>
          <w:sz w:val="24"/>
          <w:szCs w:val="24"/>
        </w:rPr>
        <w:t>You define examples of abnormalities in system behaviour that provide practical ways of detecting malicious activity that is otherwise hard to identify.</w:t>
      </w:r>
    </w:p>
    <w:p w14:paraId="05E00D57" w14:textId="77777777" w:rsidR="00567A93" w:rsidRPr="00F72054" w:rsidRDefault="00567A93" w:rsidP="002C44F1">
      <w:pPr>
        <w:spacing w:after="0" w:line="240" w:lineRule="auto"/>
        <w:ind w:left="360"/>
        <w:jc w:val="both"/>
        <w:rPr>
          <w:color w:val="auto"/>
          <w:sz w:val="24"/>
          <w:szCs w:val="24"/>
        </w:rPr>
      </w:pPr>
    </w:p>
    <w:p w14:paraId="7B00834C" w14:textId="394657EC" w:rsidR="00F72054" w:rsidRPr="00F72054" w:rsidRDefault="00F72054" w:rsidP="002C44F1">
      <w:pPr>
        <w:spacing w:after="0" w:line="240" w:lineRule="auto"/>
        <w:ind w:left="360"/>
        <w:jc w:val="both"/>
        <w:rPr>
          <w:i/>
          <w:iCs/>
          <w:color w:val="auto"/>
          <w:sz w:val="24"/>
          <w:szCs w:val="24"/>
        </w:rPr>
      </w:pPr>
      <w:r w:rsidRPr="00F72054">
        <w:rPr>
          <w:i/>
          <w:iCs/>
          <w:color w:val="auto"/>
          <w:sz w:val="24"/>
          <w:szCs w:val="24"/>
        </w:rPr>
        <w:t xml:space="preserve">As above with NECS taking </w:t>
      </w:r>
      <w:r w:rsidR="00567A93" w:rsidRPr="00C36A7E">
        <w:rPr>
          <w:i/>
          <w:iCs/>
          <w:color w:val="auto"/>
          <w:sz w:val="24"/>
          <w:szCs w:val="24"/>
        </w:rPr>
        <w:t xml:space="preserve">on responsibility </w:t>
      </w:r>
      <w:r w:rsidR="00F839BD" w:rsidRPr="00C36A7E">
        <w:rPr>
          <w:i/>
          <w:iCs/>
          <w:color w:val="auto"/>
          <w:sz w:val="24"/>
          <w:szCs w:val="24"/>
        </w:rPr>
        <w:t xml:space="preserve">for a number of </w:t>
      </w:r>
      <w:r w:rsidRPr="00F72054">
        <w:rPr>
          <w:i/>
          <w:iCs/>
          <w:color w:val="auto"/>
          <w:sz w:val="24"/>
          <w:szCs w:val="24"/>
        </w:rPr>
        <w:t xml:space="preserve">systems </w:t>
      </w:r>
      <w:r w:rsidR="00F839BD" w:rsidRPr="00C36A7E">
        <w:rPr>
          <w:i/>
          <w:iCs/>
          <w:color w:val="auto"/>
          <w:sz w:val="24"/>
          <w:szCs w:val="24"/>
        </w:rPr>
        <w:t xml:space="preserve">and </w:t>
      </w:r>
      <w:proofErr w:type="gramStart"/>
      <w:r w:rsidR="00F839BD" w:rsidRPr="00C36A7E">
        <w:rPr>
          <w:i/>
          <w:iCs/>
          <w:color w:val="auto"/>
          <w:sz w:val="24"/>
          <w:szCs w:val="24"/>
        </w:rPr>
        <w:t xml:space="preserve">networks </w:t>
      </w:r>
      <w:r w:rsidRPr="00F72054">
        <w:rPr>
          <w:i/>
          <w:iCs/>
          <w:color w:val="auto"/>
          <w:sz w:val="24"/>
          <w:szCs w:val="24"/>
        </w:rPr>
        <w:t xml:space="preserve"> that</w:t>
      </w:r>
      <w:proofErr w:type="gramEnd"/>
      <w:r w:rsidRPr="00F72054">
        <w:rPr>
          <w:i/>
          <w:iCs/>
          <w:color w:val="auto"/>
          <w:sz w:val="24"/>
          <w:szCs w:val="24"/>
        </w:rPr>
        <w:t xml:space="preserve"> have previously been managed by other providers we would like assurance that they have the ability to detect any issues or abnormalities. </w:t>
      </w:r>
    </w:p>
    <w:p w14:paraId="061BF5DB" w14:textId="77777777" w:rsidR="00A958CA" w:rsidRPr="00A958CA" w:rsidRDefault="00A958CA" w:rsidP="002C44F1">
      <w:pPr>
        <w:pStyle w:val="BodyTextIndent"/>
        <w:ind w:left="0"/>
        <w:rPr>
          <w:rFonts w:ascii="Arial" w:hAnsi="Arial" w:cs="Arial"/>
        </w:rPr>
      </w:pPr>
    </w:p>
    <w:p w14:paraId="77AE12FD" w14:textId="77777777" w:rsidR="00A958CA" w:rsidRPr="00A958CA" w:rsidRDefault="00A958CA" w:rsidP="002C44F1">
      <w:pPr>
        <w:pStyle w:val="Heading5"/>
        <w:numPr>
          <w:ilvl w:val="0"/>
          <w:numId w:val="1"/>
        </w:numPr>
        <w:ind w:left="567" w:hanging="567"/>
      </w:pPr>
      <w:r w:rsidRPr="00A958CA">
        <w:t xml:space="preserve">CONCLUSION </w:t>
      </w:r>
    </w:p>
    <w:p w14:paraId="6C1B75E9" w14:textId="77777777" w:rsidR="00A958CA" w:rsidRPr="00A958CA" w:rsidRDefault="00A958CA" w:rsidP="002C44F1">
      <w:pPr>
        <w:spacing w:after="0" w:line="240" w:lineRule="auto"/>
        <w:jc w:val="both"/>
        <w:rPr>
          <w:sz w:val="24"/>
          <w:szCs w:val="24"/>
        </w:rPr>
      </w:pPr>
    </w:p>
    <w:p w14:paraId="74874B2D" w14:textId="4B142F3D" w:rsidR="00A958CA" w:rsidRPr="00A221E2" w:rsidRDefault="00345668" w:rsidP="002C44F1">
      <w:pPr>
        <w:pStyle w:val="ListParagraph"/>
        <w:numPr>
          <w:ilvl w:val="1"/>
          <w:numId w:val="1"/>
        </w:numPr>
        <w:spacing w:after="0" w:line="240" w:lineRule="auto"/>
        <w:ind w:left="567" w:hanging="567"/>
        <w:jc w:val="both"/>
        <w:rPr>
          <w:color w:val="auto"/>
          <w:sz w:val="24"/>
          <w:szCs w:val="24"/>
        </w:rPr>
      </w:pPr>
      <w:r w:rsidRPr="00A221E2">
        <w:rPr>
          <w:color w:val="auto"/>
          <w:sz w:val="24"/>
          <w:szCs w:val="24"/>
        </w:rPr>
        <w:t>There are significant changes to th</w:t>
      </w:r>
      <w:r w:rsidR="000D45A3" w:rsidRPr="00A221E2">
        <w:rPr>
          <w:color w:val="auto"/>
          <w:sz w:val="24"/>
          <w:szCs w:val="24"/>
        </w:rPr>
        <w:t>e format and requirements of the Data Security &amp; Protection Toolkit for the 24-25 submission (June 2025</w:t>
      </w:r>
      <w:r w:rsidR="001C7295" w:rsidRPr="00A221E2">
        <w:rPr>
          <w:color w:val="auto"/>
          <w:sz w:val="24"/>
          <w:szCs w:val="24"/>
        </w:rPr>
        <w:t>). The auditors are lia</w:t>
      </w:r>
      <w:r w:rsidR="00CE6017" w:rsidRPr="00A221E2">
        <w:rPr>
          <w:color w:val="auto"/>
          <w:sz w:val="24"/>
          <w:szCs w:val="24"/>
        </w:rPr>
        <w:t>i</w:t>
      </w:r>
      <w:r w:rsidR="001C7295" w:rsidRPr="00A221E2">
        <w:rPr>
          <w:color w:val="auto"/>
          <w:sz w:val="24"/>
          <w:szCs w:val="24"/>
        </w:rPr>
        <w:t xml:space="preserve">sing with the Senior Information Governance Manager and have asked for confirmation of the additional 4 outcomes to be audited. </w:t>
      </w:r>
      <w:r w:rsidR="00CE6017" w:rsidRPr="00A221E2">
        <w:rPr>
          <w:color w:val="auto"/>
          <w:sz w:val="24"/>
          <w:szCs w:val="24"/>
        </w:rPr>
        <w:t xml:space="preserve">The suggested additional outcomes and rationale are detailed above at section 3. </w:t>
      </w:r>
    </w:p>
    <w:p w14:paraId="055BEDF8" w14:textId="77777777" w:rsidR="00A958CA" w:rsidRPr="00A958CA" w:rsidRDefault="00A958CA" w:rsidP="002C44F1">
      <w:pPr>
        <w:spacing w:after="0" w:line="240" w:lineRule="auto"/>
        <w:jc w:val="both"/>
        <w:rPr>
          <w:sz w:val="24"/>
          <w:szCs w:val="24"/>
        </w:rPr>
      </w:pPr>
    </w:p>
    <w:p w14:paraId="32C4F6DF" w14:textId="77777777" w:rsidR="00A958CA" w:rsidRPr="00A958CA" w:rsidRDefault="00A958CA" w:rsidP="002C44F1">
      <w:pPr>
        <w:pStyle w:val="ListParagraph"/>
        <w:numPr>
          <w:ilvl w:val="0"/>
          <w:numId w:val="1"/>
        </w:numPr>
        <w:spacing w:after="0" w:line="240" w:lineRule="auto"/>
        <w:ind w:left="567" w:hanging="567"/>
        <w:jc w:val="both"/>
        <w:rPr>
          <w:b/>
          <w:bCs/>
          <w:sz w:val="24"/>
          <w:szCs w:val="24"/>
        </w:rPr>
      </w:pPr>
      <w:r w:rsidRPr="00A958CA">
        <w:rPr>
          <w:b/>
          <w:bCs/>
          <w:color w:val="auto"/>
          <w:sz w:val="24"/>
          <w:szCs w:val="24"/>
        </w:rPr>
        <w:t>RECOMMENDATIONS</w:t>
      </w:r>
    </w:p>
    <w:p w14:paraId="493F9032" w14:textId="77777777" w:rsidR="00A958CA" w:rsidRPr="00A958CA" w:rsidRDefault="00A958CA" w:rsidP="002C44F1">
      <w:pPr>
        <w:pStyle w:val="ListParagraph"/>
        <w:spacing w:after="0" w:line="240" w:lineRule="auto"/>
        <w:ind w:left="567"/>
        <w:jc w:val="both"/>
        <w:rPr>
          <w:b/>
          <w:bCs/>
          <w:sz w:val="24"/>
          <w:szCs w:val="24"/>
        </w:rPr>
      </w:pPr>
    </w:p>
    <w:p w14:paraId="268B9712" w14:textId="723FCE68" w:rsidR="00A958CA" w:rsidRDefault="00A958CA" w:rsidP="002C44F1">
      <w:pPr>
        <w:pStyle w:val="ListParagraph"/>
        <w:numPr>
          <w:ilvl w:val="1"/>
          <w:numId w:val="1"/>
        </w:numPr>
        <w:spacing w:after="0" w:line="240" w:lineRule="auto"/>
        <w:ind w:left="567" w:hanging="567"/>
        <w:jc w:val="both"/>
        <w:rPr>
          <w:color w:val="auto"/>
          <w:sz w:val="24"/>
          <w:szCs w:val="24"/>
        </w:rPr>
      </w:pPr>
      <w:r w:rsidRPr="00A958CA">
        <w:rPr>
          <w:color w:val="auto"/>
          <w:sz w:val="24"/>
          <w:szCs w:val="24"/>
        </w:rPr>
        <w:t>Members are asked to:</w:t>
      </w:r>
    </w:p>
    <w:p w14:paraId="0E32FEC3" w14:textId="6DA1524E" w:rsidR="00CE6017" w:rsidRDefault="00CE6017" w:rsidP="002C44F1">
      <w:pPr>
        <w:spacing w:after="0" w:line="240" w:lineRule="auto"/>
        <w:jc w:val="both"/>
        <w:rPr>
          <w:color w:val="auto"/>
        </w:rPr>
      </w:pPr>
    </w:p>
    <w:p w14:paraId="5564273A" w14:textId="77777777" w:rsidR="00CE6017" w:rsidRPr="002C44F1" w:rsidRDefault="00CE6017" w:rsidP="002C44F1">
      <w:pPr>
        <w:pStyle w:val="ListParagraph"/>
        <w:numPr>
          <w:ilvl w:val="0"/>
          <w:numId w:val="9"/>
        </w:numPr>
        <w:spacing w:after="0" w:line="240" w:lineRule="auto"/>
        <w:jc w:val="both"/>
        <w:rPr>
          <w:color w:val="auto"/>
          <w:sz w:val="24"/>
          <w:szCs w:val="24"/>
        </w:rPr>
      </w:pPr>
      <w:r w:rsidRPr="002C44F1">
        <w:rPr>
          <w:color w:val="auto"/>
          <w:sz w:val="24"/>
          <w:szCs w:val="24"/>
        </w:rPr>
        <w:lastRenderedPageBreak/>
        <w:t>Note the changes to the Data Security &amp; Protection Toolkit for 2024-25</w:t>
      </w:r>
    </w:p>
    <w:p w14:paraId="7E41B23C" w14:textId="77777777" w:rsidR="00CE6017" w:rsidRPr="002C44F1" w:rsidRDefault="00CE6017" w:rsidP="002C44F1">
      <w:pPr>
        <w:pStyle w:val="ListParagraph"/>
        <w:numPr>
          <w:ilvl w:val="0"/>
          <w:numId w:val="9"/>
        </w:numPr>
        <w:spacing w:after="0" w:line="240" w:lineRule="auto"/>
        <w:jc w:val="both"/>
        <w:rPr>
          <w:color w:val="auto"/>
          <w:sz w:val="24"/>
          <w:szCs w:val="24"/>
        </w:rPr>
      </w:pPr>
      <w:r w:rsidRPr="002C44F1">
        <w:rPr>
          <w:color w:val="auto"/>
          <w:sz w:val="24"/>
          <w:szCs w:val="24"/>
        </w:rPr>
        <w:t xml:space="preserve">Approve the additional 4 outcomes suggested for audit. </w:t>
      </w:r>
    </w:p>
    <w:p w14:paraId="65BE1488" w14:textId="77777777" w:rsidR="00697666" w:rsidRPr="002C44F1" w:rsidRDefault="00697666" w:rsidP="002C44F1">
      <w:pPr>
        <w:pStyle w:val="ListParagraph"/>
        <w:numPr>
          <w:ilvl w:val="0"/>
          <w:numId w:val="9"/>
        </w:numPr>
        <w:spacing w:after="0" w:line="240" w:lineRule="auto"/>
        <w:jc w:val="both"/>
        <w:rPr>
          <w:color w:val="auto"/>
          <w:sz w:val="24"/>
          <w:szCs w:val="24"/>
        </w:rPr>
      </w:pPr>
      <w:r w:rsidRPr="002C44F1">
        <w:rPr>
          <w:color w:val="auto"/>
          <w:sz w:val="24"/>
          <w:szCs w:val="24"/>
        </w:rPr>
        <w:t>Support the Senior Information Governance Manager to raise awareness of the changes within the ICB</w:t>
      </w:r>
    </w:p>
    <w:p w14:paraId="5200983C" w14:textId="77777777" w:rsidR="005133CC" w:rsidRDefault="005133CC" w:rsidP="002C44F1">
      <w:pPr>
        <w:spacing w:after="0" w:line="240" w:lineRule="auto"/>
        <w:rPr>
          <w:b/>
          <w:bCs/>
          <w:color w:val="auto"/>
          <w:sz w:val="24"/>
          <w:szCs w:val="24"/>
        </w:rPr>
      </w:pPr>
    </w:p>
    <w:p w14:paraId="0F2C877C" w14:textId="2BED847E" w:rsidR="00A221E2" w:rsidRDefault="00A221E2" w:rsidP="002C44F1">
      <w:pPr>
        <w:spacing w:after="0" w:line="240" w:lineRule="auto"/>
        <w:rPr>
          <w:b/>
          <w:bCs/>
          <w:color w:val="auto"/>
          <w:sz w:val="24"/>
          <w:szCs w:val="24"/>
        </w:rPr>
      </w:pPr>
      <w:r>
        <w:rPr>
          <w:b/>
          <w:bCs/>
          <w:color w:val="auto"/>
          <w:sz w:val="24"/>
          <w:szCs w:val="24"/>
        </w:rPr>
        <w:t xml:space="preserve">Annex A </w:t>
      </w:r>
      <w:r w:rsidR="001C1ACB">
        <w:rPr>
          <w:b/>
          <w:bCs/>
          <w:color w:val="auto"/>
          <w:sz w:val="24"/>
          <w:szCs w:val="24"/>
        </w:rPr>
        <w:t>–</w:t>
      </w:r>
      <w:r>
        <w:rPr>
          <w:b/>
          <w:bCs/>
          <w:color w:val="auto"/>
          <w:sz w:val="24"/>
          <w:szCs w:val="24"/>
        </w:rPr>
        <w:t xml:space="preserve"> </w:t>
      </w:r>
      <w:r w:rsidR="001C1ACB">
        <w:rPr>
          <w:b/>
          <w:bCs/>
          <w:color w:val="auto"/>
          <w:sz w:val="24"/>
          <w:szCs w:val="24"/>
        </w:rPr>
        <w:t>CAF aligned DSPT Requirements</w:t>
      </w:r>
    </w:p>
    <w:p w14:paraId="51D1D585" w14:textId="77777777" w:rsidR="001C1ACB" w:rsidRDefault="001C1ACB" w:rsidP="002C44F1">
      <w:pPr>
        <w:spacing w:after="0" w:line="240" w:lineRule="auto"/>
        <w:rPr>
          <w:b/>
          <w:bCs/>
          <w:color w:val="auto"/>
          <w:sz w:val="24"/>
          <w:szCs w:val="24"/>
        </w:rPr>
      </w:pPr>
    </w:p>
    <w:p w14:paraId="16B805DE" w14:textId="62529499" w:rsidR="006C6CAA" w:rsidRDefault="00CF077C">
      <w:pPr>
        <w:spacing w:after="0" w:line="240" w:lineRule="auto"/>
        <w:rPr>
          <w:b/>
          <w:bCs/>
          <w:color w:val="auto"/>
          <w:sz w:val="24"/>
          <w:szCs w:val="24"/>
        </w:rPr>
      </w:pPr>
      <w:r>
        <w:object w:dxaOrig="1376" w:dyaOrig="899" w14:anchorId="047C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pt;height:44.25pt" o:ole="">
            <v:imagedata r:id="rId13" o:title=""/>
          </v:shape>
          <o:OLEObject Type="Embed" ProgID="Excel.Sheet.12" ShapeID="_x0000_i1029" DrawAspect="Icon" ObjectID="_1797315030" r:id="rId14"/>
        </w:object>
      </w:r>
    </w:p>
    <w:sectPr w:rsidR="006C6CAA" w:rsidSect="000B082B">
      <w:footerReference w:type="default" r:id="rId1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626E6" w14:textId="77777777" w:rsidR="00EA1442" w:rsidRDefault="00EA1442" w:rsidP="00206B76">
      <w:pPr>
        <w:spacing w:after="0" w:line="240" w:lineRule="auto"/>
      </w:pPr>
      <w:r>
        <w:separator/>
      </w:r>
    </w:p>
  </w:endnote>
  <w:endnote w:type="continuationSeparator" w:id="0">
    <w:p w14:paraId="42C7939D" w14:textId="77777777" w:rsidR="00EA1442" w:rsidRDefault="00EA1442" w:rsidP="00206B76">
      <w:pPr>
        <w:spacing w:after="0" w:line="240" w:lineRule="auto"/>
      </w:pPr>
      <w:r>
        <w:continuationSeparator/>
      </w:r>
    </w:p>
  </w:endnote>
  <w:endnote w:type="continuationNotice" w:id="1">
    <w:p w14:paraId="5023D674" w14:textId="77777777" w:rsidR="00264F05" w:rsidRDefault="00264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15476" w14:textId="77777777" w:rsidR="00EA1442" w:rsidRDefault="00EA1442" w:rsidP="00206B76">
      <w:pPr>
        <w:spacing w:after="0" w:line="240" w:lineRule="auto"/>
      </w:pPr>
      <w:r>
        <w:separator/>
      </w:r>
    </w:p>
  </w:footnote>
  <w:footnote w:type="continuationSeparator" w:id="0">
    <w:p w14:paraId="27B7E7B3" w14:textId="77777777" w:rsidR="00EA1442" w:rsidRDefault="00EA1442" w:rsidP="00206B76">
      <w:pPr>
        <w:spacing w:after="0" w:line="240" w:lineRule="auto"/>
      </w:pPr>
      <w:r>
        <w:continuationSeparator/>
      </w:r>
    </w:p>
  </w:footnote>
  <w:footnote w:type="continuationNotice" w:id="1">
    <w:p w14:paraId="25D901D2" w14:textId="77777777" w:rsidR="00264F05" w:rsidRDefault="00264F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851" w:hanging="360"/>
      </w:p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 w15:restartNumberingAfterBreak="0">
    <w:nsid w:val="0785352A"/>
    <w:multiLevelType w:val="hybridMultilevel"/>
    <w:tmpl w:val="B15A777A"/>
    <w:lvl w:ilvl="0" w:tplc="D0ACE5D6">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D1E4F"/>
    <w:multiLevelType w:val="hybridMultilevel"/>
    <w:tmpl w:val="105610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6224BD"/>
    <w:multiLevelType w:val="hybridMultilevel"/>
    <w:tmpl w:val="336C2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C920A2"/>
    <w:multiLevelType w:val="hybridMultilevel"/>
    <w:tmpl w:val="551C9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D43CC"/>
    <w:multiLevelType w:val="hybridMultilevel"/>
    <w:tmpl w:val="6B0660E4"/>
    <w:lvl w:ilvl="0" w:tplc="D0ACE5D6">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FF3851"/>
    <w:multiLevelType w:val="hybridMultilevel"/>
    <w:tmpl w:val="26EC9F7A"/>
    <w:lvl w:ilvl="0" w:tplc="08090001">
      <w:start w:val="1"/>
      <w:numFmt w:val="bullet"/>
      <w:lvlText w:val=""/>
      <w:lvlJc w:val="left"/>
      <w:pPr>
        <w:ind w:left="1354" w:hanging="360"/>
      </w:pPr>
      <w:rPr>
        <w:rFonts w:ascii="Symbol" w:hAnsi="Symbo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9" w15:restartNumberingAfterBreak="0">
    <w:nsid w:val="2FEB7E7C"/>
    <w:multiLevelType w:val="hybridMultilevel"/>
    <w:tmpl w:val="55147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B407B7"/>
    <w:multiLevelType w:val="hybridMultilevel"/>
    <w:tmpl w:val="70B8D1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255D61"/>
    <w:multiLevelType w:val="hybridMultilevel"/>
    <w:tmpl w:val="4DFADC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7D3403F"/>
    <w:multiLevelType w:val="hybridMultilevel"/>
    <w:tmpl w:val="E94249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09427E"/>
    <w:multiLevelType w:val="hybridMultilevel"/>
    <w:tmpl w:val="22EC2EE2"/>
    <w:lvl w:ilvl="0" w:tplc="D0ACE5D6">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6D1553"/>
    <w:multiLevelType w:val="hybridMultilevel"/>
    <w:tmpl w:val="AC1ADBBE"/>
    <w:lvl w:ilvl="0" w:tplc="D0ACE5D6">
      <w:start w:val="1"/>
      <w:numFmt w:val="bullet"/>
      <w:lvlText w:val=""/>
      <w:lvlJc w:val="left"/>
      <w:pPr>
        <w:ind w:left="785"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17" w15:restartNumberingAfterBreak="0">
    <w:nsid w:val="5E4C5C87"/>
    <w:multiLevelType w:val="hybridMultilevel"/>
    <w:tmpl w:val="F17CD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66050"/>
    <w:multiLevelType w:val="hybridMultilevel"/>
    <w:tmpl w:val="76761018"/>
    <w:lvl w:ilvl="0" w:tplc="D0ACE5D6">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2A7B14"/>
    <w:multiLevelType w:val="hybridMultilevel"/>
    <w:tmpl w:val="F37C8B6A"/>
    <w:lvl w:ilvl="0" w:tplc="D0ACE5D6">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7E80698"/>
    <w:multiLevelType w:val="hybridMultilevel"/>
    <w:tmpl w:val="32A2F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94A0F01"/>
    <w:multiLevelType w:val="hybridMultilevel"/>
    <w:tmpl w:val="1056101C"/>
    <w:lvl w:ilvl="0" w:tplc="E54067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6B61AD"/>
    <w:multiLevelType w:val="hybridMultilevel"/>
    <w:tmpl w:val="4CEC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C7B06"/>
    <w:multiLevelType w:val="hybridMultilevel"/>
    <w:tmpl w:val="E5E2C8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8666477">
    <w:abstractNumId w:val="12"/>
  </w:num>
  <w:num w:numId="2" w16cid:durableId="882718920">
    <w:abstractNumId w:val="2"/>
  </w:num>
  <w:num w:numId="3" w16cid:durableId="69666238">
    <w:abstractNumId w:val="0"/>
  </w:num>
  <w:num w:numId="4" w16cid:durableId="86193173">
    <w:abstractNumId w:val="6"/>
  </w:num>
  <w:num w:numId="5" w16cid:durableId="1161777815">
    <w:abstractNumId w:val="10"/>
  </w:num>
  <w:num w:numId="6" w16cid:durableId="711077932">
    <w:abstractNumId w:val="18"/>
  </w:num>
  <w:num w:numId="7" w16cid:durableId="1507280956">
    <w:abstractNumId w:val="22"/>
  </w:num>
  <w:num w:numId="8" w16cid:durableId="973634669">
    <w:abstractNumId w:val="11"/>
  </w:num>
  <w:num w:numId="9" w16cid:durableId="2109421769">
    <w:abstractNumId w:val="3"/>
  </w:num>
  <w:num w:numId="10" w16cid:durableId="1995066860">
    <w:abstractNumId w:val="8"/>
  </w:num>
  <w:num w:numId="11" w16cid:durableId="145585363">
    <w:abstractNumId w:val="4"/>
  </w:num>
  <w:num w:numId="12" w16cid:durableId="1504851986">
    <w:abstractNumId w:val="14"/>
  </w:num>
  <w:num w:numId="13" w16cid:durableId="755438979">
    <w:abstractNumId w:val="21"/>
  </w:num>
  <w:num w:numId="14" w16cid:durableId="703557122">
    <w:abstractNumId w:val="5"/>
  </w:num>
  <w:num w:numId="15" w16cid:durableId="860704706">
    <w:abstractNumId w:val="24"/>
  </w:num>
  <w:num w:numId="16" w16cid:durableId="1872641857">
    <w:abstractNumId w:val="17"/>
  </w:num>
  <w:num w:numId="17" w16cid:durableId="971011461">
    <w:abstractNumId w:val="9"/>
  </w:num>
  <w:num w:numId="18" w16cid:durableId="1858036577">
    <w:abstractNumId w:val="16"/>
  </w:num>
  <w:num w:numId="19" w16cid:durableId="971179196">
    <w:abstractNumId w:val="15"/>
  </w:num>
  <w:num w:numId="20" w16cid:durableId="19479888">
    <w:abstractNumId w:val="20"/>
  </w:num>
  <w:num w:numId="21" w16cid:durableId="687953017">
    <w:abstractNumId w:val="19"/>
  </w:num>
  <w:num w:numId="22" w16cid:durableId="654531613">
    <w:abstractNumId w:val="1"/>
  </w:num>
  <w:num w:numId="23" w16cid:durableId="398528180">
    <w:abstractNumId w:val="13"/>
  </w:num>
  <w:num w:numId="24" w16cid:durableId="1727560509">
    <w:abstractNumId w:val="7"/>
  </w:num>
  <w:num w:numId="25" w16cid:durableId="83021591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07D8B"/>
    <w:rsid w:val="000102CB"/>
    <w:rsid w:val="000126CA"/>
    <w:rsid w:val="000175AB"/>
    <w:rsid w:val="0002024F"/>
    <w:rsid w:val="00026704"/>
    <w:rsid w:val="00043155"/>
    <w:rsid w:val="000445F2"/>
    <w:rsid w:val="00045447"/>
    <w:rsid w:val="000601A8"/>
    <w:rsid w:val="00060D40"/>
    <w:rsid w:val="0006137D"/>
    <w:rsid w:val="00080753"/>
    <w:rsid w:val="00085A81"/>
    <w:rsid w:val="00095494"/>
    <w:rsid w:val="000A1A18"/>
    <w:rsid w:val="000A2C91"/>
    <w:rsid w:val="000A6313"/>
    <w:rsid w:val="000B082B"/>
    <w:rsid w:val="000B2507"/>
    <w:rsid w:val="000B458A"/>
    <w:rsid w:val="000B6058"/>
    <w:rsid w:val="000B7B78"/>
    <w:rsid w:val="000C3DF7"/>
    <w:rsid w:val="000D2F25"/>
    <w:rsid w:val="000D45A3"/>
    <w:rsid w:val="000E4B82"/>
    <w:rsid w:val="000E54A7"/>
    <w:rsid w:val="000E66DB"/>
    <w:rsid w:val="000E6CE5"/>
    <w:rsid w:val="000E7D48"/>
    <w:rsid w:val="000F00F0"/>
    <w:rsid w:val="000F681C"/>
    <w:rsid w:val="001049D6"/>
    <w:rsid w:val="0010586B"/>
    <w:rsid w:val="0010672E"/>
    <w:rsid w:val="00117908"/>
    <w:rsid w:val="00122DFC"/>
    <w:rsid w:val="00124D1D"/>
    <w:rsid w:val="00133A04"/>
    <w:rsid w:val="00137DBB"/>
    <w:rsid w:val="00146EDF"/>
    <w:rsid w:val="00165FAE"/>
    <w:rsid w:val="0016719C"/>
    <w:rsid w:val="00167407"/>
    <w:rsid w:val="00175F5C"/>
    <w:rsid w:val="001774D9"/>
    <w:rsid w:val="00181FC5"/>
    <w:rsid w:val="00185AA9"/>
    <w:rsid w:val="00186878"/>
    <w:rsid w:val="00196845"/>
    <w:rsid w:val="001A441A"/>
    <w:rsid w:val="001B1EF2"/>
    <w:rsid w:val="001B25C2"/>
    <w:rsid w:val="001B59F2"/>
    <w:rsid w:val="001C09DB"/>
    <w:rsid w:val="001C1ACB"/>
    <w:rsid w:val="001C2543"/>
    <w:rsid w:val="001C6F52"/>
    <w:rsid w:val="001C7295"/>
    <w:rsid w:val="001C786C"/>
    <w:rsid w:val="001D5251"/>
    <w:rsid w:val="001D657A"/>
    <w:rsid w:val="001E6526"/>
    <w:rsid w:val="001E780C"/>
    <w:rsid w:val="002001E7"/>
    <w:rsid w:val="00202518"/>
    <w:rsid w:val="00204AC7"/>
    <w:rsid w:val="00206B76"/>
    <w:rsid w:val="00210CB8"/>
    <w:rsid w:val="00211B1F"/>
    <w:rsid w:val="0021269C"/>
    <w:rsid w:val="00213DF2"/>
    <w:rsid w:val="0021698E"/>
    <w:rsid w:val="002170BA"/>
    <w:rsid w:val="00220719"/>
    <w:rsid w:val="00221680"/>
    <w:rsid w:val="002258B0"/>
    <w:rsid w:val="00232FF7"/>
    <w:rsid w:val="002415F0"/>
    <w:rsid w:val="0025572F"/>
    <w:rsid w:val="00255925"/>
    <w:rsid w:val="00262604"/>
    <w:rsid w:val="00264F05"/>
    <w:rsid w:val="00270E1F"/>
    <w:rsid w:val="00272197"/>
    <w:rsid w:val="00273C37"/>
    <w:rsid w:val="00275F82"/>
    <w:rsid w:val="0029694C"/>
    <w:rsid w:val="002A13D9"/>
    <w:rsid w:val="002A182B"/>
    <w:rsid w:val="002A33AE"/>
    <w:rsid w:val="002A5816"/>
    <w:rsid w:val="002A7A62"/>
    <w:rsid w:val="002B0F1C"/>
    <w:rsid w:val="002B4676"/>
    <w:rsid w:val="002B6F55"/>
    <w:rsid w:val="002B7229"/>
    <w:rsid w:val="002C1C60"/>
    <w:rsid w:val="002C44F1"/>
    <w:rsid w:val="002D223A"/>
    <w:rsid w:val="002D22F3"/>
    <w:rsid w:val="002D2FBC"/>
    <w:rsid w:val="002D4BC5"/>
    <w:rsid w:val="002D7FCB"/>
    <w:rsid w:val="002E50F3"/>
    <w:rsid w:val="00303057"/>
    <w:rsid w:val="00310A09"/>
    <w:rsid w:val="00322DA2"/>
    <w:rsid w:val="00326FBF"/>
    <w:rsid w:val="003312D3"/>
    <w:rsid w:val="003315EE"/>
    <w:rsid w:val="00331688"/>
    <w:rsid w:val="00340567"/>
    <w:rsid w:val="0034297B"/>
    <w:rsid w:val="0034324D"/>
    <w:rsid w:val="00345668"/>
    <w:rsid w:val="00353607"/>
    <w:rsid w:val="00360D84"/>
    <w:rsid w:val="0036223F"/>
    <w:rsid w:val="003728AB"/>
    <w:rsid w:val="003734A1"/>
    <w:rsid w:val="00373698"/>
    <w:rsid w:val="0037462C"/>
    <w:rsid w:val="0037732B"/>
    <w:rsid w:val="00381FC0"/>
    <w:rsid w:val="00386180"/>
    <w:rsid w:val="00390986"/>
    <w:rsid w:val="00390F40"/>
    <w:rsid w:val="0039551A"/>
    <w:rsid w:val="003A14A9"/>
    <w:rsid w:val="003A1771"/>
    <w:rsid w:val="003A1818"/>
    <w:rsid w:val="003B2F18"/>
    <w:rsid w:val="003B6637"/>
    <w:rsid w:val="003C1D6F"/>
    <w:rsid w:val="003C5AB0"/>
    <w:rsid w:val="003D11C8"/>
    <w:rsid w:val="003D47EE"/>
    <w:rsid w:val="003E2167"/>
    <w:rsid w:val="003E5B87"/>
    <w:rsid w:val="003F0BD3"/>
    <w:rsid w:val="003F55C7"/>
    <w:rsid w:val="003F6485"/>
    <w:rsid w:val="003F7FBC"/>
    <w:rsid w:val="004159D1"/>
    <w:rsid w:val="004307C4"/>
    <w:rsid w:val="00431C03"/>
    <w:rsid w:val="00440AFA"/>
    <w:rsid w:val="00440CA7"/>
    <w:rsid w:val="00440CFB"/>
    <w:rsid w:val="00445AFD"/>
    <w:rsid w:val="0046152F"/>
    <w:rsid w:val="00466779"/>
    <w:rsid w:val="004765EA"/>
    <w:rsid w:val="00476E2A"/>
    <w:rsid w:val="00480132"/>
    <w:rsid w:val="00481604"/>
    <w:rsid w:val="00485613"/>
    <w:rsid w:val="0049270B"/>
    <w:rsid w:val="0049375E"/>
    <w:rsid w:val="00496429"/>
    <w:rsid w:val="00497DAE"/>
    <w:rsid w:val="004A4AF8"/>
    <w:rsid w:val="004A4FEF"/>
    <w:rsid w:val="004A65E3"/>
    <w:rsid w:val="004A6F2B"/>
    <w:rsid w:val="004B0CCF"/>
    <w:rsid w:val="004B6A05"/>
    <w:rsid w:val="004C16F5"/>
    <w:rsid w:val="004C2764"/>
    <w:rsid w:val="004D060E"/>
    <w:rsid w:val="004E278C"/>
    <w:rsid w:val="004F0318"/>
    <w:rsid w:val="004F1273"/>
    <w:rsid w:val="004F190C"/>
    <w:rsid w:val="004F3385"/>
    <w:rsid w:val="00505381"/>
    <w:rsid w:val="005133CC"/>
    <w:rsid w:val="00521467"/>
    <w:rsid w:val="00524FEE"/>
    <w:rsid w:val="0052611C"/>
    <w:rsid w:val="00536CBB"/>
    <w:rsid w:val="00556818"/>
    <w:rsid w:val="00565C16"/>
    <w:rsid w:val="00566BDC"/>
    <w:rsid w:val="00567A93"/>
    <w:rsid w:val="0059099C"/>
    <w:rsid w:val="0059566F"/>
    <w:rsid w:val="005A3F90"/>
    <w:rsid w:val="005A6CEB"/>
    <w:rsid w:val="005C4DDD"/>
    <w:rsid w:val="005C6C78"/>
    <w:rsid w:val="005D3300"/>
    <w:rsid w:val="005E2527"/>
    <w:rsid w:val="005F0E00"/>
    <w:rsid w:val="005F3077"/>
    <w:rsid w:val="00604489"/>
    <w:rsid w:val="00606936"/>
    <w:rsid w:val="0061348C"/>
    <w:rsid w:val="006219EE"/>
    <w:rsid w:val="006252F9"/>
    <w:rsid w:val="0063018A"/>
    <w:rsid w:val="00634CC3"/>
    <w:rsid w:val="006353ED"/>
    <w:rsid w:val="006362B9"/>
    <w:rsid w:val="0063726D"/>
    <w:rsid w:val="006500B1"/>
    <w:rsid w:val="006552CE"/>
    <w:rsid w:val="00662CBF"/>
    <w:rsid w:val="006906DA"/>
    <w:rsid w:val="00696CD9"/>
    <w:rsid w:val="00697666"/>
    <w:rsid w:val="006B4BE6"/>
    <w:rsid w:val="006C125A"/>
    <w:rsid w:val="006C1E7A"/>
    <w:rsid w:val="006C31D5"/>
    <w:rsid w:val="006C31DB"/>
    <w:rsid w:val="006C4C28"/>
    <w:rsid w:val="006C6CAA"/>
    <w:rsid w:val="006C7A4C"/>
    <w:rsid w:val="006E1649"/>
    <w:rsid w:val="006F51F1"/>
    <w:rsid w:val="006F7291"/>
    <w:rsid w:val="007025AD"/>
    <w:rsid w:val="00703F47"/>
    <w:rsid w:val="007109D4"/>
    <w:rsid w:val="00711DBE"/>
    <w:rsid w:val="00714138"/>
    <w:rsid w:val="00722B9F"/>
    <w:rsid w:val="00723683"/>
    <w:rsid w:val="00732C37"/>
    <w:rsid w:val="00746877"/>
    <w:rsid w:val="00750FD9"/>
    <w:rsid w:val="00752FC4"/>
    <w:rsid w:val="0075326A"/>
    <w:rsid w:val="0075500E"/>
    <w:rsid w:val="00764500"/>
    <w:rsid w:val="007650BC"/>
    <w:rsid w:val="007736DB"/>
    <w:rsid w:val="007A3FFD"/>
    <w:rsid w:val="007B0DD7"/>
    <w:rsid w:val="007B1DB9"/>
    <w:rsid w:val="007B2220"/>
    <w:rsid w:val="007B7316"/>
    <w:rsid w:val="007C42F1"/>
    <w:rsid w:val="007C6F0E"/>
    <w:rsid w:val="007C7835"/>
    <w:rsid w:val="007D5A7F"/>
    <w:rsid w:val="007E0F0A"/>
    <w:rsid w:val="007E5307"/>
    <w:rsid w:val="007E630F"/>
    <w:rsid w:val="007E7CB3"/>
    <w:rsid w:val="007E7D10"/>
    <w:rsid w:val="00801D37"/>
    <w:rsid w:val="008104F6"/>
    <w:rsid w:val="008133A3"/>
    <w:rsid w:val="008142EE"/>
    <w:rsid w:val="008205C8"/>
    <w:rsid w:val="00832316"/>
    <w:rsid w:val="008502FC"/>
    <w:rsid w:val="00856A5A"/>
    <w:rsid w:val="00856D9A"/>
    <w:rsid w:val="00857751"/>
    <w:rsid w:val="008601C9"/>
    <w:rsid w:val="00862AFA"/>
    <w:rsid w:val="00862D14"/>
    <w:rsid w:val="008631E4"/>
    <w:rsid w:val="00864DEE"/>
    <w:rsid w:val="00871019"/>
    <w:rsid w:val="00880E9F"/>
    <w:rsid w:val="00884D3A"/>
    <w:rsid w:val="008951B4"/>
    <w:rsid w:val="0089733B"/>
    <w:rsid w:val="008B11BB"/>
    <w:rsid w:val="008B1783"/>
    <w:rsid w:val="008B518F"/>
    <w:rsid w:val="008C54B1"/>
    <w:rsid w:val="008D121F"/>
    <w:rsid w:val="008D3EB6"/>
    <w:rsid w:val="008D4F11"/>
    <w:rsid w:val="008E64C6"/>
    <w:rsid w:val="008F2002"/>
    <w:rsid w:val="008F27FD"/>
    <w:rsid w:val="00901FDA"/>
    <w:rsid w:val="0090276F"/>
    <w:rsid w:val="009061A5"/>
    <w:rsid w:val="00912FC7"/>
    <w:rsid w:val="00913A2F"/>
    <w:rsid w:val="00922F3D"/>
    <w:rsid w:val="009302FE"/>
    <w:rsid w:val="0093186A"/>
    <w:rsid w:val="009369E8"/>
    <w:rsid w:val="009538C1"/>
    <w:rsid w:val="00953DC4"/>
    <w:rsid w:val="00955029"/>
    <w:rsid w:val="00955C5A"/>
    <w:rsid w:val="00963148"/>
    <w:rsid w:val="00974759"/>
    <w:rsid w:val="009A6569"/>
    <w:rsid w:val="009C5785"/>
    <w:rsid w:val="009C7727"/>
    <w:rsid w:val="009D047E"/>
    <w:rsid w:val="009F44BF"/>
    <w:rsid w:val="00A07AA3"/>
    <w:rsid w:val="00A11200"/>
    <w:rsid w:val="00A15276"/>
    <w:rsid w:val="00A15347"/>
    <w:rsid w:val="00A221E2"/>
    <w:rsid w:val="00A24C14"/>
    <w:rsid w:val="00A304AD"/>
    <w:rsid w:val="00A31302"/>
    <w:rsid w:val="00A35485"/>
    <w:rsid w:val="00A35FB5"/>
    <w:rsid w:val="00A5045D"/>
    <w:rsid w:val="00A5390B"/>
    <w:rsid w:val="00A569F8"/>
    <w:rsid w:val="00A6086E"/>
    <w:rsid w:val="00A713CE"/>
    <w:rsid w:val="00A736BA"/>
    <w:rsid w:val="00A75C83"/>
    <w:rsid w:val="00A76A81"/>
    <w:rsid w:val="00A83562"/>
    <w:rsid w:val="00A87191"/>
    <w:rsid w:val="00A90438"/>
    <w:rsid w:val="00A90556"/>
    <w:rsid w:val="00A928F1"/>
    <w:rsid w:val="00A95265"/>
    <w:rsid w:val="00A958CA"/>
    <w:rsid w:val="00A95E61"/>
    <w:rsid w:val="00A962A9"/>
    <w:rsid w:val="00AA7AFD"/>
    <w:rsid w:val="00AC22C8"/>
    <w:rsid w:val="00AC6206"/>
    <w:rsid w:val="00AD0594"/>
    <w:rsid w:val="00AD44BB"/>
    <w:rsid w:val="00AD4F6E"/>
    <w:rsid w:val="00AE0874"/>
    <w:rsid w:val="00AE1706"/>
    <w:rsid w:val="00AE1D23"/>
    <w:rsid w:val="00AF316A"/>
    <w:rsid w:val="00AF4C41"/>
    <w:rsid w:val="00B00F64"/>
    <w:rsid w:val="00B01207"/>
    <w:rsid w:val="00B0337D"/>
    <w:rsid w:val="00B1044C"/>
    <w:rsid w:val="00B177EC"/>
    <w:rsid w:val="00B17BE3"/>
    <w:rsid w:val="00B23603"/>
    <w:rsid w:val="00B23AD5"/>
    <w:rsid w:val="00B2634B"/>
    <w:rsid w:val="00B42479"/>
    <w:rsid w:val="00B449FA"/>
    <w:rsid w:val="00B475C7"/>
    <w:rsid w:val="00B52206"/>
    <w:rsid w:val="00B86AF2"/>
    <w:rsid w:val="00B87F8C"/>
    <w:rsid w:val="00B907B0"/>
    <w:rsid w:val="00B91EB9"/>
    <w:rsid w:val="00B9579C"/>
    <w:rsid w:val="00BA2E3F"/>
    <w:rsid w:val="00BA31CD"/>
    <w:rsid w:val="00BB5B75"/>
    <w:rsid w:val="00BC2195"/>
    <w:rsid w:val="00BD03D7"/>
    <w:rsid w:val="00BD6B55"/>
    <w:rsid w:val="00BE195D"/>
    <w:rsid w:val="00BE579C"/>
    <w:rsid w:val="00BE6F00"/>
    <w:rsid w:val="00BE7BED"/>
    <w:rsid w:val="00BF4C28"/>
    <w:rsid w:val="00C00E2C"/>
    <w:rsid w:val="00C20147"/>
    <w:rsid w:val="00C22909"/>
    <w:rsid w:val="00C252C7"/>
    <w:rsid w:val="00C36A7E"/>
    <w:rsid w:val="00C4131D"/>
    <w:rsid w:val="00C448EC"/>
    <w:rsid w:val="00C52EC7"/>
    <w:rsid w:val="00C63133"/>
    <w:rsid w:val="00C736DA"/>
    <w:rsid w:val="00C760C9"/>
    <w:rsid w:val="00C8521E"/>
    <w:rsid w:val="00C94B1C"/>
    <w:rsid w:val="00C96C54"/>
    <w:rsid w:val="00CA14EE"/>
    <w:rsid w:val="00CA24E7"/>
    <w:rsid w:val="00CA4189"/>
    <w:rsid w:val="00CA6C6F"/>
    <w:rsid w:val="00CD003C"/>
    <w:rsid w:val="00CD20A8"/>
    <w:rsid w:val="00CD534F"/>
    <w:rsid w:val="00CD5926"/>
    <w:rsid w:val="00CD6317"/>
    <w:rsid w:val="00CD7034"/>
    <w:rsid w:val="00CE23E4"/>
    <w:rsid w:val="00CE6017"/>
    <w:rsid w:val="00CF077C"/>
    <w:rsid w:val="00CF29F7"/>
    <w:rsid w:val="00CF4ABB"/>
    <w:rsid w:val="00CF5029"/>
    <w:rsid w:val="00CF51CF"/>
    <w:rsid w:val="00D00EC7"/>
    <w:rsid w:val="00D02372"/>
    <w:rsid w:val="00D05ADC"/>
    <w:rsid w:val="00D164AE"/>
    <w:rsid w:val="00D1667C"/>
    <w:rsid w:val="00D24B48"/>
    <w:rsid w:val="00D33689"/>
    <w:rsid w:val="00D366CD"/>
    <w:rsid w:val="00D431A0"/>
    <w:rsid w:val="00D5363C"/>
    <w:rsid w:val="00D619F8"/>
    <w:rsid w:val="00D63253"/>
    <w:rsid w:val="00D72226"/>
    <w:rsid w:val="00D72609"/>
    <w:rsid w:val="00D80231"/>
    <w:rsid w:val="00D833F0"/>
    <w:rsid w:val="00D86D42"/>
    <w:rsid w:val="00D90441"/>
    <w:rsid w:val="00D90801"/>
    <w:rsid w:val="00D950E3"/>
    <w:rsid w:val="00DA55E6"/>
    <w:rsid w:val="00DC01B6"/>
    <w:rsid w:val="00DC7824"/>
    <w:rsid w:val="00DC7FA8"/>
    <w:rsid w:val="00DD3540"/>
    <w:rsid w:val="00DD7F1F"/>
    <w:rsid w:val="00DF212B"/>
    <w:rsid w:val="00DF22AE"/>
    <w:rsid w:val="00E02119"/>
    <w:rsid w:val="00E16508"/>
    <w:rsid w:val="00E16E8E"/>
    <w:rsid w:val="00E213AA"/>
    <w:rsid w:val="00E22336"/>
    <w:rsid w:val="00E238FC"/>
    <w:rsid w:val="00E23F16"/>
    <w:rsid w:val="00E26982"/>
    <w:rsid w:val="00E3188D"/>
    <w:rsid w:val="00E3617B"/>
    <w:rsid w:val="00E36CAA"/>
    <w:rsid w:val="00E37AF0"/>
    <w:rsid w:val="00E428C9"/>
    <w:rsid w:val="00E42977"/>
    <w:rsid w:val="00E4346B"/>
    <w:rsid w:val="00E43B29"/>
    <w:rsid w:val="00E735DB"/>
    <w:rsid w:val="00E750DE"/>
    <w:rsid w:val="00E77806"/>
    <w:rsid w:val="00E84C5B"/>
    <w:rsid w:val="00E93107"/>
    <w:rsid w:val="00EA1442"/>
    <w:rsid w:val="00EA274F"/>
    <w:rsid w:val="00EA7E82"/>
    <w:rsid w:val="00EC02C2"/>
    <w:rsid w:val="00EC11A1"/>
    <w:rsid w:val="00ED2242"/>
    <w:rsid w:val="00EE3645"/>
    <w:rsid w:val="00EE4E15"/>
    <w:rsid w:val="00EF012F"/>
    <w:rsid w:val="00EF158C"/>
    <w:rsid w:val="00EF2519"/>
    <w:rsid w:val="00EF3216"/>
    <w:rsid w:val="00EF4BA3"/>
    <w:rsid w:val="00F02345"/>
    <w:rsid w:val="00F05F05"/>
    <w:rsid w:val="00F07B5F"/>
    <w:rsid w:val="00F12D21"/>
    <w:rsid w:val="00F169E7"/>
    <w:rsid w:val="00F17DC9"/>
    <w:rsid w:val="00F32A5F"/>
    <w:rsid w:val="00F4644B"/>
    <w:rsid w:val="00F50234"/>
    <w:rsid w:val="00F51B74"/>
    <w:rsid w:val="00F60A32"/>
    <w:rsid w:val="00F623A5"/>
    <w:rsid w:val="00F637DB"/>
    <w:rsid w:val="00F72054"/>
    <w:rsid w:val="00F76790"/>
    <w:rsid w:val="00F804CF"/>
    <w:rsid w:val="00F839BD"/>
    <w:rsid w:val="00F86952"/>
    <w:rsid w:val="00F87E85"/>
    <w:rsid w:val="00F96AEC"/>
    <w:rsid w:val="00FA5C25"/>
    <w:rsid w:val="00FA6456"/>
    <w:rsid w:val="00FB76C8"/>
    <w:rsid w:val="00FC40F8"/>
    <w:rsid w:val="00FC6A4D"/>
    <w:rsid w:val="00FE1045"/>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table" w:styleId="PlainTable1">
    <w:name w:val="Plain Table 1"/>
    <w:basedOn w:val="TableNormal"/>
    <w:uiPriority w:val="41"/>
    <w:rsid w:val="007B1D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185946764">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32655919">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37443026">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a9367-fc84-4ae7-ac9b-8b98bed52397">
      <Terms xmlns="http://schemas.microsoft.com/office/infopath/2007/PartnerControls"/>
    </lcf76f155ced4ddcb4097134ff3c332f>
    <TaxCatchAll xmlns="7e8fbbb6-66ce-4444-ab4f-4857bfdd32e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97DF58E94CF644BD28E1BF8FF78180" ma:contentTypeVersion="13" ma:contentTypeDescription="Create a new document." ma:contentTypeScope="" ma:versionID="c56865a554c3e8d378a72827dddcca80">
  <xsd:schema xmlns:xsd="http://www.w3.org/2001/XMLSchema" xmlns:xs="http://www.w3.org/2001/XMLSchema" xmlns:p="http://schemas.microsoft.com/office/2006/metadata/properties" xmlns:ns2="e3aa9367-fc84-4ae7-ac9b-8b98bed52397" xmlns:ns3="7e8fbbb6-66ce-4444-ab4f-4857bfdd32e0" targetNamespace="http://schemas.microsoft.com/office/2006/metadata/properties" ma:root="true" ma:fieldsID="055a397b6e2b14be4c404c25552bc4b3" ns2:_="" ns3:_="">
    <xsd:import namespace="e3aa9367-fc84-4ae7-ac9b-8b98bed52397"/>
    <xsd:import namespace="7e8fbbb6-66ce-4444-ab4f-4857bfdd32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9367-fc84-4ae7-ac9b-8b98bed5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fbbb6-66ce-4444-ab4f-4857bfdd32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6dcb0-d4ac-467d-8fac-8b47192480dd}" ma:internalName="TaxCatchAll" ma:showField="CatchAllData" ma:web="7e8fbbb6-66ce-4444-ab4f-4857bfdd3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e3aa9367-fc84-4ae7-ac9b-8b98bed52397"/>
    <ds:schemaRef ds:uri="7e8fbbb6-66ce-4444-ab4f-4857bfdd32e0"/>
  </ds:schemaRefs>
</ds:datastoreItem>
</file>

<file path=customXml/itemProps2.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3.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4.xml><?xml version="1.0" encoding="utf-8"?>
<ds:datastoreItem xmlns:ds="http://schemas.openxmlformats.org/officeDocument/2006/customXml" ds:itemID="{22F59AA4-D459-496E-877D-8DEDD10A0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9367-fc84-4ae7-ac9b-8b98bed52397"/>
    <ds:schemaRef ds:uri="7e8fbbb6-66ce-4444-ab4f-4857bfdd3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304</TotalTime>
  <Pages>7</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76</cp:revision>
  <cp:lastPrinted>2017-09-01T14:28:00Z</cp:lastPrinted>
  <dcterms:created xsi:type="dcterms:W3CDTF">2024-12-02T11:15:00Z</dcterms:created>
  <dcterms:modified xsi:type="dcterms:W3CDTF">2025-01-02T09:24:00Z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0x0101009097DF58E94CF644BD28E1BF8FF78180</vt:lpwstr>
  </property>
</Properties>
</file>