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296"/>
        <w:tblW w:w="0" w:type="auto"/>
        <w:tblBorders>
          <w:left w:val="double" w:sz="4" w:space="0" w:color="auto"/>
          <w:right w:val="double" w:sz="4" w:space="0" w:color="auto"/>
        </w:tblBorders>
        <w:tblLook w:val="04A0" w:firstRow="1" w:lastRow="0" w:firstColumn="1" w:lastColumn="0" w:noHBand="0" w:noVBand="1"/>
      </w:tblPr>
      <w:tblGrid>
        <w:gridCol w:w="2092"/>
        <w:gridCol w:w="7516"/>
      </w:tblGrid>
      <w:tr w:rsidR="00B23603" w:rsidRPr="00566BDC" w14:paraId="2D8CF850" w14:textId="77777777" w:rsidTr="006405B6">
        <w:tc>
          <w:tcPr>
            <w:tcW w:w="2092" w:type="dxa"/>
            <w:tcBorders>
              <w:top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tcBorders>
          </w:tcPr>
          <w:p w14:paraId="0C36CE17" w14:textId="498C8D74" w:rsidR="00B23603" w:rsidRPr="00F31E0E" w:rsidRDefault="00CB266E" w:rsidP="007B0DD7">
            <w:pPr>
              <w:spacing w:after="0" w:line="240" w:lineRule="auto"/>
              <w:rPr>
                <w:color w:val="auto"/>
                <w:sz w:val="24"/>
                <w:szCs w:val="24"/>
              </w:rPr>
            </w:pPr>
            <w:r w:rsidRPr="00CB266E">
              <w:rPr>
                <w:color w:val="auto"/>
                <w:sz w:val="24"/>
                <w:szCs w:val="24"/>
              </w:rPr>
              <w:t>Humber and North Yorkshire Integrated Care Board</w:t>
            </w:r>
          </w:p>
        </w:tc>
      </w:tr>
      <w:tr w:rsidR="00373698" w:rsidRPr="00566BDC" w14:paraId="686A02B3" w14:textId="77777777" w:rsidTr="006405B6">
        <w:tc>
          <w:tcPr>
            <w:tcW w:w="2092" w:type="dxa"/>
            <w:shd w:val="clear" w:color="auto" w:fill="D9D9D9" w:themeFill="background1" w:themeFillShade="D9"/>
          </w:tcPr>
          <w:p w14:paraId="3E0203E6" w14:textId="77777777" w:rsidR="00373698" w:rsidRPr="00524FEE" w:rsidRDefault="00373698" w:rsidP="007B0DD7">
            <w:pPr>
              <w:spacing w:after="0" w:line="240" w:lineRule="auto"/>
              <w:rPr>
                <w:b/>
                <w:color w:val="auto"/>
              </w:rPr>
            </w:pPr>
            <w:r w:rsidRPr="00524FEE">
              <w:rPr>
                <w:b/>
                <w:color w:val="auto"/>
              </w:rPr>
              <w:t>Date of Meeting:</w:t>
            </w:r>
          </w:p>
          <w:p w14:paraId="6E5C6A31" w14:textId="77777777" w:rsidR="00373698" w:rsidRPr="00524FEE" w:rsidRDefault="00373698" w:rsidP="007B0DD7">
            <w:pPr>
              <w:spacing w:after="0" w:line="240" w:lineRule="auto"/>
              <w:rPr>
                <w:b/>
                <w:color w:val="auto"/>
              </w:rPr>
            </w:pPr>
          </w:p>
        </w:tc>
        <w:tc>
          <w:tcPr>
            <w:tcW w:w="7516" w:type="dxa"/>
          </w:tcPr>
          <w:p w14:paraId="6A62B942" w14:textId="36BC8662" w:rsidR="00373698" w:rsidRPr="00F31E0E" w:rsidRDefault="00961FA0" w:rsidP="007B0DD7">
            <w:pPr>
              <w:spacing w:after="0" w:line="240" w:lineRule="auto"/>
              <w:rPr>
                <w:color w:val="auto"/>
                <w:sz w:val="24"/>
                <w:szCs w:val="24"/>
              </w:rPr>
            </w:pPr>
            <w:r>
              <w:rPr>
                <w:color w:val="auto"/>
                <w:sz w:val="24"/>
                <w:szCs w:val="24"/>
              </w:rPr>
              <w:t>12 February 2025</w:t>
            </w:r>
          </w:p>
        </w:tc>
      </w:tr>
      <w:tr w:rsidR="00373698" w:rsidRPr="00566BDC" w14:paraId="5757FC8D" w14:textId="77777777" w:rsidTr="006405B6">
        <w:tc>
          <w:tcPr>
            <w:tcW w:w="2092" w:type="dxa"/>
            <w:shd w:val="clear" w:color="auto" w:fill="D9D9D9" w:themeFill="background1" w:themeFillShade="D9"/>
          </w:tcPr>
          <w:p w14:paraId="45F6722E" w14:textId="77777777" w:rsidR="00373698" w:rsidRPr="00524FEE" w:rsidRDefault="00373698" w:rsidP="007B0DD7">
            <w:pPr>
              <w:spacing w:after="0" w:line="240" w:lineRule="auto"/>
              <w:rPr>
                <w:b/>
                <w:color w:val="auto"/>
              </w:rPr>
            </w:pPr>
            <w:r w:rsidRPr="00524FEE">
              <w:rPr>
                <w:b/>
                <w:color w:val="auto"/>
              </w:rPr>
              <w:t>Subject:</w:t>
            </w:r>
          </w:p>
          <w:p w14:paraId="1A8730CB" w14:textId="77777777" w:rsidR="00373698" w:rsidRPr="00524FEE" w:rsidRDefault="00373698" w:rsidP="007B0DD7">
            <w:pPr>
              <w:spacing w:after="0" w:line="240" w:lineRule="auto"/>
              <w:rPr>
                <w:b/>
                <w:color w:val="auto"/>
              </w:rPr>
            </w:pPr>
          </w:p>
        </w:tc>
        <w:tc>
          <w:tcPr>
            <w:tcW w:w="7516" w:type="dxa"/>
          </w:tcPr>
          <w:p w14:paraId="4F67ACAB" w14:textId="16130FBF" w:rsidR="00373698" w:rsidRPr="00CB266E" w:rsidRDefault="009D707D" w:rsidP="007B0DD7">
            <w:pPr>
              <w:spacing w:after="0" w:line="240" w:lineRule="auto"/>
              <w:rPr>
                <w:b/>
                <w:bCs/>
                <w:color w:val="auto"/>
                <w:sz w:val="32"/>
                <w:szCs w:val="32"/>
              </w:rPr>
            </w:pPr>
            <w:bookmarkStart w:id="1" w:name="_Hlk189231101"/>
            <w:r w:rsidRPr="00CB266E">
              <w:rPr>
                <w:b/>
                <w:bCs/>
                <w:color w:val="000000" w:themeColor="text1"/>
                <w:sz w:val="32"/>
                <w:szCs w:val="32"/>
              </w:rPr>
              <w:t>Freedom to Speak Up in the ICB</w:t>
            </w:r>
            <w:bookmarkEnd w:id="1"/>
          </w:p>
        </w:tc>
      </w:tr>
      <w:tr w:rsidR="00373698" w:rsidRPr="00566BDC" w14:paraId="64241F01" w14:textId="77777777" w:rsidTr="006405B6">
        <w:tc>
          <w:tcPr>
            <w:tcW w:w="2092" w:type="dxa"/>
            <w:shd w:val="clear" w:color="auto" w:fill="D9D9D9" w:themeFill="background1" w:themeFillShade="D9"/>
          </w:tcPr>
          <w:p w14:paraId="6580A4A8" w14:textId="5CA5F125" w:rsidR="00373698" w:rsidRPr="00524FEE" w:rsidRDefault="005A3F90" w:rsidP="007B0DD7">
            <w:pPr>
              <w:spacing w:after="0" w:line="240" w:lineRule="auto"/>
              <w:rPr>
                <w:b/>
                <w:color w:val="auto"/>
              </w:rPr>
            </w:pPr>
            <w:r>
              <w:rPr>
                <w:b/>
                <w:color w:val="auto"/>
              </w:rPr>
              <w:t>Director</w:t>
            </w:r>
            <w:r w:rsidR="00EF4BA3">
              <w:rPr>
                <w:b/>
                <w:color w:val="auto"/>
              </w:rPr>
              <w:t xml:space="preserve"> </w:t>
            </w:r>
            <w:r>
              <w:rPr>
                <w:b/>
                <w:color w:val="auto"/>
              </w:rPr>
              <w:t>Sponsor</w:t>
            </w:r>
            <w:r w:rsidR="00373698" w:rsidRPr="00524FEE">
              <w:rPr>
                <w:b/>
                <w:color w:val="auto"/>
              </w:rPr>
              <w:t>:</w:t>
            </w:r>
          </w:p>
          <w:p w14:paraId="1339AF67" w14:textId="77777777" w:rsidR="00373698" w:rsidRPr="00524FEE" w:rsidRDefault="00373698" w:rsidP="007B0DD7">
            <w:pPr>
              <w:spacing w:after="0" w:line="240" w:lineRule="auto"/>
              <w:rPr>
                <w:b/>
                <w:color w:val="auto"/>
              </w:rPr>
            </w:pPr>
          </w:p>
        </w:tc>
        <w:tc>
          <w:tcPr>
            <w:tcW w:w="7516" w:type="dxa"/>
          </w:tcPr>
          <w:p w14:paraId="62101B24" w14:textId="0E360C18" w:rsidR="00781949" w:rsidRDefault="009D707D" w:rsidP="007B0DD7">
            <w:pPr>
              <w:spacing w:after="0" w:line="240" w:lineRule="auto"/>
              <w:rPr>
                <w:color w:val="auto"/>
                <w:sz w:val="24"/>
                <w:szCs w:val="24"/>
              </w:rPr>
            </w:pPr>
            <w:r>
              <w:rPr>
                <w:color w:val="auto"/>
                <w:sz w:val="24"/>
                <w:szCs w:val="24"/>
              </w:rPr>
              <w:t>Dr Nigel Wells</w:t>
            </w:r>
            <w:r w:rsidR="004554A0">
              <w:rPr>
                <w:color w:val="auto"/>
                <w:sz w:val="24"/>
                <w:szCs w:val="24"/>
              </w:rPr>
              <w:t xml:space="preserve">, </w:t>
            </w:r>
            <w:r w:rsidR="00781949">
              <w:rPr>
                <w:color w:val="auto"/>
                <w:sz w:val="24"/>
                <w:szCs w:val="24"/>
              </w:rPr>
              <w:t xml:space="preserve">Executive </w:t>
            </w:r>
            <w:r>
              <w:rPr>
                <w:color w:val="auto"/>
                <w:sz w:val="24"/>
                <w:szCs w:val="24"/>
              </w:rPr>
              <w:t xml:space="preserve">Director of Clinical and Care Professionals </w:t>
            </w:r>
          </w:p>
          <w:p w14:paraId="270ACB40" w14:textId="151114AC" w:rsidR="00373698" w:rsidRPr="00F31E0E" w:rsidRDefault="00373698" w:rsidP="007B0DD7">
            <w:pPr>
              <w:spacing w:after="0" w:line="240" w:lineRule="auto"/>
              <w:rPr>
                <w:color w:val="auto"/>
                <w:sz w:val="24"/>
                <w:szCs w:val="24"/>
              </w:rPr>
            </w:pPr>
          </w:p>
        </w:tc>
      </w:tr>
      <w:tr w:rsidR="008142EE" w:rsidRPr="00566BDC" w14:paraId="40590258" w14:textId="77777777" w:rsidTr="006405B6">
        <w:tc>
          <w:tcPr>
            <w:tcW w:w="2092" w:type="dxa"/>
            <w:shd w:val="clear" w:color="auto" w:fill="D9D9D9" w:themeFill="background1" w:themeFillShade="D9"/>
          </w:tcPr>
          <w:p w14:paraId="58C65183" w14:textId="77777777" w:rsidR="008142EE" w:rsidRPr="00524FEE" w:rsidRDefault="008142EE" w:rsidP="007B0DD7">
            <w:pPr>
              <w:spacing w:after="0" w:line="240" w:lineRule="auto"/>
              <w:rPr>
                <w:b/>
                <w:color w:val="auto"/>
              </w:rPr>
            </w:pPr>
            <w:r w:rsidRPr="00524FEE">
              <w:rPr>
                <w:b/>
                <w:color w:val="auto"/>
              </w:rPr>
              <w:t>Author:</w:t>
            </w:r>
          </w:p>
          <w:p w14:paraId="4B31FADC" w14:textId="77777777" w:rsidR="008142EE" w:rsidRPr="00524FEE" w:rsidRDefault="008142EE" w:rsidP="007B0DD7">
            <w:pPr>
              <w:spacing w:after="0" w:line="240" w:lineRule="auto"/>
              <w:rPr>
                <w:b/>
                <w:color w:val="auto"/>
              </w:rPr>
            </w:pPr>
          </w:p>
        </w:tc>
        <w:tc>
          <w:tcPr>
            <w:tcW w:w="7516" w:type="dxa"/>
          </w:tcPr>
          <w:p w14:paraId="671C1E1D" w14:textId="14CAC54F" w:rsidR="008142EE" w:rsidRDefault="00503A64" w:rsidP="007B0DD7">
            <w:pPr>
              <w:spacing w:after="0" w:line="240" w:lineRule="auto"/>
              <w:rPr>
                <w:color w:val="auto"/>
                <w:sz w:val="24"/>
                <w:szCs w:val="24"/>
              </w:rPr>
            </w:pPr>
            <w:r>
              <w:rPr>
                <w:color w:val="auto"/>
                <w:sz w:val="24"/>
                <w:szCs w:val="24"/>
              </w:rPr>
              <w:t>Abigail Combes</w:t>
            </w:r>
            <w:r w:rsidR="002468FB">
              <w:rPr>
                <w:color w:val="auto"/>
                <w:sz w:val="24"/>
                <w:szCs w:val="24"/>
              </w:rPr>
              <w:t>,</w:t>
            </w:r>
            <w:r>
              <w:rPr>
                <w:color w:val="auto"/>
                <w:sz w:val="24"/>
                <w:szCs w:val="24"/>
              </w:rPr>
              <w:t xml:space="preserve"> Deputy Director of </w:t>
            </w:r>
            <w:r w:rsidR="004554A0">
              <w:rPr>
                <w:color w:val="auto"/>
                <w:sz w:val="24"/>
                <w:szCs w:val="24"/>
              </w:rPr>
              <w:t xml:space="preserve">Governance, </w:t>
            </w:r>
            <w:r>
              <w:rPr>
                <w:color w:val="auto"/>
                <w:sz w:val="24"/>
                <w:szCs w:val="24"/>
              </w:rPr>
              <w:t xml:space="preserve">Legal and Regulatory </w:t>
            </w:r>
          </w:p>
          <w:p w14:paraId="5771B5D1" w14:textId="61B297DF" w:rsidR="002468FB" w:rsidRPr="00F31E0E" w:rsidRDefault="002468FB" w:rsidP="007B0DD7">
            <w:pPr>
              <w:spacing w:after="0" w:line="240" w:lineRule="auto"/>
              <w:rPr>
                <w:color w:val="auto"/>
                <w:sz w:val="24"/>
                <w:szCs w:val="24"/>
              </w:rPr>
            </w:pP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Default="00BB5B75" w:rsidP="007C7835">
            <w:pPr>
              <w:rPr>
                <w:b/>
                <w:bCs/>
                <w:color w:val="auto"/>
              </w:rPr>
            </w:pPr>
            <w:bookmarkStart w:id="2" w:name="_Hlk138951700"/>
            <w:bookmarkEnd w:id="0"/>
            <w:r>
              <w:rPr>
                <w:b/>
                <w:bCs/>
                <w:color w:val="auto"/>
              </w:rPr>
              <w:t>Agenda Item</w:t>
            </w:r>
            <w:r w:rsidRPr="007B0DD7">
              <w:rPr>
                <w:b/>
                <w:bCs/>
                <w:color w:val="auto"/>
              </w:rPr>
              <w:t xml:space="preserve"> No: </w:t>
            </w:r>
          </w:p>
          <w:p w14:paraId="5D88B756" w14:textId="77777777" w:rsidR="00BB5B75" w:rsidRPr="007B0DD7"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06BDE942" w:rsidR="00BB5B75" w:rsidRPr="00BB5B75" w:rsidRDefault="00961FA0" w:rsidP="007C7835">
            <w:pPr>
              <w:jc w:val="center"/>
              <w:rPr>
                <w:b/>
                <w:bCs/>
                <w:sz w:val="32"/>
                <w:szCs w:val="32"/>
              </w:rPr>
            </w:pPr>
            <w:r w:rsidRPr="00961FA0">
              <w:rPr>
                <w:b/>
                <w:bCs/>
                <w:color w:val="auto"/>
                <w:sz w:val="32"/>
                <w:szCs w:val="32"/>
              </w:rPr>
              <w:t>1</w:t>
            </w:r>
            <w:r w:rsidR="009D4777">
              <w:rPr>
                <w:b/>
                <w:bCs/>
                <w:color w:val="auto"/>
                <w:sz w:val="32"/>
                <w:szCs w:val="32"/>
              </w:rPr>
              <w:t>5</w:t>
            </w:r>
          </w:p>
        </w:tc>
      </w:tr>
    </w:tbl>
    <w:bookmarkEnd w:id="2"/>
    <w:p w14:paraId="31BBC7A1" w14:textId="0B10B29D" w:rsidR="00880E9F" w:rsidRDefault="003E5B87" w:rsidP="00D05ADC">
      <w:pPr>
        <w:spacing w:after="0" w:line="120" w:lineRule="auto"/>
      </w:pPr>
      <w:r w:rsidRPr="007109D4">
        <w:rPr>
          <w:noProof/>
        </w:rPr>
        <w:drawing>
          <wp:anchor distT="0" distB="0" distL="114300" distR="114300" simplePos="0" relativeHeight="251679744" behindDoc="0" locked="0" layoutInCell="1" allowOverlap="1" wp14:anchorId="35A678BF" wp14:editId="61F6642B">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p w14:paraId="176AC93B" w14:textId="394E2501" w:rsidR="007B0DD7" w:rsidRPr="007B0DD7" w:rsidRDefault="007B0DD7" w:rsidP="007B0DD7"/>
    <w:tbl>
      <w:tblPr>
        <w:tblStyle w:val="TableGrid"/>
        <w:tblW w:w="0" w:type="auto"/>
        <w:tblLook w:val="04A0" w:firstRow="1" w:lastRow="0" w:firstColumn="1" w:lastColumn="0" w:noHBand="0" w:noVBand="1"/>
      </w:tblPr>
      <w:tblGrid>
        <w:gridCol w:w="9608"/>
      </w:tblGrid>
      <w:tr w:rsidR="00944610" w:rsidRPr="00566BDC" w14:paraId="5E0D93DE" w14:textId="77777777" w:rsidTr="006C1E7A">
        <w:trPr>
          <w:trHeight w:val="1274"/>
        </w:trPr>
        <w:tc>
          <w:tcPr>
            <w:tcW w:w="9608" w:type="dxa"/>
            <w:tcBorders>
              <w:left w:val="double" w:sz="4" w:space="0" w:color="auto"/>
              <w:bottom w:val="double" w:sz="4" w:space="0" w:color="auto"/>
              <w:right w:val="double" w:sz="4" w:space="0" w:color="auto"/>
            </w:tcBorders>
          </w:tcPr>
          <w:p w14:paraId="104A39C1" w14:textId="77777777" w:rsidR="00D72609" w:rsidRDefault="00D72609" w:rsidP="004A6F2B">
            <w:pPr>
              <w:spacing w:after="0" w:line="240" w:lineRule="auto"/>
              <w:rPr>
                <w:b/>
                <w:color w:val="auto"/>
              </w:rPr>
            </w:pPr>
          </w:p>
          <w:p w14:paraId="0A9659D6" w14:textId="05F24AFC"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232008AC" w:rsidR="006C6CAA" w:rsidRPr="003E5B87"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4554A0">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1"/>
                  <w14:checkedState w14:val="2612" w14:font="MS Gothic"/>
                  <w14:uncheckedState w14:val="2610" w14:font="MS Gothic"/>
                </w14:checkbox>
              </w:sdtPr>
              <w:sdtEndPr/>
              <w:sdtContent>
                <w:r w:rsidR="00503A64">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4554A0">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0"/>
                  <w14:checkedState w14:val="2612" w14:font="MS Gothic"/>
                  <w14:uncheckedState w14:val="2610" w14:font="MS Gothic"/>
                </w14:checkbox>
              </w:sdtPr>
              <w:sdtEndPr/>
              <w:sdtContent>
                <w:r w:rsidR="00A958CA">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1"/>
                  <w14:checkedState w14:val="2612" w14:font="MS Gothic"/>
                  <w14:uncheckedState w14:val="2610" w14:font="MS Gothic"/>
                </w14:checkbox>
              </w:sdtPr>
              <w:sdtEndPr/>
              <w:sdtContent>
                <w:r w:rsidR="004554A0">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9624"/>
      </w:tblGrid>
      <w:tr w:rsidR="00880E9F" w:rsidRPr="00566BDC" w14:paraId="1CA5B16E" w14:textId="77777777" w:rsidTr="00B34477">
        <w:trPr>
          <w:trHeight w:val="679"/>
        </w:trPr>
        <w:tc>
          <w:tcPr>
            <w:tcW w:w="9624" w:type="dxa"/>
          </w:tcPr>
          <w:p w14:paraId="5B6E1D45" w14:textId="08E6F6EA" w:rsidR="00524FEE" w:rsidRDefault="00524FEE" w:rsidP="006C6CAA">
            <w:pPr>
              <w:spacing w:after="0" w:line="240" w:lineRule="auto"/>
              <w:rPr>
                <w:b/>
                <w:color w:val="auto"/>
              </w:rPr>
            </w:pPr>
          </w:p>
          <w:p w14:paraId="14EC190B" w14:textId="69D2F452" w:rsidR="00A958CA" w:rsidRPr="00B17BE3" w:rsidRDefault="007650BC" w:rsidP="002468FB">
            <w:pPr>
              <w:spacing w:after="0" w:line="240" w:lineRule="auto"/>
              <w:rPr>
                <w:b/>
                <w:color w:val="auto"/>
              </w:rPr>
            </w:pPr>
            <w:r>
              <w:rPr>
                <w:b/>
                <w:color w:val="auto"/>
              </w:rPr>
              <w:t xml:space="preserve">SUMMARY </w:t>
            </w:r>
            <w:r w:rsidR="00F02345">
              <w:rPr>
                <w:b/>
                <w:color w:val="auto"/>
              </w:rPr>
              <w:t>OF REPORT</w:t>
            </w:r>
            <w:r w:rsidR="002B7229">
              <w:rPr>
                <w:b/>
                <w:color w:val="auto"/>
              </w:rPr>
              <w:t>:</w:t>
            </w:r>
            <w:r w:rsidR="00B17BE3">
              <w:rPr>
                <w:b/>
                <w:color w:val="auto"/>
              </w:rPr>
              <w:t xml:space="preserve"> </w:t>
            </w:r>
          </w:p>
          <w:p w14:paraId="0844BF62" w14:textId="77777777" w:rsidR="00A84BDC" w:rsidRDefault="00A84BDC" w:rsidP="006C6CAA">
            <w:pPr>
              <w:spacing w:after="0" w:line="240" w:lineRule="auto"/>
              <w:jc w:val="both"/>
              <w:rPr>
                <w:color w:val="auto"/>
              </w:rPr>
            </w:pPr>
          </w:p>
          <w:p w14:paraId="0A51F45C" w14:textId="77777777" w:rsidR="00DA750C" w:rsidRDefault="00EF1BFE" w:rsidP="00E27D72">
            <w:pPr>
              <w:spacing w:after="0" w:line="240" w:lineRule="auto"/>
              <w:rPr>
                <w:color w:val="auto"/>
              </w:rPr>
            </w:pPr>
            <w:r w:rsidRPr="00ED1A01">
              <w:rPr>
                <w:color w:val="auto"/>
              </w:rPr>
              <w:t xml:space="preserve">The ICB Board </w:t>
            </w:r>
            <w:r w:rsidR="00DA750C">
              <w:rPr>
                <w:color w:val="auto"/>
              </w:rPr>
              <w:t>requested a detailed update in respect of the internal Freedom to Speak Up arrangements for the organisation. This paper therefore is intended to provide that and will cover the following matters:</w:t>
            </w:r>
          </w:p>
          <w:p w14:paraId="09512DA1" w14:textId="77777777" w:rsidR="00DA750C" w:rsidRDefault="00DA750C" w:rsidP="00E27D72">
            <w:pPr>
              <w:spacing w:after="0" w:line="240" w:lineRule="auto"/>
              <w:rPr>
                <w:color w:val="auto"/>
              </w:rPr>
            </w:pPr>
          </w:p>
          <w:p w14:paraId="13A9D70D" w14:textId="77777777" w:rsidR="00DA750C" w:rsidRDefault="00DA750C" w:rsidP="00DA750C">
            <w:pPr>
              <w:pStyle w:val="ListParagraph"/>
              <w:numPr>
                <w:ilvl w:val="0"/>
                <w:numId w:val="19"/>
              </w:numPr>
              <w:spacing w:after="0" w:line="240" w:lineRule="auto"/>
              <w:rPr>
                <w:color w:val="auto"/>
              </w:rPr>
            </w:pPr>
            <w:r>
              <w:rPr>
                <w:color w:val="auto"/>
              </w:rPr>
              <w:t>Differences between Whistleblowing/Freedom to Speak Up and Protected Disclosure</w:t>
            </w:r>
          </w:p>
          <w:p w14:paraId="74F44780" w14:textId="77777777" w:rsidR="00DA750C" w:rsidRDefault="00DA750C" w:rsidP="00DA750C">
            <w:pPr>
              <w:pStyle w:val="ListParagraph"/>
              <w:numPr>
                <w:ilvl w:val="0"/>
                <w:numId w:val="19"/>
              </w:numPr>
              <w:spacing w:after="0" w:line="240" w:lineRule="auto"/>
              <w:rPr>
                <w:color w:val="auto"/>
              </w:rPr>
            </w:pPr>
            <w:r>
              <w:rPr>
                <w:color w:val="auto"/>
              </w:rPr>
              <w:t>Current roles and responsibilities</w:t>
            </w:r>
          </w:p>
          <w:p w14:paraId="08E2DE84" w14:textId="77777777" w:rsidR="00DA750C" w:rsidRDefault="00DA750C" w:rsidP="00DA750C">
            <w:pPr>
              <w:pStyle w:val="ListParagraph"/>
              <w:numPr>
                <w:ilvl w:val="0"/>
                <w:numId w:val="19"/>
              </w:numPr>
              <w:spacing w:after="0" w:line="240" w:lineRule="auto"/>
              <w:rPr>
                <w:color w:val="auto"/>
              </w:rPr>
            </w:pPr>
            <w:r>
              <w:rPr>
                <w:color w:val="auto"/>
              </w:rPr>
              <w:t>Freedom to Speak Up Champions</w:t>
            </w:r>
          </w:p>
          <w:p w14:paraId="760696CF" w14:textId="77777777" w:rsidR="00DA750C" w:rsidRDefault="00DA750C" w:rsidP="00DA750C">
            <w:pPr>
              <w:pStyle w:val="ListParagraph"/>
              <w:numPr>
                <w:ilvl w:val="0"/>
                <w:numId w:val="19"/>
              </w:numPr>
              <w:spacing w:after="0" w:line="240" w:lineRule="auto"/>
              <w:rPr>
                <w:color w:val="auto"/>
              </w:rPr>
            </w:pPr>
            <w:r>
              <w:rPr>
                <w:color w:val="auto"/>
              </w:rPr>
              <w:t>Any themes and trends currently identified</w:t>
            </w:r>
          </w:p>
          <w:p w14:paraId="16211DBA" w14:textId="35DFDA11" w:rsidR="00DA750C" w:rsidRDefault="00DA750C" w:rsidP="00DA750C">
            <w:pPr>
              <w:pStyle w:val="ListParagraph"/>
              <w:numPr>
                <w:ilvl w:val="0"/>
                <w:numId w:val="19"/>
              </w:numPr>
              <w:spacing w:after="0" w:line="240" w:lineRule="auto"/>
              <w:rPr>
                <w:color w:val="auto"/>
              </w:rPr>
            </w:pPr>
            <w:r>
              <w:rPr>
                <w:color w:val="auto"/>
              </w:rPr>
              <w:t>Models of function learning from outside</w:t>
            </w:r>
            <w:r w:rsidR="00FE2F89">
              <w:rPr>
                <w:color w:val="auto"/>
              </w:rPr>
              <w:t xml:space="preserve"> the ICB</w:t>
            </w:r>
          </w:p>
          <w:p w14:paraId="2A7C81D7" w14:textId="77777777" w:rsidR="00DA750C" w:rsidRDefault="00DA750C" w:rsidP="00DA750C">
            <w:pPr>
              <w:pStyle w:val="ListParagraph"/>
              <w:numPr>
                <w:ilvl w:val="0"/>
                <w:numId w:val="19"/>
              </w:numPr>
              <w:spacing w:after="0" w:line="240" w:lineRule="auto"/>
              <w:rPr>
                <w:color w:val="auto"/>
              </w:rPr>
            </w:pPr>
            <w:r>
              <w:rPr>
                <w:color w:val="auto"/>
              </w:rPr>
              <w:t>Internal audit update</w:t>
            </w:r>
          </w:p>
          <w:p w14:paraId="67608A00" w14:textId="3882F523" w:rsidR="000B2507" w:rsidRPr="00DA750C" w:rsidRDefault="00DA750C" w:rsidP="00DA750C">
            <w:pPr>
              <w:pStyle w:val="ListParagraph"/>
              <w:numPr>
                <w:ilvl w:val="0"/>
                <w:numId w:val="19"/>
              </w:numPr>
              <w:spacing w:after="0" w:line="240" w:lineRule="auto"/>
              <w:rPr>
                <w:color w:val="auto"/>
              </w:rPr>
            </w:pPr>
            <w:r>
              <w:rPr>
                <w:color w:val="auto"/>
              </w:rPr>
              <w:t>Role of the Board</w:t>
            </w:r>
            <w:r w:rsidR="00EF1BFE" w:rsidRPr="00DA750C">
              <w:rPr>
                <w:color w:val="auto"/>
              </w:rPr>
              <w:t xml:space="preserve"> </w:t>
            </w:r>
          </w:p>
          <w:p w14:paraId="40EC940D" w14:textId="77777777" w:rsidR="00EF1BFE" w:rsidRPr="00ED1A01" w:rsidRDefault="00EF1BFE" w:rsidP="00E27D72">
            <w:pPr>
              <w:spacing w:after="0" w:line="240" w:lineRule="auto"/>
              <w:rPr>
                <w:color w:val="auto"/>
              </w:rPr>
            </w:pPr>
          </w:p>
          <w:p w14:paraId="16EE181A" w14:textId="77777777" w:rsidR="00EF1BFE" w:rsidRPr="00ED1A01" w:rsidRDefault="00EF1BFE" w:rsidP="00E27D72">
            <w:pPr>
              <w:spacing w:after="0" w:line="240" w:lineRule="auto"/>
              <w:rPr>
                <w:color w:val="auto"/>
              </w:rPr>
            </w:pPr>
            <w:r w:rsidRPr="00ED1A01">
              <w:rPr>
                <w:color w:val="auto"/>
              </w:rPr>
              <w:t>Dr Nigel Wells is the ICB Freedom to Speak Up Guardian for the ICB and Mark Chamberlain is the Non-Executive Lead for Freedom to Speak Up.</w:t>
            </w:r>
          </w:p>
          <w:p w14:paraId="16EC055C" w14:textId="77777777" w:rsidR="00EF1BFE" w:rsidRPr="00ED1A01" w:rsidRDefault="00EF1BFE" w:rsidP="00E27D72">
            <w:pPr>
              <w:spacing w:after="0" w:line="240" w:lineRule="auto"/>
              <w:rPr>
                <w:color w:val="auto"/>
              </w:rPr>
            </w:pPr>
          </w:p>
          <w:p w14:paraId="1908028B" w14:textId="77777777" w:rsidR="00EF1BFE" w:rsidRDefault="00EF1BFE" w:rsidP="00E27D72">
            <w:pPr>
              <w:spacing w:after="0" w:line="240" w:lineRule="auto"/>
              <w:rPr>
                <w:color w:val="auto"/>
              </w:rPr>
            </w:pPr>
            <w:r w:rsidRPr="00ED1A01">
              <w:rPr>
                <w:color w:val="auto"/>
              </w:rPr>
              <w:t>The Freedom to Speak Up Guardian is required to be trained and registered with the National Freedom to Speak Up Guardian Office by no later than November 2024.</w:t>
            </w:r>
            <w:r w:rsidR="009E288B">
              <w:rPr>
                <w:color w:val="auto"/>
              </w:rPr>
              <w:t xml:space="preserve"> This should be done within a month of appointment as the Freedom to Speak Up Guardian however due to an administrative issue this was delayed for NHS Humber and North Yorkshire ICB. The training has now been booked in and correspondence has been exchanged with the National Office explaining the issues. </w:t>
            </w:r>
          </w:p>
          <w:p w14:paraId="02249CFE" w14:textId="77777777" w:rsidR="009E288B" w:rsidRDefault="009E288B" w:rsidP="00E27D72">
            <w:pPr>
              <w:spacing w:after="0" w:line="240" w:lineRule="auto"/>
              <w:rPr>
                <w:color w:val="auto"/>
              </w:rPr>
            </w:pPr>
          </w:p>
          <w:p w14:paraId="3C8FE263" w14:textId="2C2759C8" w:rsidR="00A72373" w:rsidRDefault="009E288B" w:rsidP="00E27D72">
            <w:pPr>
              <w:spacing w:after="0" w:line="240" w:lineRule="auto"/>
              <w:rPr>
                <w:color w:val="auto"/>
              </w:rPr>
            </w:pPr>
            <w:r>
              <w:rPr>
                <w:color w:val="auto"/>
              </w:rPr>
              <w:t xml:space="preserve">There have been </w:t>
            </w:r>
            <w:proofErr w:type="gramStart"/>
            <w:r>
              <w:rPr>
                <w:color w:val="auto"/>
              </w:rPr>
              <w:t>a number of</w:t>
            </w:r>
            <w:proofErr w:type="gramEnd"/>
            <w:r>
              <w:rPr>
                <w:color w:val="auto"/>
              </w:rPr>
              <w:t xml:space="preserve"> FTSU concerns raised with the ICB primarily related to provider organisations where there </w:t>
            </w:r>
            <w:r w:rsidR="00A72373">
              <w:rPr>
                <w:color w:val="auto"/>
              </w:rPr>
              <w:t xml:space="preserve">has been a relationship breakdown or a fear that reporting directly to the organisation may reflect on the individual relationships. The ICB Freedom to Speak Up Guardian is keen to maintain a level of independence from partner organisation Guardians </w:t>
            </w:r>
            <w:proofErr w:type="gramStart"/>
            <w:r w:rsidR="00A72373">
              <w:rPr>
                <w:color w:val="auto"/>
              </w:rPr>
              <w:t>in order to</w:t>
            </w:r>
            <w:proofErr w:type="gramEnd"/>
            <w:r w:rsidR="00A72373">
              <w:rPr>
                <w:color w:val="auto"/>
              </w:rPr>
              <w:t xml:space="preserve"> ensure that there is an option for staff to report to the ICB where they have concerns that cannot easily be raised within their own organisation. Likewise, the ICB would expect that ICB staff could raise concerns about the ICB either with NHS England or with system partners and expect this to be treated with independent scrutiny. </w:t>
            </w:r>
          </w:p>
          <w:p w14:paraId="7493BAAE" w14:textId="77777777" w:rsidR="00A72373" w:rsidRDefault="00A72373" w:rsidP="00E27D72">
            <w:pPr>
              <w:spacing w:after="0" w:line="240" w:lineRule="auto"/>
              <w:rPr>
                <w:color w:val="auto"/>
              </w:rPr>
            </w:pPr>
          </w:p>
          <w:p w14:paraId="1C436C8F" w14:textId="77777777" w:rsidR="00A72373" w:rsidRDefault="00A72373" w:rsidP="00E27D72">
            <w:pPr>
              <w:spacing w:after="0" w:line="240" w:lineRule="auto"/>
              <w:rPr>
                <w:color w:val="auto"/>
              </w:rPr>
            </w:pPr>
            <w:r>
              <w:rPr>
                <w:color w:val="auto"/>
              </w:rPr>
              <w:lastRenderedPageBreak/>
              <w:t xml:space="preserve">There has been one concern relating directly to issues within the ICB however upon triage this was determined to be more appropriately managed through the HR </w:t>
            </w:r>
            <w:proofErr w:type="gramStart"/>
            <w:r>
              <w:rPr>
                <w:color w:val="auto"/>
              </w:rPr>
              <w:t>route</w:t>
            </w:r>
            <w:proofErr w:type="gramEnd"/>
            <w:r>
              <w:rPr>
                <w:color w:val="auto"/>
              </w:rPr>
              <w:t xml:space="preserve"> and this remains ongoing at the time of reporting. </w:t>
            </w:r>
          </w:p>
          <w:p w14:paraId="17C0BA79" w14:textId="77777777" w:rsidR="00A72373" w:rsidRDefault="00A72373" w:rsidP="00E27D72">
            <w:pPr>
              <w:spacing w:after="0" w:line="240" w:lineRule="auto"/>
              <w:rPr>
                <w:color w:val="auto"/>
              </w:rPr>
            </w:pPr>
          </w:p>
          <w:p w14:paraId="6FD8470B" w14:textId="77777777" w:rsidR="00A72373" w:rsidRDefault="00A72373" w:rsidP="00E27D72">
            <w:pPr>
              <w:spacing w:after="0" w:line="240" w:lineRule="auto"/>
              <w:rPr>
                <w:color w:val="auto"/>
              </w:rPr>
            </w:pPr>
            <w:r>
              <w:rPr>
                <w:color w:val="auto"/>
              </w:rPr>
              <w:t xml:space="preserve">The ICB continues to plan for developing relationships across organisations through networks of Freedom to Speak Up champions and links to the Medical Examiner services. </w:t>
            </w:r>
          </w:p>
          <w:p w14:paraId="0FE41EB2" w14:textId="77777777" w:rsidR="00A72373" w:rsidRDefault="00A72373" w:rsidP="00E27D72">
            <w:pPr>
              <w:spacing w:after="0" w:line="240" w:lineRule="auto"/>
              <w:rPr>
                <w:color w:val="auto"/>
              </w:rPr>
            </w:pPr>
          </w:p>
          <w:p w14:paraId="3105084C" w14:textId="77777777" w:rsidR="00A72373" w:rsidRDefault="00A72373" w:rsidP="00E27D72">
            <w:pPr>
              <w:spacing w:after="0" w:line="240" w:lineRule="auto"/>
              <w:rPr>
                <w:color w:val="auto"/>
              </w:rPr>
            </w:pPr>
            <w:r>
              <w:rPr>
                <w:color w:val="auto"/>
              </w:rPr>
              <w:t xml:space="preserve">The ICB has noted that the current FTSU network does not necessarily reflect the diversity of the system workforce or the population and seeks to improve this through engagement with staff and networks. </w:t>
            </w:r>
          </w:p>
          <w:p w14:paraId="732CA2F8" w14:textId="77777777" w:rsidR="009E288B" w:rsidRDefault="00A72373" w:rsidP="00622BD8">
            <w:pPr>
              <w:spacing w:after="0" w:line="240" w:lineRule="auto"/>
              <w:rPr>
                <w:color w:val="auto"/>
              </w:rPr>
            </w:pPr>
            <w:r>
              <w:rPr>
                <w:color w:val="auto"/>
              </w:rPr>
              <w:t xml:space="preserve">The ICB is currently navigating the Freedom to Speak Up role within primary care and understanding the possible options for delivery of a Freedom to Speak Up service within that sector and the resource required. </w:t>
            </w:r>
            <w:r w:rsidR="009E288B">
              <w:rPr>
                <w:color w:val="auto"/>
              </w:rPr>
              <w:t xml:space="preserve"> </w:t>
            </w:r>
          </w:p>
          <w:p w14:paraId="4CB3C48F" w14:textId="77777777" w:rsidR="00B34477" w:rsidRDefault="00B34477" w:rsidP="00622BD8">
            <w:pPr>
              <w:spacing w:after="0" w:line="240" w:lineRule="auto"/>
              <w:rPr>
                <w:color w:val="auto"/>
              </w:rPr>
            </w:pPr>
          </w:p>
          <w:p w14:paraId="3B26F8DD" w14:textId="2D13CE8D" w:rsidR="00B34477" w:rsidRPr="00B34477" w:rsidRDefault="00B34477" w:rsidP="00622BD8">
            <w:pPr>
              <w:spacing w:after="0" w:line="240" w:lineRule="auto"/>
              <w:rPr>
                <w:b/>
                <w:bCs/>
                <w:color w:val="auto"/>
              </w:rPr>
            </w:pPr>
            <w:r>
              <w:rPr>
                <w:b/>
                <w:bCs/>
                <w:color w:val="auto"/>
              </w:rPr>
              <w:t>RECOMMENDATIONS:</w:t>
            </w:r>
          </w:p>
          <w:p w14:paraId="7319EC4C" w14:textId="77777777" w:rsidR="0037424A" w:rsidRDefault="0037424A" w:rsidP="00622BD8">
            <w:pPr>
              <w:spacing w:after="0" w:line="240" w:lineRule="auto"/>
              <w:rPr>
                <w:color w:val="auto"/>
              </w:rPr>
            </w:pPr>
          </w:p>
          <w:p w14:paraId="448B2369" w14:textId="77777777" w:rsidR="0037424A" w:rsidRPr="0037424A" w:rsidRDefault="0037424A" w:rsidP="0037424A">
            <w:pPr>
              <w:spacing w:after="0" w:line="240" w:lineRule="auto"/>
              <w:jc w:val="both"/>
              <w:rPr>
                <w:color w:val="auto"/>
                <w:sz w:val="24"/>
                <w:szCs w:val="24"/>
              </w:rPr>
            </w:pPr>
            <w:r w:rsidRPr="0037424A">
              <w:rPr>
                <w:color w:val="auto"/>
                <w:sz w:val="24"/>
                <w:szCs w:val="24"/>
              </w:rPr>
              <w:t>Members are asked to:</w:t>
            </w:r>
          </w:p>
          <w:p w14:paraId="28DA3A1A" w14:textId="77777777" w:rsidR="0037424A" w:rsidRPr="00A958CA" w:rsidRDefault="0037424A" w:rsidP="0037424A">
            <w:pPr>
              <w:pStyle w:val="ListParagraph"/>
              <w:spacing w:after="0" w:line="240" w:lineRule="auto"/>
              <w:ind w:left="567"/>
              <w:jc w:val="both"/>
              <w:rPr>
                <w:color w:val="auto"/>
                <w:sz w:val="24"/>
                <w:szCs w:val="24"/>
              </w:rPr>
            </w:pPr>
          </w:p>
          <w:p w14:paraId="56F3D1CF" w14:textId="77777777" w:rsidR="0037424A" w:rsidRPr="00252019" w:rsidRDefault="0037424A" w:rsidP="0037424A">
            <w:pPr>
              <w:pStyle w:val="ListParagraph"/>
              <w:numPr>
                <w:ilvl w:val="0"/>
                <w:numId w:val="16"/>
              </w:numPr>
              <w:spacing w:after="0" w:line="240" w:lineRule="auto"/>
              <w:ind w:left="306" w:hanging="306"/>
              <w:jc w:val="both"/>
              <w:rPr>
                <w:color w:val="auto"/>
              </w:rPr>
            </w:pPr>
            <w:r>
              <w:rPr>
                <w:color w:val="auto"/>
              </w:rPr>
              <w:t xml:space="preserve">Receive the details regarding Whistleblowing/Freedom to Speak Up arrangements which have been received by the ICB since November 2023 </w:t>
            </w:r>
            <w:r w:rsidRPr="00252019">
              <w:rPr>
                <w:color w:val="auto"/>
              </w:rPr>
              <w:t>and assurance that they have been managed or are being managed with appropriate process.</w:t>
            </w:r>
          </w:p>
          <w:p w14:paraId="5947EC60" w14:textId="77777777" w:rsidR="0037424A" w:rsidRPr="00B34477" w:rsidRDefault="0037424A" w:rsidP="00622BD8">
            <w:pPr>
              <w:spacing w:after="0" w:line="240" w:lineRule="auto"/>
              <w:rPr>
                <w:color w:val="auto"/>
                <w:sz w:val="16"/>
                <w:szCs w:val="16"/>
              </w:rPr>
            </w:pPr>
          </w:p>
          <w:p w14:paraId="5DD056FB" w14:textId="7F5A2800" w:rsidR="00B34477" w:rsidRPr="00B34477" w:rsidRDefault="00B34477" w:rsidP="00622BD8">
            <w:pPr>
              <w:spacing w:after="0" w:line="240" w:lineRule="auto"/>
              <w:rPr>
                <w:color w:val="auto"/>
                <w:sz w:val="16"/>
                <w:szCs w:val="16"/>
              </w:rPr>
            </w:pPr>
          </w:p>
        </w:tc>
      </w:tr>
    </w:tbl>
    <w:p w14:paraId="019D6696" w14:textId="0E753FDE" w:rsidR="00381FC0" w:rsidRDefault="00381FC0"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C1E7A" w:rsidRPr="00524FEE" w14:paraId="63DCEC3B" w14:textId="77777777" w:rsidTr="00CB266E">
        <w:trPr>
          <w:trHeight w:val="427"/>
        </w:trPr>
        <w:tc>
          <w:tcPr>
            <w:tcW w:w="9608" w:type="dxa"/>
            <w:tcBorders>
              <w:bottom w:val="double" w:sz="4" w:space="0" w:color="auto"/>
            </w:tcBorders>
            <w:shd w:val="clear" w:color="auto" w:fill="D9D9D9" w:themeFill="background1" w:themeFillShade="D9"/>
          </w:tcPr>
          <w:p w14:paraId="04298EB3" w14:textId="77777777" w:rsidR="006C1E7A" w:rsidRDefault="006C1E7A" w:rsidP="009B1B8C">
            <w:pPr>
              <w:spacing w:after="0"/>
              <w:rPr>
                <w:b/>
                <w:color w:val="auto"/>
                <w:sz w:val="24"/>
                <w:szCs w:val="24"/>
              </w:rPr>
            </w:pPr>
            <w:bookmarkStart w:id="3" w:name="_Hlk138950819"/>
            <w:r>
              <w:rPr>
                <w:b/>
                <w:color w:val="auto"/>
                <w:sz w:val="24"/>
                <w:szCs w:val="24"/>
              </w:rPr>
              <w:t xml:space="preserve">ICB STRATEGIC </w:t>
            </w:r>
            <w:r w:rsidRPr="00753A32">
              <w:rPr>
                <w:b/>
                <w:color w:val="auto"/>
                <w:sz w:val="24"/>
                <w:szCs w:val="24"/>
              </w:rPr>
              <w:t>OBJECTIVE</w:t>
            </w:r>
            <w:r>
              <w:rPr>
                <w:b/>
                <w:color w:val="auto"/>
                <w:sz w:val="24"/>
                <w:szCs w:val="24"/>
              </w:rPr>
              <w:t xml:space="preserve"> </w:t>
            </w:r>
          </w:p>
          <w:p w14:paraId="3A979286" w14:textId="704F7B2F" w:rsidR="00CB266E" w:rsidRPr="00524FEE" w:rsidRDefault="00CB266E" w:rsidP="009B1B8C">
            <w:pPr>
              <w:spacing w:after="0"/>
              <w:rPr>
                <w:color w:val="auto"/>
              </w:rPr>
            </w:pPr>
          </w:p>
        </w:tc>
      </w:tr>
      <w:bookmarkEnd w:id="3"/>
    </w:tbl>
    <w:p w14:paraId="7A898DFD" w14:textId="77777777" w:rsidR="00ED02BF" w:rsidRDefault="00ED02BF" w:rsidP="00D05ADC">
      <w:pPr>
        <w:spacing w:after="0" w:line="120" w:lineRule="auto"/>
        <w:rPr>
          <w:color w:val="auto"/>
        </w:rPr>
      </w:pPr>
    </w:p>
    <w:tbl>
      <w:tblPr>
        <w:tblStyle w:val="TableGrid"/>
        <w:tblpPr w:leftFromText="180" w:rightFromText="180" w:vertAnchor="text" w:horzAnchor="margin" w:tblpY="-64"/>
        <w:tblW w:w="0" w:type="auto"/>
        <w:tblLook w:val="04A0" w:firstRow="1" w:lastRow="0" w:firstColumn="1" w:lastColumn="0" w:noHBand="0" w:noVBand="1"/>
      </w:tblPr>
      <w:tblGrid>
        <w:gridCol w:w="7640"/>
        <w:gridCol w:w="1968"/>
      </w:tblGrid>
      <w:tr w:rsidR="00622BD8" w:rsidRPr="00566BDC" w14:paraId="184C4369" w14:textId="77777777" w:rsidTr="00ED02BF">
        <w:trPr>
          <w:trHeight w:val="546"/>
        </w:trPr>
        <w:tc>
          <w:tcPr>
            <w:tcW w:w="7640" w:type="dxa"/>
            <w:tcBorders>
              <w:top w:val="double" w:sz="4" w:space="0" w:color="auto"/>
              <w:left w:val="double" w:sz="4" w:space="0" w:color="auto"/>
            </w:tcBorders>
          </w:tcPr>
          <w:p w14:paraId="100DB891" w14:textId="16AA689E" w:rsidR="00622BD8" w:rsidRPr="00524FEE" w:rsidRDefault="00622BD8" w:rsidP="00622BD8">
            <w:pPr>
              <w:spacing w:after="0" w:line="240" w:lineRule="auto"/>
              <w:rPr>
                <w:b/>
                <w:color w:val="auto"/>
              </w:rPr>
            </w:pPr>
            <w:r w:rsidRPr="004A15A3">
              <w:rPr>
                <w:color w:val="auto"/>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68" w:type="dxa"/>
                <w:tcBorders>
                  <w:top w:val="double" w:sz="4" w:space="0" w:color="auto"/>
                  <w:right w:val="double" w:sz="4" w:space="0" w:color="auto"/>
                </w:tcBorders>
              </w:tcPr>
              <w:p w14:paraId="796E51FD" w14:textId="10D703F0" w:rsidR="00622BD8" w:rsidRPr="00F31E0E" w:rsidRDefault="00622BD8" w:rsidP="00622BD8">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622BD8" w:rsidRPr="00566BDC" w14:paraId="0896D655" w14:textId="77777777" w:rsidTr="00961FA0">
        <w:trPr>
          <w:trHeight w:val="528"/>
        </w:trPr>
        <w:tc>
          <w:tcPr>
            <w:tcW w:w="7640" w:type="dxa"/>
            <w:tcBorders>
              <w:left w:val="double" w:sz="4" w:space="0" w:color="auto"/>
              <w:bottom w:val="single" w:sz="4" w:space="0" w:color="auto"/>
            </w:tcBorders>
          </w:tcPr>
          <w:p w14:paraId="0B619267" w14:textId="23BEC4BD" w:rsidR="00622BD8" w:rsidRPr="00524FEE" w:rsidRDefault="00622BD8" w:rsidP="00622BD8">
            <w:pPr>
              <w:spacing w:after="0" w:line="240" w:lineRule="auto"/>
              <w:rPr>
                <w:b/>
                <w:color w:val="auto"/>
              </w:rPr>
            </w:pPr>
            <w:r w:rsidRPr="004A15A3">
              <w:rPr>
                <w:color w:val="auto"/>
              </w:rPr>
              <w:t>Leading for Prevention</w:t>
            </w:r>
          </w:p>
        </w:tc>
        <w:sdt>
          <w:sdtPr>
            <w:rPr>
              <w:color w:val="auto"/>
              <w:sz w:val="40"/>
              <w:szCs w:val="40"/>
            </w:rPr>
            <w:id w:val="1263573161"/>
            <w14:checkbox>
              <w14:checked w14:val="0"/>
              <w14:checkedState w14:val="2612" w14:font="MS Gothic"/>
              <w14:uncheckedState w14:val="2610" w14:font="MS Gothic"/>
            </w14:checkbox>
          </w:sdtPr>
          <w:sdtEndPr/>
          <w:sdtContent>
            <w:tc>
              <w:tcPr>
                <w:tcW w:w="1968" w:type="dxa"/>
                <w:tcBorders>
                  <w:bottom w:val="single" w:sz="4" w:space="0" w:color="auto"/>
                  <w:right w:val="double" w:sz="4" w:space="0" w:color="auto"/>
                </w:tcBorders>
              </w:tcPr>
              <w:p w14:paraId="393A31D7" w14:textId="03366673" w:rsidR="00622BD8" w:rsidRPr="00F31E0E" w:rsidRDefault="00622BD8" w:rsidP="00622BD8">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622BD8" w:rsidRPr="00566BDC" w14:paraId="6432F0E8" w14:textId="77777777" w:rsidTr="00961FA0">
        <w:trPr>
          <w:trHeight w:val="528"/>
        </w:trPr>
        <w:tc>
          <w:tcPr>
            <w:tcW w:w="7640" w:type="dxa"/>
            <w:tcBorders>
              <w:left w:val="double" w:sz="4" w:space="0" w:color="auto"/>
              <w:bottom w:val="single" w:sz="4" w:space="0" w:color="auto"/>
            </w:tcBorders>
          </w:tcPr>
          <w:p w14:paraId="7DCEB174" w14:textId="2E8AAC3C" w:rsidR="00622BD8" w:rsidRPr="00524FEE" w:rsidRDefault="00622BD8" w:rsidP="00622BD8">
            <w:pPr>
              <w:spacing w:after="0" w:line="240" w:lineRule="auto"/>
              <w:rPr>
                <w:b/>
                <w:color w:val="auto"/>
              </w:rPr>
            </w:pPr>
            <w:r w:rsidRPr="004A15A3">
              <w:rPr>
                <w:color w:val="auto"/>
              </w:rPr>
              <w:t>Leading for Sustainability</w:t>
            </w:r>
          </w:p>
        </w:tc>
        <w:sdt>
          <w:sdtPr>
            <w:rPr>
              <w:color w:val="auto"/>
              <w:sz w:val="40"/>
              <w:szCs w:val="40"/>
            </w:rPr>
            <w:id w:val="-1638247711"/>
            <w14:checkbox>
              <w14:checked w14:val="0"/>
              <w14:checkedState w14:val="2612" w14:font="MS Gothic"/>
              <w14:uncheckedState w14:val="2610" w14:font="MS Gothic"/>
            </w14:checkbox>
          </w:sdtPr>
          <w:sdtEndPr/>
          <w:sdtContent>
            <w:tc>
              <w:tcPr>
                <w:tcW w:w="1968" w:type="dxa"/>
                <w:tcBorders>
                  <w:bottom w:val="single" w:sz="4" w:space="0" w:color="auto"/>
                  <w:right w:val="double" w:sz="4" w:space="0" w:color="auto"/>
                </w:tcBorders>
              </w:tcPr>
              <w:p w14:paraId="7D7A9F01" w14:textId="4B869C85" w:rsidR="00622BD8" w:rsidRPr="00F31E0E" w:rsidRDefault="00622BD8" w:rsidP="00622BD8">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622BD8" w:rsidRPr="00566BDC" w14:paraId="1C2B302B" w14:textId="77777777" w:rsidTr="00961FA0">
        <w:trPr>
          <w:trHeight w:val="528"/>
        </w:trPr>
        <w:tc>
          <w:tcPr>
            <w:tcW w:w="7640" w:type="dxa"/>
            <w:tcBorders>
              <w:top w:val="single" w:sz="4" w:space="0" w:color="auto"/>
              <w:left w:val="double" w:sz="4" w:space="0" w:color="auto"/>
              <w:bottom w:val="double" w:sz="4" w:space="0" w:color="auto"/>
            </w:tcBorders>
          </w:tcPr>
          <w:p w14:paraId="0F9B5D57" w14:textId="7272D82D" w:rsidR="00622BD8" w:rsidRDefault="00622BD8" w:rsidP="00622BD8">
            <w:pPr>
              <w:spacing w:after="0" w:line="240" w:lineRule="auto"/>
              <w:jc w:val="both"/>
              <w:rPr>
                <w:color w:val="auto"/>
              </w:rPr>
            </w:pPr>
            <w:r w:rsidRPr="004A15A3">
              <w:rPr>
                <w:color w:val="auto"/>
              </w:rPr>
              <w:t>Voice at the Heart</w:t>
            </w:r>
          </w:p>
        </w:tc>
        <w:sdt>
          <w:sdtPr>
            <w:rPr>
              <w:color w:val="auto"/>
              <w:sz w:val="40"/>
              <w:szCs w:val="40"/>
            </w:rPr>
            <w:id w:val="-925952836"/>
            <w14:checkbox>
              <w14:checked w14:val="0"/>
              <w14:checkedState w14:val="2612" w14:font="MS Gothic"/>
              <w14:uncheckedState w14:val="2610" w14:font="MS Gothic"/>
            </w14:checkbox>
          </w:sdtPr>
          <w:sdtEndPr/>
          <w:sdtContent>
            <w:tc>
              <w:tcPr>
                <w:tcW w:w="1968" w:type="dxa"/>
                <w:tcBorders>
                  <w:top w:val="single" w:sz="4" w:space="0" w:color="auto"/>
                  <w:bottom w:val="double" w:sz="4" w:space="0" w:color="auto"/>
                  <w:right w:val="double" w:sz="4" w:space="0" w:color="auto"/>
                </w:tcBorders>
              </w:tcPr>
              <w:p w14:paraId="56587FC9" w14:textId="6BD147D3" w:rsidR="00622BD8" w:rsidRDefault="00622BD8" w:rsidP="00622BD8">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bl>
    <w:tbl>
      <w:tblPr>
        <w:tblStyle w:val="TableGrid"/>
        <w:tblW w:w="0" w:type="auto"/>
        <w:tblLayout w:type="fixed"/>
        <w:tblLook w:val="04A0" w:firstRow="1" w:lastRow="0" w:firstColumn="1" w:lastColumn="0" w:noHBand="0" w:noVBand="1"/>
      </w:tblPr>
      <w:tblGrid>
        <w:gridCol w:w="2962"/>
        <w:gridCol w:w="6646"/>
      </w:tblGrid>
      <w:tr w:rsidR="00ED02BF" w:rsidRPr="00566BDC" w14:paraId="2AE0FA7C" w14:textId="77777777" w:rsidTr="00BA2452">
        <w:tc>
          <w:tcPr>
            <w:tcW w:w="9608"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480A259" w14:textId="681FB999" w:rsidR="00ED02BF" w:rsidRDefault="00ED02BF" w:rsidP="00ED02BF">
            <w:pPr>
              <w:spacing w:after="0" w:line="240" w:lineRule="auto"/>
              <w:rPr>
                <w:bCs/>
                <w:i/>
                <w:iCs/>
                <w:color w:val="auto"/>
                <w:sz w:val="20"/>
                <w:szCs w:val="20"/>
              </w:rPr>
            </w:pPr>
            <w:r w:rsidRPr="00566BDC">
              <w:rPr>
                <w:b/>
                <w:color w:val="auto"/>
              </w:rPr>
              <w:t>IMPLICATIONS</w:t>
            </w:r>
            <w:r>
              <w:rPr>
                <w:b/>
                <w:color w:val="auto"/>
              </w:rPr>
              <w:t xml:space="preserve"> </w:t>
            </w:r>
          </w:p>
          <w:p w14:paraId="1C169F10" w14:textId="77777777" w:rsidR="00ED02BF" w:rsidRDefault="00ED02BF" w:rsidP="00E238FC">
            <w:pPr>
              <w:spacing w:after="0" w:line="240" w:lineRule="auto"/>
              <w:rPr>
                <w:b/>
                <w:color w:val="auto"/>
              </w:rPr>
            </w:pPr>
          </w:p>
        </w:tc>
      </w:tr>
      <w:tr w:rsidR="00AA692A" w:rsidRPr="00566BDC" w14:paraId="20FF7694" w14:textId="77777777" w:rsidTr="00BA2452">
        <w:tc>
          <w:tcPr>
            <w:tcW w:w="2962" w:type="dxa"/>
            <w:tcBorders>
              <w:top w:val="double" w:sz="4" w:space="0" w:color="auto"/>
              <w:left w:val="double" w:sz="4" w:space="0" w:color="auto"/>
            </w:tcBorders>
          </w:tcPr>
          <w:p w14:paraId="0F1AF5E8" w14:textId="77777777" w:rsidR="00AA692A" w:rsidRPr="00566BDC" w:rsidRDefault="00AA692A" w:rsidP="00AA692A">
            <w:pPr>
              <w:spacing w:after="0" w:line="240" w:lineRule="auto"/>
              <w:rPr>
                <w:b/>
                <w:color w:val="auto"/>
              </w:rPr>
            </w:pPr>
            <w:r w:rsidRPr="00566BDC">
              <w:rPr>
                <w:color w:val="auto"/>
              </w:rPr>
              <w:t>Finance</w:t>
            </w:r>
          </w:p>
        </w:tc>
        <w:tc>
          <w:tcPr>
            <w:tcW w:w="6646" w:type="dxa"/>
            <w:tcBorders>
              <w:top w:val="double" w:sz="4" w:space="0" w:color="auto"/>
              <w:right w:val="double" w:sz="4" w:space="0" w:color="auto"/>
            </w:tcBorders>
          </w:tcPr>
          <w:p w14:paraId="2DA5F50A" w14:textId="77777777" w:rsidR="00AA692A" w:rsidRPr="004A2057" w:rsidRDefault="00AA692A" w:rsidP="00AA692A">
            <w:pPr>
              <w:spacing w:after="0" w:line="240" w:lineRule="auto"/>
              <w:rPr>
                <w:bCs/>
                <w:color w:val="auto"/>
              </w:rPr>
            </w:pPr>
            <w:r w:rsidRPr="004A2057">
              <w:rPr>
                <w:bCs/>
                <w:color w:val="auto"/>
              </w:rPr>
              <w:t>There are no financial implications arising directly from this report.</w:t>
            </w:r>
          </w:p>
          <w:p w14:paraId="16D2687E" w14:textId="274D0EF5" w:rsidR="00AA692A" w:rsidRPr="00781949" w:rsidRDefault="00AA692A" w:rsidP="00AA692A">
            <w:pPr>
              <w:spacing w:after="0" w:line="240" w:lineRule="auto"/>
              <w:rPr>
                <w:bCs/>
                <w:color w:val="auto"/>
              </w:rPr>
            </w:pPr>
          </w:p>
        </w:tc>
      </w:tr>
      <w:tr w:rsidR="00CE23E4" w:rsidRPr="00566BDC" w14:paraId="7F287BB4" w14:textId="77777777" w:rsidTr="006405B6">
        <w:tc>
          <w:tcPr>
            <w:tcW w:w="2962" w:type="dxa"/>
            <w:tcBorders>
              <w:left w:val="double" w:sz="4" w:space="0" w:color="auto"/>
            </w:tcBorders>
          </w:tcPr>
          <w:p w14:paraId="4EFA89F3" w14:textId="49F7FB96" w:rsidR="00E238FC" w:rsidRPr="00566BDC" w:rsidRDefault="00F50234" w:rsidP="00566BDC">
            <w:pPr>
              <w:spacing w:after="0" w:line="240" w:lineRule="auto"/>
              <w:rPr>
                <w:color w:val="auto"/>
              </w:rPr>
            </w:pPr>
            <w:r w:rsidRPr="00566BDC">
              <w:rPr>
                <w:color w:val="auto"/>
              </w:rPr>
              <w:t>Quality</w:t>
            </w:r>
          </w:p>
        </w:tc>
        <w:tc>
          <w:tcPr>
            <w:tcW w:w="6646" w:type="dxa"/>
            <w:tcBorders>
              <w:right w:val="double" w:sz="4" w:space="0" w:color="auto"/>
            </w:tcBorders>
          </w:tcPr>
          <w:p w14:paraId="0799A17A" w14:textId="7EB9C575" w:rsidR="00E238FC" w:rsidRPr="00781949" w:rsidRDefault="00944610" w:rsidP="00E238FC">
            <w:pPr>
              <w:spacing w:after="0" w:line="240" w:lineRule="auto"/>
              <w:rPr>
                <w:bCs/>
                <w:color w:val="auto"/>
              </w:rPr>
            </w:pPr>
            <w:r w:rsidRPr="00781949">
              <w:rPr>
                <w:bCs/>
                <w:color w:val="auto"/>
              </w:rPr>
              <w:t xml:space="preserve">There are clear links between closed cultures and patient harm. Where open cultures are </w:t>
            </w:r>
            <w:proofErr w:type="gramStart"/>
            <w:r w:rsidRPr="00781949">
              <w:rPr>
                <w:bCs/>
                <w:color w:val="auto"/>
              </w:rPr>
              <w:t>supported</w:t>
            </w:r>
            <w:proofErr w:type="gramEnd"/>
            <w:r w:rsidRPr="00781949">
              <w:rPr>
                <w:bCs/>
                <w:color w:val="auto"/>
              </w:rPr>
              <w:t xml:space="preserve"> there is often more learning and candour from events leading to better outcomes for patients.</w:t>
            </w:r>
          </w:p>
          <w:p w14:paraId="7C8B1819" w14:textId="2BD47580" w:rsidR="002D2FBC" w:rsidRPr="00781949" w:rsidRDefault="002D2FBC" w:rsidP="00E238FC">
            <w:pPr>
              <w:spacing w:after="0" w:line="240" w:lineRule="auto"/>
              <w:rPr>
                <w:bCs/>
                <w:color w:val="auto"/>
              </w:rPr>
            </w:pPr>
          </w:p>
        </w:tc>
      </w:tr>
      <w:tr w:rsidR="00CE23E4" w:rsidRPr="00566BDC" w14:paraId="3285F263" w14:textId="77777777" w:rsidTr="006405B6">
        <w:tc>
          <w:tcPr>
            <w:tcW w:w="2962" w:type="dxa"/>
            <w:tcBorders>
              <w:left w:val="double" w:sz="4" w:space="0" w:color="auto"/>
            </w:tcBorders>
          </w:tcPr>
          <w:p w14:paraId="23F52933" w14:textId="0F3A4A92" w:rsidR="00B23603" w:rsidRDefault="004307C4" w:rsidP="00566BDC">
            <w:pPr>
              <w:spacing w:after="0" w:line="240" w:lineRule="auto"/>
              <w:rPr>
                <w:color w:val="auto"/>
              </w:rPr>
            </w:pPr>
            <w:r w:rsidRPr="00566BDC">
              <w:rPr>
                <w:color w:val="auto"/>
              </w:rPr>
              <w:t>HR</w:t>
            </w:r>
          </w:p>
          <w:p w14:paraId="0374C637" w14:textId="77777777" w:rsidR="00B23603" w:rsidRPr="00566BDC" w:rsidRDefault="00B23603" w:rsidP="00566BDC">
            <w:pPr>
              <w:spacing w:after="0" w:line="240" w:lineRule="auto"/>
              <w:rPr>
                <w:b/>
                <w:color w:val="auto"/>
              </w:rPr>
            </w:pPr>
          </w:p>
        </w:tc>
        <w:tc>
          <w:tcPr>
            <w:tcW w:w="6646" w:type="dxa"/>
            <w:tcBorders>
              <w:right w:val="double" w:sz="4" w:space="0" w:color="auto"/>
            </w:tcBorders>
          </w:tcPr>
          <w:p w14:paraId="6EDA19FA" w14:textId="3C0979BC" w:rsidR="002D2FBC" w:rsidRPr="00781949" w:rsidRDefault="00944610" w:rsidP="009B1B8C">
            <w:pPr>
              <w:spacing w:after="0" w:line="240" w:lineRule="auto"/>
              <w:rPr>
                <w:bCs/>
                <w:color w:val="auto"/>
              </w:rPr>
            </w:pPr>
            <w:r w:rsidRPr="00781949">
              <w:rPr>
                <w:bCs/>
                <w:color w:val="auto"/>
              </w:rPr>
              <w:t>There are clear links between Freedom to Speak Up and HR processes with a risk that there is a disproportionate focus on utilising pure HR processes when concerns are raised.</w:t>
            </w:r>
          </w:p>
          <w:p w14:paraId="31E4D32B" w14:textId="613FFD02" w:rsidR="002D2FBC" w:rsidRPr="00781949" w:rsidRDefault="002D2FBC" w:rsidP="009B1B8C">
            <w:pPr>
              <w:spacing w:after="0" w:line="240" w:lineRule="auto"/>
              <w:rPr>
                <w:bCs/>
                <w:color w:val="auto"/>
              </w:rPr>
            </w:pPr>
          </w:p>
        </w:tc>
      </w:tr>
      <w:tr w:rsidR="00CE23E4" w:rsidRPr="00566BDC" w14:paraId="021977C1" w14:textId="77777777" w:rsidTr="006405B6">
        <w:tc>
          <w:tcPr>
            <w:tcW w:w="2962" w:type="dxa"/>
            <w:tcBorders>
              <w:left w:val="double" w:sz="4" w:space="0" w:color="auto"/>
            </w:tcBorders>
          </w:tcPr>
          <w:p w14:paraId="76E8A113" w14:textId="7091C2A2" w:rsidR="00B87F8C" w:rsidRDefault="00B87F8C" w:rsidP="00566BDC">
            <w:pPr>
              <w:spacing w:after="0" w:line="240" w:lineRule="auto"/>
              <w:rPr>
                <w:color w:val="auto"/>
              </w:rPr>
            </w:pPr>
            <w:r>
              <w:rPr>
                <w:color w:val="auto"/>
              </w:rPr>
              <w:t>Legal / Regulatory</w:t>
            </w:r>
          </w:p>
        </w:tc>
        <w:tc>
          <w:tcPr>
            <w:tcW w:w="6646" w:type="dxa"/>
            <w:tcBorders>
              <w:right w:val="double" w:sz="4" w:space="0" w:color="auto"/>
            </w:tcBorders>
          </w:tcPr>
          <w:p w14:paraId="2EF3519A" w14:textId="67423E7C" w:rsidR="00B87F8C" w:rsidRPr="00781949" w:rsidRDefault="00944610" w:rsidP="009B1B8C">
            <w:pPr>
              <w:spacing w:after="0" w:line="240" w:lineRule="auto"/>
              <w:rPr>
                <w:bCs/>
                <w:color w:val="auto"/>
              </w:rPr>
            </w:pPr>
            <w:r w:rsidRPr="00781949">
              <w:rPr>
                <w:bCs/>
                <w:color w:val="auto"/>
              </w:rPr>
              <w:t>There are specific legal and regulatory provisions relating to Freedom to Speak Up and particularly around the nature of 'Protected Disclosures'</w:t>
            </w:r>
          </w:p>
          <w:p w14:paraId="557845C5" w14:textId="478E3D7D" w:rsidR="002D2FBC" w:rsidRPr="00781949" w:rsidRDefault="002D2FBC" w:rsidP="009B1B8C">
            <w:pPr>
              <w:spacing w:after="0" w:line="240" w:lineRule="auto"/>
              <w:rPr>
                <w:bCs/>
                <w:color w:val="auto"/>
              </w:rPr>
            </w:pPr>
          </w:p>
        </w:tc>
      </w:tr>
      <w:tr w:rsidR="00AA692A" w:rsidRPr="00566BDC" w14:paraId="4514A14F" w14:textId="77777777" w:rsidTr="006405B6">
        <w:tc>
          <w:tcPr>
            <w:tcW w:w="2962" w:type="dxa"/>
            <w:tcBorders>
              <w:left w:val="double" w:sz="4" w:space="0" w:color="auto"/>
            </w:tcBorders>
          </w:tcPr>
          <w:p w14:paraId="7AD7246B" w14:textId="77777777" w:rsidR="00AA692A" w:rsidRDefault="00AA692A" w:rsidP="00AA692A">
            <w:pPr>
              <w:spacing w:after="0" w:line="240" w:lineRule="auto"/>
              <w:rPr>
                <w:color w:val="auto"/>
              </w:rPr>
            </w:pPr>
            <w:r>
              <w:rPr>
                <w:color w:val="auto"/>
              </w:rPr>
              <w:t>Data Protection / IG</w:t>
            </w:r>
          </w:p>
          <w:p w14:paraId="4EBADFBE" w14:textId="14A0963E" w:rsidR="00AA692A" w:rsidRPr="00566BDC" w:rsidRDefault="00AA692A" w:rsidP="00AA692A">
            <w:pPr>
              <w:spacing w:after="0" w:line="240" w:lineRule="auto"/>
              <w:rPr>
                <w:color w:val="auto"/>
              </w:rPr>
            </w:pPr>
          </w:p>
        </w:tc>
        <w:tc>
          <w:tcPr>
            <w:tcW w:w="6646" w:type="dxa"/>
            <w:tcBorders>
              <w:right w:val="double" w:sz="4" w:space="0" w:color="auto"/>
            </w:tcBorders>
          </w:tcPr>
          <w:p w14:paraId="3FEEEA16" w14:textId="77777777" w:rsidR="00AA692A" w:rsidRPr="00A14C87" w:rsidRDefault="00AA692A" w:rsidP="00AA692A">
            <w:pPr>
              <w:spacing w:after="0" w:line="240" w:lineRule="auto"/>
              <w:rPr>
                <w:bCs/>
                <w:color w:val="auto"/>
              </w:rPr>
            </w:pPr>
            <w:r w:rsidRPr="00A14C87">
              <w:rPr>
                <w:bCs/>
                <w:color w:val="auto"/>
              </w:rPr>
              <w:t xml:space="preserve">There are specific legal and regulatory provisions particularly around </w:t>
            </w:r>
            <w:r>
              <w:rPr>
                <w:bCs/>
                <w:color w:val="auto"/>
              </w:rPr>
              <w:t xml:space="preserve">Data Protection and Information Governance linked with Freedom to Speak Up and other areas highlighted in this report </w:t>
            </w:r>
          </w:p>
          <w:p w14:paraId="72265EED" w14:textId="480A5A85" w:rsidR="00AA692A" w:rsidRPr="00566BDC" w:rsidRDefault="00AA692A" w:rsidP="00AA692A">
            <w:pPr>
              <w:spacing w:after="0" w:line="240" w:lineRule="auto"/>
              <w:rPr>
                <w:b/>
                <w:color w:val="auto"/>
              </w:rPr>
            </w:pPr>
          </w:p>
        </w:tc>
      </w:tr>
      <w:tr w:rsidR="00AA692A" w:rsidRPr="00566BDC" w14:paraId="542CD7B3" w14:textId="77777777" w:rsidTr="006405B6">
        <w:tc>
          <w:tcPr>
            <w:tcW w:w="2962" w:type="dxa"/>
            <w:tcBorders>
              <w:left w:val="double" w:sz="4" w:space="0" w:color="auto"/>
            </w:tcBorders>
          </w:tcPr>
          <w:p w14:paraId="57B08AAB" w14:textId="5E2EF19D" w:rsidR="00AA692A" w:rsidRPr="00566BDC" w:rsidRDefault="00AA692A" w:rsidP="00AA692A">
            <w:pPr>
              <w:spacing w:after="0" w:line="240" w:lineRule="auto"/>
              <w:rPr>
                <w:b/>
                <w:color w:val="auto"/>
              </w:rPr>
            </w:pPr>
            <w:r>
              <w:rPr>
                <w:color w:val="auto"/>
              </w:rPr>
              <w:lastRenderedPageBreak/>
              <w:t>Health inequality / equality</w:t>
            </w:r>
          </w:p>
        </w:tc>
        <w:tc>
          <w:tcPr>
            <w:tcW w:w="6646" w:type="dxa"/>
            <w:tcBorders>
              <w:right w:val="double" w:sz="4" w:space="0" w:color="auto"/>
            </w:tcBorders>
          </w:tcPr>
          <w:p w14:paraId="4B971C84" w14:textId="77777777" w:rsidR="00AA692A" w:rsidRPr="004A2057" w:rsidRDefault="00AA692A" w:rsidP="00AA692A">
            <w:pPr>
              <w:spacing w:after="0" w:line="240" w:lineRule="auto"/>
              <w:rPr>
                <w:bCs/>
                <w:color w:val="auto"/>
              </w:rPr>
            </w:pPr>
            <w:r>
              <w:rPr>
                <w:bCs/>
                <w:color w:val="auto"/>
              </w:rPr>
              <w:t>There are clear links between Freedom to Speak up and ensuring equitable approach for all those who wish to raise concerns.</w:t>
            </w:r>
          </w:p>
          <w:p w14:paraId="2AC49FA2" w14:textId="3C2979E2" w:rsidR="00AA692A" w:rsidRPr="00566BDC" w:rsidRDefault="00AA692A" w:rsidP="00AA692A">
            <w:pPr>
              <w:spacing w:after="0" w:line="240" w:lineRule="auto"/>
              <w:rPr>
                <w:b/>
                <w:color w:val="auto"/>
              </w:rPr>
            </w:pPr>
          </w:p>
        </w:tc>
      </w:tr>
      <w:tr w:rsidR="00AA692A" w:rsidRPr="00566BDC" w14:paraId="1C67E1C3" w14:textId="77777777" w:rsidTr="006405B6">
        <w:tc>
          <w:tcPr>
            <w:tcW w:w="2962" w:type="dxa"/>
            <w:tcBorders>
              <w:left w:val="double" w:sz="4" w:space="0" w:color="auto"/>
            </w:tcBorders>
          </w:tcPr>
          <w:p w14:paraId="13F94CB5" w14:textId="244B5D6A" w:rsidR="00AA692A" w:rsidRDefault="00AA692A" w:rsidP="00AA692A">
            <w:pPr>
              <w:spacing w:after="0" w:line="240" w:lineRule="auto"/>
              <w:rPr>
                <w:color w:val="auto"/>
              </w:rPr>
            </w:pPr>
            <w:r>
              <w:rPr>
                <w:color w:val="auto"/>
              </w:rPr>
              <w:t>Conflict of Interest Aspects</w:t>
            </w:r>
          </w:p>
          <w:p w14:paraId="2F9D1286" w14:textId="584CC39D" w:rsidR="00AA692A" w:rsidRDefault="00AA692A" w:rsidP="00AA692A">
            <w:pPr>
              <w:spacing w:after="0" w:line="240" w:lineRule="auto"/>
              <w:rPr>
                <w:color w:val="auto"/>
              </w:rPr>
            </w:pPr>
          </w:p>
        </w:tc>
        <w:tc>
          <w:tcPr>
            <w:tcW w:w="6646" w:type="dxa"/>
            <w:tcBorders>
              <w:right w:val="double" w:sz="4" w:space="0" w:color="auto"/>
            </w:tcBorders>
          </w:tcPr>
          <w:p w14:paraId="7F2DDB93" w14:textId="77777777" w:rsidR="00AA692A" w:rsidRPr="004A2057" w:rsidRDefault="00AA692A" w:rsidP="00AA692A">
            <w:pPr>
              <w:spacing w:after="0" w:line="240" w:lineRule="auto"/>
              <w:rPr>
                <w:bCs/>
                <w:color w:val="auto"/>
              </w:rPr>
            </w:pPr>
            <w:r w:rsidRPr="004A2057">
              <w:rPr>
                <w:bCs/>
                <w:color w:val="auto"/>
              </w:rPr>
              <w:t xml:space="preserve">There </w:t>
            </w:r>
            <w:r>
              <w:rPr>
                <w:bCs/>
                <w:color w:val="auto"/>
              </w:rPr>
              <w:t>have been no conflicts of interest identified specifically for this report</w:t>
            </w:r>
            <w:r w:rsidRPr="004A2057">
              <w:rPr>
                <w:bCs/>
                <w:color w:val="auto"/>
              </w:rPr>
              <w:t>.</w:t>
            </w:r>
          </w:p>
          <w:p w14:paraId="37DC6051" w14:textId="77777777" w:rsidR="00AA692A" w:rsidRDefault="00AA692A" w:rsidP="00AA692A">
            <w:pPr>
              <w:spacing w:after="0" w:line="240" w:lineRule="auto"/>
              <w:rPr>
                <w:b/>
                <w:color w:val="auto"/>
              </w:rPr>
            </w:pPr>
          </w:p>
        </w:tc>
      </w:tr>
      <w:tr w:rsidR="00AA692A" w:rsidRPr="00566BDC" w14:paraId="7420D59D" w14:textId="77777777" w:rsidTr="006405B6">
        <w:tc>
          <w:tcPr>
            <w:tcW w:w="2962" w:type="dxa"/>
            <w:tcBorders>
              <w:left w:val="double" w:sz="4" w:space="0" w:color="auto"/>
              <w:bottom w:val="double" w:sz="4" w:space="0" w:color="auto"/>
            </w:tcBorders>
          </w:tcPr>
          <w:p w14:paraId="2B07DB2D" w14:textId="77777777" w:rsidR="00AA692A" w:rsidRDefault="00AA692A" w:rsidP="00AA692A">
            <w:pPr>
              <w:spacing w:after="0" w:line="240" w:lineRule="auto"/>
              <w:rPr>
                <w:color w:val="auto"/>
              </w:rPr>
            </w:pPr>
            <w:r>
              <w:rPr>
                <w:color w:val="auto"/>
              </w:rPr>
              <w:t>Sustainability</w:t>
            </w:r>
          </w:p>
          <w:p w14:paraId="575BE3AA" w14:textId="677027EF" w:rsidR="00AA692A" w:rsidRPr="00566BDC" w:rsidRDefault="00AA692A" w:rsidP="00AA692A">
            <w:pPr>
              <w:spacing w:after="0" w:line="240" w:lineRule="auto"/>
              <w:rPr>
                <w:b/>
                <w:color w:val="auto"/>
              </w:rPr>
            </w:pPr>
          </w:p>
        </w:tc>
        <w:tc>
          <w:tcPr>
            <w:tcW w:w="6646" w:type="dxa"/>
            <w:tcBorders>
              <w:bottom w:val="double" w:sz="4" w:space="0" w:color="auto"/>
              <w:right w:val="double" w:sz="4" w:space="0" w:color="auto"/>
            </w:tcBorders>
          </w:tcPr>
          <w:p w14:paraId="37534133" w14:textId="77777777" w:rsidR="00AA692A" w:rsidRDefault="00AA692A" w:rsidP="00AA692A">
            <w:pPr>
              <w:spacing w:after="0" w:line="240" w:lineRule="auto"/>
              <w:rPr>
                <w:bCs/>
                <w:color w:val="auto"/>
              </w:rPr>
            </w:pPr>
            <w:r w:rsidRPr="004A2057">
              <w:rPr>
                <w:bCs/>
                <w:color w:val="auto"/>
              </w:rPr>
              <w:t xml:space="preserve">There are no </w:t>
            </w:r>
            <w:r>
              <w:rPr>
                <w:bCs/>
                <w:color w:val="auto"/>
              </w:rPr>
              <w:t>sustainability</w:t>
            </w:r>
            <w:r w:rsidRPr="004A2057">
              <w:rPr>
                <w:bCs/>
                <w:color w:val="auto"/>
              </w:rPr>
              <w:t xml:space="preserve"> implications arising directly from this report.</w:t>
            </w:r>
          </w:p>
          <w:p w14:paraId="7B39D156" w14:textId="769CCEBE" w:rsidR="00615BEC" w:rsidRPr="00615BEC" w:rsidRDefault="00615BEC" w:rsidP="00AA692A">
            <w:pPr>
              <w:spacing w:after="0" w:line="240" w:lineRule="auto"/>
              <w:rPr>
                <w:bCs/>
                <w:color w:val="auto"/>
                <w:sz w:val="16"/>
                <w:szCs w:val="16"/>
              </w:rPr>
            </w:pPr>
          </w:p>
        </w:tc>
      </w:tr>
    </w:tbl>
    <w:p w14:paraId="285336CD" w14:textId="1B6A2B12" w:rsidR="005E2527" w:rsidRDefault="005E2527"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5E2527" w:rsidRPr="00566BDC" w14:paraId="6B25BF82" w14:textId="77777777" w:rsidTr="00BA2452">
        <w:tc>
          <w:tcPr>
            <w:tcW w:w="9608" w:type="dxa"/>
            <w:tcBorders>
              <w:top w:val="double" w:sz="4" w:space="0" w:color="auto"/>
              <w:left w:val="double" w:sz="4" w:space="0" w:color="auto"/>
              <w:bottom w:val="double" w:sz="4" w:space="0" w:color="auto"/>
              <w:right w:val="double" w:sz="4" w:space="0" w:color="auto"/>
            </w:tcBorders>
          </w:tcPr>
          <w:p w14:paraId="0AB52275" w14:textId="77777777" w:rsidR="005E2527" w:rsidRPr="00566BDC" w:rsidRDefault="005E2527" w:rsidP="009B1B8C">
            <w:pPr>
              <w:spacing w:after="0" w:line="240" w:lineRule="auto"/>
              <w:rPr>
                <w:b/>
                <w:color w:val="auto"/>
              </w:rPr>
            </w:pPr>
            <w:bookmarkStart w:id="4" w:name="_Hlk106134678"/>
          </w:p>
          <w:p w14:paraId="60956730" w14:textId="77777777" w:rsidR="00B23AD5" w:rsidRDefault="00D00EC7" w:rsidP="009B1B8C">
            <w:pPr>
              <w:spacing w:after="0" w:line="240" w:lineRule="auto"/>
              <w:rPr>
                <w:b/>
                <w:color w:val="auto"/>
              </w:rPr>
            </w:pPr>
            <w:r>
              <w:rPr>
                <w:b/>
                <w:color w:val="auto"/>
              </w:rPr>
              <w:t>ASSESSED</w:t>
            </w:r>
            <w:r w:rsidR="005E2527">
              <w:rPr>
                <w:b/>
                <w:color w:val="auto"/>
              </w:rPr>
              <w:t xml:space="preserve"> RISK</w:t>
            </w:r>
            <w:r w:rsidR="005E2527" w:rsidRPr="00566BDC">
              <w:rPr>
                <w:b/>
                <w:color w:val="auto"/>
              </w:rPr>
              <w:t>:</w:t>
            </w:r>
          </w:p>
          <w:p w14:paraId="66BEEEF0" w14:textId="77777777" w:rsidR="00961FA0" w:rsidRDefault="00961FA0" w:rsidP="009B1B8C">
            <w:pPr>
              <w:spacing w:after="0" w:line="240" w:lineRule="auto"/>
              <w:rPr>
                <w:b/>
                <w:color w:val="auto"/>
              </w:rPr>
            </w:pPr>
          </w:p>
          <w:p w14:paraId="5F7D7606" w14:textId="291FFEFB" w:rsidR="00961FA0" w:rsidRPr="00961FA0" w:rsidRDefault="00961FA0" w:rsidP="009B1B8C">
            <w:pPr>
              <w:spacing w:after="0" w:line="240" w:lineRule="auto"/>
              <w:rPr>
                <w:b/>
                <w:color w:val="auto"/>
              </w:rPr>
            </w:pPr>
          </w:p>
        </w:tc>
      </w:tr>
      <w:bookmarkEnd w:id="4"/>
    </w:tbl>
    <w:p w14:paraId="0E1133FC" w14:textId="450414A7" w:rsidR="00043155" w:rsidRDefault="00043155"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043155" w:rsidRPr="00566BDC" w14:paraId="7C027CCA" w14:textId="77777777" w:rsidTr="006C1E7A">
        <w:tc>
          <w:tcPr>
            <w:tcW w:w="9747" w:type="dxa"/>
            <w:tcBorders>
              <w:top w:val="double" w:sz="4" w:space="0" w:color="auto"/>
              <w:left w:val="double" w:sz="4" w:space="0" w:color="auto"/>
              <w:bottom w:val="double" w:sz="4" w:space="0" w:color="auto"/>
              <w:right w:val="double" w:sz="4" w:space="0" w:color="auto"/>
            </w:tcBorders>
          </w:tcPr>
          <w:p w14:paraId="3E9DE11A" w14:textId="77777777" w:rsidR="00043155" w:rsidRPr="00566BDC" w:rsidRDefault="00043155" w:rsidP="009B1B8C">
            <w:pPr>
              <w:spacing w:after="0" w:line="240" w:lineRule="auto"/>
              <w:rPr>
                <w:b/>
                <w:color w:val="auto"/>
              </w:rPr>
            </w:pPr>
          </w:p>
          <w:p w14:paraId="01219628" w14:textId="425A3B8C" w:rsidR="00043155" w:rsidRDefault="00043155" w:rsidP="00BA2452">
            <w:pPr>
              <w:spacing w:after="0" w:line="240" w:lineRule="auto"/>
              <w:rPr>
                <w:color w:val="auto"/>
              </w:rPr>
            </w:pPr>
            <w:r>
              <w:rPr>
                <w:b/>
                <w:color w:val="auto"/>
              </w:rPr>
              <w:t>MONITORING AND ASSURANCE</w:t>
            </w:r>
            <w:r w:rsidRPr="00566BDC">
              <w:rPr>
                <w:b/>
                <w:color w:val="auto"/>
              </w:rPr>
              <w:t>:</w:t>
            </w:r>
            <w:r>
              <w:rPr>
                <w:b/>
                <w:color w:val="auto"/>
              </w:rPr>
              <w:t xml:space="preserve"> </w:t>
            </w:r>
          </w:p>
          <w:p w14:paraId="422CDAC6" w14:textId="77777777" w:rsidR="00A958CA" w:rsidRDefault="00A958CA" w:rsidP="009B1B8C">
            <w:pPr>
              <w:spacing w:after="0" w:line="240" w:lineRule="auto"/>
              <w:rPr>
                <w:i/>
                <w:iCs/>
                <w:color w:val="auto"/>
              </w:rPr>
            </w:pPr>
          </w:p>
          <w:p w14:paraId="516BE25F" w14:textId="76F02F51" w:rsidR="00043155" w:rsidRPr="00124D1D" w:rsidRDefault="00AA692A" w:rsidP="009B1B8C">
            <w:pPr>
              <w:spacing w:after="0" w:line="240" w:lineRule="auto"/>
              <w:rPr>
                <w:color w:val="auto"/>
              </w:rPr>
            </w:pPr>
            <w:r>
              <w:rPr>
                <w:color w:val="auto"/>
              </w:rPr>
              <w:t xml:space="preserve">Regular updates on Freedom to Speak Up will be presented to the Board.  There </w:t>
            </w:r>
            <w:r w:rsidR="00A72373">
              <w:rPr>
                <w:color w:val="auto"/>
              </w:rPr>
              <w:t>is</w:t>
            </w:r>
            <w:r>
              <w:rPr>
                <w:color w:val="auto"/>
              </w:rPr>
              <w:t xml:space="preserve"> ongoing monitoring and assurance of other actions through Clinical and Professional Executive Committee and the Quality Committee.</w:t>
            </w:r>
          </w:p>
          <w:p w14:paraId="5FEC0180" w14:textId="77777777" w:rsidR="00043155" w:rsidRPr="00566BDC" w:rsidRDefault="00043155" w:rsidP="009B1B8C">
            <w:pPr>
              <w:spacing w:after="0" w:line="240" w:lineRule="auto"/>
              <w:rPr>
                <w:color w:val="auto"/>
              </w:rPr>
            </w:pPr>
          </w:p>
        </w:tc>
      </w:tr>
    </w:tbl>
    <w:p w14:paraId="618084C7" w14:textId="77777777" w:rsidR="00BA2452" w:rsidRDefault="00BA2452"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880E9F" w:rsidRPr="00566BDC" w14:paraId="7F94535B" w14:textId="77777777" w:rsidTr="006C1E7A">
        <w:tc>
          <w:tcPr>
            <w:tcW w:w="9608" w:type="dxa"/>
            <w:tcBorders>
              <w:top w:val="double" w:sz="4" w:space="0" w:color="auto"/>
              <w:left w:val="double" w:sz="4" w:space="0" w:color="auto"/>
              <w:bottom w:val="double" w:sz="4" w:space="0" w:color="auto"/>
              <w:right w:val="double" w:sz="4" w:space="0" w:color="auto"/>
            </w:tcBorders>
          </w:tcPr>
          <w:p w14:paraId="3584EAEA" w14:textId="77777777" w:rsidR="00566BDC" w:rsidRPr="00566BDC" w:rsidRDefault="00566BDC" w:rsidP="00566BDC">
            <w:pPr>
              <w:spacing w:after="0" w:line="240" w:lineRule="auto"/>
              <w:rPr>
                <w:b/>
                <w:color w:val="auto"/>
              </w:rPr>
            </w:pPr>
            <w:bookmarkStart w:id="5" w:name="_Hlk106098484"/>
          </w:p>
          <w:p w14:paraId="1A08741D" w14:textId="397EA29C" w:rsidR="00B23AD5" w:rsidRDefault="00880E9F" w:rsidP="002B4676">
            <w:pPr>
              <w:spacing w:after="0" w:line="240" w:lineRule="auto"/>
              <w:rPr>
                <w:color w:val="auto"/>
              </w:rPr>
            </w:pPr>
            <w:r w:rsidRPr="00566BDC">
              <w:rPr>
                <w:b/>
                <w:color w:val="auto"/>
              </w:rPr>
              <w:t>ENGAGEMENT:</w:t>
            </w:r>
          </w:p>
          <w:p w14:paraId="6C26CE6B" w14:textId="77777777" w:rsidR="00BA2452" w:rsidRDefault="00BA2452" w:rsidP="002B4676">
            <w:pPr>
              <w:spacing w:after="0" w:line="240" w:lineRule="auto"/>
              <w:rPr>
                <w:color w:val="auto"/>
              </w:rPr>
            </w:pPr>
          </w:p>
          <w:p w14:paraId="319B7CC8" w14:textId="58C72D6F" w:rsidR="00B23AD5" w:rsidRDefault="00A72373" w:rsidP="002B4676">
            <w:pPr>
              <w:spacing w:after="0" w:line="240" w:lineRule="auto"/>
              <w:rPr>
                <w:color w:val="auto"/>
              </w:rPr>
            </w:pPr>
            <w:r>
              <w:rPr>
                <w:color w:val="auto"/>
              </w:rPr>
              <w:t xml:space="preserve">The ICB have completed the policy </w:t>
            </w:r>
            <w:proofErr w:type="gramStart"/>
            <w:r>
              <w:rPr>
                <w:color w:val="auto"/>
              </w:rPr>
              <w:t>through the use of</w:t>
            </w:r>
            <w:proofErr w:type="gramEnd"/>
            <w:r>
              <w:rPr>
                <w:color w:val="auto"/>
              </w:rPr>
              <w:t xml:space="preserve"> a working group and are now in the process of establishing a cross organisation working group for the establishment of Freedom to Speak Up champions from a diverse set of backgrounds. </w:t>
            </w:r>
          </w:p>
          <w:p w14:paraId="4649EF46" w14:textId="77777777" w:rsidR="00A72373" w:rsidRDefault="00A72373" w:rsidP="002B4676">
            <w:pPr>
              <w:spacing w:after="0" w:line="240" w:lineRule="auto"/>
              <w:rPr>
                <w:color w:val="auto"/>
              </w:rPr>
            </w:pPr>
          </w:p>
          <w:p w14:paraId="7D6088BD" w14:textId="42B0DF3A" w:rsidR="00A72373" w:rsidRDefault="00A72373" w:rsidP="002B4676">
            <w:pPr>
              <w:spacing w:after="0" w:line="240" w:lineRule="auto"/>
              <w:rPr>
                <w:color w:val="auto"/>
              </w:rPr>
            </w:pPr>
            <w:r>
              <w:rPr>
                <w:color w:val="auto"/>
              </w:rPr>
              <w:t>Part of this work will also be understanding how to ensure that information and intelligence received from concerns and complaints raised to the ICB feeds into the Freedom to Speak Up arrangements and informs the Board on any quality and safety concerns.</w:t>
            </w:r>
          </w:p>
          <w:p w14:paraId="02D6A569" w14:textId="625C926B" w:rsidR="00880E9F" w:rsidRPr="00BA2452" w:rsidRDefault="00880E9F" w:rsidP="00566BDC">
            <w:pPr>
              <w:spacing w:after="0" w:line="240" w:lineRule="auto"/>
              <w:rPr>
                <w:color w:val="auto"/>
                <w:sz w:val="16"/>
                <w:szCs w:val="16"/>
              </w:rPr>
            </w:pPr>
          </w:p>
        </w:tc>
      </w:tr>
      <w:bookmarkEnd w:id="5"/>
    </w:tbl>
    <w:p w14:paraId="784EBC53" w14:textId="464D2516" w:rsidR="00880E9F" w:rsidRPr="00566BDC" w:rsidRDefault="00880E9F" w:rsidP="0010586B">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D20A8" w14:paraId="0FEFEDA4" w14:textId="77777777" w:rsidTr="00CD20A8">
        <w:trPr>
          <w:trHeight w:val="427"/>
        </w:trPr>
        <w:tc>
          <w:tcPr>
            <w:tcW w:w="9608" w:type="dxa"/>
            <w:tcBorders>
              <w:bottom w:val="nil"/>
            </w:tcBorders>
          </w:tcPr>
          <w:p w14:paraId="39D3DDC7" w14:textId="6B626D89" w:rsidR="00CD20A8" w:rsidRPr="00524FEE" w:rsidRDefault="00CD20A8" w:rsidP="00CD20A8">
            <w:pPr>
              <w:spacing w:after="0"/>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sidR="00944610">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4F190C" w14:paraId="4C3F0319" w14:textId="77777777" w:rsidTr="009B1B8C">
        <w:tc>
          <w:tcPr>
            <w:tcW w:w="9608" w:type="dxa"/>
            <w:tcBorders>
              <w:top w:val="nil"/>
            </w:tcBorders>
          </w:tcPr>
          <w:p w14:paraId="6B3410EE" w14:textId="05A0B2C8" w:rsidR="004F190C" w:rsidRPr="00CD20A8" w:rsidRDefault="004F190C" w:rsidP="009B1B8C">
            <w:pPr>
              <w:spacing w:after="0"/>
              <w:rPr>
                <w:color w:val="auto"/>
                <w:sz w:val="20"/>
              </w:rPr>
            </w:pPr>
            <w:r w:rsidRPr="00BD03D7">
              <w:rPr>
                <w:color w:val="auto"/>
                <w:sz w:val="20"/>
              </w:rPr>
              <w:t xml:space="preserve">If yes, </w:t>
            </w:r>
            <w:r>
              <w:rPr>
                <w:color w:val="auto"/>
                <w:sz w:val="20"/>
              </w:rPr>
              <w:t xml:space="preserve">please </w:t>
            </w:r>
            <w:r w:rsidR="006C31DB">
              <w:rPr>
                <w:color w:val="auto"/>
                <w:sz w:val="20"/>
              </w:rPr>
              <w:t>detail</w:t>
            </w:r>
            <w:r>
              <w:rPr>
                <w:color w:val="auto"/>
                <w:sz w:val="20"/>
              </w:rPr>
              <w:t xml:space="preserve"> the </w:t>
            </w:r>
            <w:r w:rsidR="006C31DB">
              <w:rPr>
                <w:color w:val="auto"/>
                <w:sz w:val="20"/>
              </w:rPr>
              <w:t xml:space="preserve">specific </w:t>
            </w:r>
            <w:r>
              <w:rPr>
                <w:color w:val="auto"/>
                <w:sz w:val="20"/>
              </w:rPr>
              <w:t xml:space="preserve">grounds for </w:t>
            </w:r>
            <w:r w:rsidR="00B23603">
              <w:rPr>
                <w:color w:val="auto"/>
                <w:sz w:val="20"/>
              </w:rPr>
              <w:t>exemption.</w:t>
            </w:r>
            <w:r w:rsidR="00CD20A8">
              <w:rPr>
                <w:color w:val="auto"/>
                <w:sz w:val="20"/>
              </w:rPr>
              <w:t xml:space="preserve">    </w:t>
            </w:r>
          </w:p>
          <w:p w14:paraId="3CB6CF64" w14:textId="3DF2A81E" w:rsidR="004F190C" w:rsidRPr="00BD03D7" w:rsidRDefault="004F190C" w:rsidP="009B1B8C">
            <w:pPr>
              <w:spacing w:after="0"/>
              <w:rPr>
                <w:b/>
                <w:color w:val="auto"/>
              </w:rPr>
            </w:pPr>
          </w:p>
        </w:tc>
      </w:tr>
    </w:tbl>
    <w:p w14:paraId="21642BAF" w14:textId="77777777" w:rsidR="00880E9F" w:rsidRPr="00566BDC" w:rsidRDefault="00880E9F" w:rsidP="0010586B">
      <w:pPr>
        <w:spacing w:after="0" w:line="120" w:lineRule="auto"/>
        <w:rPr>
          <w:color w:val="auto"/>
        </w:rPr>
      </w:pPr>
    </w:p>
    <w:p w14:paraId="504D3973" w14:textId="77777777" w:rsidR="003728AB" w:rsidRDefault="003728AB" w:rsidP="0010586B">
      <w:pPr>
        <w:spacing w:after="0" w:line="120" w:lineRule="auto"/>
        <w:rPr>
          <w:color w:val="auto"/>
        </w:rPr>
      </w:pPr>
    </w:p>
    <w:p w14:paraId="07B97C91" w14:textId="77777777" w:rsidR="008951B4" w:rsidRDefault="008951B4" w:rsidP="00953DC4">
      <w:pPr>
        <w:spacing w:after="0" w:line="240" w:lineRule="auto"/>
        <w:ind w:left="-142" w:firstLine="862"/>
        <w:jc w:val="center"/>
        <w:rPr>
          <w:b/>
          <w:bCs/>
          <w:color w:val="auto"/>
          <w:sz w:val="24"/>
          <w:szCs w:val="24"/>
        </w:rPr>
      </w:pPr>
    </w:p>
    <w:p w14:paraId="7D5DDC5D" w14:textId="77777777" w:rsidR="008142EE" w:rsidRDefault="008142EE" w:rsidP="00497DAE">
      <w:pPr>
        <w:spacing w:after="0" w:line="240" w:lineRule="auto"/>
        <w:rPr>
          <w:b/>
          <w:bCs/>
          <w:color w:val="auto"/>
          <w:sz w:val="24"/>
          <w:szCs w:val="24"/>
        </w:rPr>
      </w:pPr>
    </w:p>
    <w:p w14:paraId="50C7EA2B" w14:textId="77777777" w:rsidR="007109D4" w:rsidRDefault="007109D4" w:rsidP="00E735DB">
      <w:pPr>
        <w:jc w:val="center"/>
        <w:rPr>
          <w:b/>
          <w:bCs/>
          <w:color w:val="auto"/>
          <w:sz w:val="24"/>
          <w:szCs w:val="24"/>
        </w:rPr>
      </w:pPr>
    </w:p>
    <w:p w14:paraId="67606C08" w14:textId="77777777" w:rsidR="007109D4" w:rsidRDefault="007109D4" w:rsidP="00E735DB">
      <w:pPr>
        <w:jc w:val="center"/>
        <w:rPr>
          <w:b/>
          <w:bCs/>
          <w:color w:val="auto"/>
          <w:sz w:val="24"/>
          <w:szCs w:val="24"/>
        </w:rPr>
      </w:pPr>
    </w:p>
    <w:p w14:paraId="053FD6D0" w14:textId="153A47C7" w:rsidR="00A958CA" w:rsidRPr="00D27C2A" w:rsidRDefault="006C6CAA" w:rsidP="00A958CA">
      <w:pPr>
        <w:jc w:val="center"/>
        <w:rPr>
          <w:b/>
          <w:bCs/>
          <w:color w:val="auto"/>
          <w:sz w:val="24"/>
          <w:szCs w:val="24"/>
        </w:rPr>
      </w:pPr>
      <w:r>
        <w:rPr>
          <w:b/>
          <w:bCs/>
          <w:color w:val="auto"/>
          <w:sz w:val="24"/>
          <w:szCs w:val="24"/>
        </w:rPr>
        <w:br w:type="page"/>
      </w:r>
      <w:r w:rsidR="00FE2F89" w:rsidRPr="00FE2F89">
        <w:rPr>
          <w:b/>
          <w:bCs/>
          <w:color w:val="auto"/>
          <w:sz w:val="24"/>
          <w:szCs w:val="24"/>
        </w:rPr>
        <w:lastRenderedPageBreak/>
        <w:t>FREEDOM TO SPEAK UP IN THE ICB</w:t>
      </w:r>
      <w:r w:rsidR="00FE2F89" w:rsidRPr="00FE2F89" w:rsidDel="00FE2F89">
        <w:rPr>
          <w:b/>
          <w:bCs/>
          <w:color w:val="auto"/>
          <w:sz w:val="24"/>
          <w:szCs w:val="24"/>
        </w:rPr>
        <w:t xml:space="preserve"> </w:t>
      </w:r>
    </w:p>
    <w:p w14:paraId="7D2093E5" w14:textId="77777777" w:rsidR="00A958CA" w:rsidRPr="00A958CA" w:rsidRDefault="00A958CA" w:rsidP="00A958CA">
      <w:pPr>
        <w:spacing w:after="0" w:line="240" w:lineRule="auto"/>
        <w:jc w:val="center"/>
        <w:rPr>
          <w:b/>
          <w:bCs/>
          <w:color w:val="auto"/>
          <w:sz w:val="24"/>
          <w:szCs w:val="24"/>
        </w:rPr>
      </w:pPr>
    </w:p>
    <w:p w14:paraId="65D6AA15" w14:textId="77777777" w:rsidR="00A958CA" w:rsidRPr="00A958CA" w:rsidRDefault="00A958CA" w:rsidP="00A958CA">
      <w:pPr>
        <w:pStyle w:val="ListParagraph"/>
        <w:numPr>
          <w:ilvl w:val="0"/>
          <w:numId w:val="1"/>
        </w:numPr>
        <w:spacing w:after="0" w:line="240" w:lineRule="auto"/>
        <w:ind w:left="567" w:hanging="567"/>
        <w:jc w:val="both"/>
        <w:rPr>
          <w:b/>
          <w:bCs/>
          <w:color w:val="auto"/>
          <w:sz w:val="24"/>
          <w:szCs w:val="24"/>
        </w:rPr>
      </w:pPr>
      <w:r w:rsidRPr="00A958CA">
        <w:rPr>
          <w:b/>
          <w:bCs/>
          <w:color w:val="auto"/>
          <w:sz w:val="24"/>
          <w:szCs w:val="24"/>
        </w:rPr>
        <w:t>INTRODUCTION</w:t>
      </w:r>
    </w:p>
    <w:p w14:paraId="7747C510" w14:textId="276D995E" w:rsidR="00A958CA" w:rsidRDefault="00A958CA" w:rsidP="00C05380">
      <w:pPr>
        <w:spacing w:after="0" w:line="240" w:lineRule="auto"/>
        <w:jc w:val="both"/>
        <w:rPr>
          <w:b/>
          <w:bCs/>
          <w:color w:val="auto"/>
          <w:sz w:val="24"/>
          <w:szCs w:val="24"/>
        </w:rPr>
      </w:pPr>
    </w:p>
    <w:p w14:paraId="36E3DB12" w14:textId="1C783472" w:rsidR="00381BD2" w:rsidRDefault="00DA750C" w:rsidP="00CB266E">
      <w:pPr>
        <w:spacing w:after="0" w:line="240" w:lineRule="auto"/>
        <w:jc w:val="both"/>
        <w:rPr>
          <w:bCs/>
          <w:color w:val="auto"/>
        </w:rPr>
      </w:pPr>
      <w:r>
        <w:rPr>
          <w:bCs/>
          <w:color w:val="auto"/>
        </w:rPr>
        <w:t xml:space="preserve">Upon inception, NHS Humber and North Yorkshire ICB adopted a Freedom to Speak Up policy which was updated to reflect the changing NHSE guidance. The ICB is compliant with its responsibility to have a policy to manage whistleblowing concerns and protected disclosures raised with it. </w:t>
      </w:r>
    </w:p>
    <w:p w14:paraId="44E89ED6" w14:textId="77777777" w:rsidR="00DA750C" w:rsidRDefault="00DA750C" w:rsidP="00CB266E">
      <w:pPr>
        <w:spacing w:after="0" w:line="240" w:lineRule="auto"/>
        <w:jc w:val="both"/>
        <w:rPr>
          <w:bCs/>
          <w:color w:val="auto"/>
        </w:rPr>
      </w:pPr>
    </w:p>
    <w:p w14:paraId="6013621E" w14:textId="5FDAAC65" w:rsidR="00DA750C" w:rsidRPr="009D707D" w:rsidRDefault="00DA750C" w:rsidP="00CB266E">
      <w:pPr>
        <w:spacing w:after="0" w:line="240" w:lineRule="auto"/>
        <w:jc w:val="both"/>
        <w:rPr>
          <w:bCs/>
          <w:color w:val="auto"/>
        </w:rPr>
      </w:pPr>
      <w:r>
        <w:rPr>
          <w:bCs/>
          <w:color w:val="auto"/>
        </w:rPr>
        <w:t xml:space="preserve">The ICB, in its system role, also links to Freedom to Speak Up concerns for provider organisations and primary care. Responsibility for the Freedom to Speak Up Guardian arrangements for primary care officially becomes the responsibility of NHS Humber and North Yorkshire ICB in January 2026 and we are required to identify a Guardian for primary care organisations and have a process in place for managing concerns by this date. </w:t>
      </w:r>
    </w:p>
    <w:p w14:paraId="0644522D" w14:textId="77777777" w:rsidR="002007B4" w:rsidRPr="00C05380" w:rsidRDefault="002007B4" w:rsidP="00C05380">
      <w:pPr>
        <w:spacing w:after="0" w:line="240" w:lineRule="auto"/>
        <w:jc w:val="both"/>
        <w:rPr>
          <w:b/>
          <w:bCs/>
          <w:color w:val="auto"/>
          <w:sz w:val="24"/>
          <w:szCs w:val="24"/>
        </w:rPr>
      </w:pPr>
    </w:p>
    <w:p w14:paraId="2675BF29" w14:textId="72D7464C" w:rsidR="00A958CA" w:rsidRPr="00A958CA" w:rsidRDefault="00DA750C" w:rsidP="00A958CA">
      <w:pPr>
        <w:pStyle w:val="ListParagraph"/>
        <w:numPr>
          <w:ilvl w:val="0"/>
          <w:numId w:val="1"/>
        </w:numPr>
        <w:spacing w:after="0" w:line="240" w:lineRule="auto"/>
        <w:ind w:left="567" w:hanging="567"/>
        <w:jc w:val="both"/>
        <w:rPr>
          <w:b/>
          <w:bCs/>
          <w:color w:val="auto"/>
          <w:sz w:val="24"/>
          <w:szCs w:val="24"/>
        </w:rPr>
      </w:pPr>
      <w:r>
        <w:rPr>
          <w:b/>
          <w:bCs/>
          <w:color w:val="auto"/>
          <w:sz w:val="24"/>
          <w:szCs w:val="24"/>
        </w:rPr>
        <w:t>DEFINITIONS</w:t>
      </w:r>
      <w:r w:rsidR="00A958CA" w:rsidRPr="00A958CA">
        <w:rPr>
          <w:b/>
          <w:bCs/>
          <w:color w:val="auto"/>
          <w:sz w:val="24"/>
          <w:szCs w:val="24"/>
        </w:rPr>
        <w:t xml:space="preserve"> </w:t>
      </w:r>
    </w:p>
    <w:p w14:paraId="4D8A7043" w14:textId="77777777" w:rsidR="00A958CA" w:rsidRPr="00A958CA" w:rsidRDefault="00A958CA" w:rsidP="00A958CA">
      <w:pPr>
        <w:spacing w:after="0" w:line="240" w:lineRule="auto"/>
        <w:jc w:val="both"/>
        <w:rPr>
          <w:b/>
          <w:bCs/>
          <w:color w:val="auto"/>
          <w:sz w:val="24"/>
          <w:szCs w:val="24"/>
        </w:rPr>
      </w:pPr>
    </w:p>
    <w:p w14:paraId="6081DA24" w14:textId="7E2A7B1E" w:rsidR="00D27C2A" w:rsidRDefault="00D27C2A" w:rsidP="00917B8C">
      <w:pPr>
        <w:spacing w:after="0" w:line="240" w:lineRule="auto"/>
        <w:jc w:val="both"/>
        <w:rPr>
          <w:b/>
          <w:bCs/>
          <w:i/>
          <w:iCs/>
          <w:color w:val="auto"/>
        </w:rPr>
      </w:pPr>
      <w:r w:rsidRPr="00917B8C">
        <w:rPr>
          <w:b/>
          <w:bCs/>
          <w:i/>
          <w:iCs/>
          <w:color w:val="auto"/>
        </w:rPr>
        <w:t>Freedom to Speak Up</w:t>
      </w:r>
      <w:r w:rsidR="00DA750C">
        <w:rPr>
          <w:b/>
          <w:bCs/>
          <w:i/>
          <w:iCs/>
          <w:color w:val="auto"/>
        </w:rPr>
        <w:t>/Whistleblowing</w:t>
      </w:r>
    </w:p>
    <w:p w14:paraId="3BB15EB5" w14:textId="77777777" w:rsidR="00DA750C" w:rsidRDefault="00DA750C" w:rsidP="00917B8C">
      <w:pPr>
        <w:spacing w:after="0" w:line="240" w:lineRule="auto"/>
        <w:jc w:val="both"/>
        <w:rPr>
          <w:b/>
          <w:bCs/>
          <w:i/>
          <w:iCs/>
          <w:color w:val="auto"/>
        </w:rPr>
      </w:pPr>
    </w:p>
    <w:p w14:paraId="5B13F2B5" w14:textId="2B72C8FA" w:rsidR="00DA750C" w:rsidRDefault="00DA750C" w:rsidP="00917B8C">
      <w:pPr>
        <w:spacing w:after="0" w:line="240" w:lineRule="auto"/>
        <w:jc w:val="both"/>
        <w:rPr>
          <w:color w:val="auto"/>
        </w:rPr>
      </w:pPr>
      <w:r>
        <w:rPr>
          <w:color w:val="auto"/>
        </w:rPr>
        <w:t xml:space="preserve">Freedom to Speak Up and Whistleblowing are terms which are often used interchangeably. </w:t>
      </w:r>
    </w:p>
    <w:p w14:paraId="034B88A7" w14:textId="77777777" w:rsidR="00DA750C" w:rsidRDefault="00DA750C" w:rsidP="00917B8C">
      <w:pPr>
        <w:spacing w:after="0" w:line="240" w:lineRule="auto"/>
        <w:jc w:val="both"/>
        <w:rPr>
          <w:color w:val="auto"/>
        </w:rPr>
      </w:pPr>
    </w:p>
    <w:p w14:paraId="64326A71" w14:textId="17D6571F" w:rsidR="00DA750C" w:rsidRDefault="00DA750C" w:rsidP="00917B8C">
      <w:pPr>
        <w:spacing w:after="0" w:line="240" w:lineRule="auto"/>
        <w:jc w:val="both"/>
        <w:rPr>
          <w:color w:val="auto"/>
        </w:rPr>
      </w:pPr>
      <w:r>
        <w:rPr>
          <w:color w:val="auto"/>
        </w:rPr>
        <w:t>Whistleblowing</w:t>
      </w:r>
      <w:r w:rsidRPr="00DA750C">
        <w:rPr>
          <w:color w:val="auto"/>
        </w:rPr>
        <w:t xml:space="preserve"> is the activity of a person, often an employee, revealing information about activity within a private or public organization that is deemed illegal, immoral, illicit, unsafe or fraudulent.</w:t>
      </w:r>
    </w:p>
    <w:p w14:paraId="664CDA51" w14:textId="77777777" w:rsidR="00DA750C" w:rsidRDefault="00DA750C" w:rsidP="00917B8C">
      <w:pPr>
        <w:spacing w:after="0" w:line="240" w:lineRule="auto"/>
        <w:jc w:val="both"/>
        <w:rPr>
          <w:color w:val="auto"/>
        </w:rPr>
      </w:pPr>
    </w:p>
    <w:p w14:paraId="5F976323" w14:textId="62209C38" w:rsidR="00DA750C" w:rsidRDefault="00DA750C" w:rsidP="00917B8C">
      <w:pPr>
        <w:spacing w:after="0" w:line="240" w:lineRule="auto"/>
        <w:jc w:val="both"/>
        <w:rPr>
          <w:color w:val="auto"/>
        </w:rPr>
      </w:pPr>
      <w:r>
        <w:rPr>
          <w:color w:val="auto"/>
        </w:rPr>
        <w:t xml:space="preserve">Freedom to Speak Up is about fostering a culture where people feel able to speak up about the concerns they have about the practices of an organisation or the way they or others have been treated by an organisation. </w:t>
      </w:r>
    </w:p>
    <w:p w14:paraId="210A0218" w14:textId="77777777" w:rsidR="00DA750C" w:rsidRDefault="00DA750C" w:rsidP="00917B8C">
      <w:pPr>
        <w:spacing w:after="0" w:line="240" w:lineRule="auto"/>
        <w:jc w:val="both"/>
        <w:rPr>
          <w:color w:val="auto"/>
        </w:rPr>
      </w:pPr>
    </w:p>
    <w:p w14:paraId="311B759E" w14:textId="21F69649" w:rsidR="00DA750C" w:rsidRDefault="00EA05C9" w:rsidP="00917B8C">
      <w:pPr>
        <w:spacing w:after="0" w:line="240" w:lineRule="auto"/>
        <w:jc w:val="both"/>
        <w:rPr>
          <w:color w:val="auto"/>
        </w:rPr>
      </w:pPr>
      <w:r>
        <w:rPr>
          <w:color w:val="auto"/>
        </w:rPr>
        <w:t xml:space="preserve">Providing evidence as a whistleblower can entitle you to certain protections and this is what is covered by the term Protected Disclosures. Effectively making a protected disclosure means that there is a requirement to ensure that you do not suffer a detriment in your employment terms or status </w:t>
      </w:r>
      <w:proofErr w:type="gramStart"/>
      <w:r>
        <w:rPr>
          <w:color w:val="auto"/>
        </w:rPr>
        <w:t>as a result of</w:t>
      </w:r>
      <w:proofErr w:type="gramEnd"/>
      <w:r>
        <w:rPr>
          <w:color w:val="auto"/>
        </w:rPr>
        <w:t xml:space="preserve"> that. </w:t>
      </w:r>
    </w:p>
    <w:p w14:paraId="186E8D21" w14:textId="77777777" w:rsidR="00FC65F9" w:rsidRDefault="00FC65F9" w:rsidP="00917B8C">
      <w:pPr>
        <w:spacing w:after="0" w:line="240" w:lineRule="auto"/>
        <w:jc w:val="both"/>
        <w:rPr>
          <w:color w:val="auto"/>
        </w:rPr>
      </w:pPr>
    </w:p>
    <w:p w14:paraId="0E58B380" w14:textId="203EDF84" w:rsidR="00FC65F9" w:rsidRPr="00DA750C" w:rsidRDefault="00FC65F9" w:rsidP="00917B8C">
      <w:pPr>
        <w:spacing w:after="0" w:line="240" w:lineRule="auto"/>
        <w:jc w:val="both"/>
        <w:rPr>
          <w:color w:val="auto"/>
        </w:rPr>
      </w:pPr>
      <w:r>
        <w:rPr>
          <w:color w:val="auto"/>
        </w:rPr>
        <w:t>There is however a distinction between Freedom to Speak Up and Whistleblowing and HR processes such as discipline and grievance</w:t>
      </w:r>
      <w:r w:rsidR="007A5051">
        <w:rPr>
          <w:color w:val="auto"/>
        </w:rPr>
        <w:t xml:space="preserve"> processes which deal with individual issues related to that person</w:t>
      </w:r>
      <w:r w:rsidR="00FE2F89">
        <w:rPr>
          <w:color w:val="auto"/>
        </w:rPr>
        <w:t>’</w:t>
      </w:r>
      <w:r w:rsidR="007A5051">
        <w:rPr>
          <w:color w:val="auto"/>
        </w:rPr>
        <w:t xml:space="preserve">s employment contract. </w:t>
      </w:r>
    </w:p>
    <w:p w14:paraId="5BFB3186" w14:textId="77777777" w:rsidR="00BA2452" w:rsidRDefault="00BA2452" w:rsidP="00944610">
      <w:pPr>
        <w:spacing w:after="0" w:line="240" w:lineRule="auto"/>
        <w:jc w:val="both"/>
        <w:rPr>
          <w:color w:val="auto"/>
          <w:sz w:val="24"/>
          <w:szCs w:val="24"/>
        </w:rPr>
      </w:pPr>
    </w:p>
    <w:p w14:paraId="15E5CA08" w14:textId="226DFB2D" w:rsidR="00A958CA" w:rsidRPr="00A958CA" w:rsidRDefault="00E32B43" w:rsidP="00A958CA">
      <w:pPr>
        <w:pStyle w:val="Heading4"/>
        <w:numPr>
          <w:ilvl w:val="0"/>
          <w:numId w:val="1"/>
        </w:numPr>
        <w:ind w:left="567" w:hanging="567"/>
        <w:rPr>
          <w:rFonts w:ascii="Arial" w:hAnsi="Arial" w:cs="Arial"/>
        </w:rPr>
      </w:pPr>
      <w:r>
        <w:rPr>
          <w:rFonts w:ascii="Arial" w:hAnsi="Arial" w:cs="Arial"/>
        </w:rPr>
        <w:t>ROLES AND RESPONSIBILITIES</w:t>
      </w:r>
    </w:p>
    <w:p w14:paraId="0EAE3432" w14:textId="6FAF856D" w:rsidR="00A958CA" w:rsidRDefault="00A958CA" w:rsidP="00A958CA">
      <w:pPr>
        <w:pStyle w:val="Heading4"/>
        <w:tabs>
          <w:tab w:val="left" w:pos="630"/>
        </w:tabs>
        <w:ind w:left="0" w:firstLine="360"/>
        <w:rPr>
          <w:rFonts w:ascii="Arial" w:hAnsi="Arial" w:cs="Arial"/>
          <w:b w:val="0"/>
          <w:bCs w:val="0"/>
        </w:rPr>
      </w:pPr>
      <w:r w:rsidRPr="00A958CA">
        <w:rPr>
          <w:rFonts w:ascii="Arial" w:hAnsi="Arial" w:cs="Arial"/>
          <w:b w:val="0"/>
          <w:bCs w:val="0"/>
        </w:rPr>
        <w:t xml:space="preserve">   </w:t>
      </w:r>
    </w:p>
    <w:p w14:paraId="6553B095" w14:textId="0AF7FD88" w:rsidR="004D4B20" w:rsidRPr="004D4B20" w:rsidRDefault="004D4B20" w:rsidP="004D4B20">
      <w:pPr>
        <w:rPr>
          <w:b/>
          <w:bCs/>
          <w:color w:val="000000" w:themeColor="text1"/>
        </w:rPr>
      </w:pPr>
      <w:r w:rsidRPr="004D4B20">
        <w:rPr>
          <w:b/>
          <w:bCs/>
          <w:color w:val="000000" w:themeColor="text1"/>
        </w:rPr>
        <w:t>Current Position</w:t>
      </w:r>
    </w:p>
    <w:p w14:paraId="373CBFC0" w14:textId="212FF4D5" w:rsidR="000A5EE1" w:rsidRDefault="00E32B43" w:rsidP="00A72373">
      <w:pPr>
        <w:spacing w:after="0" w:line="240" w:lineRule="auto"/>
        <w:jc w:val="both"/>
        <w:rPr>
          <w:color w:val="auto"/>
        </w:rPr>
      </w:pPr>
      <w:r>
        <w:rPr>
          <w:color w:val="auto"/>
        </w:rPr>
        <w:t xml:space="preserve">The ICB does have named individuals and roles involved in the Freedom to Speak Up process for the ICB. </w:t>
      </w:r>
    </w:p>
    <w:p w14:paraId="1D53A9B4" w14:textId="77777777" w:rsidR="00E32B43" w:rsidRDefault="00E32B43" w:rsidP="00A72373">
      <w:pPr>
        <w:spacing w:after="0" w:line="240" w:lineRule="auto"/>
        <w:jc w:val="both"/>
        <w:rPr>
          <w:color w:val="auto"/>
        </w:rPr>
      </w:pPr>
    </w:p>
    <w:p w14:paraId="41FDF07F" w14:textId="61E61B45" w:rsidR="00E32B43" w:rsidRDefault="00E32B43" w:rsidP="00A72373">
      <w:pPr>
        <w:spacing w:after="0" w:line="240" w:lineRule="auto"/>
        <w:jc w:val="both"/>
        <w:rPr>
          <w:color w:val="auto"/>
        </w:rPr>
      </w:pPr>
      <w:r>
        <w:rPr>
          <w:color w:val="auto"/>
        </w:rPr>
        <w:t xml:space="preserve">Dr Nigel Wells, Executive Director of Clinical and Care Professionals is the ICB Freedom to Speak Up Guardian. </w:t>
      </w:r>
    </w:p>
    <w:p w14:paraId="4C75297D" w14:textId="77777777" w:rsidR="00E32B43" w:rsidRDefault="00E32B43" w:rsidP="00A72373">
      <w:pPr>
        <w:spacing w:after="0" w:line="240" w:lineRule="auto"/>
        <w:jc w:val="both"/>
        <w:rPr>
          <w:color w:val="auto"/>
        </w:rPr>
      </w:pPr>
    </w:p>
    <w:p w14:paraId="472E758C" w14:textId="4172E3EF" w:rsidR="00E32B43" w:rsidRDefault="00E32B43" w:rsidP="00A72373">
      <w:pPr>
        <w:spacing w:after="0" w:line="240" w:lineRule="auto"/>
        <w:jc w:val="both"/>
        <w:rPr>
          <w:color w:val="auto"/>
        </w:rPr>
      </w:pPr>
      <w:r>
        <w:rPr>
          <w:color w:val="auto"/>
        </w:rPr>
        <w:t xml:space="preserve">Mark Chamberlain, </w:t>
      </w:r>
      <w:proofErr w:type="spellStart"/>
      <w:proofErr w:type="gramStart"/>
      <w:r>
        <w:rPr>
          <w:color w:val="auto"/>
        </w:rPr>
        <w:t>Non Executive</w:t>
      </w:r>
      <w:proofErr w:type="spellEnd"/>
      <w:proofErr w:type="gramEnd"/>
      <w:r>
        <w:rPr>
          <w:color w:val="auto"/>
        </w:rPr>
        <w:t xml:space="preserve"> Director is the ICB Freedom to Speak up Non Executive Lead and Sponsor</w:t>
      </w:r>
    </w:p>
    <w:p w14:paraId="460F319D" w14:textId="77777777" w:rsidR="00E32B43" w:rsidRDefault="00E32B43" w:rsidP="00A72373">
      <w:pPr>
        <w:spacing w:after="0" w:line="240" w:lineRule="auto"/>
        <w:jc w:val="both"/>
        <w:rPr>
          <w:color w:val="auto"/>
        </w:rPr>
      </w:pPr>
    </w:p>
    <w:p w14:paraId="238C5566" w14:textId="3166521F" w:rsidR="00E32B43" w:rsidRDefault="00E32B43" w:rsidP="00A72373">
      <w:pPr>
        <w:spacing w:after="0" w:line="240" w:lineRule="auto"/>
        <w:jc w:val="both"/>
        <w:rPr>
          <w:color w:val="auto"/>
        </w:rPr>
      </w:pPr>
      <w:r>
        <w:rPr>
          <w:color w:val="auto"/>
        </w:rPr>
        <w:t xml:space="preserve">Abigail Combes, Deputy Director for Governance, Legal and Regulatory Functions is the first point of contact for most Freedom to Speak Up queries and is supported by Gemma </w:t>
      </w:r>
      <w:proofErr w:type="spellStart"/>
      <w:r>
        <w:rPr>
          <w:color w:val="auto"/>
        </w:rPr>
        <w:t>Mazingham</w:t>
      </w:r>
      <w:proofErr w:type="spellEnd"/>
      <w:r>
        <w:rPr>
          <w:color w:val="auto"/>
        </w:rPr>
        <w:t xml:space="preserve">, Head of Regulatory Functions. </w:t>
      </w:r>
    </w:p>
    <w:p w14:paraId="0AAAA1AF" w14:textId="77777777" w:rsidR="00E32B43" w:rsidRDefault="00E32B43" w:rsidP="00A72373">
      <w:pPr>
        <w:spacing w:after="0" w:line="240" w:lineRule="auto"/>
        <w:jc w:val="both"/>
        <w:rPr>
          <w:color w:val="auto"/>
        </w:rPr>
      </w:pPr>
    </w:p>
    <w:p w14:paraId="34F48064" w14:textId="1CCF7CD4" w:rsidR="00E32B43" w:rsidRDefault="00E32B43" w:rsidP="00A72373">
      <w:pPr>
        <w:spacing w:after="0" w:line="240" w:lineRule="auto"/>
        <w:jc w:val="both"/>
        <w:rPr>
          <w:color w:val="auto"/>
        </w:rPr>
      </w:pPr>
      <w:r>
        <w:rPr>
          <w:color w:val="auto"/>
        </w:rPr>
        <w:t xml:space="preserve">Following the NHSE letter to ICBs and Providers relating to the conviction of Lucy Letby, the ICB reflected on whether the ICB had in post the right skill set and seniority level to allow people to feel </w:t>
      </w:r>
      <w:r>
        <w:rPr>
          <w:color w:val="auto"/>
        </w:rPr>
        <w:lastRenderedPageBreak/>
        <w:t xml:space="preserve">able to speak up </w:t>
      </w:r>
      <w:proofErr w:type="gramStart"/>
      <w:r>
        <w:rPr>
          <w:color w:val="auto"/>
        </w:rPr>
        <w:t>and also</w:t>
      </w:r>
      <w:proofErr w:type="gramEnd"/>
      <w:r>
        <w:rPr>
          <w:color w:val="auto"/>
        </w:rPr>
        <w:t xml:space="preserve"> had sufficient autonomy to try to influence culture across the ICB and the system. As the Board will be aware, one of the big focuses of the initial aftermath of the Lucy Letby case, and likely to be an outcome of the Public Inquiry, is the requirement for NHS managers to be Regulated and registered. The ICB felt in a good position given that both the Freedom to Speak Up Guardian and the first point of contact are Regulated professionals. </w:t>
      </w:r>
    </w:p>
    <w:p w14:paraId="6A3D3163" w14:textId="77777777" w:rsidR="00E32B43" w:rsidRDefault="00E32B43" w:rsidP="00A72373">
      <w:pPr>
        <w:spacing w:after="0" w:line="240" w:lineRule="auto"/>
        <w:jc w:val="both"/>
        <w:rPr>
          <w:color w:val="auto"/>
        </w:rPr>
      </w:pPr>
    </w:p>
    <w:p w14:paraId="36EB36D1" w14:textId="298F12BD" w:rsidR="00E32B43" w:rsidRDefault="00E32B43" w:rsidP="00A72373">
      <w:pPr>
        <w:spacing w:after="0" w:line="240" w:lineRule="auto"/>
        <w:jc w:val="both"/>
        <w:rPr>
          <w:color w:val="auto"/>
        </w:rPr>
      </w:pPr>
      <w:r>
        <w:rPr>
          <w:color w:val="auto"/>
        </w:rPr>
        <w:t xml:space="preserve">Further reflection however has resulted in a position where there is a recognition that those identified to hold specific roles within the FTSU process thus far have been selected either as a consequence of their role or the circumstances of the organisation (for example, the </w:t>
      </w:r>
      <w:proofErr w:type="spellStart"/>
      <w:r>
        <w:rPr>
          <w:color w:val="auto"/>
        </w:rPr>
        <w:t>Non Executive</w:t>
      </w:r>
      <w:proofErr w:type="spellEnd"/>
      <w:r>
        <w:rPr>
          <w:color w:val="auto"/>
        </w:rPr>
        <w:t xml:space="preserve"> Director appointments started with 2, one was required to be the Freedom to Speak Up champion and the other was the conflict of interests champion and as a result there was a natural alignment to the committees and skill sets of the </w:t>
      </w:r>
      <w:proofErr w:type="spellStart"/>
      <w:r>
        <w:rPr>
          <w:color w:val="auto"/>
        </w:rPr>
        <w:t>non executive</w:t>
      </w:r>
      <w:proofErr w:type="spellEnd"/>
      <w:r>
        <w:rPr>
          <w:color w:val="auto"/>
        </w:rPr>
        <w:t xml:space="preserve"> directors). </w:t>
      </w:r>
    </w:p>
    <w:p w14:paraId="43C0AF3E" w14:textId="77777777" w:rsidR="00E32B43" w:rsidRDefault="00E32B43" w:rsidP="00A72373">
      <w:pPr>
        <w:spacing w:after="0" w:line="240" w:lineRule="auto"/>
        <w:jc w:val="both"/>
        <w:rPr>
          <w:color w:val="auto"/>
        </w:rPr>
      </w:pPr>
    </w:p>
    <w:p w14:paraId="40F73114" w14:textId="04DCFA3A" w:rsidR="00E32B43" w:rsidRPr="00A72373" w:rsidRDefault="00E32B43" w:rsidP="00A72373">
      <w:pPr>
        <w:spacing w:after="0" w:line="240" w:lineRule="auto"/>
        <w:jc w:val="both"/>
        <w:rPr>
          <w:color w:val="auto"/>
        </w:rPr>
      </w:pPr>
      <w:r>
        <w:rPr>
          <w:color w:val="auto"/>
        </w:rPr>
        <w:t xml:space="preserve">The ICB has committed to the transparent and open recruitment of Freedom to Speak Up champions within the ICB and should there be a point in time at which </w:t>
      </w:r>
      <w:r w:rsidR="0019480C">
        <w:rPr>
          <w:color w:val="auto"/>
        </w:rPr>
        <w:t xml:space="preserve">the ICB wishes to reconsider the individual roles involved as the Freedom to Speak Up Guardian, the operational lead and the </w:t>
      </w:r>
      <w:proofErr w:type="spellStart"/>
      <w:r w:rsidR="0019480C">
        <w:rPr>
          <w:color w:val="auto"/>
        </w:rPr>
        <w:t>Non Executive</w:t>
      </w:r>
      <w:proofErr w:type="spellEnd"/>
      <w:r w:rsidR="0019480C">
        <w:rPr>
          <w:color w:val="auto"/>
        </w:rPr>
        <w:t xml:space="preserve"> Director, the ICB would need to follow relevant HR processes but should also then consider an open recruitment process for those posts. </w:t>
      </w:r>
    </w:p>
    <w:p w14:paraId="13A16A06" w14:textId="77777777" w:rsidR="00B323A5" w:rsidRDefault="00B323A5" w:rsidP="00C365B4">
      <w:pPr>
        <w:spacing w:after="0" w:line="240" w:lineRule="auto"/>
        <w:jc w:val="both"/>
        <w:rPr>
          <w:color w:val="auto"/>
        </w:rPr>
      </w:pPr>
    </w:p>
    <w:p w14:paraId="4C131891" w14:textId="13B6BE9D" w:rsidR="004D4B20" w:rsidRDefault="00961FA0" w:rsidP="0019480C">
      <w:pPr>
        <w:pStyle w:val="ListParagraph"/>
        <w:numPr>
          <w:ilvl w:val="0"/>
          <w:numId w:val="1"/>
        </w:numPr>
        <w:spacing w:after="0" w:line="240" w:lineRule="auto"/>
        <w:jc w:val="both"/>
        <w:rPr>
          <w:b/>
          <w:bCs/>
          <w:color w:val="auto"/>
        </w:rPr>
      </w:pPr>
      <w:r>
        <w:rPr>
          <w:b/>
          <w:bCs/>
          <w:color w:val="auto"/>
        </w:rPr>
        <w:t>CHAMPION DEVELOPMENT</w:t>
      </w:r>
    </w:p>
    <w:p w14:paraId="5F2EA625" w14:textId="77777777" w:rsidR="004647A1" w:rsidRDefault="004647A1" w:rsidP="004647A1">
      <w:pPr>
        <w:spacing w:after="0" w:line="240" w:lineRule="auto"/>
        <w:jc w:val="both"/>
        <w:rPr>
          <w:b/>
          <w:bCs/>
          <w:color w:val="auto"/>
        </w:rPr>
      </w:pPr>
    </w:p>
    <w:p w14:paraId="4BEB88D2" w14:textId="0718A080" w:rsidR="004647A1" w:rsidRDefault="004647A1" w:rsidP="004647A1">
      <w:pPr>
        <w:spacing w:after="0" w:line="240" w:lineRule="auto"/>
        <w:jc w:val="both"/>
        <w:rPr>
          <w:color w:val="auto"/>
        </w:rPr>
      </w:pPr>
      <w:r>
        <w:rPr>
          <w:color w:val="auto"/>
        </w:rPr>
        <w:t xml:space="preserve">It is recognised that Freedom to Speak Up Guardians cannot be effective in isolation. </w:t>
      </w:r>
      <w:r w:rsidRPr="004647A1">
        <w:rPr>
          <w:color w:val="auto"/>
        </w:rPr>
        <w:t>Many organisations have developed internal Freedom to Speak Up networks to raise awareness and promote the value of speaking up, listening up and following up. Many guardians rely on these networks to address challenges posed by organisation size, geography and the nature of their work and to help them support workers, especially those who may face barriers to speaking up.</w:t>
      </w:r>
    </w:p>
    <w:p w14:paraId="4CD02C5E" w14:textId="77777777" w:rsidR="004647A1" w:rsidRDefault="004647A1" w:rsidP="004647A1">
      <w:pPr>
        <w:spacing w:after="0" w:line="240" w:lineRule="auto"/>
        <w:jc w:val="both"/>
        <w:rPr>
          <w:color w:val="auto"/>
        </w:rPr>
      </w:pPr>
    </w:p>
    <w:p w14:paraId="036E1E45" w14:textId="7323691C" w:rsidR="004647A1" w:rsidRDefault="004647A1" w:rsidP="004647A1">
      <w:pPr>
        <w:spacing w:after="0" w:line="240" w:lineRule="auto"/>
        <w:jc w:val="both"/>
        <w:rPr>
          <w:color w:val="auto"/>
        </w:rPr>
      </w:pPr>
      <w:r>
        <w:rPr>
          <w:color w:val="auto"/>
        </w:rPr>
        <w:t xml:space="preserve">Within the ICB, the current arrangements will be further enhanced by recruiting </w:t>
      </w:r>
      <w:proofErr w:type="gramStart"/>
      <w:r>
        <w:rPr>
          <w:color w:val="auto"/>
        </w:rPr>
        <w:t>a number of</w:t>
      </w:r>
      <w:proofErr w:type="gramEnd"/>
      <w:r>
        <w:rPr>
          <w:color w:val="auto"/>
        </w:rPr>
        <w:t xml:space="preserve"> FTSU Champions who will fulfil the role by supporting the following: </w:t>
      </w:r>
    </w:p>
    <w:p w14:paraId="5E0AC736" w14:textId="77777777" w:rsidR="004647A1" w:rsidRDefault="004647A1" w:rsidP="004647A1">
      <w:pPr>
        <w:spacing w:after="0" w:line="240" w:lineRule="auto"/>
        <w:jc w:val="both"/>
        <w:rPr>
          <w:color w:val="auto"/>
        </w:rPr>
      </w:pPr>
    </w:p>
    <w:p w14:paraId="2C680787" w14:textId="77777777" w:rsidR="004647A1" w:rsidRPr="004647A1" w:rsidRDefault="004647A1" w:rsidP="004647A1">
      <w:pPr>
        <w:numPr>
          <w:ilvl w:val="1"/>
          <w:numId w:val="20"/>
        </w:numPr>
        <w:tabs>
          <w:tab w:val="clear" w:pos="1440"/>
          <w:tab w:val="num" w:pos="360"/>
        </w:tabs>
        <w:spacing w:after="0" w:line="240" w:lineRule="auto"/>
        <w:ind w:left="360"/>
        <w:jc w:val="both"/>
        <w:rPr>
          <w:color w:val="auto"/>
        </w:rPr>
      </w:pPr>
      <w:r w:rsidRPr="004647A1">
        <w:rPr>
          <w:color w:val="auto"/>
        </w:rPr>
        <w:t xml:space="preserve">Awareness raising </w:t>
      </w:r>
    </w:p>
    <w:p w14:paraId="2DF5A102" w14:textId="77777777" w:rsidR="004647A1" w:rsidRPr="004647A1" w:rsidRDefault="004647A1" w:rsidP="004647A1">
      <w:pPr>
        <w:numPr>
          <w:ilvl w:val="1"/>
          <w:numId w:val="20"/>
        </w:numPr>
        <w:tabs>
          <w:tab w:val="clear" w:pos="1440"/>
          <w:tab w:val="num" w:pos="360"/>
        </w:tabs>
        <w:spacing w:after="0" w:line="240" w:lineRule="auto"/>
        <w:ind w:left="360"/>
        <w:jc w:val="both"/>
        <w:rPr>
          <w:color w:val="auto"/>
        </w:rPr>
      </w:pPr>
      <w:r w:rsidRPr="004647A1">
        <w:rPr>
          <w:color w:val="auto"/>
        </w:rPr>
        <w:t xml:space="preserve">Signposting and support </w:t>
      </w:r>
    </w:p>
    <w:p w14:paraId="432E90D5" w14:textId="77777777" w:rsidR="004647A1" w:rsidRPr="004647A1" w:rsidRDefault="004647A1" w:rsidP="004647A1">
      <w:pPr>
        <w:numPr>
          <w:ilvl w:val="1"/>
          <w:numId w:val="20"/>
        </w:numPr>
        <w:tabs>
          <w:tab w:val="clear" w:pos="1440"/>
          <w:tab w:val="num" w:pos="360"/>
        </w:tabs>
        <w:spacing w:after="0" w:line="240" w:lineRule="auto"/>
        <w:ind w:left="360"/>
        <w:jc w:val="both"/>
        <w:rPr>
          <w:color w:val="auto"/>
        </w:rPr>
      </w:pPr>
      <w:r w:rsidRPr="004647A1">
        <w:rPr>
          <w:color w:val="auto"/>
        </w:rPr>
        <w:t xml:space="preserve">Feedback </w:t>
      </w:r>
    </w:p>
    <w:p w14:paraId="6C7723AD" w14:textId="77777777" w:rsidR="004647A1" w:rsidRPr="004647A1" w:rsidRDefault="004647A1" w:rsidP="004647A1">
      <w:pPr>
        <w:numPr>
          <w:ilvl w:val="1"/>
          <w:numId w:val="20"/>
        </w:numPr>
        <w:tabs>
          <w:tab w:val="clear" w:pos="1440"/>
          <w:tab w:val="num" w:pos="360"/>
        </w:tabs>
        <w:spacing w:after="0" w:line="240" w:lineRule="auto"/>
        <w:ind w:left="360"/>
        <w:jc w:val="both"/>
        <w:rPr>
          <w:color w:val="auto"/>
        </w:rPr>
      </w:pPr>
      <w:r w:rsidRPr="004647A1">
        <w:rPr>
          <w:color w:val="auto"/>
        </w:rPr>
        <w:t xml:space="preserve">Learning </w:t>
      </w:r>
    </w:p>
    <w:p w14:paraId="55989B5E" w14:textId="77777777" w:rsidR="004647A1" w:rsidRDefault="004647A1" w:rsidP="004647A1">
      <w:pPr>
        <w:spacing w:after="0" w:line="240" w:lineRule="auto"/>
        <w:jc w:val="both"/>
        <w:rPr>
          <w:color w:val="auto"/>
        </w:rPr>
      </w:pPr>
    </w:p>
    <w:p w14:paraId="101C3FFF" w14:textId="780E6C18" w:rsidR="004647A1" w:rsidRDefault="004647A1" w:rsidP="004647A1">
      <w:pPr>
        <w:spacing w:after="0" w:line="240" w:lineRule="auto"/>
        <w:jc w:val="both"/>
        <w:rPr>
          <w:color w:val="auto"/>
        </w:rPr>
      </w:pPr>
      <w:r>
        <w:rPr>
          <w:color w:val="auto"/>
        </w:rPr>
        <w:t xml:space="preserve">As part of the establishment of this important role, an organisational ‘Champion Network’ meeting will be implemented to not only </w:t>
      </w:r>
      <w:r w:rsidR="0088367E">
        <w:rPr>
          <w:color w:val="auto"/>
        </w:rPr>
        <w:t xml:space="preserve">provide peer support to the </w:t>
      </w:r>
      <w:r>
        <w:rPr>
          <w:color w:val="auto"/>
        </w:rPr>
        <w:t xml:space="preserve">successful colleagues but to also </w:t>
      </w:r>
      <w:r w:rsidR="0088367E">
        <w:rPr>
          <w:color w:val="auto"/>
        </w:rPr>
        <w:t xml:space="preserve">discuss themes from the feedback being received and furthermore what opportunities there are for organisational learning. </w:t>
      </w:r>
    </w:p>
    <w:p w14:paraId="60441C9B" w14:textId="77777777" w:rsidR="0088367E" w:rsidRDefault="0088367E" w:rsidP="004647A1">
      <w:pPr>
        <w:spacing w:after="0" w:line="240" w:lineRule="auto"/>
        <w:jc w:val="both"/>
        <w:rPr>
          <w:color w:val="auto"/>
        </w:rPr>
      </w:pPr>
    </w:p>
    <w:p w14:paraId="16318DA0" w14:textId="084366AB" w:rsidR="0088367E" w:rsidRDefault="0088367E" w:rsidP="004647A1">
      <w:pPr>
        <w:spacing w:after="0" w:line="240" w:lineRule="auto"/>
        <w:jc w:val="both"/>
        <w:rPr>
          <w:b/>
          <w:bCs/>
          <w:color w:val="auto"/>
        </w:rPr>
      </w:pPr>
      <w:r>
        <w:rPr>
          <w:color w:val="auto"/>
        </w:rPr>
        <w:t xml:space="preserve">The role of the FTSU Champion will not only support the FTSU agenda, process and policy but is an enabler to the values of the ICB: </w:t>
      </w:r>
      <w:r w:rsidRPr="0088367E">
        <w:rPr>
          <w:b/>
          <w:bCs/>
          <w:color w:val="auto"/>
        </w:rPr>
        <w:t>We care. We connect. We innovate.</w:t>
      </w:r>
    </w:p>
    <w:p w14:paraId="28A68D87" w14:textId="77777777" w:rsidR="000C17DC" w:rsidRDefault="000C17DC" w:rsidP="004647A1">
      <w:pPr>
        <w:spacing w:after="0" w:line="240" w:lineRule="auto"/>
        <w:jc w:val="both"/>
        <w:rPr>
          <w:b/>
          <w:bCs/>
          <w:color w:val="auto"/>
        </w:rPr>
      </w:pPr>
    </w:p>
    <w:p w14:paraId="31834070" w14:textId="2F048689" w:rsidR="000C17DC" w:rsidRPr="000C17DC" w:rsidRDefault="000C17DC" w:rsidP="004647A1">
      <w:pPr>
        <w:spacing w:after="0" w:line="240" w:lineRule="auto"/>
        <w:jc w:val="both"/>
        <w:rPr>
          <w:color w:val="auto"/>
        </w:rPr>
      </w:pPr>
      <w:r w:rsidRPr="000C17DC">
        <w:rPr>
          <w:color w:val="auto"/>
        </w:rPr>
        <w:t>It is intended that the Freedom to Speak Up Champions will be recruited in June 2025</w:t>
      </w:r>
      <w:r>
        <w:rPr>
          <w:color w:val="auto"/>
        </w:rPr>
        <w:t>.</w:t>
      </w:r>
    </w:p>
    <w:p w14:paraId="4949C2B9" w14:textId="77777777" w:rsidR="004647A1" w:rsidRPr="004647A1" w:rsidRDefault="004647A1" w:rsidP="004647A1">
      <w:pPr>
        <w:spacing w:after="0" w:line="240" w:lineRule="auto"/>
        <w:jc w:val="both"/>
        <w:rPr>
          <w:color w:val="auto"/>
        </w:rPr>
      </w:pPr>
    </w:p>
    <w:p w14:paraId="303495ED" w14:textId="001F4253" w:rsidR="0019480C" w:rsidRDefault="00961FA0" w:rsidP="0019480C">
      <w:pPr>
        <w:pStyle w:val="ListParagraph"/>
        <w:numPr>
          <w:ilvl w:val="0"/>
          <w:numId w:val="1"/>
        </w:numPr>
        <w:spacing w:after="0" w:line="240" w:lineRule="auto"/>
        <w:jc w:val="both"/>
        <w:rPr>
          <w:b/>
          <w:bCs/>
          <w:color w:val="auto"/>
        </w:rPr>
      </w:pPr>
      <w:r>
        <w:rPr>
          <w:b/>
          <w:bCs/>
          <w:color w:val="auto"/>
        </w:rPr>
        <w:t>THEMES AND TRENDS</w:t>
      </w:r>
    </w:p>
    <w:p w14:paraId="3EB6DFB4" w14:textId="77777777" w:rsidR="0019480C" w:rsidRDefault="0019480C" w:rsidP="0019480C">
      <w:pPr>
        <w:spacing w:after="0" w:line="240" w:lineRule="auto"/>
        <w:jc w:val="both"/>
        <w:rPr>
          <w:b/>
          <w:bCs/>
          <w:color w:val="auto"/>
        </w:rPr>
      </w:pPr>
    </w:p>
    <w:p w14:paraId="5AA04697" w14:textId="4904245A" w:rsidR="0019480C" w:rsidRDefault="0019480C" w:rsidP="0019480C">
      <w:pPr>
        <w:spacing w:after="0" w:line="240" w:lineRule="auto"/>
        <w:jc w:val="both"/>
        <w:rPr>
          <w:color w:val="auto"/>
        </w:rPr>
      </w:pPr>
      <w:r>
        <w:rPr>
          <w:color w:val="auto"/>
        </w:rPr>
        <w:t xml:space="preserve">Previously the ICB have been advised that </w:t>
      </w:r>
      <w:proofErr w:type="gramStart"/>
      <w:r>
        <w:rPr>
          <w:color w:val="auto"/>
        </w:rPr>
        <w:t>the majority of</w:t>
      </w:r>
      <w:proofErr w:type="gramEnd"/>
      <w:r>
        <w:rPr>
          <w:color w:val="auto"/>
        </w:rPr>
        <w:t xml:space="preserve"> concerns raised to the ICB, including those which have been raised and triaged into an HR process, have come from those from a BAME background or with another protected characteristic such as gender. </w:t>
      </w:r>
    </w:p>
    <w:p w14:paraId="1B47FB93" w14:textId="77777777" w:rsidR="0019480C" w:rsidRDefault="0019480C" w:rsidP="0019480C">
      <w:pPr>
        <w:spacing w:after="0" w:line="240" w:lineRule="auto"/>
        <w:jc w:val="both"/>
        <w:rPr>
          <w:color w:val="auto"/>
        </w:rPr>
      </w:pPr>
    </w:p>
    <w:p w14:paraId="73C80812" w14:textId="369787E0" w:rsidR="0019480C" w:rsidRDefault="0019480C" w:rsidP="0019480C">
      <w:pPr>
        <w:spacing w:after="0" w:line="240" w:lineRule="auto"/>
        <w:jc w:val="both"/>
        <w:rPr>
          <w:color w:val="auto"/>
        </w:rPr>
      </w:pPr>
      <w:r>
        <w:rPr>
          <w:color w:val="auto"/>
        </w:rPr>
        <w:t xml:space="preserve">As a result of this information the Board asked for the ICB to obtain information about </w:t>
      </w:r>
      <w:proofErr w:type="gramStart"/>
      <w:r>
        <w:rPr>
          <w:color w:val="auto"/>
        </w:rPr>
        <w:t>whether or not</w:t>
      </w:r>
      <w:proofErr w:type="gramEnd"/>
      <w:r>
        <w:rPr>
          <w:color w:val="auto"/>
        </w:rPr>
        <w:t xml:space="preserve"> there was a similar trend within provider organisations or elsewhere. As a result of this contact was made with Freedom to Speak Up Guardians across the system and </w:t>
      </w:r>
      <w:proofErr w:type="gramStart"/>
      <w:r>
        <w:rPr>
          <w:color w:val="auto"/>
        </w:rPr>
        <w:t>it is clear that the</w:t>
      </w:r>
      <w:proofErr w:type="gramEnd"/>
      <w:r>
        <w:rPr>
          <w:color w:val="auto"/>
        </w:rPr>
        <w:t xml:space="preserve"> collection of this information is variable. </w:t>
      </w:r>
    </w:p>
    <w:p w14:paraId="4F4A9DC3" w14:textId="77777777" w:rsidR="0019480C" w:rsidRDefault="0019480C" w:rsidP="0019480C">
      <w:pPr>
        <w:spacing w:after="0" w:line="240" w:lineRule="auto"/>
        <w:jc w:val="both"/>
        <w:rPr>
          <w:color w:val="auto"/>
        </w:rPr>
      </w:pPr>
    </w:p>
    <w:p w14:paraId="3254B6FD" w14:textId="25E33946" w:rsidR="0019480C" w:rsidRDefault="0019480C" w:rsidP="0019480C">
      <w:pPr>
        <w:spacing w:after="0" w:line="240" w:lineRule="auto"/>
        <w:jc w:val="both"/>
        <w:rPr>
          <w:color w:val="auto"/>
        </w:rPr>
      </w:pPr>
      <w:r>
        <w:rPr>
          <w:color w:val="auto"/>
        </w:rPr>
        <w:lastRenderedPageBreak/>
        <w:t xml:space="preserve">A requirement of collecting information from those wishing to raise concerns is that a 'satisfaction' questionnaire is sent out following the closure of the query. The ICB has not yet developed the questionnaire which we will return to in section 7 of this paper. In other organisations this questionnaire is the primary means by which demographic information is collected by the organisation receiving the concern. The common position was that the questionnaire was not </w:t>
      </w:r>
      <w:proofErr w:type="gramStart"/>
      <w:r>
        <w:rPr>
          <w:color w:val="auto"/>
        </w:rPr>
        <w:t>returned</w:t>
      </w:r>
      <w:proofErr w:type="gramEnd"/>
      <w:r>
        <w:rPr>
          <w:color w:val="auto"/>
        </w:rPr>
        <w:t xml:space="preserve"> or this section was not completed by those raising concerns. </w:t>
      </w:r>
    </w:p>
    <w:p w14:paraId="6DD3A8F2" w14:textId="77777777" w:rsidR="0019480C" w:rsidRDefault="0019480C" w:rsidP="0019480C">
      <w:pPr>
        <w:spacing w:after="0" w:line="240" w:lineRule="auto"/>
        <w:jc w:val="both"/>
        <w:rPr>
          <w:color w:val="auto"/>
        </w:rPr>
      </w:pPr>
    </w:p>
    <w:p w14:paraId="22A7A840" w14:textId="3F859347" w:rsidR="0019480C" w:rsidRDefault="0019480C" w:rsidP="0019480C">
      <w:pPr>
        <w:spacing w:after="0" w:line="240" w:lineRule="auto"/>
        <w:jc w:val="both"/>
        <w:rPr>
          <w:color w:val="auto"/>
        </w:rPr>
      </w:pPr>
      <w:r>
        <w:rPr>
          <w:color w:val="auto"/>
        </w:rPr>
        <w:t xml:space="preserve">Of the provider organisations </w:t>
      </w:r>
      <w:r w:rsidR="00991840">
        <w:rPr>
          <w:color w:val="auto"/>
        </w:rPr>
        <w:t xml:space="preserve">within the ICB footprint none could confidently confirm that they had identified themes and trends which related to the demographic of those raising concerns. There were some that did not respond to the request at all, other who said the number of responses they had had to questionnaires did not allow them to confidently confirm either way and others had not had responses to questionnaires so were unable to provide the information. </w:t>
      </w:r>
    </w:p>
    <w:p w14:paraId="1655E98D" w14:textId="77777777" w:rsidR="00991840" w:rsidRDefault="00991840" w:rsidP="0019480C">
      <w:pPr>
        <w:spacing w:after="0" w:line="240" w:lineRule="auto"/>
        <w:jc w:val="both"/>
        <w:rPr>
          <w:color w:val="auto"/>
        </w:rPr>
      </w:pPr>
    </w:p>
    <w:p w14:paraId="4B4E3A96" w14:textId="6F494708" w:rsidR="00991840" w:rsidRDefault="00991840" w:rsidP="0019480C">
      <w:pPr>
        <w:spacing w:after="0" w:line="240" w:lineRule="auto"/>
        <w:jc w:val="both"/>
        <w:rPr>
          <w:color w:val="auto"/>
        </w:rPr>
      </w:pPr>
      <w:r>
        <w:rPr>
          <w:color w:val="auto"/>
        </w:rPr>
        <w:t xml:space="preserve">The ICB gather this information up front in the initial conversation that individuals have with the ICB. It is also worth noting that the ICB tends to have fewer staff than provider organisations and as a result already have relationships with those involved in the processes making it easier to gather and obtain the information. </w:t>
      </w:r>
    </w:p>
    <w:p w14:paraId="34B94F5F" w14:textId="77777777" w:rsidR="000C17DC" w:rsidRDefault="000C17DC" w:rsidP="0019480C">
      <w:pPr>
        <w:spacing w:after="0" w:line="240" w:lineRule="auto"/>
        <w:jc w:val="both"/>
        <w:rPr>
          <w:color w:val="auto"/>
        </w:rPr>
      </w:pPr>
    </w:p>
    <w:p w14:paraId="1EC179D6" w14:textId="716486DB" w:rsidR="000C17DC" w:rsidRDefault="000C17DC" w:rsidP="0019480C">
      <w:pPr>
        <w:spacing w:after="0" w:line="240" w:lineRule="auto"/>
        <w:jc w:val="both"/>
        <w:rPr>
          <w:color w:val="auto"/>
        </w:rPr>
      </w:pPr>
      <w:r>
        <w:rPr>
          <w:color w:val="auto"/>
        </w:rPr>
        <w:t xml:space="preserve">It is of note that </w:t>
      </w:r>
      <w:proofErr w:type="gramStart"/>
      <w:r>
        <w:rPr>
          <w:color w:val="auto"/>
        </w:rPr>
        <w:t>the majority of</w:t>
      </w:r>
      <w:proofErr w:type="gramEnd"/>
      <w:r>
        <w:rPr>
          <w:color w:val="auto"/>
        </w:rPr>
        <w:t xml:space="preserve"> the concerns raised by ICB staff resulted in a triage process into routine HR processes. The fact that staff felt able to approach the Freedom to Speak Up Guardian to raise concerns suggests that staff within the ICB are aware of the option and feel confident to use it.</w:t>
      </w:r>
    </w:p>
    <w:p w14:paraId="7390FF9C" w14:textId="77777777" w:rsidR="000C17DC" w:rsidRDefault="000C17DC" w:rsidP="0019480C">
      <w:pPr>
        <w:spacing w:after="0" w:line="240" w:lineRule="auto"/>
        <w:jc w:val="both"/>
        <w:rPr>
          <w:color w:val="auto"/>
        </w:rPr>
      </w:pPr>
    </w:p>
    <w:p w14:paraId="00E220C1" w14:textId="50A02E81" w:rsidR="000C17DC" w:rsidRDefault="000C17DC" w:rsidP="0019480C">
      <w:pPr>
        <w:spacing w:after="0" w:line="240" w:lineRule="auto"/>
        <w:jc w:val="both"/>
        <w:rPr>
          <w:color w:val="auto"/>
        </w:rPr>
      </w:pPr>
      <w:r>
        <w:rPr>
          <w:color w:val="auto"/>
        </w:rPr>
        <w:t xml:space="preserve">It is also of note that both the Freedom to Speak Up Guardian and the operational lead have been approached by individuals from provider organisations and even from outside of the ICB to support with matters related to their own organisation. This again suggests that the process for our ICB is understood externally as well as internally. That is not to say that there should not be further training and communications as we recognise there is always more which can and should be done to raise the profile of this important function. </w:t>
      </w:r>
    </w:p>
    <w:p w14:paraId="06E0375B" w14:textId="77777777" w:rsidR="00E93A3A" w:rsidRDefault="00E93A3A" w:rsidP="0019480C">
      <w:pPr>
        <w:spacing w:after="0" w:line="240" w:lineRule="auto"/>
        <w:jc w:val="both"/>
        <w:rPr>
          <w:color w:val="auto"/>
        </w:rPr>
      </w:pPr>
    </w:p>
    <w:p w14:paraId="51D260D3" w14:textId="4A257978" w:rsidR="00E93A3A" w:rsidRDefault="00E93A3A" w:rsidP="0019480C">
      <w:pPr>
        <w:spacing w:after="0" w:line="240" w:lineRule="auto"/>
        <w:jc w:val="both"/>
        <w:rPr>
          <w:color w:val="auto"/>
          <w:u w:val="single"/>
        </w:rPr>
      </w:pPr>
      <w:r>
        <w:rPr>
          <w:color w:val="auto"/>
          <w:u w:val="single"/>
        </w:rPr>
        <w:t>Concerns raised in 2024 data:</w:t>
      </w:r>
    </w:p>
    <w:p w14:paraId="329B8B64" w14:textId="77777777" w:rsidR="00E93A3A" w:rsidRDefault="00E93A3A" w:rsidP="0019480C">
      <w:pPr>
        <w:spacing w:after="0" w:line="240" w:lineRule="auto"/>
        <w:jc w:val="both"/>
        <w:rPr>
          <w:color w:val="auto"/>
          <w:u w:val="single"/>
        </w:rPr>
      </w:pPr>
    </w:p>
    <w:tbl>
      <w:tblPr>
        <w:tblStyle w:val="TableGrid"/>
        <w:tblW w:w="0" w:type="auto"/>
        <w:tblLook w:val="04A0" w:firstRow="1" w:lastRow="0" w:firstColumn="1" w:lastColumn="0" w:noHBand="0" w:noVBand="1"/>
      </w:tblPr>
      <w:tblGrid>
        <w:gridCol w:w="1319"/>
        <w:gridCol w:w="1697"/>
        <w:gridCol w:w="1417"/>
        <w:gridCol w:w="1417"/>
        <w:gridCol w:w="3778"/>
      </w:tblGrid>
      <w:tr w:rsidR="00E93A3A" w:rsidRPr="00E93A3A" w14:paraId="6694DF5A" w14:textId="233BD213" w:rsidTr="00F76EAB">
        <w:trPr>
          <w:trHeight w:val="874"/>
        </w:trPr>
        <w:tc>
          <w:tcPr>
            <w:tcW w:w="1319" w:type="dxa"/>
          </w:tcPr>
          <w:p w14:paraId="4D15C439" w14:textId="0F91726C" w:rsidR="00E93A3A" w:rsidRPr="00E93A3A" w:rsidRDefault="00E93A3A" w:rsidP="0019480C">
            <w:pPr>
              <w:spacing w:after="0" w:line="240" w:lineRule="auto"/>
              <w:jc w:val="both"/>
              <w:rPr>
                <w:b/>
                <w:bCs/>
                <w:color w:val="auto"/>
                <w:sz w:val="24"/>
                <w:szCs w:val="24"/>
              </w:rPr>
            </w:pPr>
            <w:r w:rsidRPr="00E93A3A">
              <w:rPr>
                <w:b/>
                <w:bCs/>
                <w:color w:val="auto"/>
                <w:sz w:val="24"/>
                <w:szCs w:val="24"/>
              </w:rPr>
              <w:t>Date raised</w:t>
            </w:r>
          </w:p>
        </w:tc>
        <w:tc>
          <w:tcPr>
            <w:tcW w:w="1697" w:type="dxa"/>
          </w:tcPr>
          <w:p w14:paraId="5715A0DD" w14:textId="32E141B0" w:rsidR="00E93A3A" w:rsidRPr="00E93A3A" w:rsidRDefault="00E93A3A" w:rsidP="0019480C">
            <w:pPr>
              <w:spacing w:after="0" w:line="240" w:lineRule="auto"/>
              <w:jc w:val="both"/>
              <w:rPr>
                <w:b/>
                <w:bCs/>
                <w:color w:val="auto"/>
                <w:sz w:val="24"/>
                <w:szCs w:val="24"/>
              </w:rPr>
            </w:pPr>
            <w:r w:rsidRPr="00E93A3A">
              <w:rPr>
                <w:b/>
                <w:bCs/>
                <w:color w:val="auto"/>
                <w:sz w:val="24"/>
                <w:szCs w:val="24"/>
              </w:rPr>
              <w:t>Organisation concerned</w:t>
            </w:r>
          </w:p>
        </w:tc>
        <w:tc>
          <w:tcPr>
            <w:tcW w:w="1417" w:type="dxa"/>
          </w:tcPr>
          <w:p w14:paraId="73C9162C" w14:textId="4C2172CA" w:rsidR="00E93A3A" w:rsidRPr="00E93A3A" w:rsidRDefault="00E93A3A" w:rsidP="0019480C">
            <w:pPr>
              <w:spacing w:after="0" w:line="240" w:lineRule="auto"/>
              <w:jc w:val="both"/>
              <w:rPr>
                <w:b/>
                <w:bCs/>
                <w:color w:val="auto"/>
                <w:sz w:val="24"/>
                <w:szCs w:val="24"/>
              </w:rPr>
            </w:pPr>
            <w:r w:rsidRPr="00E93A3A">
              <w:rPr>
                <w:b/>
                <w:bCs/>
                <w:color w:val="auto"/>
                <w:sz w:val="24"/>
                <w:szCs w:val="24"/>
              </w:rPr>
              <w:t>Confirmed Protected disclosure</w:t>
            </w:r>
          </w:p>
        </w:tc>
        <w:tc>
          <w:tcPr>
            <w:tcW w:w="1417" w:type="dxa"/>
          </w:tcPr>
          <w:p w14:paraId="046498AA" w14:textId="3A3D86AD" w:rsidR="00E93A3A" w:rsidRPr="00E93A3A" w:rsidRDefault="00E93A3A" w:rsidP="0019480C">
            <w:pPr>
              <w:spacing w:after="0" w:line="240" w:lineRule="auto"/>
              <w:jc w:val="both"/>
              <w:rPr>
                <w:b/>
                <w:bCs/>
                <w:color w:val="auto"/>
                <w:sz w:val="24"/>
                <w:szCs w:val="24"/>
              </w:rPr>
            </w:pPr>
            <w:r w:rsidRPr="00E93A3A">
              <w:rPr>
                <w:b/>
                <w:bCs/>
                <w:color w:val="auto"/>
                <w:sz w:val="24"/>
                <w:szCs w:val="24"/>
              </w:rPr>
              <w:t>Open or concluded</w:t>
            </w:r>
          </w:p>
        </w:tc>
        <w:tc>
          <w:tcPr>
            <w:tcW w:w="3778" w:type="dxa"/>
          </w:tcPr>
          <w:p w14:paraId="48F6F180" w14:textId="6B3CD4B0" w:rsidR="00E93A3A" w:rsidRPr="00E93A3A" w:rsidRDefault="00E93A3A" w:rsidP="0019480C">
            <w:pPr>
              <w:spacing w:after="0" w:line="240" w:lineRule="auto"/>
              <w:jc w:val="both"/>
              <w:rPr>
                <w:b/>
                <w:bCs/>
                <w:color w:val="auto"/>
                <w:sz w:val="24"/>
                <w:szCs w:val="24"/>
              </w:rPr>
            </w:pPr>
            <w:r>
              <w:rPr>
                <w:b/>
                <w:bCs/>
                <w:color w:val="auto"/>
                <w:sz w:val="24"/>
                <w:szCs w:val="24"/>
              </w:rPr>
              <w:t>Learning</w:t>
            </w:r>
          </w:p>
        </w:tc>
      </w:tr>
      <w:tr w:rsidR="00E93A3A" w14:paraId="696B13A8" w14:textId="449BAA18" w:rsidTr="00F76EAB">
        <w:trPr>
          <w:trHeight w:val="296"/>
        </w:trPr>
        <w:tc>
          <w:tcPr>
            <w:tcW w:w="1319" w:type="dxa"/>
          </w:tcPr>
          <w:p w14:paraId="78497807" w14:textId="07BFBFC7" w:rsidR="00E93A3A" w:rsidRDefault="00E93A3A" w:rsidP="0019480C">
            <w:pPr>
              <w:spacing w:after="0" w:line="240" w:lineRule="auto"/>
              <w:jc w:val="both"/>
              <w:rPr>
                <w:color w:val="auto"/>
              </w:rPr>
            </w:pPr>
            <w:r>
              <w:rPr>
                <w:color w:val="auto"/>
              </w:rPr>
              <w:t>19/02/2024</w:t>
            </w:r>
          </w:p>
        </w:tc>
        <w:tc>
          <w:tcPr>
            <w:tcW w:w="1697" w:type="dxa"/>
          </w:tcPr>
          <w:p w14:paraId="358E99CF" w14:textId="3B2EBE0C" w:rsidR="00E93A3A" w:rsidRDefault="00E93A3A" w:rsidP="0019480C">
            <w:pPr>
              <w:spacing w:after="0" w:line="240" w:lineRule="auto"/>
              <w:jc w:val="both"/>
              <w:rPr>
                <w:color w:val="auto"/>
              </w:rPr>
            </w:pPr>
            <w:r>
              <w:rPr>
                <w:color w:val="auto"/>
              </w:rPr>
              <w:t>Private provider</w:t>
            </w:r>
          </w:p>
        </w:tc>
        <w:tc>
          <w:tcPr>
            <w:tcW w:w="1417" w:type="dxa"/>
          </w:tcPr>
          <w:p w14:paraId="3AAF5804" w14:textId="3B9DDC88" w:rsidR="00E93A3A" w:rsidRDefault="00E93A3A" w:rsidP="0019480C">
            <w:pPr>
              <w:spacing w:after="0" w:line="240" w:lineRule="auto"/>
              <w:jc w:val="both"/>
              <w:rPr>
                <w:color w:val="auto"/>
              </w:rPr>
            </w:pPr>
            <w:r>
              <w:rPr>
                <w:color w:val="auto"/>
              </w:rPr>
              <w:t>Yes</w:t>
            </w:r>
          </w:p>
        </w:tc>
        <w:tc>
          <w:tcPr>
            <w:tcW w:w="1417" w:type="dxa"/>
          </w:tcPr>
          <w:p w14:paraId="1E838F6C" w14:textId="77777777" w:rsidR="00E93A3A" w:rsidRDefault="00E93A3A" w:rsidP="0019480C">
            <w:pPr>
              <w:spacing w:after="0" w:line="240" w:lineRule="auto"/>
              <w:jc w:val="both"/>
              <w:rPr>
                <w:color w:val="auto"/>
              </w:rPr>
            </w:pPr>
            <w:r>
              <w:rPr>
                <w:color w:val="auto"/>
              </w:rPr>
              <w:t>Concluded</w:t>
            </w:r>
          </w:p>
          <w:p w14:paraId="0683481C" w14:textId="77777777" w:rsidR="00FC3892" w:rsidRDefault="00FC3892" w:rsidP="0019480C">
            <w:pPr>
              <w:spacing w:after="0" w:line="240" w:lineRule="auto"/>
              <w:jc w:val="both"/>
              <w:rPr>
                <w:color w:val="auto"/>
              </w:rPr>
            </w:pPr>
          </w:p>
          <w:p w14:paraId="73D065AB" w14:textId="20DF0D4D" w:rsidR="00FC3892" w:rsidRDefault="00FC3892" w:rsidP="0019480C">
            <w:pPr>
              <w:spacing w:after="0" w:line="240" w:lineRule="auto"/>
              <w:jc w:val="both"/>
              <w:rPr>
                <w:color w:val="auto"/>
              </w:rPr>
            </w:pPr>
          </w:p>
        </w:tc>
        <w:tc>
          <w:tcPr>
            <w:tcW w:w="3778" w:type="dxa"/>
          </w:tcPr>
          <w:p w14:paraId="203C7365" w14:textId="77777777" w:rsidR="00E93A3A" w:rsidRDefault="00E93A3A" w:rsidP="0019480C">
            <w:pPr>
              <w:spacing w:after="0" w:line="240" w:lineRule="auto"/>
              <w:jc w:val="both"/>
              <w:rPr>
                <w:color w:val="auto"/>
              </w:rPr>
            </w:pPr>
            <w:r>
              <w:rPr>
                <w:color w:val="auto"/>
              </w:rPr>
              <w:t xml:space="preserve">Concerns raised about the practices of a private provider of healthcare services no longer commissioned in ICB footprint. </w:t>
            </w:r>
          </w:p>
          <w:p w14:paraId="554575CA" w14:textId="77777777" w:rsidR="00FC3892" w:rsidRDefault="00FC3892" w:rsidP="0019480C">
            <w:pPr>
              <w:spacing w:after="0" w:line="240" w:lineRule="auto"/>
              <w:jc w:val="both"/>
              <w:rPr>
                <w:color w:val="auto"/>
              </w:rPr>
            </w:pPr>
          </w:p>
          <w:p w14:paraId="37E5CE3B" w14:textId="77777777" w:rsidR="00FC3892" w:rsidRDefault="00FC3892" w:rsidP="0019480C">
            <w:pPr>
              <w:spacing w:after="0" w:line="240" w:lineRule="auto"/>
              <w:jc w:val="both"/>
              <w:rPr>
                <w:color w:val="auto"/>
              </w:rPr>
            </w:pPr>
            <w:r>
              <w:rPr>
                <w:color w:val="auto"/>
              </w:rPr>
              <w:t xml:space="preserve">This was sent to NHSE to ensure that the concerns were raised with other commissioning organisations where appropriate. </w:t>
            </w:r>
          </w:p>
          <w:p w14:paraId="22D93875" w14:textId="6B7555EE" w:rsidR="00FC3892" w:rsidRDefault="00FC3892" w:rsidP="0019480C">
            <w:pPr>
              <w:spacing w:after="0" w:line="240" w:lineRule="auto"/>
              <w:jc w:val="both"/>
              <w:rPr>
                <w:color w:val="auto"/>
              </w:rPr>
            </w:pPr>
          </w:p>
        </w:tc>
      </w:tr>
      <w:tr w:rsidR="00E93A3A" w14:paraId="08AE0132" w14:textId="02579CE6" w:rsidTr="00F76EAB">
        <w:trPr>
          <w:trHeight w:val="296"/>
        </w:trPr>
        <w:tc>
          <w:tcPr>
            <w:tcW w:w="1319" w:type="dxa"/>
          </w:tcPr>
          <w:p w14:paraId="4BDDFE5B" w14:textId="744E4E1B" w:rsidR="00E93A3A" w:rsidRDefault="00FC3892" w:rsidP="0019480C">
            <w:pPr>
              <w:spacing w:after="0" w:line="240" w:lineRule="auto"/>
              <w:jc w:val="both"/>
              <w:rPr>
                <w:color w:val="auto"/>
              </w:rPr>
            </w:pPr>
            <w:r>
              <w:rPr>
                <w:color w:val="auto"/>
              </w:rPr>
              <w:t>13/03/2024</w:t>
            </w:r>
          </w:p>
        </w:tc>
        <w:tc>
          <w:tcPr>
            <w:tcW w:w="1697" w:type="dxa"/>
          </w:tcPr>
          <w:p w14:paraId="1E73B93C" w14:textId="6DE32F01" w:rsidR="00E93A3A" w:rsidRDefault="00FC3892" w:rsidP="0019480C">
            <w:pPr>
              <w:spacing w:after="0" w:line="240" w:lineRule="auto"/>
              <w:jc w:val="both"/>
              <w:rPr>
                <w:color w:val="auto"/>
              </w:rPr>
            </w:pPr>
            <w:r>
              <w:rPr>
                <w:color w:val="auto"/>
              </w:rPr>
              <w:t>Private provider</w:t>
            </w:r>
          </w:p>
        </w:tc>
        <w:tc>
          <w:tcPr>
            <w:tcW w:w="1417" w:type="dxa"/>
          </w:tcPr>
          <w:p w14:paraId="5895F3E9" w14:textId="6486F4BF" w:rsidR="00E93A3A" w:rsidRDefault="00FC3892" w:rsidP="0019480C">
            <w:pPr>
              <w:spacing w:after="0" w:line="240" w:lineRule="auto"/>
              <w:jc w:val="both"/>
              <w:rPr>
                <w:color w:val="auto"/>
              </w:rPr>
            </w:pPr>
            <w:r>
              <w:rPr>
                <w:color w:val="auto"/>
              </w:rPr>
              <w:t>Yes</w:t>
            </w:r>
          </w:p>
        </w:tc>
        <w:tc>
          <w:tcPr>
            <w:tcW w:w="1417" w:type="dxa"/>
          </w:tcPr>
          <w:p w14:paraId="0BBB0591" w14:textId="2B8F0069" w:rsidR="00E93A3A" w:rsidRDefault="00FC3892" w:rsidP="0019480C">
            <w:pPr>
              <w:spacing w:after="0" w:line="240" w:lineRule="auto"/>
              <w:jc w:val="both"/>
              <w:rPr>
                <w:color w:val="auto"/>
              </w:rPr>
            </w:pPr>
            <w:r>
              <w:rPr>
                <w:color w:val="auto"/>
              </w:rPr>
              <w:t>Referred on</w:t>
            </w:r>
          </w:p>
        </w:tc>
        <w:tc>
          <w:tcPr>
            <w:tcW w:w="3778" w:type="dxa"/>
          </w:tcPr>
          <w:p w14:paraId="56A22F21" w14:textId="77777777" w:rsidR="00E93A3A" w:rsidRDefault="00FC3892" w:rsidP="0019480C">
            <w:pPr>
              <w:spacing w:after="0" w:line="240" w:lineRule="auto"/>
              <w:jc w:val="both"/>
              <w:rPr>
                <w:color w:val="auto"/>
              </w:rPr>
            </w:pPr>
            <w:r>
              <w:rPr>
                <w:color w:val="auto"/>
              </w:rPr>
              <w:t xml:space="preserve">Referred to the relevant commissioning organisation as the ICB were not the commissioner of any services from this provider. </w:t>
            </w:r>
          </w:p>
          <w:p w14:paraId="762AE676" w14:textId="54EC533A" w:rsidR="00FC3892" w:rsidRDefault="00FC3892" w:rsidP="0019480C">
            <w:pPr>
              <w:spacing w:after="0" w:line="240" w:lineRule="auto"/>
              <w:jc w:val="both"/>
              <w:rPr>
                <w:color w:val="auto"/>
              </w:rPr>
            </w:pPr>
          </w:p>
        </w:tc>
      </w:tr>
      <w:tr w:rsidR="00F76EAB" w14:paraId="096DC714" w14:textId="77777777" w:rsidTr="00F76EAB">
        <w:trPr>
          <w:trHeight w:val="296"/>
        </w:trPr>
        <w:tc>
          <w:tcPr>
            <w:tcW w:w="1319" w:type="dxa"/>
          </w:tcPr>
          <w:p w14:paraId="77DBC8C6" w14:textId="11AA477B" w:rsidR="00F76EAB" w:rsidRDefault="00F76EAB" w:rsidP="0019480C">
            <w:pPr>
              <w:spacing w:after="0" w:line="240" w:lineRule="auto"/>
              <w:jc w:val="both"/>
              <w:rPr>
                <w:color w:val="auto"/>
              </w:rPr>
            </w:pPr>
            <w:r>
              <w:rPr>
                <w:color w:val="auto"/>
              </w:rPr>
              <w:t>06/04/202</w:t>
            </w:r>
          </w:p>
        </w:tc>
        <w:tc>
          <w:tcPr>
            <w:tcW w:w="1697" w:type="dxa"/>
          </w:tcPr>
          <w:p w14:paraId="45B24599" w14:textId="7BEA62AD" w:rsidR="00F76EAB" w:rsidRDefault="00F76EAB" w:rsidP="0019480C">
            <w:pPr>
              <w:spacing w:after="0" w:line="240" w:lineRule="auto"/>
              <w:jc w:val="both"/>
              <w:rPr>
                <w:color w:val="auto"/>
              </w:rPr>
            </w:pPr>
            <w:r>
              <w:rPr>
                <w:color w:val="auto"/>
              </w:rPr>
              <w:t>GP Practice</w:t>
            </w:r>
          </w:p>
        </w:tc>
        <w:tc>
          <w:tcPr>
            <w:tcW w:w="1417" w:type="dxa"/>
          </w:tcPr>
          <w:p w14:paraId="6324C730" w14:textId="31C1FB0E" w:rsidR="00F76EAB" w:rsidRDefault="00F76EAB" w:rsidP="0019480C">
            <w:pPr>
              <w:spacing w:after="0" w:line="240" w:lineRule="auto"/>
              <w:jc w:val="both"/>
              <w:rPr>
                <w:color w:val="auto"/>
              </w:rPr>
            </w:pPr>
            <w:r>
              <w:rPr>
                <w:color w:val="auto"/>
              </w:rPr>
              <w:t>No</w:t>
            </w:r>
          </w:p>
        </w:tc>
        <w:tc>
          <w:tcPr>
            <w:tcW w:w="1417" w:type="dxa"/>
          </w:tcPr>
          <w:p w14:paraId="14FA56A7" w14:textId="63EA5CC0" w:rsidR="00F76EAB" w:rsidRDefault="00F76EAB" w:rsidP="0019480C">
            <w:pPr>
              <w:spacing w:after="0" w:line="240" w:lineRule="auto"/>
              <w:jc w:val="both"/>
              <w:rPr>
                <w:color w:val="auto"/>
              </w:rPr>
            </w:pPr>
            <w:r>
              <w:rPr>
                <w:color w:val="auto"/>
              </w:rPr>
              <w:t>Concluded</w:t>
            </w:r>
          </w:p>
        </w:tc>
        <w:tc>
          <w:tcPr>
            <w:tcW w:w="3778" w:type="dxa"/>
          </w:tcPr>
          <w:p w14:paraId="6C19F01B" w14:textId="77777777" w:rsidR="00F76EAB" w:rsidRDefault="00F76EAB" w:rsidP="0019480C">
            <w:pPr>
              <w:spacing w:after="0" w:line="240" w:lineRule="auto"/>
              <w:jc w:val="both"/>
              <w:rPr>
                <w:color w:val="auto"/>
              </w:rPr>
            </w:pPr>
            <w:r>
              <w:rPr>
                <w:color w:val="auto"/>
              </w:rPr>
              <w:t>Quality visits and supportive intervention</w:t>
            </w:r>
          </w:p>
          <w:p w14:paraId="62DB12D1" w14:textId="606DAACB" w:rsidR="00F76EAB" w:rsidRDefault="00F76EAB" w:rsidP="0019480C">
            <w:pPr>
              <w:spacing w:after="0" w:line="240" w:lineRule="auto"/>
              <w:jc w:val="both"/>
              <w:rPr>
                <w:color w:val="auto"/>
              </w:rPr>
            </w:pPr>
          </w:p>
        </w:tc>
      </w:tr>
      <w:tr w:rsidR="00E93A3A" w14:paraId="5ACCC1CD" w14:textId="66D844F0" w:rsidTr="00F76EAB">
        <w:trPr>
          <w:trHeight w:val="296"/>
        </w:trPr>
        <w:tc>
          <w:tcPr>
            <w:tcW w:w="1319" w:type="dxa"/>
          </w:tcPr>
          <w:p w14:paraId="16709B28" w14:textId="5C2DB2F8" w:rsidR="00E93A3A" w:rsidRDefault="00FC3892" w:rsidP="0019480C">
            <w:pPr>
              <w:spacing w:after="0" w:line="240" w:lineRule="auto"/>
              <w:jc w:val="both"/>
              <w:rPr>
                <w:color w:val="auto"/>
              </w:rPr>
            </w:pPr>
            <w:r>
              <w:rPr>
                <w:color w:val="auto"/>
              </w:rPr>
              <w:t>21/03/2024</w:t>
            </w:r>
          </w:p>
        </w:tc>
        <w:tc>
          <w:tcPr>
            <w:tcW w:w="1697" w:type="dxa"/>
          </w:tcPr>
          <w:p w14:paraId="78FD05A6" w14:textId="37BC76E1" w:rsidR="00E93A3A" w:rsidRDefault="00FC3892" w:rsidP="0019480C">
            <w:pPr>
              <w:spacing w:after="0" w:line="240" w:lineRule="auto"/>
              <w:jc w:val="both"/>
              <w:rPr>
                <w:color w:val="auto"/>
              </w:rPr>
            </w:pPr>
            <w:r>
              <w:rPr>
                <w:color w:val="auto"/>
              </w:rPr>
              <w:t>ICB</w:t>
            </w:r>
          </w:p>
        </w:tc>
        <w:tc>
          <w:tcPr>
            <w:tcW w:w="1417" w:type="dxa"/>
          </w:tcPr>
          <w:p w14:paraId="1DCEB362" w14:textId="528B0AE1" w:rsidR="00E93A3A" w:rsidRDefault="00FC3892" w:rsidP="0019480C">
            <w:pPr>
              <w:spacing w:after="0" w:line="240" w:lineRule="auto"/>
              <w:jc w:val="both"/>
              <w:rPr>
                <w:color w:val="auto"/>
              </w:rPr>
            </w:pPr>
            <w:r>
              <w:rPr>
                <w:color w:val="auto"/>
              </w:rPr>
              <w:t>No</w:t>
            </w:r>
          </w:p>
        </w:tc>
        <w:tc>
          <w:tcPr>
            <w:tcW w:w="1417" w:type="dxa"/>
          </w:tcPr>
          <w:p w14:paraId="1DC476AB" w14:textId="5182D461" w:rsidR="00E93A3A" w:rsidRDefault="00FC3892" w:rsidP="0019480C">
            <w:pPr>
              <w:spacing w:after="0" w:line="240" w:lineRule="auto"/>
              <w:jc w:val="both"/>
              <w:rPr>
                <w:color w:val="auto"/>
              </w:rPr>
            </w:pPr>
            <w:r>
              <w:rPr>
                <w:color w:val="auto"/>
              </w:rPr>
              <w:t>Concluded</w:t>
            </w:r>
          </w:p>
        </w:tc>
        <w:tc>
          <w:tcPr>
            <w:tcW w:w="3778" w:type="dxa"/>
          </w:tcPr>
          <w:p w14:paraId="1A19CC1C" w14:textId="77777777" w:rsidR="00F76EAB" w:rsidRDefault="00FC3892" w:rsidP="0019480C">
            <w:pPr>
              <w:spacing w:after="0" w:line="240" w:lineRule="auto"/>
              <w:jc w:val="both"/>
              <w:rPr>
                <w:color w:val="auto"/>
              </w:rPr>
            </w:pPr>
            <w:r>
              <w:rPr>
                <w:color w:val="auto"/>
              </w:rPr>
              <w:t>Signposted to HR processes</w:t>
            </w:r>
          </w:p>
          <w:p w14:paraId="11D996B6" w14:textId="6E3D1FAF" w:rsidR="00F76EAB" w:rsidRDefault="00F76EAB" w:rsidP="0019480C">
            <w:pPr>
              <w:spacing w:after="0" w:line="240" w:lineRule="auto"/>
              <w:jc w:val="both"/>
              <w:rPr>
                <w:color w:val="auto"/>
              </w:rPr>
            </w:pPr>
          </w:p>
        </w:tc>
      </w:tr>
      <w:tr w:rsidR="00E93A3A" w14:paraId="399747B5" w14:textId="637790B1" w:rsidTr="00F76EAB">
        <w:trPr>
          <w:trHeight w:val="283"/>
        </w:trPr>
        <w:tc>
          <w:tcPr>
            <w:tcW w:w="1319" w:type="dxa"/>
          </w:tcPr>
          <w:p w14:paraId="7C33BE4B" w14:textId="0CF9448E" w:rsidR="00E93A3A" w:rsidRDefault="00F76EAB" w:rsidP="0019480C">
            <w:pPr>
              <w:spacing w:after="0" w:line="240" w:lineRule="auto"/>
              <w:jc w:val="both"/>
              <w:rPr>
                <w:color w:val="auto"/>
              </w:rPr>
            </w:pPr>
            <w:r>
              <w:rPr>
                <w:color w:val="auto"/>
              </w:rPr>
              <w:lastRenderedPageBreak/>
              <w:t>05/06/2024</w:t>
            </w:r>
          </w:p>
        </w:tc>
        <w:tc>
          <w:tcPr>
            <w:tcW w:w="1697" w:type="dxa"/>
          </w:tcPr>
          <w:p w14:paraId="681847DE" w14:textId="1C510C03" w:rsidR="00E93A3A" w:rsidRDefault="00F76EAB" w:rsidP="0019480C">
            <w:pPr>
              <w:spacing w:after="0" w:line="240" w:lineRule="auto"/>
              <w:jc w:val="both"/>
              <w:rPr>
                <w:color w:val="auto"/>
              </w:rPr>
            </w:pPr>
            <w:r>
              <w:rPr>
                <w:color w:val="auto"/>
              </w:rPr>
              <w:t>GP Practice</w:t>
            </w:r>
          </w:p>
        </w:tc>
        <w:tc>
          <w:tcPr>
            <w:tcW w:w="1417" w:type="dxa"/>
          </w:tcPr>
          <w:p w14:paraId="0689FCF9" w14:textId="6B481DD1" w:rsidR="00E93A3A" w:rsidRDefault="00F76EAB" w:rsidP="0019480C">
            <w:pPr>
              <w:spacing w:after="0" w:line="240" w:lineRule="auto"/>
              <w:jc w:val="both"/>
              <w:rPr>
                <w:color w:val="auto"/>
              </w:rPr>
            </w:pPr>
            <w:r>
              <w:rPr>
                <w:color w:val="auto"/>
              </w:rPr>
              <w:t xml:space="preserve">No </w:t>
            </w:r>
          </w:p>
        </w:tc>
        <w:tc>
          <w:tcPr>
            <w:tcW w:w="1417" w:type="dxa"/>
          </w:tcPr>
          <w:p w14:paraId="76BA9074" w14:textId="344AF9A5" w:rsidR="00E93A3A" w:rsidRDefault="00F76EAB" w:rsidP="0019480C">
            <w:pPr>
              <w:spacing w:after="0" w:line="240" w:lineRule="auto"/>
              <w:jc w:val="both"/>
              <w:rPr>
                <w:color w:val="auto"/>
              </w:rPr>
            </w:pPr>
            <w:r>
              <w:rPr>
                <w:color w:val="auto"/>
              </w:rPr>
              <w:t>Concluded</w:t>
            </w:r>
          </w:p>
        </w:tc>
        <w:tc>
          <w:tcPr>
            <w:tcW w:w="3778" w:type="dxa"/>
          </w:tcPr>
          <w:p w14:paraId="3043AD8E" w14:textId="77777777" w:rsidR="00E93A3A" w:rsidRDefault="00F76EAB" w:rsidP="0019480C">
            <w:pPr>
              <w:spacing w:after="0" w:line="240" w:lineRule="auto"/>
              <w:jc w:val="both"/>
              <w:rPr>
                <w:color w:val="auto"/>
              </w:rPr>
            </w:pPr>
            <w:r>
              <w:rPr>
                <w:color w:val="auto"/>
              </w:rPr>
              <w:t>Quality visits and contracting follow up</w:t>
            </w:r>
          </w:p>
          <w:p w14:paraId="7CF6C890" w14:textId="00B8A640" w:rsidR="00F76EAB" w:rsidRDefault="00F76EAB" w:rsidP="0019480C">
            <w:pPr>
              <w:spacing w:after="0" w:line="240" w:lineRule="auto"/>
              <w:jc w:val="both"/>
              <w:rPr>
                <w:color w:val="auto"/>
              </w:rPr>
            </w:pPr>
          </w:p>
        </w:tc>
      </w:tr>
      <w:tr w:rsidR="00E93A3A" w14:paraId="045073AB" w14:textId="22793C98" w:rsidTr="00F76EAB">
        <w:trPr>
          <w:trHeight w:val="296"/>
        </w:trPr>
        <w:tc>
          <w:tcPr>
            <w:tcW w:w="1319" w:type="dxa"/>
          </w:tcPr>
          <w:p w14:paraId="7BA6AF3C" w14:textId="5132C124" w:rsidR="00E93A3A" w:rsidRDefault="00F76EAB" w:rsidP="0019480C">
            <w:pPr>
              <w:spacing w:after="0" w:line="240" w:lineRule="auto"/>
              <w:jc w:val="both"/>
              <w:rPr>
                <w:color w:val="auto"/>
              </w:rPr>
            </w:pPr>
            <w:r>
              <w:rPr>
                <w:color w:val="auto"/>
              </w:rPr>
              <w:t>18/06/2024</w:t>
            </w:r>
          </w:p>
        </w:tc>
        <w:tc>
          <w:tcPr>
            <w:tcW w:w="1697" w:type="dxa"/>
          </w:tcPr>
          <w:p w14:paraId="449D91C0" w14:textId="5C0E791D" w:rsidR="00E93A3A" w:rsidRDefault="00F76EAB" w:rsidP="0019480C">
            <w:pPr>
              <w:spacing w:after="0" w:line="240" w:lineRule="auto"/>
              <w:jc w:val="both"/>
              <w:rPr>
                <w:color w:val="auto"/>
              </w:rPr>
            </w:pPr>
            <w:r>
              <w:rPr>
                <w:color w:val="auto"/>
              </w:rPr>
              <w:t>GP Practice</w:t>
            </w:r>
          </w:p>
        </w:tc>
        <w:tc>
          <w:tcPr>
            <w:tcW w:w="1417" w:type="dxa"/>
          </w:tcPr>
          <w:p w14:paraId="6BED3D73" w14:textId="021DA409" w:rsidR="00E93A3A" w:rsidRDefault="00F76EAB" w:rsidP="0019480C">
            <w:pPr>
              <w:spacing w:after="0" w:line="240" w:lineRule="auto"/>
              <w:jc w:val="both"/>
              <w:rPr>
                <w:color w:val="auto"/>
              </w:rPr>
            </w:pPr>
            <w:r>
              <w:rPr>
                <w:color w:val="auto"/>
              </w:rPr>
              <w:t xml:space="preserve">No </w:t>
            </w:r>
          </w:p>
        </w:tc>
        <w:tc>
          <w:tcPr>
            <w:tcW w:w="1417" w:type="dxa"/>
          </w:tcPr>
          <w:p w14:paraId="075B68A8" w14:textId="1A4CA4DD" w:rsidR="00E93A3A" w:rsidRDefault="00F76EAB" w:rsidP="0019480C">
            <w:pPr>
              <w:spacing w:after="0" w:line="240" w:lineRule="auto"/>
              <w:jc w:val="both"/>
              <w:rPr>
                <w:color w:val="auto"/>
              </w:rPr>
            </w:pPr>
            <w:r>
              <w:rPr>
                <w:color w:val="auto"/>
              </w:rPr>
              <w:t>Concluded</w:t>
            </w:r>
          </w:p>
        </w:tc>
        <w:tc>
          <w:tcPr>
            <w:tcW w:w="3778" w:type="dxa"/>
          </w:tcPr>
          <w:p w14:paraId="53659232" w14:textId="77777777" w:rsidR="00E93A3A" w:rsidRDefault="00F76EAB" w:rsidP="0019480C">
            <w:pPr>
              <w:spacing w:after="0" w:line="240" w:lineRule="auto"/>
              <w:jc w:val="both"/>
              <w:rPr>
                <w:color w:val="auto"/>
              </w:rPr>
            </w:pPr>
            <w:r>
              <w:rPr>
                <w:color w:val="auto"/>
              </w:rPr>
              <w:t>Quality visits and contracting follow up</w:t>
            </w:r>
          </w:p>
          <w:p w14:paraId="2016457F" w14:textId="0D9AF427" w:rsidR="00F76EAB" w:rsidRDefault="00F76EAB" w:rsidP="0019480C">
            <w:pPr>
              <w:spacing w:after="0" w:line="240" w:lineRule="auto"/>
              <w:jc w:val="both"/>
              <w:rPr>
                <w:color w:val="auto"/>
              </w:rPr>
            </w:pPr>
          </w:p>
        </w:tc>
      </w:tr>
      <w:tr w:rsidR="00E93A3A" w14:paraId="42696B76" w14:textId="1174EE69" w:rsidTr="00F76EAB">
        <w:trPr>
          <w:trHeight w:val="296"/>
        </w:trPr>
        <w:tc>
          <w:tcPr>
            <w:tcW w:w="1319" w:type="dxa"/>
          </w:tcPr>
          <w:p w14:paraId="1D721D39" w14:textId="2C0ADFE2" w:rsidR="00E93A3A" w:rsidRDefault="00F76EAB" w:rsidP="0019480C">
            <w:pPr>
              <w:spacing w:after="0" w:line="240" w:lineRule="auto"/>
              <w:jc w:val="both"/>
              <w:rPr>
                <w:color w:val="auto"/>
              </w:rPr>
            </w:pPr>
            <w:r>
              <w:rPr>
                <w:color w:val="auto"/>
              </w:rPr>
              <w:t>28/08/2024</w:t>
            </w:r>
          </w:p>
        </w:tc>
        <w:tc>
          <w:tcPr>
            <w:tcW w:w="1697" w:type="dxa"/>
          </w:tcPr>
          <w:p w14:paraId="3DD7CCBA" w14:textId="7E235D15" w:rsidR="00E93A3A" w:rsidRDefault="00F76EAB" w:rsidP="0019480C">
            <w:pPr>
              <w:spacing w:after="0" w:line="240" w:lineRule="auto"/>
              <w:jc w:val="both"/>
              <w:rPr>
                <w:color w:val="auto"/>
              </w:rPr>
            </w:pPr>
            <w:r>
              <w:rPr>
                <w:color w:val="auto"/>
              </w:rPr>
              <w:t>ICB</w:t>
            </w:r>
          </w:p>
        </w:tc>
        <w:tc>
          <w:tcPr>
            <w:tcW w:w="1417" w:type="dxa"/>
          </w:tcPr>
          <w:p w14:paraId="1AD5DE2E" w14:textId="5F1785FD" w:rsidR="00E93A3A" w:rsidRDefault="00F76EAB" w:rsidP="0019480C">
            <w:pPr>
              <w:spacing w:after="0" w:line="240" w:lineRule="auto"/>
              <w:jc w:val="both"/>
              <w:rPr>
                <w:color w:val="auto"/>
              </w:rPr>
            </w:pPr>
            <w:r>
              <w:rPr>
                <w:color w:val="auto"/>
              </w:rPr>
              <w:t>No</w:t>
            </w:r>
          </w:p>
        </w:tc>
        <w:tc>
          <w:tcPr>
            <w:tcW w:w="1417" w:type="dxa"/>
          </w:tcPr>
          <w:p w14:paraId="19B93FB0" w14:textId="2B527F00" w:rsidR="00E93A3A" w:rsidRDefault="00F76EAB" w:rsidP="0019480C">
            <w:pPr>
              <w:spacing w:after="0" w:line="240" w:lineRule="auto"/>
              <w:jc w:val="both"/>
              <w:rPr>
                <w:color w:val="auto"/>
              </w:rPr>
            </w:pPr>
            <w:r>
              <w:rPr>
                <w:color w:val="auto"/>
              </w:rPr>
              <w:t>Concluded</w:t>
            </w:r>
          </w:p>
        </w:tc>
        <w:tc>
          <w:tcPr>
            <w:tcW w:w="3778" w:type="dxa"/>
          </w:tcPr>
          <w:p w14:paraId="4A4897C9" w14:textId="77777777" w:rsidR="00E93A3A" w:rsidRDefault="00F76EAB" w:rsidP="0019480C">
            <w:pPr>
              <w:spacing w:after="0" w:line="240" w:lineRule="auto"/>
              <w:jc w:val="both"/>
              <w:rPr>
                <w:color w:val="auto"/>
              </w:rPr>
            </w:pPr>
            <w:r>
              <w:rPr>
                <w:color w:val="auto"/>
              </w:rPr>
              <w:t>HR processes</w:t>
            </w:r>
          </w:p>
          <w:p w14:paraId="4DEADA61" w14:textId="75B29DBE" w:rsidR="00F76EAB" w:rsidRDefault="00F76EAB" w:rsidP="0019480C">
            <w:pPr>
              <w:spacing w:after="0" w:line="240" w:lineRule="auto"/>
              <w:jc w:val="both"/>
              <w:rPr>
                <w:color w:val="auto"/>
              </w:rPr>
            </w:pPr>
          </w:p>
        </w:tc>
      </w:tr>
      <w:tr w:rsidR="00E93A3A" w14:paraId="1588CA1B" w14:textId="45C8A9D5" w:rsidTr="00F76EAB">
        <w:trPr>
          <w:trHeight w:val="296"/>
        </w:trPr>
        <w:tc>
          <w:tcPr>
            <w:tcW w:w="1319" w:type="dxa"/>
          </w:tcPr>
          <w:p w14:paraId="614C6E39" w14:textId="7241B7F2" w:rsidR="00E93A3A" w:rsidRDefault="00F76EAB" w:rsidP="0019480C">
            <w:pPr>
              <w:spacing w:after="0" w:line="240" w:lineRule="auto"/>
              <w:jc w:val="both"/>
              <w:rPr>
                <w:color w:val="auto"/>
              </w:rPr>
            </w:pPr>
            <w:r>
              <w:rPr>
                <w:color w:val="auto"/>
              </w:rPr>
              <w:t>23/09/2024</w:t>
            </w:r>
          </w:p>
        </w:tc>
        <w:tc>
          <w:tcPr>
            <w:tcW w:w="1697" w:type="dxa"/>
          </w:tcPr>
          <w:p w14:paraId="4C2D712D" w14:textId="6EA2AAAA" w:rsidR="00E93A3A" w:rsidRDefault="00F76EAB" w:rsidP="0019480C">
            <w:pPr>
              <w:spacing w:after="0" w:line="240" w:lineRule="auto"/>
              <w:jc w:val="both"/>
              <w:rPr>
                <w:color w:val="auto"/>
              </w:rPr>
            </w:pPr>
            <w:r>
              <w:rPr>
                <w:color w:val="auto"/>
              </w:rPr>
              <w:t>ICB</w:t>
            </w:r>
          </w:p>
        </w:tc>
        <w:tc>
          <w:tcPr>
            <w:tcW w:w="1417" w:type="dxa"/>
          </w:tcPr>
          <w:p w14:paraId="065B977B" w14:textId="794F7B15" w:rsidR="00E93A3A" w:rsidRDefault="00F76EAB" w:rsidP="0019480C">
            <w:pPr>
              <w:spacing w:after="0" w:line="240" w:lineRule="auto"/>
              <w:jc w:val="both"/>
              <w:rPr>
                <w:color w:val="auto"/>
              </w:rPr>
            </w:pPr>
            <w:r>
              <w:rPr>
                <w:color w:val="auto"/>
              </w:rPr>
              <w:t>No</w:t>
            </w:r>
          </w:p>
        </w:tc>
        <w:tc>
          <w:tcPr>
            <w:tcW w:w="1417" w:type="dxa"/>
          </w:tcPr>
          <w:p w14:paraId="02CEEBC8" w14:textId="4CF08243" w:rsidR="00E93A3A" w:rsidRDefault="00F76EAB" w:rsidP="0019480C">
            <w:pPr>
              <w:spacing w:after="0" w:line="240" w:lineRule="auto"/>
              <w:jc w:val="both"/>
              <w:rPr>
                <w:color w:val="auto"/>
              </w:rPr>
            </w:pPr>
            <w:r>
              <w:rPr>
                <w:color w:val="auto"/>
              </w:rPr>
              <w:t>Concluded</w:t>
            </w:r>
          </w:p>
        </w:tc>
        <w:tc>
          <w:tcPr>
            <w:tcW w:w="3778" w:type="dxa"/>
          </w:tcPr>
          <w:p w14:paraId="70BF91D0" w14:textId="77777777" w:rsidR="00E93A3A" w:rsidRDefault="00F76EAB" w:rsidP="0019480C">
            <w:pPr>
              <w:spacing w:after="0" w:line="240" w:lineRule="auto"/>
              <w:jc w:val="both"/>
              <w:rPr>
                <w:color w:val="auto"/>
              </w:rPr>
            </w:pPr>
            <w:r>
              <w:rPr>
                <w:color w:val="auto"/>
              </w:rPr>
              <w:t>Mistaken identity</w:t>
            </w:r>
          </w:p>
          <w:p w14:paraId="3E282E1D" w14:textId="30661EA4" w:rsidR="00F76EAB" w:rsidRDefault="00F76EAB" w:rsidP="0019480C">
            <w:pPr>
              <w:spacing w:after="0" w:line="240" w:lineRule="auto"/>
              <w:jc w:val="both"/>
              <w:rPr>
                <w:color w:val="auto"/>
              </w:rPr>
            </w:pPr>
          </w:p>
        </w:tc>
      </w:tr>
      <w:tr w:rsidR="00E93A3A" w14:paraId="476ED9A3" w14:textId="267DF14B" w:rsidTr="00F76EAB">
        <w:trPr>
          <w:trHeight w:val="296"/>
        </w:trPr>
        <w:tc>
          <w:tcPr>
            <w:tcW w:w="1319" w:type="dxa"/>
          </w:tcPr>
          <w:p w14:paraId="34040FF1" w14:textId="0AFB5BE6" w:rsidR="00E93A3A" w:rsidRPr="007120C0" w:rsidRDefault="00F76EAB" w:rsidP="0019480C">
            <w:pPr>
              <w:spacing w:after="0" w:line="240" w:lineRule="auto"/>
              <w:jc w:val="both"/>
              <w:rPr>
                <w:color w:val="auto"/>
              </w:rPr>
            </w:pPr>
            <w:r w:rsidRPr="007120C0">
              <w:rPr>
                <w:color w:val="auto"/>
              </w:rPr>
              <w:t>08/11/2024</w:t>
            </w:r>
          </w:p>
        </w:tc>
        <w:tc>
          <w:tcPr>
            <w:tcW w:w="1697" w:type="dxa"/>
          </w:tcPr>
          <w:p w14:paraId="1AE45C61" w14:textId="05A9C1A2" w:rsidR="00E93A3A" w:rsidRPr="007120C0" w:rsidRDefault="00F76EAB" w:rsidP="0019480C">
            <w:pPr>
              <w:spacing w:after="0" w:line="240" w:lineRule="auto"/>
              <w:jc w:val="both"/>
              <w:rPr>
                <w:color w:val="auto"/>
              </w:rPr>
            </w:pPr>
            <w:r w:rsidRPr="007120C0">
              <w:rPr>
                <w:color w:val="auto"/>
              </w:rPr>
              <w:t>ICB</w:t>
            </w:r>
          </w:p>
        </w:tc>
        <w:tc>
          <w:tcPr>
            <w:tcW w:w="1417" w:type="dxa"/>
          </w:tcPr>
          <w:p w14:paraId="45B8C82F" w14:textId="2F45AB20" w:rsidR="00E93A3A" w:rsidRPr="007120C0" w:rsidRDefault="00F76EAB" w:rsidP="0019480C">
            <w:pPr>
              <w:spacing w:after="0" w:line="240" w:lineRule="auto"/>
              <w:jc w:val="both"/>
              <w:rPr>
                <w:color w:val="auto"/>
              </w:rPr>
            </w:pPr>
            <w:r w:rsidRPr="007120C0">
              <w:rPr>
                <w:color w:val="auto"/>
              </w:rPr>
              <w:t>Yes</w:t>
            </w:r>
          </w:p>
        </w:tc>
        <w:tc>
          <w:tcPr>
            <w:tcW w:w="1417" w:type="dxa"/>
          </w:tcPr>
          <w:p w14:paraId="5CE48FD6" w14:textId="2B28F123" w:rsidR="00E93A3A" w:rsidRPr="007120C0" w:rsidRDefault="00F76EAB" w:rsidP="0019480C">
            <w:pPr>
              <w:spacing w:after="0" w:line="240" w:lineRule="auto"/>
              <w:jc w:val="both"/>
              <w:rPr>
                <w:color w:val="auto"/>
              </w:rPr>
            </w:pPr>
            <w:r w:rsidRPr="007120C0">
              <w:rPr>
                <w:color w:val="auto"/>
              </w:rPr>
              <w:t>Ongoing</w:t>
            </w:r>
          </w:p>
        </w:tc>
        <w:tc>
          <w:tcPr>
            <w:tcW w:w="3778" w:type="dxa"/>
          </w:tcPr>
          <w:p w14:paraId="4CEF5CEC" w14:textId="77777777" w:rsidR="00E93A3A" w:rsidRDefault="00F76EAB" w:rsidP="0019480C">
            <w:pPr>
              <w:spacing w:after="0" w:line="240" w:lineRule="auto"/>
              <w:jc w:val="both"/>
              <w:rPr>
                <w:color w:val="auto"/>
              </w:rPr>
            </w:pPr>
            <w:r w:rsidRPr="007120C0">
              <w:rPr>
                <w:color w:val="auto"/>
              </w:rPr>
              <w:t>Investigation ongoing</w:t>
            </w:r>
            <w:r>
              <w:rPr>
                <w:color w:val="auto"/>
              </w:rPr>
              <w:t xml:space="preserve"> </w:t>
            </w:r>
          </w:p>
          <w:p w14:paraId="489E8D28" w14:textId="3EA01740" w:rsidR="00F76EAB" w:rsidRDefault="00F76EAB" w:rsidP="0019480C">
            <w:pPr>
              <w:spacing w:after="0" w:line="240" w:lineRule="auto"/>
              <w:jc w:val="both"/>
              <w:rPr>
                <w:color w:val="auto"/>
              </w:rPr>
            </w:pPr>
          </w:p>
        </w:tc>
      </w:tr>
      <w:tr w:rsidR="00E93A3A" w14:paraId="466771B2" w14:textId="059A193E" w:rsidTr="00F76EAB">
        <w:trPr>
          <w:trHeight w:val="296"/>
        </w:trPr>
        <w:tc>
          <w:tcPr>
            <w:tcW w:w="1319" w:type="dxa"/>
          </w:tcPr>
          <w:p w14:paraId="0BB26E36" w14:textId="2F08374A" w:rsidR="00E93A3A" w:rsidRDefault="00F76EAB" w:rsidP="0019480C">
            <w:pPr>
              <w:spacing w:after="0" w:line="240" w:lineRule="auto"/>
              <w:jc w:val="both"/>
              <w:rPr>
                <w:color w:val="auto"/>
              </w:rPr>
            </w:pPr>
            <w:r>
              <w:rPr>
                <w:color w:val="auto"/>
              </w:rPr>
              <w:t>19/11/2024</w:t>
            </w:r>
          </w:p>
        </w:tc>
        <w:tc>
          <w:tcPr>
            <w:tcW w:w="1697" w:type="dxa"/>
          </w:tcPr>
          <w:p w14:paraId="573AC73C" w14:textId="24416C7F" w:rsidR="00E93A3A" w:rsidRDefault="00F76EAB" w:rsidP="0019480C">
            <w:pPr>
              <w:spacing w:after="0" w:line="240" w:lineRule="auto"/>
              <w:jc w:val="both"/>
              <w:rPr>
                <w:color w:val="auto"/>
              </w:rPr>
            </w:pPr>
            <w:r>
              <w:rPr>
                <w:color w:val="auto"/>
              </w:rPr>
              <w:t>CCG</w:t>
            </w:r>
          </w:p>
        </w:tc>
        <w:tc>
          <w:tcPr>
            <w:tcW w:w="1417" w:type="dxa"/>
          </w:tcPr>
          <w:p w14:paraId="04FA3CCA" w14:textId="05DA18F1" w:rsidR="00E93A3A" w:rsidRDefault="00F76EAB" w:rsidP="0019480C">
            <w:pPr>
              <w:spacing w:after="0" w:line="240" w:lineRule="auto"/>
              <w:jc w:val="both"/>
              <w:rPr>
                <w:color w:val="auto"/>
              </w:rPr>
            </w:pPr>
            <w:r>
              <w:rPr>
                <w:color w:val="auto"/>
              </w:rPr>
              <w:t>No</w:t>
            </w:r>
          </w:p>
        </w:tc>
        <w:tc>
          <w:tcPr>
            <w:tcW w:w="1417" w:type="dxa"/>
          </w:tcPr>
          <w:p w14:paraId="0EFACBC1" w14:textId="42C254EF" w:rsidR="00E93A3A" w:rsidRDefault="00F76EAB" w:rsidP="0019480C">
            <w:pPr>
              <w:spacing w:after="0" w:line="240" w:lineRule="auto"/>
              <w:jc w:val="both"/>
              <w:rPr>
                <w:color w:val="auto"/>
              </w:rPr>
            </w:pPr>
            <w:r>
              <w:rPr>
                <w:color w:val="auto"/>
              </w:rPr>
              <w:t>Withdrawn</w:t>
            </w:r>
          </w:p>
        </w:tc>
        <w:tc>
          <w:tcPr>
            <w:tcW w:w="3778" w:type="dxa"/>
          </w:tcPr>
          <w:p w14:paraId="664AC78F" w14:textId="77777777" w:rsidR="00E93A3A" w:rsidRDefault="00F76EAB" w:rsidP="0019480C">
            <w:pPr>
              <w:spacing w:after="0" w:line="240" w:lineRule="auto"/>
              <w:jc w:val="both"/>
              <w:rPr>
                <w:color w:val="auto"/>
              </w:rPr>
            </w:pPr>
            <w:r>
              <w:rPr>
                <w:color w:val="auto"/>
              </w:rPr>
              <w:t>Related to CCG rather than ICB therefore withdrawn by complainant.</w:t>
            </w:r>
          </w:p>
          <w:p w14:paraId="03C70D9C" w14:textId="486A5C18" w:rsidR="00F76EAB" w:rsidRDefault="00F76EAB" w:rsidP="0019480C">
            <w:pPr>
              <w:spacing w:after="0" w:line="240" w:lineRule="auto"/>
              <w:jc w:val="both"/>
              <w:rPr>
                <w:color w:val="auto"/>
              </w:rPr>
            </w:pPr>
          </w:p>
        </w:tc>
      </w:tr>
    </w:tbl>
    <w:p w14:paraId="5DBB9865" w14:textId="77777777" w:rsidR="00E93A3A" w:rsidRPr="00E93A3A" w:rsidRDefault="00E93A3A" w:rsidP="0019480C">
      <w:pPr>
        <w:spacing w:after="0" w:line="240" w:lineRule="auto"/>
        <w:jc w:val="both"/>
        <w:rPr>
          <w:color w:val="auto"/>
        </w:rPr>
      </w:pPr>
    </w:p>
    <w:p w14:paraId="49989B44" w14:textId="04E76CF6" w:rsidR="0019480C" w:rsidRDefault="00961FA0" w:rsidP="0019480C">
      <w:pPr>
        <w:pStyle w:val="ListParagraph"/>
        <w:numPr>
          <w:ilvl w:val="0"/>
          <w:numId w:val="1"/>
        </w:numPr>
        <w:spacing w:after="0" w:line="240" w:lineRule="auto"/>
        <w:rPr>
          <w:b/>
          <w:bCs/>
          <w:color w:val="auto"/>
        </w:rPr>
      </w:pPr>
      <w:r w:rsidRPr="0019480C">
        <w:rPr>
          <w:b/>
          <w:bCs/>
          <w:color w:val="auto"/>
        </w:rPr>
        <w:t>MODELS OF FUNCTION</w:t>
      </w:r>
      <w:r>
        <w:rPr>
          <w:b/>
          <w:bCs/>
          <w:color w:val="auto"/>
        </w:rPr>
        <w:t>AL</w:t>
      </w:r>
      <w:r w:rsidRPr="0019480C">
        <w:rPr>
          <w:b/>
          <w:bCs/>
          <w:color w:val="auto"/>
        </w:rPr>
        <w:t xml:space="preserve"> LEARNING FROM OUTSIDE</w:t>
      </w:r>
      <w:r>
        <w:rPr>
          <w:b/>
          <w:bCs/>
          <w:color w:val="auto"/>
        </w:rPr>
        <w:t xml:space="preserve"> THE ICB</w:t>
      </w:r>
    </w:p>
    <w:p w14:paraId="667941DD" w14:textId="77777777" w:rsidR="00991840" w:rsidRDefault="00991840" w:rsidP="00991840">
      <w:pPr>
        <w:spacing w:after="0" w:line="240" w:lineRule="auto"/>
        <w:rPr>
          <w:b/>
          <w:bCs/>
          <w:color w:val="auto"/>
        </w:rPr>
      </w:pPr>
    </w:p>
    <w:p w14:paraId="3108EAE2" w14:textId="2E714BD8" w:rsidR="00991840" w:rsidRDefault="00991840" w:rsidP="00961FA0">
      <w:pPr>
        <w:spacing w:after="0" w:line="240" w:lineRule="auto"/>
        <w:jc w:val="both"/>
        <w:rPr>
          <w:color w:val="auto"/>
        </w:rPr>
      </w:pPr>
      <w:r>
        <w:rPr>
          <w:color w:val="auto"/>
        </w:rPr>
        <w:t xml:space="preserve">The Freedom to Speak Up Guardian has been engaged in </w:t>
      </w:r>
      <w:proofErr w:type="gramStart"/>
      <w:r>
        <w:rPr>
          <w:color w:val="auto"/>
        </w:rPr>
        <w:t>a number of</w:t>
      </w:r>
      <w:proofErr w:type="gramEnd"/>
      <w:r>
        <w:rPr>
          <w:color w:val="auto"/>
        </w:rPr>
        <w:t xml:space="preserve"> discussions with other ICB Guardians and also the National Guardian's Office to understand the models adopted by those organisations for Freedom to Speak Up. It is fair to say that there is significant variation and part of this is </w:t>
      </w:r>
      <w:proofErr w:type="gramStart"/>
      <w:r>
        <w:rPr>
          <w:color w:val="auto"/>
        </w:rPr>
        <w:t>as a result of</w:t>
      </w:r>
      <w:proofErr w:type="gramEnd"/>
      <w:r>
        <w:rPr>
          <w:color w:val="auto"/>
        </w:rPr>
        <w:t xml:space="preserve"> </w:t>
      </w:r>
      <w:proofErr w:type="spellStart"/>
      <w:r>
        <w:rPr>
          <w:color w:val="auto"/>
        </w:rPr>
        <w:t>their</w:t>
      </w:r>
      <w:proofErr w:type="spellEnd"/>
      <w:r>
        <w:rPr>
          <w:color w:val="auto"/>
        </w:rPr>
        <w:t xml:space="preserve"> being no mandated model for assessment and recording of concerns. </w:t>
      </w:r>
    </w:p>
    <w:p w14:paraId="40628C4B" w14:textId="77777777" w:rsidR="00991840" w:rsidRDefault="00991840" w:rsidP="00961FA0">
      <w:pPr>
        <w:spacing w:after="0" w:line="240" w:lineRule="auto"/>
        <w:jc w:val="both"/>
        <w:rPr>
          <w:color w:val="auto"/>
        </w:rPr>
      </w:pPr>
    </w:p>
    <w:p w14:paraId="4B43AA27" w14:textId="77E060CD" w:rsidR="00991840" w:rsidRDefault="00991840" w:rsidP="00961FA0">
      <w:pPr>
        <w:spacing w:after="0" w:line="240" w:lineRule="auto"/>
        <w:jc w:val="both"/>
        <w:rPr>
          <w:color w:val="auto"/>
        </w:rPr>
      </w:pPr>
      <w:r>
        <w:rPr>
          <w:color w:val="auto"/>
        </w:rPr>
        <w:t xml:space="preserve">ICBs are currently focussing on the arrangements for primary care which are required to be established from January 2026. The requirement </w:t>
      </w:r>
      <w:r w:rsidR="00FE2F89">
        <w:rPr>
          <w:color w:val="auto"/>
        </w:rPr>
        <w:t xml:space="preserve">is </w:t>
      </w:r>
      <w:r>
        <w:rPr>
          <w:color w:val="auto"/>
        </w:rPr>
        <w:t xml:space="preserve">for primary care organisations to be provided with a registered and trained Guardian and a process to support investigations and learning. </w:t>
      </w:r>
    </w:p>
    <w:p w14:paraId="6AD6DAE1" w14:textId="77777777" w:rsidR="00991840" w:rsidRDefault="00991840" w:rsidP="00961FA0">
      <w:pPr>
        <w:spacing w:after="0" w:line="240" w:lineRule="auto"/>
        <w:jc w:val="both"/>
        <w:rPr>
          <w:color w:val="auto"/>
        </w:rPr>
      </w:pPr>
    </w:p>
    <w:p w14:paraId="0E3C3F3D" w14:textId="0BC4609D" w:rsidR="00991840" w:rsidRDefault="00991840" w:rsidP="00961FA0">
      <w:pPr>
        <w:spacing w:after="0" w:line="240" w:lineRule="auto"/>
        <w:jc w:val="both"/>
        <w:rPr>
          <w:color w:val="auto"/>
        </w:rPr>
      </w:pPr>
      <w:r>
        <w:rPr>
          <w:color w:val="auto"/>
        </w:rPr>
        <w:t>NHS Humber and North Yorkshire ICB have asked primary care commissioners to establish the current arrangements in GP organisations which appear to be a mix of PCN arrangements and Federation arrangements</w:t>
      </w:r>
      <w:r w:rsidR="00FE2F89">
        <w:rPr>
          <w:color w:val="auto"/>
        </w:rPr>
        <w:t>,</w:t>
      </w:r>
      <w:r>
        <w:rPr>
          <w:color w:val="auto"/>
        </w:rPr>
        <w:t xml:space="preserve"> to </w:t>
      </w:r>
      <w:r w:rsidR="00FE2F89">
        <w:rPr>
          <w:color w:val="auto"/>
        </w:rPr>
        <w:t xml:space="preserve">there being </w:t>
      </w:r>
      <w:r>
        <w:rPr>
          <w:color w:val="auto"/>
        </w:rPr>
        <w:t>nothing currently in place. The ICB intend to offer primary care the option of the Registered and trained Guardian being the ICB guardian and the process of investigation and learning being supported by those working with Freedom to Speak Up processes in the ICB. This however will require a commitment from the ICB for ringfenced time for those currently involved (which should already be in place but has not yet been possible) and for a commitment that where independent investigations are required, there will be funding available for these.</w:t>
      </w:r>
    </w:p>
    <w:p w14:paraId="227244C7" w14:textId="77777777" w:rsidR="00991840" w:rsidRDefault="00991840" w:rsidP="00961FA0">
      <w:pPr>
        <w:spacing w:after="0" w:line="240" w:lineRule="auto"/>
        <w:jc w:val="both"/>
        <w:rPr>
          <w:color w:val="auto"/>
        </w:rPr>
      </w:pPr>
    </w:p>
    <w:p w14:paraId="726D70E0" w14:textId="3A6B242D" w:rsidR="00991840" w:rsidRDefault="00991840" w:rsidP="00961FA0">
      <w:pPr>
        <w:spacing w:after="0" w:line="240" w:lineRule="auto"/>
        <w:jc w:val="both"/>
        <w:rPr>
          <w:color w:val="auto"/>
        </w:rPr>
      </w:pPr>
      <w:r>
        <w:rPr>
          <w:color w:val="auto"/>
        </w:rPr>
        <w:t xml:space="preserve">Alternative models of delivery have been through exploration with the LMCs providing the </w:t>
      </w:r>
      <w:proofErr w:type="gramStart"/>
      <w:r>
        <w:rPr>
          <w:color w:val="auto"/>
        </w:rPr>
        <w:t>function</w:t>
      </w:r>
      <w:proofErr w:type="gramEnd"/>
      <w:r>
        <w:rPr>
          <w:color w:val="auto"/>
        </w:rPr>
        <w:t xml:space="preserve"> but this comes with both a cost and a risk of conflict or the ICB commissioning a third party organisation to provide the function</w:t>
      </w:r>
      <w:r w:rsidR="005C4048">
        <w:rPr>
          <w:color w:val="auto"/>
        </w:rPr>
        <w:t>,</w:t>
      </w:r>
      <w:r>
        <w:rPr>
          <w:color w:val="auto"/>
        </w:rPr>
        <w:t xml:space="preserve"> however this again comes with a cost to the ICB which is not currently planned for. </w:t>
      </w:r>
    </w:p>
    <w:p w14:paraId="164388E3" w14:textId="77777777" w:rsidR="00991840" w:rsidRDefault="00991840" w:rsidP="00961FA0">
      <w:pPr>
        <w:spacing w:after="0" w:line="240" w:lineRule="auto"/>
        <w:jc w:val="both"/>
        <w:rPr>
          <w:color w:val="auto"/>
        </w:rPr>
      </w:pPr>
    </w:p>
    <w:p w14:paraId="3D19A02D" w14:textId="75EE8B8F" w:rsidR="00991840" w:rsidRDefault="00991840" w:rsidP="00961FA0">
      <w:pPr>
        <w:spacing w:after="0" w:line="240" w:lineRule="auto"/>
        <w:jc w:val="both"/>
        <w:rPr>
          <w:color w:val="auto"/>
        </w:rPr>
      </w:pPr>
      <w:r>
        <w:rPr>
          <w:color w:val="auto"/>
        </w:rPr>
        <w:t xml:space="preserve">The one discussion that is consistently inconsistent and without a clear steer </w:t>
      </w:r>
      <w:proofErr w:type="gramStart"/>
      <w:r>
        <w:rPr>
          <w:color w:val="auto"/>
        </w:rPr>
        <w:t>at this time</w:t>
      </w:r>
      <w:proofErr w:type="gramEnd"/>
      <w:r>
        <w:rPr>
          <w:color w:val="auto"/>
        </w:rPr>
        <w:t xml:space="preserve"> is what role the ICB has in freedom to speak up across the system. It is unclear how far reaching the ICB role ought to be when concerns are raised to the ICB about partner organisations or whether this ought to simply be an assurance function. One might suggest that the flexibility </w:t>
      </w:r>
      <w:proofErr w:type="gramStart"/>
      <w:r>
        <w:rPr>
          <w:color w:val="auto"/>
        </w:rPr>
        <w:t>allowed</w:t>
      </w:r>
      <w:proofErr w:type="gramEnd"/>
      <w:r>
        <w:rPr>
          <w:color w:val="auto"/>
        </w:rPr>
        <w:t xml:space="preserve"> and a lack of a mandated process is helpful and allows systems to develop their own models of delivery</w:t>
      </w:r>
      <w:r w:rsidRPr="00120C55">
        <w:rPr>
          <w:color w:val="auto"/>
        </w:rPr>
        <w:t xml:space="preserve">. In a mature system it may be the case that all partners are so clear that support should be provided to those raising concerns and the culture of </w:t>
      </w:r>
      <w:proofErr w:type="gramStart"/>
      <w:r w:rsidRPr="00120C55">
        <w:rPr>
          <w:color w:val="auto"/>
        </w:rPr>
        <w:t>all of</w:t>
      </w:r>
      <w:proofErr w:type="gramEnd"/>
      <w:r w:rsidRPr="00120C55">
        <w:rPr>
          <w:color w:val="auto"/>
        </w:rPr>
        <w:t xml:space="preserve"> the organisations is such that </w:t>
      </w:r>
      <w:r w:rsidR="0023538D" w:rsidRPr="00120C55">
        <w:rPr>
          <w:color w:val="auto"/>
        </w:rPr>
        <w:t>there is a sense of continuous development and improvement which factors in concerns raised by staff and those speaking up are encouraged to do so by Boards and Executive teams. In that sense it should not matter whether some</w:t>
      </w:r>
      <w:r w:rsidR="005C4048" w:rsidRPr="00120C55">
        <w:rPr>
          <w:color w:val="auto"/>
        </w:rPr>
        <w:t>one</w:t>
      </w:r>
      <w:r w:rsidR="0023538D" w:rsidRPr="00120C55">
        <w:rPr>
          <w:color w:val="auto"/>
        </w:rPr>
        <w:t xml:space="preserve"> speaks up to the ICB or </w:t>
      </w:r>
      <w:r w:rsidR="005C4048" w:rsidRPr="00120C55">
        <w:rPr>
          <w:color w:val="auto"/>
        </w:rPr>
        <w:t xml:space="preserve">to </w:t>
      </w:r>
      <w:r w:rsidR="0023538D" w:rsidRPr="00120C55">
        <w:rPr>
          <w:color w:val="auto"/>
        </w:rPr>
        <w:t xml:space="preserve">the provider, </w:t>
      </w:r>
      <w:r w:rsidR="005C4048" w:rsidRPr="00120C55">
        <w:rPr>
          <w:color w:val="auto"/>
        </w:rPr>
        <w:t xml:space="preserve">as </w:t>
      </w:r>
      <w:r w:rsidR="0023538D" w:rsidRPr="00120C55">
        <w:rPr>
          <w:color w:val="auto"/>
        </w:rPr>
        <w:t>the response they receive and the way in which their concerns are handled ought to be the same regardless</w:t>
      </w:r>
      <w:r w:rsidR="005C4048" w:rsidRPr="00120C55">
        <w:rPr>
          <w:color w:val="auto"/>
        </w:rPr>
        <w:t>.  H</w:t>
      </w:r>
      <w:r w:rsidR="0023538D" w:rsidRPr="00120C55">
        <w:rPr>
          <w:color w:val="auto"/>
        </w:rPr>
        <w:t>owever</w:t>
      </w:r>
      <w:r w:rsidR="005C4048" w:rsidRPr="00120C55">
        <w:rPr>
          <w:color w:val="auto"/>
        </w:rPr>
        <w:t>,</w:t>
      </w:r>
      <w:r w:rsidR="0023538D" w:rsidRPr="00120C55">
        <w:rPr>
          <w:color w:val="auto"/>
        </w:rPr>
        <w:t xml:space="preserve"> it is unlikely that this is the position in any system yet. It may be that the NHS Humber and North Yorkshire ICB would wish to explore Board to Board conversations with providers about how close and how quickly this could be achieved within our system; accepting that this would mean concerns raised by ICB staff to a partner organisation may be scrutinised by that organisation.</w:t>
      </w:r>
      <w:r w:rsidR="0023538D">
        <w:rPr>
          <w:color w:val="auto"/>
        </w:rPr>
        <w:t xml:space="preserve"> </w:t>
      </w:r>
    </w:p>
    <w:p w14:paraId="7E896D8B" w14:textId="1E85C895" w:rsidR="0019480C" w:rsidRDefault="00961FA0" w:rsidP="00961FA0">
      <w:pPr>
        <w:pStyle w:val="ListParagraph"/>
        <w:numPr>
          <w:ilvl w:val="0"/>
          <w:numId w:val="1"/>
        </w:numPr>
        <w:spacing w:after="0" w:line="240" w:lineRule="auto"/>
        <w:jc w:val="both"/>
        <w:rPr>
          <w:b/>
          <w:bCs/>
          <w:color w:val="auto"/>
        </w:rPr>
      </w:pPr>
      <w:r w:rsidRPr="0019480C">
        <w:rPr>
          <w:b/>
          <w:bCs/>
          <w:color w:val="auto"/>
        </w:rPr>
        <w:lastRenderedPageBreak/>
        <w:t>INTERNAL AUDIT UPDATE</w:t>
      </w:r>
    </w:p>
    <w:p w14:paraId="0ED14E64" w14:textId="77777777" w:rsidR="00991840" w:rsidRDefault="00991840" w:rsidP="00991840">
      <w:pPr>
        <w:spacing w:after="0" w:line="240" w:lineRule="auto"/>
        <w:rPr>
          <w:b/>
          <w:bCs/>
          <w:color w:val="auto"/>
        </w:rPr>
      </w:pPr>
    </w:p>
    <w:p w14:paraId="0F3BFD9E" w14:textId="633442B7" w:rsidR="00991840" w:rsidRDefault="00991840" w:rsidP="00961FA0">
      <w:pPr>
        <w:spacing w:after="0" w:line="240" w:lineRule="auto"/>
        <w:jc w:val="both"/>
        <w:rPr>
          <w:color w:val="auto"/>
        </w:rPr>
      </w:pPr>
      <w:r>
        <w:rPr>
          <w:color w:val="auto"/>
        </w:rPr>
        <w:t xml:space="preserve">Internal </w:t>
      </w:r>
      <w:proofErr w:type="gramStart"/>
      <w:r>
        <w:rPr>
          <w:color w:val="auto"/>
        </w:rPr>
        <w:t>audit</w:t>
      </w:r>
      <w:proofErr w:type="gramEnd"/>
      <w:r>
        <w:rPr>
          <w:color w:val="auto"/>
        </w:rPr>
        <w:t xml:space="preserve"> are currently reviewing the ICB arrangements for FTSU</w:t>
      </w:r>
      <w:r w:rsidR="0023538D">
        <w:rPr>
          <w:color w:val="auto"/>
        </w:rPr>
        <w:t xml:space="preserve">. This has required the provision of </w:t>
      </w:r>
      <w:proofErr w:type="gramStart"/>
      <w:r w:rsidR="0023538D">
        <w:rPr>
          <w:color w:val="auto"/>
        </w:rPr>
        <w:t>a number of</w:t>
      </w:r>
      <w:proofErr w:type="gramEnd"/>
      <w:r w:rsidR="0023538D">
        <w:rPr>
          <w:color w:val="auto"/>
        </w:rPr>
        <w:t xml:space="preserve"> documents including the policy and the </w:t>
      </w:r>
      <w:proofErr w:type="spellStart"/>
      <w:r w:rsidR="0023538D">
        <w:rPr>
          <w:color w:val="auto"/>
        </w:rPr>
        <w:t>self reflection</w:t>
      </w:r>
      <w:proofErr w:type="spellEnd"/>
      <w:r w:rsidR="0023538D">
        <w:rPr>
          <w:color w:val="auto"/>
        </w:rPr>
        <w:t xml:space="preserve"> tool. These are appended to this report for completeness. </w:t>
      </w:r>
    </w:p>
    <w:p w14:paraId="2B361010" w14:textId="77777777" w:rsidR="0023538D" w:rsidRDefault="0023538D" w:rsidP="00961FA0">
      <w:pPr>
        <w:spacing w:after="0" w:line="240" w:lineRule="auto"/>
        <w:jc w:val="both"/>
        <w:rPr>
          <w:color w:val="auto"/>
        </w:rPr>
      </w:pPr>
    </w:p>
    <w:p w14:paraId="7569E398" w14:textId="4B99F214" w:rsidR="0023538D" w:rsidRDefault="0023538D" w:rsidP="00961FA0">
      <w:pPr>
        <w:spacing w:after="0" w:line="240" w:lineRule="auto"/>
        <w:jc w:val="both"/>
        <w:rPr>
          <w:color w:val="auto"/>
        </w:rPr>
      </w:pPr>
      <w:r>
        <w:rPr>
          <w:color w:val="auto"/>
        </w:rPr>
        <w:t xml:space="preserve">The internal audit so far has highlighted some areas of progress which are required for the ICB and these are welcome </w:t>
      </w:r>
      <w:proofErr w:type="gramStart"/>
      <w:r>
        <w:rPr>
          <w:color w:val="auto"/>
        </w:rPr>
        <w:t>findings:-</w:t>
      </w:r>
      <w:proofErr w:type="gramEnd"/>
    </w:p>
    <w:p w14:paraId="5DB99BA6" w14:textId="77777777" w:rsidR="0023538D" w:rsidRDefault="0023538D" w:rsidP="00961FA0">
      <w:pPr>
        <w:spacing w:after="0" w:line="240" w:lineRule="auto"/>
        <w:jc w:val="both"/>
        <w:rPr>
          <w:color w:val="auto"/>
        </w:rPr>
      </w:pPr>
    </w:p>
    <w:p w14:paraId="56A909CD" w14:textId="4B825CAD" w:rsidR="0023538D" w:rsidRDefault="0023538D" w:rsidP="00961FA0">
      <w:pPr>
        <w:pStyle w:val="ListParagraph"/>
        <w:numPr>
          <w:ilvl w:val="0"/>
          <w:numId w:val="21"/>
        </w:numPr>
        <w:spacing w:after="0" w:line="240" w:lineRule="auto"/>
        <w:jc w:val="both"/>
        <w:rPr>
          <w:color w:val="auto"/>
        </w:rPr>
      </w:pPr>
      <w:r>
        <w:rPr>
          <w:color w:val="auto"/>
        </w:rPr>
        <w:t>The need for Freedom to Speak Up Champions to be recruited with support from the Board for ring fenced time for these individuals</w:t>
      </w:r>
    </w:p>
    <w:p w14:paraId="6468E14C" w14:textId="56A03523" w:rsidR="0023538D" w:rsidRDefault="0023538D" w:rsidP="00961FA0">
      <w:pPr>
        <w:pStyle w:val="ListParagraph"/>
        <w:numPr>
          <w:ilvl w:val="0"/>
          <w:numId w:val="21"/>
        </w:numPr>
        <w:spacing w:after="0" w:line="240" w:lineRule="auto"/>
        <w:jc w:val="both"/>
        <w:rPr>
          <w:color w:val="auto"/>
        </w:rPr>
      </w:pPr>
      <w:r>
        <w:rPr>
          <w:color w:val="auto"/>
        </w:rPr>
        <w:t xml:space="preserve">The need for a Freedom to Speak Up strategy to be developed </w:t>
      </w:r>
    </w:p>
    <w:p w14:paraId="7763006B" w14:textId="099985F5" w:rsidR="0023538D" w:rsidRDefault="0023538D" w:rsidP="00961FA0">
      <w:pPr>
        <w:pStyle w:val="ListParagraph"/>
        <w:numPr>
          <w:ilvl w:val="0"/>
          <w:numId w:val="21"/>
        </w:numPr>
        <w:spacing w:after="0" w:line="240" w:lineRule="auto"/>
        <w:jc w:val="both"/>
        <w:rPr>
          <w:color w:val="auto"/>
        </w:rPr>
      </w:pPr>
      <w:r>
        <w:rPr>
          <w:color w:val="auto"/>
        </w:rPr>
        <w:t>A feedback questionnaire or process to be provided for the ICB to provide to those raising concerns</w:t>
      </w:r>
    </w:p>
    <w:p w14:paraId="6B6CC7AB" w14:textId="4D8352F1" w:rsidR="0023538D" w:rsidRDefault="0023538D" w:rsidP="00961FA0">
      <w:pPr>
        <w:pStyle w:val="ListParagraph"/>
        <w:numPr>
          <w:ilvl w:val="0"/>
          <w:numId w:val="21"/>
        </w:numPr>
        <w:spacing w:after="0" w:line="240" w:lineRule="auto"/>
        <w:jc w:val="both"/>
        <w:rPr>
          <w:color w:val="auto"/>
        </w:rPr>
      </w:pPr>
      <w:r>
        <w:rPr>
          <w:color w:val="auto"/>
        </w:rPr>
        <w:t>A plan for the open recruitment of Freedom to Speak Up Champions and a commitment that should there be a point at which the Guardian and the Operational Lead leave their roles, there will be an open recruitment process for the post</w:t>
      </w:r>
      <w:r w:rsidR="005C4048">
        <w:rPr>
          <w:color w:val="auto"/>
        </w:rPr>
        <w:t>/s</w:t>
      </w:r>
      <w:r>
        <w:rPr>
          <w:color w:val="auto"/>
        </w:rPr>
        <w:t xml:space="preserve">. </w:t>
      </w:r>
    </w:p>
    <w:p w14:paraId="268DA6EB" w14:textId="74818BA2" w:rsidR="0023538D" w:rsidRDefault="0023538D" w:rsidP="00961FA0">
      <w:pPr>
        <w:pStyle w:val="ListParagraph"/>
        <w:numPr>
          <w:ilvl w:val="0"/>
          <w:numId w:val="21"/>
        </w:numPr>
        <w:spacing w:after="0" w:line="240" w:lineRule="auto"/>
        <w:jc w:val="both"/>
        <w:rPr>
          <w:color w:val="auto"/>
        </w:rPr>
      </w:pPr>
      <w:r>
        <w:rPr>
          <w:color w:val="auto"/>
        </w:rPr>
        <w:t>Training for Senior Leaders and Managers to encourage their staff to feel confident to speak up and to welcome this feedback</w:t>
      </w:r>
    </w:p>
    <w:p w14:paraId="00A4EDC2" w14:textId="77777777" w:rsidR="0023538D" w:rsidRPr="0023538D" w:rsidRDefault="0023538D" w:rsidP="00961FA0">
      <w:pPr>
        <w:pStyle w:val="ListParagraph"/>
        <w:spacing w:after="0" w:line="240" w:lineRule="auto"/>
        <w:jc w:val="both"/>
        <w:rPr>
          <w:color w:val="auto"/>
        </w:rPr>
      </w:pPr>
    </w:p>
    <w:p w14:paraId="793C78A3" w14:textId="1F00EED1" w:rsidR="0019480C" w:rsidRPr="0019480C" w:rsidRDefault="00961FA0" w:rsidP="0019480C">
      <w:pPr>
        <w:pStyle w:val="ListParagraph"/>
        <w:numPr>
          <w:ilvl w:val="0"/>
          <w:numId w:val="1"/>
        </w:numPr>
        <w:spacing w:after="0" w:line="240" w:lineRule="auto"/>
        <w:rPr>
          <w:b/>
          <w:bCs/>
          <w:color w:val="auto"/>
        </w:rPr>
      </w:pPr>
      <w:r w:rsidRPr="0019480C">
        <w:rPr>
          <w:b/>
          <w:bCs/>
          <w:color w:val="auto"/>
        </w:rPr>
        <w:t xml:space="preserve">ROLE OF THE BOARD </w:t>
      </w:r>
    </w:p>
    <w:p w14:paraId="2F221551" w14:textId="77777777" w:rsidR="0019480C" w:rsidRPr="0019480C" w:rsidRDefault="0019480C" w:rsidP="0019480C">
      <w:pPr>
        <w:pStyle w:val="ListParagraph"/>
        <w:spacing w:after="0" w:line="240" w:lineRule="auto"/>
        <w:ind w:left="360"/>
        <w:jc w:val="both"/>
        <w:rPr>
          <w:b/>
          <w:bCs/>
          <w:color w:val="auto"/>
        </w:rPr>
      </w:pPr>
    </w:p>
    <w:p w14:paraId="2568C8EA" w14:textId="19B4C88C" w:rsidR="00B323A5" w:rsidRPr="00A548F5" w:rsidRDefault="0023538D" w:rsidP="00961FA0">
      <w:pPr>
        <w:spacing w:after="0" w:line="240" w:lineRule="auto"/>
        <w:jc w:val="both"/>
        <w:rPr>
          <w:color w:val="auto"/>
        </w:rPr>
      </w:pPr>
      <w:r>
        <w:rPr>
          <w:color w:val="auto"/>
        </w:rPr>
        <w:t xml:space="preserve">The ICB Board has a key role in promoting Freedom to Speak Up and the culture required to encourage this. The Board </w:t>
      </w:r>
      <w:r w:rsidR="00A15A92">
        <w:rPr>
          <w:color w:val="auto"/>
        </w:rPr>
        <w:t>might wish to consider an objective of fostering a culture which promotes and encourages speaking up. This would then offer an opportunity to promote this with the senior leaders and managers</w:t>
      </w:r>
      <w:r w:rsidR="005C4048">
        <w:rPr>
          <w:color w:val="auto"/>
        </w:rPr>
        <w:t>, underlining</w:t>
      </w:r>
      <w:r w:rsidR="00A15A92">
        <w:rPr>
          <w:color w:val="auto"/>
        </w:rPr>
        <w:t xml:space="preserve"> that this is an approach which the Board endorses and supports. </w:t>
      </w:r>
    </w:p>
    <w:p w14:paraId="1E4987D4" w14:textId="7EA84DC4" w:rsidR="00320475" w:rsidRDefault="00320475" w:rsidP="00320475">
      <w:pPr>
        <w:pStyle w:val="ListParagraph"/>
        <w:rPr>
          <w:rFonts w:eastAsiaTheme="minorHAnsi"/>
        </w:rPr>
      </w:pPr>
    </w:p>
    <w:p w14:paraId="32C4F6DF" w14:textId="77777777" w:rsidR="00A958CA" w:rsidRPr="00A958CA" w:rsidRDefault="00A958CA" w:rsidP="00A958CA">
      <w:pPr>
        <w:pStyle w:val="ListParagraph"/>
        <w:numPr>
          <w:ilvl w:val="0"/>
          <w:numId w:val="1"/>
        </w:numPr>
        <w:spacing w:after="0" w:line="240" w:lineRule="auto"/>
        <w:ind w:left="567" w:hanging="567"/>
        <w:rPr>
          <w:b/>
          <w:bCs/>
          <w:sz w:val="24"/>
          <w:szCs w:val="24"/>
        </w:rPr>
      </w:pPr>
      <w:r w:rsidRPr="00A958CA">
        <w:rPr>
          <w:b/>
          <w:bCs/>
          <w:color w:val="auto"/>
          <w:sz w:val="24"/>
          <w:szCs w:val="24"/>
        </w:rPr>
        <w:t>RECOMMENDATIONS</w:t>
      </w:r>
    </w:p>
    <w:p w14:paraId="493F9032" w14:textId="77777777" w:rsidR="00A958CA" w:rsidRPr="00A958CA" w:rsidRDefault="00A958CA" w:rsidP="00A958CA">
      <w:pPr>
        <w:pStyle w:val="ListParagraph"/>
        <w:spacing w:after="0" w:line="240" w:lineRule="auto"/>
        <w:ind w:left="567"/>
        <w:rPr>
          <w:b/>
          <w:bCs/>
          <w:sz w:val="24"/>
          <w:szCs w:val="24"/>
        </w:rPr>
      </w:pPr>
    </w:p>
    <w:p w14:paraId="268B9712" w14:textId="723FCE68" w:rsidR="00A958CA" w:rsidRDefault="00A958CA" w:rsidP="00BA2452">
      <w:pPr>
        <w:pStyle w:val="ListParagraph"/>
        <w:numPr>
          <w:ilvl w:val="1"/>
          <w:numId w:val="1"/>
        </w:numPr>
        <w:spacing w:after="0" w:line="240" w:lineRule="auto"/>
        <w:ind w:left="567" w:hanging="567"/>
        <w:jc w:val="both"/>
        <w:rPr>
          <w:color w:val="auto"/>
          <w:sz w:val="24"/>
          <w:szCs w:val="24"/>
        </w:rPr>
      </w:pPr>
      <w:r w:rsidRPr="00A958CA">
        <w:rPr>
          <w:color w:val="auto"/>
          <w:sz w:val="24"/>
          <w:szCs w:val="24"/>
        </w:rPr>
        <w:t>Members are asked to:</w:t>
      </w:r>
    </w:p>
    <w:p w14:paraId="14DE537C" w14:textId="77777777" w:rsidR="00A958CA" w:rsidRPr="00A958CA" w:rsidRDefault="00A958CA" w:rsidP="00BA2452">
      <w:pPr>
        <w:pStyle w:val="ListParagraph"/>
        <w:spacing w:after="0" w:line="240" w:lineRule="auto"/>
        <w:ind w:left="567"/>
        <w:jc w:val="both"/>
        <w:rPr>
          <w:color w:val="auto"/>
          <w:sz w:val="24"/>
          <w:szCs w:val="24"/>
        </w:rPr>
      </w:pPr>
    </w:p>
    <w:p w14:paraId="542F5D43" w14:textId="33E720ED" w:rsidR="00A958CA" w:rsidRDefault="00F76EAB" w:rsidP="00BA2452">
      <w:pPr>
        <w:pStyle w:val="ListParagraph"/>
        <w:numPr>
          <w:ilvl w:val="0"/>
          <w:numId w:val="16"/>
        </w:numPr>
        <w:spacing w:after="0" w:line="240" w:lineRule="auto"/>
        <w:jc w:val="both"/>
        <w:rPr>
          <w:color w:val="auto"/>
        </w:rPr>
      </w:pPr>
      <w:r>
        <w:rPr>
          <w:color w:val="auto"/>
        </w:rPr>
        <w:t>Receive the report for information</w:t>
      </w:r>
    </w:p>
    <w:p w14:paraId="6BC2BC34" w14:textId="28235A79" w:rsidR="00F76EAB" w:rsidRPr="00252019" w:rsidRDefault="00F76EAB" w:rsidP="00BA2452">
      <w:pPr>
        <w:pStyle w:val="ListParagraph"/>
        <w:numPr>
          <w:ilvl w:val="0"/>
          <w:numId w:val="16"/>
        </w:numPr>
        <w:spacing w:after="0" w:line="240" w:lineRule="auto"/>
        <w:jc w:val="both"/>
        <w:rPr>
          <w:color w:val="auto"/>
        </w:rPr>
      </w:pPr>
      <w:r>
        <w:rPr>
          <w:color w:val="auto"/>
        </w:rPr>
        <w:t>Confirm an intention to support an objective of fostering a culture encouraging speaking up</w:t>
      </w:r>
    </w:p>
    <w:p w14:paraId="3819B75F" w14:textId="77777777" w:rsidR="00A958CA" w:rsidRDefault="00A958CA" w:rsidP="00A958CA">
      <w:pPr>
        <w:spacing w:after="0" w:line="240" w:lineRule="auto"/>
        <w:ind w:firstLine="567"/>
        <w:rPr>
          <w:color w:val="auto"/>
        </w:rPr>
      </w:pPr>
    </w:p>
    <w:p w14:paraId="4980EE39" w14:textId="77777777" w:rsidR="00A958CA" w:rsidRDefault="00A958CA" w:rsidP="00A958CA">
      <w:pPr>
        <w:jc w:val="center"/>
        <w:rPr>
          <w:b/>
          <w:bCs/>
          <w:color w:val="auto"/>
          <w:sz w:val="24"/>
          <w:szCs w:val="24"/>
        </w:rPr>
      </w:pPr>
    </w:p>
    <w:p w14:paraId="06F666BF" w14:textId="70B02A1F" w:rsidR="00A958CA" w:rsidRPr="0029694C" w:rsidRDefault="00A958CA" w:rsidP="00A958CA">
      <w:pPr>
        <w:jc w:val="center"/>
        <w:rPr>
          <w:color w:val="auto"/>
          <w:sz w:val="24"/>
          <w:szCs w:val="24"/>
        </w:rPr>
      </w:pPr>
    </w:p>
    <w:p w14:paraId="16B805DE" w14:textId="35D071BA" w:rsidR="006C6CAA" w:rsidRDefault="006C6CAA">
      <w:pPr>
        <w:spacing w:after="0" w:line="240" w:lineRule="auto"/>
        <w:rPr>
          <w:b/>
          <w:bCs/>
          <w:color w:val="auto"/>
          <w:sz w:val="24"/>
          <w:szCs w:val="24"/>
        </w:rPr>
      </w:pPr>
    </w:p>
    <w:sectPr w:rsidR="006C6CAA" w:rsidSect="000B082B">
      <w:foot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F5534" w14:textId="77777777" w:rsidR="00AA4091" w:rsidRDefault="00AA4091" w:rsidP="00206B76">
      <w:pPr>
        <w:spacing w:after="0" w:line="240" w:lineRule="auto"/>
      </w:pPr>
      <w:r>
        <w:separator/>
      </w:r>
    </w:p>
  </w:endnote>
  <w:endnote w:type="continuationSeparator" w:id="0">
    <w:p w14:paraId="52F54EDB" w14:textId="77777777" w:rsidR="00AA4091" w:rsidRDefault="00AA4091"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E9301" w14:textId="77777777" w:rsidR="00AA4091" w:rsidRDefault="00AA4091" w:rsidP="00206B76">
      <w:pPr>
        <w:spacing w:after="0" w:line="240" w:lineRule="auto"/>
      </w:pPr>
      <w:r>
        <w:separator/>
      </w:r>
    </w:p>
  </w:footnote>
  <w:footnote w:type="continuationSeparator" w:id="0">
    <w:p w14:paraId="195C7FC0" w14:textId="77777777" w:rsidR="00AA4091" w:rsidRDefault="00AA4091"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26586"/>
    <w:multiLevelType w:val="hybridMultilevel"/>
    <w:tmpl w:val="3A60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E3B84"/>
    <w:multiLevelType w:val="hybridMultilevel"/>
    <w:tmpl w:val="9D4CE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3444F5"/>
    <w:multiLevelType w:val="hybridMultilevel"/>
    <w:tmpl w:val="3600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A555B"/>
    <w:multiLevelType w:val="hybridMultilevel"/>
    <w:tmpl w:val="7720974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D35402"/>
    <w:multiLevelType w:val="hybridMultilevel"/>
    <w:tmpl w:val="40268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485294"/>
    <w:multiLevelType w:val="hybridMultilevel"/>
    <w:tmpl w:val="8B40B9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3C060FB"/>
    <w:multiLevelType w:val="hybridMultilevel"/>
    <w:tmpl w:val="CED44A88"/>
    <w:lvl w:ilvl="0" w:tplc="F71EE6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D6C50"/>
    <w:multiLevelType w:val="multilevel"/>
    <w:tmpl w:val="D06C803E"/>
    <w:lvl w:ilvl="0">
      <w:start w:val="1"/>
      <w:numFmt w:val="decimal"/>
      <w:lvlText w:val="%1."/>
      <w:lvlJc w:val="left"/>
      <w:pPr>
        <w:ind w:left="360" w:hanging="360"/>
      </w:pPr>
      <w:rPr>
        <w:rFonts w:ascii="Arial" w:hAnsi="Arial" w:cs="Arial" w:hint="default"/>
        <w:b/>
        <w:bCs/>
        <w:i w:val="0"/>
        <w:iCs/>
        <w:color w:val="auto"/>
        <w:sz w:val="24"/>
        <w:szCs w:val="24"/>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CA37C7"/>
    <w:multiLevelType w:val="hybridMultilevel"/>
    <w:tmpl w:val="E9A283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8C7138D"/>
    <w:multiLevelType w:val="hybridMultilevel"/>
    <w:tmpl w:val="61F6AC54"/>
    <w:lvl w:ilvl="0" w:tplc="C77C767E">
      <w:start w:val="1"/>
      <w:numFmt w:val="bullet"/>
      <w:lvlText w:val=""/>
      <w:lvlJc w:val="left"/>
      <w:pPr>
        <w:tabs>
          <w:tab w:val="num" w:pos="720"/>
        </w:tabs>
        <w:ind w:left="720" w:hanging="360"/>
      </w:pPr>
      <w:rPr>
        <w:rFonts w:ascii="Wingdings" w:hAnsi="Wingdings" w:hint="default"/>
      </w:rPr>
    </w:lvl>
    <w:lvl w:ilvl="1" w:tplc="5FF0EA06">
      <w:start w:val="1"/>
      <w:numFmt w:val="bullet"/>
      <w:lvlText w:val=""/>
      <w:lvlJc w:val="left"/>
      <w:pPr>
        <w:tabs>
          <w:tab w:val="num" w:pos="1440"/>
        </w:tabs>
        <w:ind w:left="1440" w:hanging="360"/>
      </w:pPr>
      <w:rPr>
        <w:rFonts w:ascii="Wingdings" w:hAnsi="Wingdings" w:hint="default"/>
      </w:rPr>
    </w:lvl>
    <w:lvl w:ilvl="2" w:tplc="840C6716" w:tentative="1">
      <w:start w:val="1"/>
      <w:numFmt w:val="bullet"/>
      <w:lvlText w:val=""/>
      <w:lvlJc w:val="left"/>
      <w:pPr>
        <w:tabs>
          <w:tab w:val="num" w:pos="2160"/>
        </w:tabs>
        <w:ind w:left="2160" w:hanging="360"/>
      </w:pPr>
      <w:rPr>
        <w:rFonts w:ascii="Wingdings" w:hAnsi="Wingdings" w:hint="default"/>
      </w:rPr>
    </w:lvl>
    <w:lvl w:ilvl="3" w:tplc="447E0172" w:tentative="1">
      <w:start w:val="1"/>
      <w:numFmt w:val="bullet"/>
      <w:lvlText w:val=""/>
      <w:lvlJc w:val="left"/>
      <w:pPr>
        <w:tabs>
          <w:tab w:val="num" w:pos="2880"/>
        </w:tabs>
        <w:ind w:left="2880" w:hanging="360"/>
      </w:pPr>
      <w:rPr>
        <w:rFonts w:ascii="Wingdings" w:hAnsi="Wingdings" w:hint="default"/>
      </w:rPr>
    </w:lvl>
    <w:lvl w:ilvl="4" w:tplc="C14C35B6" w:tentative="1">
      <w:start w:val="1"/>
      <w:numFmt w:val="bullet"/>
      <w:lvlText w:val=""/>
      <w:lvlJc w:val="left"/>
      <w:pPr>
        <w:tabs>
          <w:tab w:val="num" w:pos="3600"/>
        </w:tabs>
        <w:ind w:left="3600" w:hanging="360"/>
      </w:pPr>
      <w:rPr>
        <w:rFonts w:ascii="Wingdings" w:hAnsi="Wingdings" w:hint="default"/>
      </w:rPr>
    </w:lvl>
    <w:lvl w:ilvl="5" w:tplc="D23829E6" w:tentative="1">
      <w:start w:val="1"/>
      <w:numFmt w:val="bullet"/>
      <w:lvlText w:val=""/>
      <w:lvlJc w:val="left"/>
      <w:pPr>
        <w:tabs>
          <w:tab w:val="num" w:pos="4320"/>
        </w:tabs>
        <w:ind w:left="4320" w:hanging="360"/>
      </w:pPr>
      <w:rPr>
        <w:rFonts w:ascii="Wingdings" w:hAnsi="Wingdings" w:hint="default"/>
      </w:rPr>
    </w:lvl>
    <w:lvl w:ilvl="6" w:tplc="BEC4F34E" w:tentative="1">
      <w:start w:val="1"/>
      <w:numFmt w:val="bullet"/>
      <w:lvlText w:val=""/>
      <w:lvlJc w:val="left"/>
      <w:pPr>
        <w:tabs>
          <w:tab w:val="num" w:pos="5040"/>
        </w:tabs>
        <w:ind w:left="5040" w:hanging="360"/>
      </w:pPr>
      <w:rPr>
        <w:rFonts w:ascii="Wingdings" w:hAnsi="Wingdings" w:hint="default"/>
      </w:rPr>
    </w:lvl>
    <w:lvl w:ilvl="7" w:tplc="99E2F116" w:tentative="1">
      <w:start w:val="1"/>
      <w:numFmt w:val="bullet"/>
      <w:lvlText w:val=""/>
      <w:lvlJc w:val="left"/>
      <w:pPr>
        <w:tabs>
          <w:tab w:val="num" w:pos="5760"/>
        </w:tabs>
        <w:ind w:left="5760" w:hanging="360"/>
      </w:pPr>
      <w:rPr>
        <w:rFonts w:ascii="Wingdings" w:hAnsi="Wingdings" w:hint="default"/>
      </w:rPr>
    </w:lvl>
    <w:lvl w:ilvl="8" w:tplc="585C4A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DD6F6D"/>
    <w:multiLevelType w:val="hybridMultilevel"/>
    <w:tmpl w:val="3628F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7544C2"/>
    <w:multiLevelType w:val="hybridMultilevel"/>
    <w:tmpl w:val="2624ADA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51F2EB0"/>
    <w:multiLevelType w:val="hybridMultilevel"/>
    <w:tmpl w:val="185C0360"/>
    <w:lvl w:ilvl="0" w:tplc="2D14D6D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BED2107"/>
    <w:multiLevelType w:val="hybridMultilevel"/>
    <w:tmpl w:val="A44A2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B33A85"/>
    <w:multiLevelType w:val="hybridMultilevel"/>
    <w:tmpl w:val="D910FBC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CC71FAF"/>
    <w:multiLevelType w:val="hybridMultilevel"/>
    <w:tmpl w:val="89643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8666477">
    <w:abstractNumId w:val="11"/>
  </w:num>
  <w:num w:numId="2" w16cid:durableId="882718920">
    <w:abstractNumId w:val="2"/>
  </w:num>
  <w:num w:numId="3" w16cid:durableId="69666238">
    <w:abstractNumId w:val="0"/>
  </w:num>
  <w:num w:numId="4" w16cid:durableId="86193173">
    <w:abstractNumId w:val="4"/>
  </w:num>
  <w:num w:numId="5" w16cid:durableId="1161777815">
    <w:abstractNumId w:val="5"/>
  </w:num>
  <w:num w:numId="6" w16cid:durableId="711077932">
    <w:abstractNumId w:val="15"/>
  </w:num>
  <w:num w:numId="7" w16cid:durableId="551354442">
    <w:abstractNumId w:val="18"/>
  </w:num>
  <w:num w:numId="8" w16cid:durableId="833495204">
    <w:abstractNumId w:val="10"/>
  </w:num>
  <w:num w:numId="9" w16cid:durableId="198208887">
    <w:abstractNumId w:val="6"/>
  </w:num>
  <w:num w:numId="10" w16cid:durableId="671446156">
    <w:abstractNumId w:val="20"/>
  </w:num>
  <w:num w:numId="11" w16cid:durableId="879441605">
    <w:abstractNumId w:val="19"/>
  </w:num>
  <w:num w:numId="12" w16cid:durableId="382606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4355092">
    <w:abstractNumId w:val="7"/>
  </w:num>
  <w:num w:numId="14" w16cid:durableId="360860787">
    <w:abstractNumId w:val="16"/>
  </w:num>
  <w:num w:numId="15" w16cid:durableId="252127756">
    <w:abstractNumId w:val="8"/>
  </w:num>
  <w:num w:numId="16" w16cid:durableId="2055814171">
    <w:abstractNumId w:val="17"/>
  </w:num>
  <w:num w:numId="17" w16cid:durableId="472138002">
    <w:abstractNumId w:val="9"/>
  </w:num>
  <w:num w:numId="18" w16cid:durableId="1224367927">
    <w:abstractNumId w:val="1"/>
  </w:num>
  <w:num w:numId="19" w16cid:durableId="1297029096">
    <w:abstractNumId w:val="3"/>
  </w:num>
  <w:num w:numId="20" w16cid:durableId="1871406219">
    <w:abstractNumId w:val="13"/>
  </w:num>
  <w:num w:numId="21" w16cid:durableId="100790100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4026"/>
    <w:rsid w:val="00007950"/>
    <w:rsid w:val="000102CB"/>
    <w:rsid w:val="000126CA"/>
    <w:rsid w:val="00014AFA"/>
    <w:rsid w:val="0002024F"/>
    <w:rsid w:val="0002287C"/>
    <w:rsid w:val="00026704"/>
    <w:rsid w:val="00036739"/>
    <w:rsid w:val="00043155"/>
    <w:rsid w:val="00045447"/>
    <w:rsid w:val="0004789A"/>
    <w:rsid w:val="00051344"/>
    <w:rsid w:val="000601A8"/>
    <w:rsid w:val="0006137D"/>
    <w:rsid w:val="00074E0E"/>
    <w:rsid w:val="00080753"/>
    <w:rsid w:val="00085A81"/>
    <w:rsid w:val="00085CA4"/>
    <w:rsid w:val="00092A3F"/>
    <w:rsid w:val="00093EA4"/>
    <w:rsid w:val="00095494"/>
    <w:rsid w:val="00096040"/>
    <w:rsid w:val="000A2C91"/>
    <w:rsid w:val="000A30CD"/>
    <w:rsid w:val="000A5EE1"/>
    <w:rsid w:val="000A6313"/>
    <w:rsid w:val="000B082B"/>
    <w:rsid w:val="000B2507"/>
    <w:rsid w:val="000B458A"/>
    <w:rsid w:val="000B6058"/>
    <w:rsid w:val="000B7B78"/>
    <w:rsid w:val="000C17DC"/>
    <w:rsid w:val="000C1D7B"/>
    <w:rsid w:val="000C3DF7"/>
    <w:rsid w:val="000D2F25"/>
    <w:rsid w:val="000D7EF6"/>
    <w:rsid w:val="000E0470"/>
    <w:rsid w:val="000E0BF6"/>
    <w:rsid w:val="000E4B82"/>
    <w:rsid w:val="000E54A7"/>
    <w:rsid w:val="000E6CE5"/>
    <w:rsid w:val="000F00F0"/>
    <w:rsid w:val="000F67DE"/>
    <w:rsid w:val="000F681C"/>
    <w:rsid w:val="001049D6"/>
    <w:rsid w:val="0010586B"/>
    <w:rsid w:val="00105877"/>
    <w:rsid w:val="0010672E"/>
    <w:rsid w:val="00111CA4"/>
    <w:rsid w:val="00117908"/>
    <w:rsid w:val="00120C55"/>
    <w:rsid w:val="00122DFC"/>
    <w:rsid w:val="00124D1D"/>
    <w:rsid w:val="00133A04"/>
    <w:rsid w:val="00137DBB"/>
    <w:rsid w:val="00152A2C"/>
    <w:rsid w:val="00165FAE"/>
    <w:rsid w:val="00167407"/>
    <w:rsid w:val="0017240E"/>
    <w:rsid w:val="001774D9"/>
    <w:rsid w:val="00186878"/>
    <w:rsid w:val="0019480C"/>
    <w:rsid w:val="00196845"/>
    <w:rsid w:val="001A441A"/>
    <w:rsid w:val="001B1EF2"/>
    <w:rsid w:val="001B25C2"/>
    <w:rsid w:val="001C09DB"/>
    <w:rsid w:val="001C2543"/>
    <w:rsid w:val="001C49F8"/>
    <w:rsid w:val="001C6F52"/>
    <w:rsid w:val="001C786C"/>
    <w:rsid w:val="001D6033"/>
    <w:rsid w:val="001E23C3"/>
    <w:rsid w:val="001E6526"/>
    <w:rsid w:val="001E780C"/>
    <w:rsid w:val="001F02A9"/>
    <w:rsid w:val="001F4C0A"/>
    <w:rsid w:val="002001E7"/>
    <w:rsid w:val="002007B4"/>
    <w:rsid w:val="00202518"/>
    <w:rsid w:val="00203C1A"/>
    <w:rsid w:val="00204955"/>
    <w:rsid w:val="00204AC7"/>
    <w:rsid w:val="00206B76"/>
    <w:rsid w:val="00211B1F"/>
    <w:rsid w:val="0021269C"/>
    <w:rsid w:val="00213DF2"/>
    <w:rsid w:val="0021698E"/>
    <w:rsid w:val="002170BA"/>
    <w:rsid w:val="00221680"/>
    <w:rsid w:val="00224F27"/>
    <w:rsid w:val="002258B0"/>
    <w:rsid w:val="0023538D"/>
    <w:rsid w:val="002415F0"/>
    <w:rsid w:val="002468FB"/>
    <w:rsid w:val="00252019"/>
    <w:rsid w:val="0025333B"/>
    <w:rsid w:val="00254944"/>
    <w:rsid w:val="0025572F"/>
    <w:rsid w:val="00255925"/>
    <w:rsid w:val="00270E1F"/>
    <w:rsid w:val="00273C37"/>
    <w:rsid w:val="0029694C"/>
    <w:rsid w:val="002A13D9"/>
    <w:rsid w:val="002A33AE"/>
    <w:rsid w:val="002A5816"/>
    <w:rsid w:val="002A7A62"/>
    <w:rsid w:val="002B0F1C"/>
    <w:rsid w:val="002B4676"/>
    <w:rsid w:val="002B603D"/>
    <w:rsid w:val="002B6F55"/>
    <w:rsid w:val="002B7229"/>
    <w:rsid w:val="002C3567"/>
    <w:rsid w:val="002D223A"/>
    <w:rsid w:val="002D22F3"/>
    <w:rsid w:val="002D2FBC"/>
    <w:rsid w:val="002D4BC5"/>
    <w:rsid w:val="002D7FCB"/>
    <w:rsid w:val="002E50F3"/>
    <w:rsid w:val="0030048D"/>
    <w:rsid w:val="00303057"/>
    <w:rsid w:val="00305437"/>
    <w:rsid w:val="00310A09"/>
    <w:rsid w:val="003130CA"/>
    <w:rsid w:val="00320475"/>
    <w:rsid w:val="00326FBF"/>
    <w:rsid w:val="003312D3"/>
    <w:rsid w:val="003315EE"/>
    <w:rsid w:val="00331688"/>
    <w:rsid w:val="00340567"/>
    <w:rsid w:val="0034324D"/>
    <w:rsid w:val="00343608"/>
    <w:rsid w:val="0034452F"/>
    <w:rsid w:val="00346C63"/>
    <w:rsid w:val="0035555F"/>
    <w:rsid w:val="00364E65"/>
    <w:rsid w:val="00370872"/>
    <w:rsid w:val="003728AB"/>
    <w:rsid w:val="003734A1"/>
    <w:rsid w:val="00373698"/>
    <w:rsid w:val="0037424A"/>
    <w:rsid w:val="0037462C"/>
    <w:rsid w:val="0037732B"/>
    <w:rsid w:val="0038018B"/>
    <w:rsid w:val="00381BD2"/>
    <w:rsid w:val="00381FC0"/>
    <w:rsid w:val="00386180"/>
    <w:rsid w:val="00390986"/>
    <w:rsid w:val="00390F40"/>
    <w:rsid w:val="0039777F"/>
    <w:rsid w:val="003A14A9"/>
    <w:rsid w:val="003A1818"/>
    <w:rsid w:val="003A2D6B"/>
    <w:rsid w:val="003A5F81"/>
    <w:rsid w:val="003B2F18"/>
    <w:rsid w:val="003B6637"/>
    <w:rsid w:val="003C1D6F"/>
    <w:rsid w:val="003C5AB0"/>
    <w:rsid w:val="003D11C8"/>
    <w:rsid w:val="003D44DE"/>
    <w:rsid w:val="003D47EE"/>
    <w:rsid w:val="003E2167"/>
    <w:rsid w:val="003E5809"/>
    <w:rsid w:val="003E5B87"/>
    <w:rsid w:val="003F23FA"/>
    <w:rsid w:val="003F6485"/>
    <w:rsid w:val="003F7FBC"/>
    <w:rsid w:val="004159D1"/>
    <w:rsid w:val="00417558"/>
    <w:rsid w:val="00420A41"/>
    <w:rsid w:val="0043054F"/>
    <w:rsid w:val="004307C4"/>
    <w:rsid w:val="00431C03"/>
    <w:rsid w:val="00440CA7"/>
    <w:rsid w:val="00440CFB"/>
    <w:rsid w:val="00441B35"/>
    <w:rsid w:val="00445AFD"/>
    <w:rsid w:val="00446C40"/>
    <w:rsid w:val="004539B6"/>
    <w:rsid w:val="004554A0"/>
    <w:rsid w:val="0046152F"/>
    <w:rsid w:val="00462C86"/>
    <w:rsid w:val="004647A1"/>
    <w:rsid w:val="00466779"/>
    <w:rsid w:val="004765EA"/>
    <w:rsid w:val="00476E2A"/>
    <w:rsid w:val="00481604"/>
    <w:rsid w:val="00485613"/>
    <w:rsid w:val="00491D7C"/>
    <w:rsid w:val="0049270B"/>
    <w:rsid w:val="0049375E"/>
    <w:rsid w:val="00496429"/>
    <w:rsid w:val="00497DAE"/>
    <w:rsid w:val="004A4AF8"/>
    <w:rsid w:val="004A4FEF"/>
    <w:rsid w:val="004A6F2B"/>
    <w:rsid w:val="004B0CCF"/>
    <w:rsid w:val="004B6A05"/>
    <w:rsid w:val="004B6B2C"/>
    <w:rsid w:val="004C16F5"/>
    <w:rsid w:val="004C2764"/>
    <w:rsid w:val="004D060E"/>
    <w:rsid w:val="004D4B20"/>
    <w:rsid w:val="004D5747"/>
    <w:rsid w:val="004F1273"/>
    <w:rsid w:val="004F190C"/>
    <w:rsid w:val="004F3385"/>
    <w:rsid w:val="00503A64"/>
    <w:rsid w:val="00505381"/>
    <w:rsid w:val="00510CE8"/>
    <w:rsid w:val="00510E19"/>
    <w:rsid w:val="00521467"/>
    <w:rsid w:val="00524FEE"/>
    <w:rsid w:val="0052611C"/>
    <w:rsid w:val="00534A90"/>
    <w:rsid w:val="00556818"/>
    <w:rsid w:val="00566BDC"/>
    <w:rsid w:val="00574350"/>
    <w:rsid w:val="0059099C"/>
    <w:rsid w:val="0059566F"/>
    <w:rsid w:val="005A3F90"/>
    <w:rsid w:val="005A6CEB"/>
    <w:rsid w:val="005C4048"/>
    <w:rsid w:val="005C4DDD"/>
    <w:rsid w:val="005C6C78"/>
    <w:rsid w:val="005D3300"/>
    <w:rsid w:val="005E2527"/>
    <w:rsid w:val="005E6E8C"/>
    <w:rsid w:val="005F3077"/>
    <w:rsid w:val="00601C52"/>
    <w:rsid w:val="00604489"/>
    <w:rsid w:val="00606936"/>
    <w:rsid w:val="0061348C"/>
    <w:rsid w:val="00615BEC"/>
    <w:rsid w:val="0061749F"/>
    <w:rsid w:val="006219EE"/>
    <w:rsid w:val="00622BD8"/>
    <w:rsid w:val="0063018A"/>
    <w:rsid w:val="0063037E"/>
    <w:rsid w:val="00630E4B"/>
    <w:rsid w:val="00634CC3"/>
    <w:rsid w:val="006353ED"/>
    <w:rsid w:val="006362B9"/>
    <w:rsid w:val="0063726D"/>
    <w:rsid w:val="006405B6"/>
    <w:rsid w:val="006500B1"/>
    <w:rsid w:val="006552CE"/>
    <w:rsid w:val="00657501"/>
    <w:rsid w:val="00687247"/>
    <w:rsid w:val="00696CD9"/>
    <w:rsid w:val="006A4DA3"/>
    <w:rsid w:val="006B29CE"/>
    <w:rsid w:val="006B30CD"/>
    <w:rsid w:val="006C125A"/>
    <w:rsid w:val="006C1E7A"/>
    <w:rsid w:val="006C31DB"/>
    <w:rsid w:val="006C4C28"/>
    <w:rsid w:val="006C6CAA"/>
    <w:rsid w:val="006C7A4C"/>
    <w:rsid w:val="006E1649"/>
    <w:rsid w:val="006F51F1"/>
    <w:rsid w:val="006F7291"/>
    <w:rsid w:val="00700247"/>
    <w:rsid w:val="0070161D"/>
    <w:rsid w:val="007025AD"/>
    <w:rsid w:val="007109D4"/>
    <w:rsid w:val="00711DBE"/>
    <w:rsid w:val="007120C0"/>
    <w:rsid w:val="007124C4"/>
    <w:rsid w:val="00714138"/>
    <w:rsid w:val="00722B9F"/>
    <w:rsid w:val="00723683"/>
    <w:rsid w:val="00736290"/>
    <w:rsid w:val="00746877"/>
    <w:rsid w:val="00750FD9"/>
    <w:rsid w:val="007516F1"/>
    <w:rsid w:val="00752FC4"/>
    <w:rsid w:val="0075660D"/>
    <w:rsid w:val="00763C87"/>
    <w:rsid w:val="00764500"/>
    <w:rsid w:val="007650BC"/>
    <w:rsid w:val="00770753"/>
    <w:rsid w:val="007736DB"/>
    <w:rsid w:val="00781949"/>
    <w:rsid w:val="007A3FFD"/>
    <w:rsid w:val="007A5051"/>
    <w:rsid w:val="007B0DD7"/>
    <w:rsid w:val="007B490A"/>
    <w:rsid w:val="007B7316"/>
    <w:rsid w:val="007C42F1"/>
    <w:rsid w:val="007C6F0E"/>
    <w:rsid w:val="007C7835"/>
    <w:rsid w:val="007D5A7F"/>
    <w:rsid w:val="007E078F"/>
    <w:rsid w:val="007E0F0A"/>
    <w:rsid w:val="007E630F"/>
    <w:rsid w:val="007E7D10"/>
    <w:rsid w:val="00800FA0"/>
    <w:rsid w:val="00801D37"/>
    <w:rsid w:val="00806D2D"/>
    <w:rsid w:val="008104F6"/>
    <w:rsid w:val="0081177C"/>
    <w:rsid w:val="008133A3"/>
    <w:rsid w:val="008142EE"/>
    <w:rsid w:val="008205C8"/>
    <w:rsid w:val="008268D2"/>
    <w:rsid w:val="00832316"/>
    <w:rsid w:val="00843157"/>
    <w:rsid w:val="008461B1"/>
    <w:rsid w:val="00856A5A"/>
    <w:rsid w:val="00856D9A"/>
    <w:rsid w:val="00857331"/>
    <w:rsid w:val="00857751"/>
    <w:rsid w:val="008601C9"/>
    <w:rsid w:val="00861DD7"/>
    <w:rsid w:val="00862AFA"/>
    <w:rsid w:val="00864DEE"/>
    <w:rsid w:val="00877F07"/>
    <w:rsid w:val="00880E9F"/>
    <w:rsid w:val="0088367E"/>
    <w:rsid w:val="00884D3A"/>
    <w:rsid w:val="008951B4"/>
    <w:rsid w:val="008B11BB"/>
    <w:rsid w:val="008B1783"/>
    <w:rsid w:val="008B518F"/>
    <w:rsid w:val="008C54B1"/>
    <w:rsid w:val="008D121F"/>
    <w:rsid w:val="008D4F11"/>
    <w:rsid w:val="008E6475"/>
    <w:rsid w:val="008E64C6"/>
    <w:rsid w:val="008E6B28"/>
    <w:rsid w:val="008F2002"/>
    <w:rsid w:val="008F27FD"/>
    <w:rsid w:val="00901FDA"/>
    <w:rsid w:val="0090276F"/>
    <w:rsid w:val="009061A5"/>
    <w:rsid w:val="00912FC7"/>
    <w:rsid w:val="00913A2F"/>
    <w:rsid w:val="00917B8C"/>
    <w:rsid w:val="00922F3D"/>
    <w:rsid w:val="00922F8B"/>
    <w:rsid w:val="00925CAB"/>
    <w:rsid w:val="0092737A"/>
    <w:rsid w:val="0093186A"/>
    <w:rsid w:val="009364B4"/>
    <w:rsid w:val="009369E8"/>
    <w:rsid w:val="00944610"/>
    <w:rsid w:val="00944760"/>
    <w:rsid w:val="009538C1"/>
    <w:rsid w:val="00953DC4"/>
    <w:rsid w:val="00955029"/>
    <w:rsid w:val="0095668B"/>
    <w:rsid w:val="00961FA0"/>
    <w:rsid w:val="00963148"/>
    <w:rsid w:val="00977673"/>
    <w:rsid w:val="00980C13"/>
    <w:rsid w:val="009843A9"/>
    <w:rsid w:val="00991840"/>
    <w:rsid w:val="009A6569"/>
    <w:rsid w:val="009B1B8C"/>
    <w:rsid w:val="009C5785"/>
    <w:rsid w:val="009D047E"/>
    <w:rsid w:val="009D4777"/>
    <w:rsid w:val="009D707D"/>
    <w:rsid w:val="009E0801"/>
    <w:rsid w:val="009E1FB8"/>
    <w:rsid w:val="009E288B"/>
    <w:rsid w:val="009E77CE"/>
    <w:rsid w:val="009F44BF"/>
    <w:rsid w:val="009F4A3C"/>
    <w:rsid w:val="00A07AA3"/>
    <w:rsid w:val="00A11200"/>
    <w:rsid w:val="00A15A92"/>
    <w:rsid w:val="00A24C14"/>
    <w:rsid w:val="00A304AD"/>
    <w:rsid w:val="00A31302"/>
    <w:rsid w:val="00A33A06"/>
    <w:rsid w:val="00A35FB5"/>
    <w:rsid w:val="00A37B0B"/>
    <w:rsid w:val="00A5045D"/>
    <w:rsid w:val="00A5390B"/>
    <w:rsid w:val="00A548F5"/>
    <w:rsid w:val="00A569F8"/>
    <w:rsid w:val="00A713CE"/>
    <w:rsid w:val="00A72373"/>
    <w:rsid w:val="00A728DB"/>
    <w:rsid w:val="00A75C83"/>
    <w:rsid w:val="00A76A81"/>
    <w:rsid w:val="00A83562"/>
    <w:rsid w:val="00A84BDC"/>
    <w:rsid w:val="00A87191"/>
    <w:rsid w:val="00A90438"/>
    <w:rsid w:val="00A90556"/>
    <w:rsid w:val="00A90746"/>
    <w:rsid w:val="00A928F1"/>
    <w:rsid w:val="00A94DB7"/>
    <w:rsid w:val="00A958CA"/>
    <w:rsid w:val="00A95E61"/>
    <w:rsid w:val="00A962A9"/>
    <w:rsid w:val="00A96CC1"/>
    <w:rsid w:val="00AA4091"/>
    <w:rsid w:val="00AA692A"/>
    <w:rsid w:val="00AC22C8"/>
    <w:rsid w:val="00AC6206"/>
    <w:rsid w:val="00AD0594"/>
    <w:rsid w:val="00AD44BB"/>
    <w:rsid w:val="00AD4F6E"/>
    <w:rsid w:val="00AE0874"/>
    <w:rsid w:val="00AE1706"/>
    <w:rsid w:val="00AE1D23"/>
    <w:rsid w:val="00AE7B6A"/>
    <w:rsid w:val="00AF2B15"/>
    <w:rsid w:val="00AF316A"/>
    <w:rsid w:val="00AF4C41"/>
    <w:rsid w:val="00B002ED"/>
    <w:rsid w:val="00B00F64"/>
    <w:rsid w:val="00B01207"/>
    <w:rsid w:val="00B0337D"/>
    <w:rsid w:val="00B1044C"/>
    <w:rsid w:val="00B134B3"/>
    <w:rsid w:val="00B13BC8"/>
    <w:rsid w:val="00B163EA"/>
    <w:rsid w:val="00B166DC"/>
    <w:rsid w:val="00B177EC"/>
    <w:rsid w:val="00B17BE3"/>
    <w:rsid w:val="00B23603"/>
    <w:rsid w:val="00B23AD5"/>
    <w:rsid w:val="00B2634B"/>
    <w:rsid w:val="00B323A5"/>
    <w:rsid w:val="00B34477"/>
    <w:rsid w:val="00B36D02"/>
    <w:rsid w:val="00B42479"/>
    <w:rsid w:val="00B447B1"/>
    <w:rsid w:val="00B449FA"/>
    <w:rsid w:val="00B52206"/>
    <w:rsid w:val="00B63F58"/>
    <w:rsid w:val="00B64C89"/>
    <w:rsid w:val="00B86AF2"/>
    <w:rsid w:val="00B87F8C"/>
    <w:rsid w:val="00B907B0"/>
    <w:rsid w:val="00B91EB9"/>
    <w:rsid w:val="00B9579C"/>
    <w:rsid w:val="00BA2452"/>
    <w:rsid w:val="00BA2E3F"/>
    <w:rsid w:val="00BA31CD"/>
    <w:rsid w:val="00BB587E"/>
    <w:rsid w:val="00BB5B75"/>
    <w:rsid w:val="00BB70D9"/>
    <w:rsid w:val="00BC2195"/>
    <w:rsid w:val="00BC512C"/>
    <w:rsid w:val="00BD03D7"/>
    <w:rsid w:val="00BD4031"/>
    <w:rsid w:val="00BD6B55"/>
    <w:rsid w:val="00BE0CA9"/>
    <w:rsid w:val="00BE1216"/>
    <w:rsid w:val="00BE195D"/>
    <w:rsid w:val="00BE579C"/>
    <w:rsid w:val="00BE6F00"/>
    <w:rsid w:val="00BE7625"/>
    <w:rsid w:val="00BF0FBB"/>
    <w:rsid w:val="00C00E2C"/>
    <w:rsid w:val="00C05380"/>
    <w:rsid w:val="00C20147"/>
    <w:rsid w:val="00C252C7"/>
    <w:rsid w:val="00C26C65"/>
    <w:rsid w:val="00C365B4"/>
    <w:rsid w:val="00C4131D"/>
    <w:rsid w:val="00C448EC"/>
    <w:rsid w:val="00C4518E"/>
    <w:rsid w:val="00C46CCD"/>
    <w:rsid w:val="00C52EC7"/>
    <w:rsid w:val="00C736DA"/>
    <w:rsid w:val="00C760C9"/>
    <w:rsid w:val="00C8521E"/>
    <w:rsid w:val="00C92AA2"/>
    <w:rsid w:val="00C94B1C"/>
    <w:rsid w:val="00C979D5"/>
    <w:rsid w:val="00C97D24"/>
    <w:rsid w:val="00CA24E7"/>
    <w:rsid w:val="00CA4189"/>
    <w:rsid w:val="00CB0C0A"/>
    <w:rsid w:val="00CB266E"/>
    <w:rsid w:val="00CD003C"/>
    <w:rsid w:val="00CD20A8"/>
    <w:rsid w:val="00CD5926"/>
    <w:rsid w:val="00CD6317"/>
    <w:rsid w:val="00CD7034"/>
    <w:rsid w:val="00CE0C4F"/>
    <w:rsid w:val="00CE23E4"/>
    <w:rsid w:val="00CE624D"/>
    <w:rsid w:val="00CE688B"/>
    <w:rsid w:val="00CF4ABB"/>
    <w:rsid w:val="00CF5029"/>
    <w:rsid w:val="00D00EC7"/>
    <w:rsid w:val="00D05ADC"/>
    <w:rsid w:val="00D164AE"/>
    <w:rsid w:val="00D24B48"/>
    <w:rsid w:val="00D275B0"/>
    <w:rsid w:val="00D27C2A"/>
    <w:rsid w:val="00D33689"/>
    <w:rsid w:val="00D431A0"/>
    <w:rsid w:val="00D5363C"/>
    <w:rsid w:val="00D5363D"/>
    <w:rsid w:val="00D54F13"/>
    <w:rsid w:val="00D55EC7"/>
    <w:rsid w:val="00D619F8"/>
    <w:rsid w:val="00D649BD"/>
    <w:rsid w:val="00D71543"/>
    <w:rsid w:val="00D72226"/>
    <w:rsid w:val="00D72609"/>
    <w:rsid w:val="00D75133"/>
    <w:rsid w:val="00D80231"/>
    <w:rsid w:val="00D84EF8"/>
    <w:rsid w:val="00D86D42"/>
    <w:rsid w:val="00D90441"/>
    <w:rsid w:val="00D90801"/>
    <w:rsid w:val="00D9386C"/>
    <w:rsid w:val="00DA0F30"/>
    <w:rsid w:val="00DA55E6"/>
    <w:rsid w:val="00DA750C"/>
    <w:rsid w:val="00DC01B6"/>
    <w:rsid w:val="00DC13CE"/>
    <w:rsid w:val="00DC7824"/>
    <w:rsid w:val="00DC7FA8"/>
    <w:rsid w:val="00DD3540"/>
    <w:rsid w:val="00DD7F1F"/>
    <w:rsid w:val="00DE4005"/>
    <w:rsid w:val="00DE6245"/>
    <w:rsid w:val="00DF212B"/>
    <w:rsid w:val="00DF22AE"/>
    <w:rsid w:val="00E02119"/>
    <w:rsid w:val="00E16508"/>
    <w:rsid w:val="00E16E8E"/>
    <w:rsid w:val="00E213AA"/>
    <w:rsid w:val="00E216A1"/>
    <w:rsid w:val="00E22336"/>
    <w:rsid w:val="00E238FC"/>
    <w:rsid w:val="00E23F16"/>
    <w:rsid w:val="00E26265"/>
    <w:rsid w:val="00E26982"/>
    <w:rsid w:val="00E27D72"/>
    <w:rsid w:val="00E3188D"/>
    <w:rsid w:val="00E32B43"/>
    <w:rsid w:val="00E3617B"/>
    <w:rsid w:val="00E36CAA"/>
    <w:rsid w:val="00E37AF0"/>
    <w:rsid w:val="00E428C9"/>
    <w:rsid w:val="00E42977"/>
    <w:rsid w:val="00E4346B"/>
    <w:rsid w:val="00E43B29"/>
    <w:rsid w:val="00E5036B"/>
    <w:rsid w:val="00E54E05"/>
    <w:rsid w:val="00E63B88"/>
    <w:rsid w:val="00E735DB"/>
    <w:rsid w:val="00E750DE"/>
    <w:rsid w:val="00E76B7E"/>
    <w:rsid w:val="00E77806"/>
    <w:rsid w:val="00E80E1D"/>
    <w:rsid w:val="00E84C5B"/>
    <w:rsid w:val="00E859FD"/>
    <w:rsid w:val="00E93107"/>
    <w:rsid w:val="00E93A3A"/>
    <w:rsid w:val="00EA05C9"/>
    <w:rsid w:val="00EA1442"/>
    <w:rsid w:val="00EA7E82"/>
    <w:rsid w:val="00EB2DC3"/>
    <w:rsid w:val="00EB4DCC"/>
    <w:rsid w:val="00EC02C2"/>
    <w:rsid w:val="00EC11A1"/>
    <w:rsid w:val="00ED02BF"/>
    <w:rsid w:val="00ED1A01"/>
    <w:rsid w:val="00ED222F"/>
    <w:rsid w:val="00ED2242"/>
    <w:rsid w:val="00ED2361"/>
    <w:rsid w:val="00ED4C20"/>
    <w:rsid w:val="00EE3645"/>
    <w:rsid w:val="00EE4E15"/>
    <w:rsid w:val="00EF012F"/>
    <w:rsid w:val="00EF158C"/>
    <w:rsid w:val="00EF1BFE"/>
    <w:rsid w:val="00EF2519"/>
    <w:rsid w:val="00EF3216"/>
    <w:rsid w:val="00EF4BA3"/>
    <w:rsid w:val="00F02345"/>
    <w:rsid w:val="00F0526C"/>
    <w:rsid w:val="00F06792"/>
    <w:rsid w:val="00F07B5F"/>
    <w:rsid w:val="00F12D21"/>
    <w:rsid w:val="00F169E7"/>
    <w:rsid w:val="00F17DC9"/>
    <w:rsid w:val="00F3221F"/>
    <w:rsid w:val="00F32A5F"/>
    <w:rsid w:val="00F4644B"/>
    <w:rsid w:val="00F50234"/>
    <w:rsid w:val="00F51B74"/>
    <w:rsid w:val="00F60A32"/>
    <w:rsid w:val="00F623A5"/>
    <w:rsid w:val="00F637DB"/>
    <w:rsid w:val="00F76790"/>
    <w:rsid w:val="00F76EAB"/>
    <w:rsid w:val="00F80FAC"/>
    <w:rsid w:val="00F847CE"/>
    <w:rsid w:val="00F86952"/>
    <w:rsid w:val="00F87E85"/>
    <w:rsid w:val="00F96AEC"/>
    <w:rsid w:val="00FA108F"/>
    <w:rsid w:val="00FA5C25"/>
    <w:rsid w:val="00FA6456"/>
    <w:rsid w:val="00FB76C8"/>
    <w:rsid w:val="00FC3892"/>
    <w:rsid w:val="00FC40F8"/>
    <w:rsid w:val="00FC449F"/>
    <w:rsid w:val="00FC65F9"/>
    <w:rsid w:val="00FC6A4D"/>
    <w:rsid w:val="00FE1045"/>
    <w:rsid w:val="00FE2F89"/>
    <w:rsid w:val="00FE4442"/>
    <w:rsid w:val="00FE70B1"/>
    <w:rsid w:val="00FF7714"/>
    <w:rsid w:val="00FF7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0DE900EE-F700-40CF-9EDC-EB66AFA6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2"/>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styleId="Hyperlink">
    <w:name w:val="Hyperlink"/>
    <w:basedOn w:val="DefaultParagraphFont"/>
    <w:uiPriority w:val="99"/>
    <w:unhideWhenUsed/>
    <w:rsid w:val="00BE0CA9"/>
    <w:rPr>
      <w:color w:val="0000FF" w:themeColor="hyperlink"/>
      <w:u w:val="single"/>
    </w:rPr>
  </w:style>
  <w:style w:type="character" w:styleId="UnresolvedMention">
    <w:name w:val="Unresolved Mention"/>
    <w:basedOn w:val="DefaultParagraphFont"/>
    <w:uiPriority w:val="99"/>
    <w:semiHidden/>
    <w:unhideWhenUsed/>
    <w:rsid w:val="00BE0CA9"/>
    <w:rPr>
      <w:color w:val="605E5C"/>
      <w:shd w:val="clear" w:color="auto" w:fill="E1DFDD"/>
    </w:rPr>
  </w:style>
  <w:style w:type="paragraph" w:styleId="Revision">
    <w:name w:val="Revision"/>
    <w:hidden/>
    <w:uiPriority w:val="99"/>
    <w:semiHidden/>
    <w:rsid w:val="00FE2F89"/>
    <w:rPr>
      <w:color w:val="FF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47929996">
      <w:bodyDiv w:val="1"/>
      <w:marLeft w:val="0"/>
      <w:marRight w:val="0"/>
      <w:marTop w:val="0"/>
      <w:marBottom w:val="0"/>
      <w:divBdr>
        <w:top w:val="none" w:sz="0" w:space="0" w:color="auto"/>
        <w:left w:val="none" w:sz="0" w:space="0" w:color="auto"/>
        <w:bottom w:val="none" w:sz="0" w:space="0" w:color="auto"/>
        <w:right w:val="none" w:sz="0" w:space="0" w:color="auto"/>
      </w:divBdr>
      <w:divsChild>
        <w:div w:id="739015880">
          <w:marLeft w:val="1080"/>
          <w:marRight w:val="0"/>
          <w:marTop w:val="100"/>
          <w:marBottom w:val="0"/>
          <w:divBdr>
            <w:top w:val="none" w:sz="0" w:space="0" w:color="auto"/>
            <w:left w:val="none" w:sz="0" w:space="0" w:color="auto"/>
            <w:bottom w:val="none" w:sz="0" w:space="0" w:color="auto"/>
            <w:right w:val="none" w:sz="0" w:space="0" w:color="auto"/>
          </w:divBdr>
        </w:div>
        <w:div w:id="766195179">
          <w:marLeft w:val="1080"/>
          <w:marRight w:val="0"/>
          <w:marTop w:val="100"/>
          <w:marBottom w:val="0"/>
          <w:divBdr>
            <w:top w:val="none" w:sz="0" w:space="0" w:color="auto"/>
            <w:left w:val="none" w:sz="0" w:space="0" w:color="auto"/>
            <w:bottom w:val="none" w:sz="0" w:space="0" w:color="auto"/>
            <w:right w:val="none" w:sz="0" w:space="0" w:color="auto"/>
          </w:divBdr>
        </w:div>
        <w:div w:id="782962738">
          <w:marLeft w:val="1080"/>
          <w:marRight w:val="0"/>
          <w:marTop w:val="100"/>
          <w:marBottom w:val="0"/>
          <w:divBdr>
            <w:top w:val="none" w:sz="0" w:space="0" w:color="auto"/>
            <w:left w:val="none" w:sz="0" w:space="0" w:color="auto"/>
            <w:bottom w:val="none" w:sz="0" w:space="0" w:color="auto"/>
            <w:right w:val="none" w:sz="0" w:space="0" w:color="auto"/>
          </w:divBdr>
        </w:div>
        <w:div w:id="1236161920">
          <w:marLeft w:val="1080"/>
          <w:marRight w:val="0"/>
          <w:marTop w:val="100"/>
          <w:marBottom w:val="0"/>
          <w:divBdr>
            <w:top w:val="none" w:sz="0" w:space="0" w:color="auto"/>
            <w:left w:val="none" w:sz="0" w:space="0" w:color="auto"/>
            <w:bottom w:val="none" w:sz="0" w:space="0" w:color="auto"/>
            <w:right w:val="none" w:sz="0" w:space="0" w:color="auto"/>
          </w:divBdr>
        </w:div>
      </w:divsChild>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54019768">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285771803">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D86A314A5662468AC62A285259CDF9" ma:contentTypeVersion="8" ma:contentTypeDescription="Create a new document." ma:contentTypeScope="" ma:versionID="739696fd7d3c4d3ca0264b58fb9c9b89">
  <xsd:schema xmlns:xsd="http://www.w3.org/2001/XMLSchema" xmlns:xs="http://www.w3.org/2001/XMLSchema" xmlns:p="http://schemas.microsoft.com/office/2006/metadata/properties" xmlns:ns2="7f1362e0-a567-4ac4-92a3-13dba5253b65" targetNamespace="http://schemas.microsoft.com/office/2006/metadata/properties" ma:root="true" ma:fieldsID="59aa5af52a5917c17271d16f4f609f18" ns2:_="">
    <xsd:import namespace="7f1362e0-a567-4ac4-92a3-13dba5253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362e0-a567-4ac4-92a3-13dba5253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2.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3.xml><?xml version="1.0" encoding="utf-8"?>
<ds:datastoreItem xmlns:ds="http://schemas.openxmlformats.org/officeDocument/2006/customXml" ds:itemID="{762B4BA3-6BE9-4A95-AF4A-5432B6BFA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362e0-a567-4ac4-92a3-13dba5253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63037-B374-4E91-8EE6-BB39F8C96688}">
  <ds:schemaRefs>
    <ds:schemaRef ds:uri="http://purl.org/dc/terms/"/>
    <ds:schemaRef ds:uri="7f1362e0-a567-4ac4-92a3-13dba5253b65"/>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smorley</dc:creator>
  <cp:keywords/>
  <dc:description/>
  <cp:lastModifiedBy>JONES, Emma (NHS HUMBER AND NORTH YORKSHIRE ICB - 03F)</cp:lastModifiedBy>
  <cp:revision>8</cp:revision>
  <cp:lastPrinted>2025-02-06T09:28:00Z</cp:lastPrinted>
  <dcterms:created xsi:type="dcterms:W3CDTF">2025-02-03T09:47:00Z</dcterms:created>
  <dcterms:modified xsi:type="dcterms:W3CDTF">2025-02-06T09:28:00Z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0x0101002FD86A314A5662468AC62A285259CDF9</vt:lpwstr>
  </property>
  <property fmtid="{D5CDD505-2E9C-101B-9397-08002B2CF9AE}" pid="3" name="MediaServiceImageTags">
    <vt:lpwstr/>
  </property>
  <property fmtid="{D5CDD505-2E9C-101B-9397-08002B2CF9AE}" pid="4" name="Order">
    <vt:r8>324300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