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296"/>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2"/>
        <w:gridCol w:w="7516"/>
      </w:tblGrid>
      <w:tr w:rsidR="00B23603" w:rsidRPr="00566BDC" w14:paraId="2D8CF850" w14:textId="77777777" w:rsidTr="00BC4C4B">
        <w:tc>
          <w:tcPr>
            <w:tcW w:w="2092" w:type="dxa"/>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Pr>
          <w:p w14:paraId="0C36CE17" w14:textId="763BA51D" w:rsidR="00B23603" w:rsidRPr="00F31E0E" w:rsidRDefault="0071752E" w:rsidP="007B0DD7">
            <w:pPr>
              <w:spacing w:after="0" w:line="240" w:lineRule="auto"/>
              <w:rPr>
                <w:color w:val="auto"/>
                <w:sz w:val="24"/>
                <w:szCs w:val="24"/>
              </w:rPr>
            </w:pPr>
            <w:r>
              <w:rPr>
                <w:color w:val="auto"/>
                <w:sz w:val="24"/>
                <w:szCs w:val="24"/>
              </w:rPr>
              <w:t xml:space="preserve">Humber and North Yorkshire Integrated Care </w:t>
            </w:r>
            <w:r w:rsidR="00047BA1">
              <w:rPr>
                <w:color w:val="auto"/>
                <w:sz w:val="24"/>
                <w:szCs w:val="24"/>
              </w:rPr>
              <w:t>Board</w:t>
            </w:r>
          </w:p>
        </w:tc>
      </w:tr>
      <w:tr w:rsidR="00373698" w:rsidRPr="00566BDC" w14:paraId="686A02B3" w14:textId="77777777" w:rsidTr="00BC4C4B">
        <w:tc>
          <w:tcPr>
            <w:tcW w:w="2092" w:type="dxa"/>
          </w:tcPr>
          <w:p w14:paraId="3E0203E6" w14:textId="77777777" w:rsidR="00373698" w:rsidRPr="00524FEE" w:rsidRDefault="00373698" w:rsidP="007B0DD7">
            <w:pPr>
              <w:spacing w:after="0" w:line="240" w:lineRule="auto"/>
              <w:rPr>
                <w:b/>
                <w:color w:val="auto"/>
              </w:rPr>
            </w:pPr>
            <w:r w:rsidRPr="00524FEE">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Pr>
          <w:p w14:paraId="6A62B942" w14:textId="3136ACC1" w:rsidR="00373698" w:rsidRPr="00F31E0E" w:rsidRDefault="009B4654" w:rsidP="007B0DD7">
            <w:pPr>
              <w:spacing w:after="0" w:line="240" w:lineRule="auto"/>
              <w:rPr>
                <w:color w:val="auto"/>
                <w:sz w:val="24"/>
                <w:szCs w:val="24"/>
              </w:rPr>
            </w:pPr>
            <w:r>
              <w:rPr>
                <w:color w:val="auto"/>
                <w:sz w:val="24"/>
                <w:szCs w:val="24"/>
              </w:rPr>
              <w:t>12</w:t>
            </w:r>
            <w:r w:rsidR="00755F6D">
              <w:rPr>
                <w:color w:val="auto"/>
                <w:sz w:val="24"/>
                <w:szCs w:val="24"/>
              </w:rPr>
              <w:t xml:space="preserve"> </w:t>
            </w:r>
            <w:r>
              <w:rPr>
                <w:color w:val="auto"/>
                <w:sz w:val="24"/>
                <w:szCs w:val="24"/>
              </w:rPr>
              <w:t>Februa</w:t>
            </w:r>
            <w:r w:rsidR="00755F6D">
              <w:rPr>
                <w:color w:val="auto"/>
                <w:sz w:val="24"/>
                <w:szCs w:val="24"/>
              </w:rPr>
              <w:t>ry</w:t>
            </w:r>
            <w:r w:rsidR="0071752E">
              <w:rPr>
                <w:color w:val="auto"/>
                <w:sz w:val="24"/>
                <w:szCs w:val="24"/>
              </w:rPr>
              <w:t xml:space="preserve"> 202</w:t>
            </w:r>
            <w:r w:rsidR="00755F6D">
              <w:rPr>
                <w:color w:val="auto"/>
                <w:sz w:val="24"/>
                <w:szCs w:val="24"/>
              </w:rPr>
              <w:t>5</w:t>
            </w:r>
          </w:p>
        </w:tc>
      </w:tr>
      <w:tr w:rsidR="00373698" w:rsidRPr="00566BDC" w14:paraId="5757FC8D" w14:textId="77777777" w:rsidTr="00BC4C4B">
        <w:tc>
          <w:tcPr>
            <w:tcW w:w="2092" w:type="dxa"/>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Pr>
          <w:p w14:paraId="4F67ACAB" w14:textId="63CABA85" w:rsidR="00373698" w:rsidRPr="0063726D" w:rsidRDefault="005829D5" w:rsidP="00786061">
            <w:pPr>
              <w:spacing w:after="0" w:line="240" w:lineRule="auto"/>
              <w:rPr>
                <w:b/>
                <w:bCs/>
                <w:color w:val="auto"/>
                <w:sz w:val="32"/>
                <w:szCs w:val="32"/>
              </w:rPr>
            </w:pPr>
            <w:r>
              <w:rPr>
                <w:b/>
                <w:bCs/>
                <w:color w:val="auto"/>
                <w:sz w:val="32"/>
                <w:szCs w:val="32"/>
              </w:rPr>
              <w:t>Voice of the Lived Experience</w:t>
            </w:r>
            <w:r w:rsidR="00263D8C">
              <w:rPr>
                <w:b/>
                <w:bCs/>
                <w:color w:val="auto"/>
                <w:sz w:val="32"/>
                <w:szCs w:val="32"/>
              </w:rPr>
              <w:t xml:space="preserve"> – </w:t>
            </w:r>
            <w:r w:rsidR="009B4654">
              <w:rPr>
                <w:b/>
                <w:bCs/>
                <w:color w:val="auto"/>
                <w:sz w:val="32"/>
                <w:szCs w:val="32"/>
              </w:rPr>
              <w:t>We Need to Talk: Report and Key Findings</w:t>
            </w:r>
          </w:p>
        </w:tc>
      </w:tr>
      <w:tr w:rsidR="00373698" w:rsidRPr="00566BDC" w14:paraId="64241F01" w14:textId="77777777" w:rsidTr="00BC4C4B">
        <w:tc>
          <w:tcPr>
            <w:tcW w:w="2092" w:type="dxa"/>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Pr>
          <w:p w14:paraId="270ACB40" w14:textId="0C0FC088" w:rsidR="00373698" w:rsidRPr="00F31E0E" w:rsidRDefault="0071752E" w:rsidP="007B0DD7">
            <w:pPr>
              <w:spacing w:after="0" w:line="240" w:lineRule="auto"/>
              <w:rPr>
                <w:color w:val="auto"/>
                <w:sz w:val="24"/>
                <w:szCs w:val="24"/>
              </w:rPr>
            </w:pPr>
            <w:r>
              <w:rPr>
                <w:color w:val="auto"/>
                <w:sz w:val="24"/>
                <w:szCs w:val="24"/>
              </w:rPr>
              <w:t>Anja Hazebroek, Director of Communications, Marketing and Media Relations</w:t>
            </w:r>
            <w:r w:rsidR="003D379C">
              <w:rPr>
                <w:color w:val="auto"/>
                <w:sz w:val="24"/>
                <w:szCs w:val="24"/>
              </w:rPr>
              <w:t xml:space="preserve"> </w:t>
            </w:r>
          </w:p>
        </w:tc>
      </w:tr>
      <w:tr w:rsidR="008142EE" w:rsidRPr="00566BDC" w14:paraId="40590258" w14:textId="77777777" w:rsidTr="00BC4C4B">
        <w:tc>
          <w:tcPr>
            <w:tcW w:w="2092" w:type="dxa"/>
          </w:tcPr>
          <w:p w14:paraId="58C65183" w14:textId="77777777" w:rsidR="008142EE" w:rsidRPr="00524FEE" w:rsidRDefault="008142EE" w:rsidP="007B0DD7">
            <w:pPr>
              <w:spacing w:after="0" w:line="240" w:lineRule="auto"/>
              <w:rPr>
                <w:b/>
                <w:color w:val="auto"/>
              </w:rPr>
            </w:pPr>
            <w:r w:rsidRPr="00524FEE">
              <w:rPr>
                <w:b/>
                <w:color w:val="auto"/>
              </w:rPr>
              <w:t>Author:</w:t>
            </w:r>
          </w:p>
          <w:p w14:paraId="4B31FADC" w14:textId="77777777" w:rsidR="008142EE" w:rsidRPr="00524FEE" w:rsidRDefault="008142EE" w:rsidP="007B0DD7">
            <w:pPr>
              <w:spacing w:after="0" w:line="240" w:lineRule="auto"/>
              <w:rPr>
                <w:b/>
                <w:color w:val="auto"/>
              </w:rPr>
            </w:pPr>
          </w:p>
        </w:tc>
        <w:tc>
          <w:tcPr>
            <w:tcW w:w="7516" w:type="dxa"/>
          </w:tcPr>
          <w:p w14:paraId="5771B5D1" w14:textId="69D8B8A8" w:rsidR="008142EE" w:rsidRPr="00F31E0E" w:rsidRDefault="009B4654" w:rsidP="007B0DD7">
            <w:pPr>
              <w:spacing w:after="0" w:line="240" w:lineRule="auto"/>
              <w:rPr>
                <w:color w:val="auto"/>
                <w:sz w:val="24"/>
                <w:szCs w:val="24"/>
              </w:rPr>
            </w:pPr>
            <w:r>
              <w:rPr>
                <w:color w:val="auto"/>
                <w:sz w:val="24"/>
                <w:szCs w:val="24"/>
              </w:rPr>
              <w:t>Kirsten Spark, Public Involvement Manager and Jonathan Brooks, Senior Evaluation and Insight Officer</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C7835">
        <w:tc>
          <w:tcPr>
            <w:tcW w:w="2273" w:type="dxa"/>
            <w:tcBorders>
              <w:top w:val="double" w:sz="4" w:space="0" w:color="auto"/>
              <w:left w:val="double" w:sz="4" w:space="0" w:color="auto"/>
              <w:bottom w:val="single" w:sz="4" w:space="0" w:color="auto"/>
            </w:tcBorders>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52994460" w:rsidR="00BB5B75" w:rsidRPr="00BB5B75" w:rsidRDefault="001B2C38" w:rsidP="007C7835">
            <w:pPr>
              <w:jc w:val="center"/>
              <w:rPr>
                <w:b/>
                <w:bCs/>
                <w:sz w:val="32"/>
                <w:szCs w:val="32"/>
              </w:rPr>
            </w:pPr>
            <w:r w:rsidRPr="001B2C38">
              <w:rPr>
                <w:b/>
                <w:bCs/>
                <w:color w:val="auto"/>
                <w:sz w:val="32"/>
                <w:szCs w:val="32"/>
              </w:rPr>
              <w:t>7</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5DA7CD22">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8"/>
      </w:tblGrid>
      <w:tr w:rsidR="00D72609" w:rsidRPr="00566BDC" w14:paraId="5E0D93DE" w14:textId="77777777" w:rsidTr="006C1E7A">
        <w:trPr>
          <w:trHeight w:val="1274"/>
        </w:trPr>
        <w:tc>
          <w:tcPr>
            <w:tcW w:w="9608" w:type="dxa"/>
            <w:tcBorders>
              <w:left w:val="double" w:sz="4" w:space="0" w:color="auto"/>
              <w:bottom w:val="double" w:sz="4" w:space="0" w:color="auto"/>
              <w:right w:val="double" w:sz="4" w:space="0" w:color="auto"/>
            </w:tcBorders>
          </w:tcPr>
          <w:p w14:paraId="104A39C1" w14:textId="77777777" w:rsidR="00D72609" w:rsidRDefault="00D72609" w:rsidP="001B2C38">
            <w:pPr>
              <w:spacing w:after="0" w:line="240" w:lineRule="auto"/>
              <w:rPr>
                <w:b/>
                <w:color w:val="auto"/>
              </w:rPr>
            </w:pPr>
          </w:p>
          <w:p w14:paraId="0A9659D6" w14:textId="0B0C7498" w:rsidR="00D72609" w:rsidRPr="003A1818" w:rsidRDefault="00D72609" w:rsidP="001B2C38">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7C897184" w:rsidR="006C6CAA" w:rsidRPr="003E5B87" w:rsidRDefault="00E42977" w:rsidP="001B2C38">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744439">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71752E">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1"/>
                  <w14:checkedState w14:val="2612" w14:font="MS Gothic"/>
                  <w14:uncheckedState w14:val="2610" w14:font="MS Gothic"/>
                </w14:checkbox>
              </w:sdtPr>
              <w:sdtEndPr/>
              <w:sdtContent>
                <w:r w:rsidR="00B45B6F">
                  <w:rPr>
                    <w:rFonts w:ascii="MS Gothic" w:eastAsia="MS Gothic" w:hAnsi="MS Gothic" w:hint="eastAsia"/>
                    <w:color w:val="auto"/>
                    <w:sz w:val="40"/>
                    <w:szCs w:val="44"/>
                  </w:rPr>
                  <w:t>☒</w:t>
                </w:r>
              </w:sdtContent>
            </w:sdt>
          </w:p>
        </w:tc>
      </w:tr>
    </w:tbl>
    <w:p w14:paraId="347C550D" w14:textId="77777777" w:rsidR="002D2FBC" w:rsidRPr="001B2C38" w:rsidRDefault="002D2FBC" w:rsidP="001B2C38">
      <w:pPr>
        <w:spacing w:after="0" w:line="240" w:lineRule="auto"/>
        <w:rPr>
          <w:sz w:val="6"/>
          <w:szCs w:val="6"/>
        </w:rPr>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1B2C38">
            <w:pPr>
              <w:spacing w:after="0" w:line="240" w:lineRule="auto"/>
              <w:jc w:val="both"/>
              <w:rPr>
                <w:b/>
                <w:color w:val="auto"/>
              </w:rPr>
            </w:pPr>
          </w:p>
          <w:p w14:paraId="4FFB6861" w14:textId="77720E48" w:rsidR="009B4654" w:rsidRDefault="007650BC" w:rsidP="001B2C38">
            <w:pPr>
              <w:spacing w:after="0" w:line="240" w:lineRule="auto"/>
              <w:jc w:val="both"/>
              <w:rPr>
                <w:b/>
                <w:color w:val="auto"/>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40A3B155" w14:textId="77777777" w:rsidR="001B2C38" w:rsidRPr="009B4654" w:rsidRDefault="001B2C38" w:rsidP="001B2C38">
            <w:pPr>
              <w:spacing w:after="0" w:line="240" w:lineRule="auto"/>
              <w:jc w:val="both"/>
              <w:rPr>
                <w:b/>
                <w:color w:val="auto"/>
              </w:rPr>
            </w:pPr>
          </w:p>
          <w:p w14:paraId="69841C68" w14:textId="62BD9B7B" w:rsidR="009B4654" w:rsidRDefault="009B4654" w:rsidP="001B2C38">
            <w:pPr>
              <w:spacing w:after="0" w:line="240" w:lineRule="auto"/>
              <w:jc w:val="both"/>
              <w:rPr>
                <w:bCs/>
                <w:color w:val="auto"/>
              </w:rPr>
            </w:pPr>
            <w:r>
              <w:rPr>
                <w:bCs/>
                <w:color w:val="auto"/>
              </w:rPr>
              <w:t xml:space="preserve">In October 2024, HNY ICB embarked on a 4-week engagement programme titled ‘We Need to Talk’. The intention was to set out the ‘case for change’ with our population, sharing the headline work and principles of the </w:t>
            </w:r>
            <w:r w:rsidR="00FF71F3">
              <w:rPr>
                <w:bCs/>
                <w:color w:val="auto"/>
              </w:rPr>
              <w:t>‘Design for the Future/Blueprint’ work that has been a focus for the system.</w:t>
            </w:r>
            <w:r>
              <w:rPr>
                <w:bCs/>
                <w:color w:val="auto"/>
              </w:rPr>
              <w:t xml:space="preserve"> </w:t>
            </w:r>
            <w:r w:rsidRPr="009B4654">
              <w:rPr>
                <w:bCs/>
                <w:color w:val="auto"/>
              </w:rPr>
              <w:t xml:space="preserve">Before further developing </w:t>
            </w:r>
            <w:r w:rsidR="00FF71F3">
              <w:rPr>
                <w:bCs/>
                <w:color w:val="auto"/>
              </w:rPr>
              <w:t>the thinking</w:t>
            </w:r>
            <w:r w:rsidRPr="009B4654">
              <w:rPr>
                <w:bCs/>
                <w:color w:val="auto"/>
              </w:rPr>
              <w:t xml:space="preserve">, we wanted to hear from our communities.  </w:t>
            </w:r>
          </w:p>
          <w:p w14:paraId="0E23185C" w14:textId="77777777" w:rsidR="001B2C38" w:rsidRDefault="001B2C38" w:rsidP="001B2C38">
            <w:pPr>
              <w:spacing w:after="0" w:line="240" w:lineRule="auto"/>
              <w:jc w:val="both"/>
              <w:rPr>
                <w:bCs/>
                <w:color w:val="auto"/>
              </w:rPr>
            </w:pPr>
          </w:p>
          <w:p w14:paraId="74305F39" w14:textId="51E54980" w:rsidR="009B4654" w:rsidRDefault="009B4654" w:rsidP="001B2C38">
            <w:pPr>
              <w:spacing w:after="0" w:line="240" w:lineRule="auto"/>
              <w:jc w:val="both"/>
              <w:rPr>
                <w:bCs/>
                <w:color w:val="auto"/>
              </w:rPr>
            </w:pPr>
            <w:r w:rsidRPr="009B4654">
              <w:rPr>
                <w:bCs/>
                <w:color w:val="auto"/>
              </w:rPr>
              <w:t xml:space="preserve">The </w:t>
            </w:r>
            <w:r w:rsidR="00FF71F3">
              <w:rPr>
                <w:bCs/>
                <w:color w:val="auto"/>
              </w:rPr>
              <w:t xml:space="preserve">core </w:t>
            </w:r>
            <w:r w:rsidRPr="009B4654">
              <w:rPr>
                <w:bCs/>
                <w:color w:val="auto"/>
              </w:rPr>
              <w:t>aim of this work was to ask the people who live in Humber and North Yorkshire and experience our health and care services, what matters</w:t>
            </w:r>
            <w:r w:rsidR="00FF71F3">
              <w:rPr>
                <w:bCs/>
                <w:color w:val="auto"/>
              </w:rPr>
              <w:t xml:space="preserve"> most</w:t>
            </w:r>
            <w:r w:rsidRPr="009B4654">
              <w:rPr>
                <w:bCs/>
                <w:color w:val="auto"/>
              </w:rPr>
              <w:t xml:space="preserve"> to them and how people can be supported to live healthier lives.  We also set out to listen to colleagues across the local health and care system, Integrated Care Board (ICB) staff and other key stakeholders working in our system to understand their perspective on the challenges faced.</w:t>
            </w:r>
          </w:p>
          <w:p w14:paraId="29B2EA7D" w14:textId="77777777" w:rsidR="001B2C38" w:rsidRDefault="001B2C38" w:rsidP="001B2C38">
            <w:pPr>
              <w:spacing w:after="0" w:line="240" w:lineRule="auto"/>
              <w:jc w:val="both"/>
              <w:rPr>
                <w:bCs/>
                <w:color w:val="auto"/>
              </w:rPr>
            </w:pPr>
          </w:p>
          <w:p w14:paraId="46714337" w14:textId="2C8F8837" w:rsidR="009B4654" w:rsidRPr="00375B48" w:rsidRDefault="009B4654" w:rsidP="001B2C38">
            <w:pPr>
              <w:spacing w:after="0" w:line="240" w:lineRule="auto"/>
              <w:jc w:val="both"/>
              <w:rPr>
                <w:bCs/>
                <w:color w:val="auto"/>
              </w:rPr>
            </w:pPr>
            <w:r w:rsidRPr="00375B48">
              <w:rPr>
                <w:bCs/>
                <w:color w:val="auto"/>
              </w:rPr>
              <w:t xml:space="preserve">The </w:t>
            </w:r>
            <w:r w:rsidR="00FF71F3" w:rsidRPr="00375B48">
              <w:rPr>
                <w:bCs/>
                <w:color w:val="auto"/>
              </w:rPr>
              <w:t>‘</w:t>
            </w:r>
            <w:r w:rsidRPr="00375B48">
              <w:rPr>
                <w:bCs/>
                <w:color w:val="auto"/>
              </w:rPr>
              <w:t>We Need to Talk</w:t>
            </w:r>
            <w:r w:rsidR="00FF71F3" w:rsidRPr="00375B48">
              <w:rPr>
                <w:bCs/>
                <w:color w:val="auto"/>
              </w:rPr>
              <w:t>’</w:t>
            </w:r>
            <w:r w:rsidRPr="00375B48">
              <w:rPr>
                <w:bCs/>
                <w:color w:val="auto"/>
              </w:rPr>
              <w:t xml:space="preserve"> engagement offered a variety of ways for people to get involved including:</w:t>
            </w:r>
          </w:p>
          <w:p w14:paraId="022C798A" w14:textId="63BF8F23" w:rsidR="009B4654" w:rsidRPr="00FF71F3" w:rsidRDefault="009B4654" w:rsidP="001B2C38">
            <w:pPr>
              <w:pStyle w:val="ListParagraph"/>
              <w:numPr>
                <w:ilvl w:val="1"/>
                <w:numId w:val="27"/>
              </w:numPr>
              <w:spacing w:after="0" w:line="240" w:lineRule="auto"/>
              <w:jc w:val="both"/>
              <w:rPr>
                <w:bCs/>
                <w:color w:val="auto"/>
              </w:rPr>
            </w:pPr>
            <w:r w:rsidRPr="00FF71F3">
              <w:rPr>
                <w:bCs/>
                <w:color w:val="auto"/>
              </w:rPr>
              <w:t>An online survey.</w:t>
            </w:r>
          </w:p>
          <w:p w14:paraId="7F3F4D77" w14:textId="57D82964" w:rsidR="009B4654" w:rsidRPr="00FF71F3" w:rsidRDefault="009B4654" w:rsidP="001B2C38">
            <w:pPr>
              <w:pStyle w:val="ListParagraph"/>
              <w:numPr>
                <w:ilvl w:val="1"/>
                <w:numId w:val="27"/>
              </w:numPr>
              <w:spacing w:after="0" w:line="240" w:lineRule="auto"/>
              <w:jc w:val="both"/>
              <w:rPr>
                <w:bCs/>
                <w:color w:val="auto"/>
              </w:rPr>
            </w:pPr>
            <w:r w:rsidRPr="00FF71F3">
              <w:rPr>
                <w:bCs/>
                <w:color w:val="auto"/>
              </w:rPr>
              <w:t>A shorter version survey.</w:t>
            </w:r>
          </w:p>
          <w:p w14:paraId="3A8BC020" w14:textId="2D036667" w:rsidR="009B4654" w:rsidRPr="00FF71F3" w:rsidRDefault="009B4654" w:rsidP="001B2C38">
            <w:pPr>
              <w:pStyle w:val="ListParagraph"/>
              <w:numPr>
                <w:ilvl w:val="1"/>
                <w:numId w:val="27"/>
              </w:numPr>
              <w:spacing w:after="0" w:line="240" w:lineRule="auto"/>
              <w:jc w:val="both"/>
              <w:rPr>
                <w:bCs/>
                <w:color w:val="auto"/>
              </w:rPr>
            </w:pPr>
            <w:r w:rsidRPr="00FF71F3">
              <w:rPr>
                <w:bCs/>
                <w:color w:val="auto"/>
              </w:rPr>
              <w:t>Paper copies of both surveys that could be returned by post.</w:t>
            </w:r>
          </w:p>
          <w:p w14:paraId="1E5659C7" w14:textId="3CD724C7" w:rsidR="009B4654" w:rsidRPr="00FF71F3" w:rsidRDefault="009B4654" w:rsidP="001B2C38">
            <w:pPr>
              <w:pStyle w:val="ListParagraph"/>
              <w:numPr>
                <w:ilvl w:val="1"/>
                <w:numId w:val="27"/>
              </w:numPr>
              <w:spacing w:after="0" w:line="240" w:lineRule="auto"/>
              <w:jc w:val="both"/>
              <w:rPr>
                <w:bCs/>
                <w:color w:val="auto"/>
              </w:rPr>
            </w:pPr>
            <w:r w:rsidRPr="00FF71F3">
              <w:rPr>
                <w:bCs/>
                <w:color w:val="auto"/>
              </w:rPr>
              <w:t>Being involved in a community discussion group.</w:t>
            </w:r>
          </w:p>
          <w:p w14:paraId="71BEEC13" w14:textId="6BBA3F7D" w:rsidR="009B4654" w:rsidRPr="00FF71F3" w:rsidRDefault="009B4654" w:rsidP="001B2C38">
            <w:pPr>
              <w:pStyle w:val="ListParagraph"/>
              <w:numPr>
                <w:ilvl w:val="1"/>
                <w:numId w:val="27"/>
              </w:numPr>
              <w:spacing w:after="0" w:line="240" w:lineRule="auto"/>
              <w:jc w:val="both"/>
              <w:rPr>
                <w:bCs/>
                <w:color w:val="auto"/>
              </w:rPr>
            </w:pPr>
            <w:r w:rsidRPr="00FF71F3">
              <w:rPr>
                <w:bCs/>
                <w:color w:val="auto"/>
              </w:rPr>
              <w:t>Speaking with us at an outreach event.</w:t>
            </w:r>
          </w:p>
          <w:p w14:paraId="44738B5D" w14:textId="20E426E2" w:rsidR="009B4654" w:rsidRDefault="009B4654" w:rsidP="001B2C38">
            <w:pPr>
              <w:pStyle w:val="ListParagraph"/>
              <w:numPr>
                <w:ilvl w:val="1"/>
                <w:numId w:val="27"/>
              </w:numPr>
              <w:spacing w:after="0" w:line="240" w:lineRule="auto"/>
              <w:jc w:val="both"/>
              <w:rPr>
                <w:bCs/>
                <w:color w:val="auto"/>
              </w:rPr>
            </w:pPr>
            <w:r w:rsidRPr="00FF71F3">
              <w:rPr>
                <w:bCs/>
                <w:color w:val="auto"/>
              </w:rPr>
              <w:t>Sharing views in response to social media posts.</w:t>
            </w:r>
          </w:p>
          <w:p w14:paraId="66BD349A" w14:textId="77777777" w:rsidR="001B2C38" w:rsidRDefault="001B2C38" w:rsidP="001B2C38">
            <w:pPr>
              <w:pStyle w:val="ListParagraph"/>
              <w:spacing w:after="0" w:line="240" w:lineRule="auto"/>
              <w:ind w:left="1800"/>
              <w:jc w:val="both"/>
              <w:rPr>
                <w:bCs/>
                <w:color w:val="auto"/>
              </w:rPr>
            </w:pPr>
          </w:p>
          <w:p w14:paraId="77AB231B" w14:textId="2DF4D0F3" w:rsidR="00FF71F3" w:rsidRDefault="00FF71F3" w:rsidP="001B2C38">
            <w:pPr>
              <w:spacing w:after="0" w:line="240" w:lineRule="auto"/>
              <w:jc w:val="both"/>
              <w:rPr>
                <w:bCs/>
                <w:color w:val="auto"/>
              </w:rPr>
            </w:pPr>
            <w:r>
              <w:rPr>
                <w:bCs/>
                <w:color w:val="auto"/>
              </w:rPr>
              <w:t>In-person activity was more focused on ensuring engagement with members of our underserved communities.</w:t>
            </w:r>
          </w:p>
          <w:p w14:paraId="771AA6DB" w14:textId="77777777" w:rsidR="001B2C38" w:rsidRPr="00FF71F3" w:rsidRDefault="001B2C38" w:rsidP="001B2C38">
            <w:pPr>
              <w:spacing w:after="0" w:line="240" w:lineRule="auto"/>
              <w:jc w:val="both"/>
              <w:rPr>
                <w:bCs/>
                <w:color w:val="auto"/>
              </w:rPr>
            </w:pPr>
          </w:p>
          <w:p w14:paraId="13E2B15A" w14:textId="6DECB73D" w:rsidR="009B4654" w:rsidRDefault="00FF71F3" w:rsidP="001B2C38">
            <w:pPr>
              <w:spacing w:after="0" w:line="240" w:lineRule="auto"/>
              <w:jc w:val="both"/>
              <w:rPr>
                <w:bCs/>
                <w:color w:val="auto"/>
              </w:rPr>
            </w:pPr>
            <w:r w:rsidRPr="00FF71F3">
              <w:rPr>
                <w:bCs/>
                <w:color w:val="auto"/>
              </w:rPr>
              <w:t xml:space="preserve">In total we engaged with </w:t>
            </w:r>
            <w:r w:rsidRPr="00FF71F3">
              <w:rPr>
                <w:b/>
                <w:color w:val="auto"/>
              </w:rPr>
              <w:t>4,698 people</w:t>
            </w:r>
            <w:r>
              <w:rPr>
                <w:b/>
                <w:color w:val="auto"/>
              </w:rPr>
              <w:t xml:space="preserve"> </w:t>
            </w:r>
            <w:r w:rsidRPr="00FF71F3">
              <w:rPr>
                <w:bCs/>
                <w:color w:val="auto"/>
              </w:rPr>
              <w:t>– over 3,000 people completed the main survey and over 1,000 people engaged in-person.</w:t>
            </w:r>
          </w:p>
          <w:p w14:paraId="4F193293" w14:textId="77777777" w:rsidR="001B2C38" w:rsidRDefault="001B2C38" w:rsidP="001B2C38">
            <w:pPr>
              <w:spacing w:after="0" w:line="240" w:lineRule="auto"/>
              <w:jc w:val="both"/>
              <w:rPr>
                <w:bCs/>
                <w:color w:val="auto"/>
              </w:rPr>
            </w:pPr>
          </w:p>
          <w:p w14:paraId="1168BA11" w14:textId="263C024F" w:rsidR="00892AAE" w:rsidRDefault="00FF71F3" w:rsidP="001B2C38">
            <w:pPr>
              <w:spacing w:after="0" w:line="240" w:lineRule="auto"/>
              <w:jc w:val="both"/>
              <w:rPr>
                <w:bCs/>
                <w:color w:val="auto"/>
              </w:rPr>
            </w:pPr>
            <w:r>
              <w:rPr>
                <w:bCs/>
                <w:color w:val="auto"/>
              </w:rPr>
              <w:t xml:space="preserve">Through </w:t>
            </w:r>
            <w:r w:rsidR="00375B48">
              <w:rPr>
                <w:bCs/>
                <w:color w:val="auto"/>
              </w:rPr>
              <w:t>all</w:t>
            </w:r>
            <w:r>
              <w:rPr>
                <w:bCs/>
                <w:color w:val="auto"/>
              </w:rPr>
              <w:t xml:space="preserve"> the engagement activity, which included discussing and asking questions about challenges and priorities in different ways, </w:t>
            </w:r>
            <w:proofErr w:type="gramStart"/>
            <w:r>
              <w:rPr>
                <w:bCs/>
                <w:color w:val="auto"/>
              </w:rPr>
              <w:t xml:space="preserve">a </w:t>
            </w:r>
            <w:r w:rsidR="00375B48">
              <w:rPr>
                <w:bCs/>
                <w:color w:val="auto"/>
              </w:rPr>
              <w:t>number</w:t>
            </w:r>
            <w:r>
              <w:rPr>
                <w:bCs/>
                <w:color w:val="auto"/>
              </w:rPr>
              <w:t xml:space="preserve"> of</w:t>
            </w:r>
            <w:proofErr w:type="gramEnd"/>
            <w:r>
              <w:rPr>
                <w:bCs/>
                <w:color w:val="auto"/>
              </w:rPr>
              <w:t xml:space="preserve"> clear priorities and themes have emerged that are consistent </w:t>
            </w:r>
            <w:r w:rsidR="00375B48">
              <w:rPr>
                <w:bCs/>
                <w:color w:val="auto"/>
              </w:rPr>
              <w:t>across</w:t>
            </w:r>
            <w:r>
              <w:rPr>
                <w:bCs/>
                <w:color w:val="auto"/>
              </w:rPr>
              <w:t xml:space="preserve"> all </w:t>
            </w:r>
            <w:r w:rsidR="00375B48">
              <w:rPr>
                <w:bCs/>
                <w:color w:val="auto"/>
              </w:rPr>
              <w:t>groups,</w:t>
            </w:r>
            <w:r>
              <w:rPr>
                <w:bCs/>
                <w:color w:val="auto"/>
              </w:rPr>
              <w:t xml:space="preserve"> and these are summarised below</w:t>
            </w:r>
            <w:r w:rsidR="001B2C38">
              <w:rPr>
                <w:bCs/>
                <w:color w:val="auto"/>
              </w:rPr>
              <w:t>:</w:t>
            </w:r>
          </w:p>
          <w:p w14:paraId="6D38A8A8" w14:textId="77777777" w:rsidR="001B2C38" w:rsidRDefault="001B2C38" w:rsidP="001B2C38">
            <w:pPr>
              <w:spacing w:after="0" w:line="240" w:lineRule="auto"/>
              <w:jc w:val="both"/>
              <w:rPr>
                <w:bCs/>
                <w:color w:val="auto"/>
              </w:rPr>
            </w:pPr>
          </w:p>
          <w:p w14:paraId="778D1AD0" w14:textId="08F5A8F2" w:rsidR="00FF71F3" w:rsidRPr="00375B48" w:rsidRDefault="00FF71F3" w:rsidP="001B2C38">
            <w:pPr>
              <w:pStyle w:val="ListParagraph"/>
              <w:numPr>
                <w:ilvl w:val="0"/>
                <w:numId w:val="27"/>
              </w:numPr>
              <w:spacing w:after="0" w:line="240" w:lineRule="auto"/>
              <w:jc w:val="both"/>
              <w:rPr>
                <w:bCs/>
                <w:color w:val="auto"/>
              </w:rPr>
            </w:pPr>
            <w:r w:rsidRPr="00375B48">
              <w:rPr>
                <w:bCs/>
                <w:color w:val="auto"/>
              </w:rPr>
              <w:t>98% of people agree the NHS needs to change and 70% think that some services should be stopped or delivered differently.</w:t>
            </w:r>
          </w:p>
          <w:p w14:paraId="7DAC5A2E" w14:textId="549854C9" w:rsidR="00FF71F3" w:rsidRPr="00375B48" w:rsidRDefault="00FF71F3" w:rsidP="001B2C38">
            <w:pPr>
              <w:pStyle w:val="ListParagraph"/>
              <w:numPr>
                <w:ilvl w:val="0"/>
                <w:numId w:val="27"/>
              </w:numPr>
              <w:spacing w:after="0" w:line="240" w:lineRule="auto"/>
              <w:jc w:val="both"/>
              <w:rPr>
                <w:bCs/>
                <w:color w:val="auto"/>
              </w:rPr>
            </w:pPr>
            <w:r w:rsidRPr="00375B48">
              <w:rPr>
                <w:bCs/>
                <w:color w:val="auto"/>
              </w:rPr>
              <w:lastRenderedPageBreak/>
              <w:t>Without further investment in the NHS, people want us to prioritise Primary Care and Emergency Care (as the backbone services), followed by Mental Health Care.</w:t>
            </w:r>
          </w:p>
          <w:p w14:paraId="67FB784F" w14:textId="49455C8F" w:rsidR="00FF71F3" w:rsidRDefault="00FF71F3" w:rsidP="001B2C38">
            <w:pPr>
              <w:spacing w:after="0" w:line="240" w:lineRule="auto"/>
              <w:jc w:val="both"/>
              <w:rPr>
                <w:bCs/>
                <w:color w:val="auto"/>
              </w:rPr>
            </w:pPr>
            <w:r>
              <w:rPr>
                <w:bCs/>
                <w:color w:val="auto"/>
              </w:rPr>
              <w:t>Three key priority areas were identified:</w:t>
            </w:r>
          </w:p>
          <w:p w14:paraId="6DFA3902" w14:textId="4C07E21A" w:rsidR="00FF71F3" w:rsidRPr="00375B48" w:rsidRDefault="00FF71F3" w:rsidP="001B2C38">
            <w:pPr>
              <w:pStyle w:val="ListParagraph"/>
              <w:numPr>
                <w:ilvl w:val="0"/>
                <w:numId w:val="28"/>
              </w:numPr>
              <w:spacing w:after="0" w:line="240" w:lineRule="auto"/>
              <w:jc w:val="both"/>
              <w:rPr>
                <w:bCs/>
                <w:color w:val="auto"/>
              </w:rPr>
            </w:pPr>
            <w:r w:rsidRPr="00375B48">
              <w:rPr>
                <w:bCs/>
                <w:color w:val="auto"/>
                <w:u w:val="single"/>
              </w:rPr>
              <w:t>Priory 1: Access to Services</w:t>
            </w:r>
            <w:r w:rsidRPr="00375B48">
              <w:rPr>
                <w:bCs/>
                <w:color w:val="auto"/>
              </w:rPr>
              <w:t xml:space="preserve"> – people in HNY want us to address the long waiting times to receive the advice, care or treatment they </w:t>
            </w:r>
            <w:r w:rsidR="00375B48" w:rsidRPr="00375B48">
              <w:rPr>
                <w:bCs/>
                <w:color w:val="auto"/>
              </w:rPr>
              <w:t>need,</w:t>
            </w:r>
            <w:r w:rsidRPr="00375B48">
              <w:rPr>
                <w:bCs/>
                <w:color w:val="auto"/>
              </w:rPr>
              <w:t xml:space="preserve"> and they want the ability to get the care they need to look after their general health and wellbeing. </w:t>
            </w:r>
            <w:r w:rsidR="00651D97" w:rsidRPr="00375B48">
              <w:rPr>
                <w:bCs/>
                <w:color w:val="auto"/>
              </w:rPr>
              <w:t xml:space="preserve">The ability to get an appointment, concerns about variation across HNY, long waiting times for tests </w:t>
            </w:r>
            <w:r w:rsidR="00375B48" w:rsidRPr="00375B48">
              <w:rPr>
                <w:bCs/>
                <w:color w:val="auto"/>
              </w:rPr>
              <w:t>and</w:t>
            </w:r>
            <w:r w:rsidR="00651D97" w:rsidRPr="00375B48">
              <w:rPr>
                <w:bCs/>
                <w:color w:val="auto"/>
              </w:rPr>
              <w:t xml:space="preserve"> </w:t>
            </w:r>
            <w:r w:rsidR="00375B48" w:rsidRPr="00375B48">
              <w:rPr>
                <w:bCs/>
                <w:color w:val="auto"/>
              </w:rPr>
              <w:t>treatment</w:t>
            </w:r>
            <w:r w:rsidR="00651D97" w:rsidRPr="00375B48">
              <w:rPr>
                <w:bCs/>
                <w:color w:val="auto"/>
              </w:rPr>
              <w:t xml:space="preserve">, understanding and navigating </w:t>
            </w:r>
            <w:r w:rsidR="00375B48" w:rsidRPr="00375B48">
              <w:rPr>
                <w:bCs/>
                <w:color w:val="auto"/>
              </w:rPr>
              <w:t>the NHS</w:t>
            </w:r>
            <w:r w:rsidR="00651D97" w:rsidRPr="00375B48">
              <w:rPr>
                <w:bCs/>
                <w:color w:val="auto"/>
              </w:rPr>
              <w:t xml:space="preserve"> and a need for new models of service were all key themes underpinning this priority.</w:t>
            </w:r>
          </w:p>
          <w:p w14:paraId="077B203C" w14:textId="51560342" w:rsidR="00651D97" w:rsidRPr="00375B48" w:rsidRDefault="00651D97" w:rsidP="001B2C38">
            <w:pPr>
              <w:pStyle w:val="ListParagraph"/>
              <w:numPr>
                <w:ilvl w:val="0"/>
                <w:numId w:val="28"/>
              </w:numPr>
              <w:spacing w:after="0" w:line="240" w:lineRule="auto"/>
              <w:jc w:val="both"/>
              <w:rPr>
                <w:bCs/>
                <w:color w:val="auto"/>
              </w:rPr>
            </w:pPr>
            <w:r w:rsidRPr="00375B48">
              <w:rPr>
                <w:bCs/>
                <w:color w:val="auto"/>
                <w:u w:val="single"/>
              </w:rPr>
              <w:t>Priority 2: Person Centred Approach</w:t>
            </w:r>
            <w:r w:rsidRPr="00375B48">
              <w:rPr>
                <w:bCs/>
                <w:color w:val="auto"/>
              </w:rPr>
              <w:t xml:space="preserve"> – people in HNY want us to address improved communication, </w:t>
            </w:r>
            <w:r w:rsidR="00375B48" w:rsidRPr="00375B48">
              <w:rPr>
                <w:bCs/>
                <w:color w:val="auto"/>
              </w:rPr>
              <w:t>coordination</w:t>
            </w:r>
            <w:r w:rsidRPr="00375B48">
              <w:rPr>
                <w:bCs/>
                <w:color w:val="auto"/>
              </w:rPr>
              <w:t xml:space="preserve"> and integration of NHS services and to ensure that care is centred around a person’s needs and that they are listened to. </w:t>
            </w:r>
            <w:r w:rsidR="00375B48" w:rsidRPr="00375B48">
              <w:rPr>
                <w:bCs/>
                <w:color w:val="auto"/>
              </w:rPr>
              <w:t>Self-care</w:t>
            </w:r>
            <w:r w:rsidRPr="00375B48">
              <w:rPr>
                <w:bCs/>
                <w:color w:val="auto"/>
              </w:rPr>
              <w:t xml:space="preserve"> and better supporting people to ‘wa</w:t>
            </w:r>
            <w:r w:rsidR="00375B48">
              <w:rPr>
                <w:bCs/>
                <w:color w:val="auto"/>
              </w:rPr>
              <w:t>i</w:t>
            </w:r>
            <w:r w:rsidRPr="00375B48">
              <w:rPr>
                <w:bCs/>
                <w:color w:val="auto"/>
              </w:rPr>
              <w:t xml:space="preserve">t well’ was also an </w:t>
            </w:r>
            <w:r w:rsidR="00375B48" w:rsidRPr="00375B48">
              <w:rPr>
                <w:bCs/>
                <w:color w:val="auto"/>
              </w:rPr>
              <w:t>underpinning</w:t>
            </w:r>
            <w:r w:rsidRPr="00375B48">
              <w:rPr>
                <w:bCs/>
                <w:color w:val="auto"/>
              </w:rPr>
              <w:t xml:space="preserve"> theme.</w:t>
            </w:r>
          </w:p>
          <w:p w14:paraId="74D2E30E" w14:textId="674BBBBE" w:rsidR="00651D97" w:rsidRPr="00375B48" w:rsidRDefault="00375B48" w:rsidP="001B2C38">
            <w:pPr>
              <w:pStyle w:val="ListParagraph"/>
              <w:numPr>
                <w:ilvl w:val="0"/>
                <w:numId w:val="28"/>
              </w:numPr>
              <w:spacing w:after="0" w:line="240" w:lineRule="auto"/>
              <w:jc w:val="both"/>
              <w:rPr>
                <w:bCs/>
                <w:color w:val="auto"/>
              </w:rPr>
            </w:pPr>
            <w:r w:rsidRPr="00375B48">
              <w:rPr>
                <w:bCs/>
                <w:color w:val="auto"/>
                <w:u w:val="single"/>
              </w:rPr>
              <w:t>Priority</w:t>
            </w:r>
            <w:r w:rsidR="00651D97" w:rsidRPr="00375B48">
              <w:rPr>
                <w:bCs/>
                <w:color w:val="auto"/>
                <w:u w:val="single"/>
              </w:rPr>
              <w:t xml:space="preserve"> 3: Staff and Workforce</w:t>
            </w:r>
            <w:r w:rsidR="00651D97" w:rsidRPr="00375B48">
              <w:rPr>
                <w:bCs/>
                <w:color w:val="auto"/>
              </w:rPr>
              <w:t xml:space="preserve"> – people in HNY want us to address NHS services being understaffed and having enough staff with the right skills and experience. Concerns about staff morale, quality of care and recruitment &amp; retention were clear underpinning themes.</w:t>
            </w:r>
          </w:p>
          <w:p w14:paraId="4B865076" w14:textId="77777777" w:rsidR="00651D97" w:rsidRDefault="00651D97" w:rsidP="001B2C38">
            <w:pPr>
              <w:spacing w:after="0" w:line="240" w:lineRule="auto"/>
              <w:jc w:val="both"/>
              <w:rPr>
                <w:bCs/>
                <w:color w:val="auto"/>
              </w:rPr>
            </w:pPr>
            <w:r>
              <w:rPr>
                <w:bCs/>
                <w:color w:val="auto"/>
              </w:rPr>
              <w:t>Clear themes emerged in relation to the Government’s three big shifts:</w:t>
            </w:r>
          </w:p>
          <w:p w14:paraId="53E09A37" w14:textId="5F6E47A1" w:rsidR="00651D97" w:rsidRPr="00375B48" w:rsidRDefault="00651D97" w:rsidP="001B2C38">
            <w:pPr>
              <w:pStyle w:val="ListParagraph"/>
              <w:numPr>
                <w:ilvl w:val="0"/>
                <w:numId w:val="29"/>
              </w:numPr>
              <w:spacing w:after="0" w:line="240" w:lineRule="auto"/>
              <w:jc w:val="both"/>
              <w:rPr>
                <w:bCs/>
                <w:color w:val="auto"/>
              </w:rPr>
            </w:pPr>
            <w:r w:rsidRPr="00375B48">
              <w:rPr>
                <w:bCs/>
                <w:color w:val="auto"/>
                <w:u w:val="single"/>
              </w:rPr>
              <w:t xml:space="preserve">Hospital to </w:t>
            </w:r>
            <w:r w:rsidR="00375B48" w:rsidRPr="00375B48">
              <w:rPr>
                <w:bCs/>
                <w:color w:val="auto"/>
                <w:u w:val="single"/>
              </w:rPr>
              <w:t>Community</w:t>
            </w:r>
            <w:r w:rsidRPr="00375B48">
              <w:rPr>
                <w:bCs/>
                <w:color w:val="auto"/>
              </w:rPr>
              <w:t>:  The vast majority of people want easy access to general health services in a coordinated way, as close to home as possible or digitally. Over half of respondents expect to have access to urgent care within a short journey. People want to see a better use of community assets and resources, including VCSE</w:t>
            </w:r>
            <w:r w:rsidR="00375B48">
              <w:rPr>
                <w:bCs/>
                <w:color w:val="auto"/>
              </w:rPr>
              <w:t>.</w:t>
            </w:r>
          </w:p>
          <w:p w14:paraId="6297A183" w14:textId="09DEDAB0" w:rsidR="00651D97" w:rsidRPr="00375B48" w:rsidRDefault="00651D97" w:rsidP="001B2C38">
            <w:pPr>
              <w:pStyle w:val="ListParagraph"/>
              <w:numPr>
                <w:ilvl w:val="0"/>
                <w:numId w:val="29"/>
              </w:numPr>
              <w:spacing w:after="0" w:line="240" w:lineRule="auto"/>
              <w:jc w:val="both"/>
              <w:rPr>
                <w:bCs/>
                <w:color w:val="auto"/>
              </w:rPr>
            </w:pPr>
            <w:r w:rsidRPr="00375B48">
              <w:rPr>
                <w:bCs/>
                <w:color w:val="auto"/>
                <w:u w:val="single"/>
              </w:rPr>
              <w:t>Analogue to Digital</w:t>
            </w:r>
            <w:r w:rsidRPr="00375B48">
              <w:rPr>
                <w:bCs/>
                <w:color w:val="auto"/>
              </w:rPr>
              <w:t xml:space="preserve">: People are 5 times more likely to always use digital methods for online banking than for </w:t>
            </w:r>
            <w:r w:rsidR="00375B48" w:rsidRPr="00375B48">
              <w:rPr>
                <w:bCs/>
                <w:color w:val="auto"/>
              </w:rPr>
              <w:t>health,</w:t>
            </w:r>
            <w:r w:rsidRPr="00375B48">
              <w:rPr>
                <w:bCs/>
                <w:color w:val="auto"/>
              </w:rPr>
              <w:t xml:space="preserve"> but the vast majority are willing to use it. People currently find some digital health services difficult to use or inconsistent. People want the NHS to use integrated digital systems and products to ensure better coordination, communication and efficiency.</w:t>
            </w:r>
          </w:p>
          <w:p w14:paraId="694E773D" w14:textId="67134E20" w:rsidR="00651D97" w:rsidRDefault="00651D97" w:rsidP="001B2C38">
            <w:pPr>
              <w:pStyle w:val="ListParagraph"/>
              <w:numPr>
                <w:ilvl w:val="0"/>
                <w:numId w:val="29"/>
              </w:numPr>
              <w:spacing w:after="0" w:line="240" w:lineRule="auto"/>
              <w:jc w:val="both"/>
              <w:rPr>
                <w:bCs/>
                <w:color w:val="auto"/>
              </w:rPr>
            </w:pPr>
            <w:r w:rsidRPr="00375B48">
              <w:rPr>
                <w:bCs/>
                <w:color w:val="auto"/>
                <w:u w:val="single"/>
              </w:rPr>
              <w:t>Sickness to Prevention</w:t>
            </w:r>
            <w:r w:rsidRPr="00375B48">
              <w:rPr>
                <w:bCs/>
                <w:color w:val="auto"/>
              </w:rPr>
              <w:t>: When asked about what else the NHS should consider, 16% of people (unprompted), told us that prevention needs to be an area of focus for the future of the NHS. People suggested how the NHS and wider health and care system, should increase its health improvement and prevention activities – including those related to the wider determinants of health.</w:t>
            </w:r>
          </w:p>
          <w:p w14:paraId="0E51858D" w14:textId="77777777" w:rsidR="001B2C38" w:rsidRPr="00375B48" w:rsidRDefault="001B2C38" w:rsidP="001B2C38">
            <w:pPr>
              <w:pStyle w:val="ListParagraph"/>
              <w:spacing w:after="0" w:line="240" w:lineRule="auto"/>
              <w:jc w:val="both"/>
              <w:rPr>
                <w:bCs/>
                <w:color w:val="auto"/>
              </w:rPr>
            </w:pPr>
          </w:p>
          <w:p w14:paraId="7C14FE77" w14:textId="75448196" w:rsidR="00FF71F3" w:rsidRDefault="00651D97" w:rsidP="001B2C38">
            <w:pPr>
              <w:spacing w:after="0" w:line="240" w:lineRule="auto"/>
              <w:jc w:val="both"/>
              <w:rPr>
                <w:bCs/>
                <w:color w:val="auto"/>
              </w:rPr>
            </w:pPr>
            <w:r>
              <w:rPr>
                <w:bCs/>
                <w:color w:val="auto"/>
              </w:rPr>
              <w:t>The full report and supporting data pack has been shared with the System Leaders Forum and System Engine Room to support the further work in relation to ‘Design for the Future/Blueprint’. The report and relevant findings will also be shared with relevant programmes and Committees across the ICB, as well as the ICP.</w:t>
            </w:r>
            <w:r w:rsidR="00375B48">
              <w:rPr>
                <w:bCs/>
                <w:color w:val="auto"/>
              </w:rPr>
              <w:t xml:space="preserve"> Findings will also be shared with the national team, as part of the Government’s ‘Change NHS’ engagement.</w:t>
            </w:r>
          </w:p>
          <w:p w14:paraId="662E52D2" w14:textId="77777777" w:rsidR="001B2C38" w:rsidRDefault="001B2C38" w:rsidP="001B2C38">
            <w:pPr>
              <w:spacing w:after="0" w:line="240" w:lineRule="auto"/>
              <w:jc w:val="both"/>
              <w:rPr>
                <w:bCs/>
                <w:color w:val="auto"/>
              </w:rPr>
            </w:pPr>
          </w:p>
          <w:p w14:paraId="5F2E54DC" w14:textId="0F0B97E7" w:rsidR="00375B48" w:rsidRPr="00744439" w:rsidRDefault="00375B48" w:rsidP="001B2C38">
            <w:pPr>
              <w:spacing w:after="0" w:line="240" w:lineRule="auto"/>
              <w:jc w:val="both"/>
              <w:rPr>
                <w:bCs/>
                <w:color w:val="auto"/>
              </w:rPr>
            </w:pPr>
            <w:r>
              <w:rPr>
                <w:bCs/>
                <w:color w:val="auto"/>
              </w:rPr>
              <w:t>Communication has also been issued to thank the public, staff and stakeholders for their input and to share the key findings and next steps.</w:t>
            </w:r>
          </w:p>
          <w:p w14:paraId="4404AD7F" w14:textId="77777777" w:rsidR="00375B48" w:rsidRDefault="00375B48" w:rsidP="001B2C38">
            <w:pPr>
              <w:spacing w:after="0" w:line="240" w:lineRule="auto"/>
              <w:jc w:val="both"/>
              <w:rPr>
                <w:b/>
                <w:color w:val="auto"/>
              </w:rPr>
            </w:pPr>
          </w:p>
          <w:p w14:paraId="0AFB514E" w14:textId="687D38CE" w:rsidR="00A958CA" w:rsidRDefault="002B7229" w:rsidP="001B2C38">
            <w:pPr>
              <w:spacing w:after="0" w:line="240" w:lineRule="auto"/>
              <w:jc w:val="both"/>
              <w:rPr>
                <w:color w:val="auto"/>
              </w:rPr>
            </w:pPr>
            <w:r w:rsidRPr="00566BDC">
              <w:rPr>
                <w:b/>
                <w:color w:val="auto"/>
              </w:rPr>
              <w:t>RECOMMENDATIONS:</w:t>
            </w:r>
            <w:r w:rsidR="002D2FBC">
              <w:rPr>
                <w:color w:val="auto"/>
              </w:rPr>
              <w:t xml:space="preserve"> </w:t>
            </w:r>
          </w:p>
          <w:p w14:paraId="59D0E49B" w14:textId="0AC14BB3" w:rsidR="007650BC" w:rsidRDefault="007650BC" w:rsidP="001B2C38">
            <w:pPr>
              <w:spacing w:after="0" w:line="240" w:lineRule="auto"/>
              <w:jc w:val="both"/>
              <w:rPr>
                <w:color w:val="auto"/>
              </w:rPr>
            </w:pPr>
          </w:p>
          <w:p w14:paraId="3481C0C9" w14:textId="225D58A2" w:rsidR="002D2FBC" w:rsidRDefault="002D2FBC" w:rsidP="001B2C38">
            <w:pPr>
              <w:spacing w:after="0" w:line="240" w:lineRule="auto"/>
              <w:jc w:val="both"/>
              <w:rPr>
                <w:color w:val="auto"/>
              </w:rPr>
            </w:pPr>
            <w:bookmarkStart w:id="2" w:name="_Hlk106101454"/>
            <w:r>
              <w:rPr>
                <w:color w:val="auto"/>
              </w:rPr>
              <w:t>Members are asked to:</w:t>
            </w:r>
          </w:p>
          <w:p w14:paraId="721DF360" w14:textId="77777777" w:rsidR="002D2FBC" w:rsidRDefault="002D2FBC" w:rsidP="001B2C38">
            <w:pPr>
              <w:spacing w:after="0" w:line="240" w:lineRule="auto"/>
              <w:jc w:val="both"/>
              <w:rPr>
                <w:color w:val="auto"/>
              </w:rPr>
            </w:pPr>
          </w:p>
          <w:p w14:paraId="3C9CC789" w14:textId="77777777" w:rsidR="00375B48" w:rsidRDefault="0071752E" w:rsidP="001B2C38">
            <w:pPr>
              <w:pStyle w:val="ListParagraph"/>
              <w:numPr>
                <w:ilvl w:val="0"/>
                <w:numId w:val="15"/>
              </w:numPr>
              <w:spacing w:after="0" w:line="240" w:lineRule="auto"/>
              <w:jc w:val="both"/>
              <w:rPr>
                <w:color w:val="auto"/>
              </w:rPr>
            </w:pPr>
            <w:r w:rsidRPr="003E1821">
              <w:rPr>
                <w:color w:val="auto"/>
              </w:rPr>
              <w:t>Note</w:t>
            </w:r>
            <w:r w:rsidR="008E386D">
              <w:rPr>
                <w:color w:val="auto"/>
              </w:rPr>
              <w:t xml:space="preserve"> and discuss</w:t>
            </w:r>
            <w:r w:rsidRPr="003E1821">
              <w:rPr>
                <w:color w:val="auto"/>
              </w:rPr>
              <w:t xml:space="preserve"> the </w:t>
            </w:r>
            <w:r w:rsidR="008E386D">
              <w:rPr>
                <w:color w:val="auto"/>
              </w:rPr>
              <w:t>key themes</w:t>
            </w:r>
            <w:r w:rsidR="005E1A4B">
              <w:rPr>
                <w:color w:val="auto"/>
              </w:rPr>
              <w:t>.</w:t>
            </w:r>
            <w:bookmarkEnd w:id="2"/>
          </w:p>
          <w:p w14:paraId="5DD056FB" w14:textId="4DD7508E" w:rsidR="001B2C38" w:rsidRPr="001B2C38" w:rsidRDefault="001B2C38" w:rsidP="001B2C38">
            <w:pPr>
              <w:spacing w:after="0" w:line="240" w:lineRule="auto"/>
              <w:jc w:val="both"/>
              <w:rPr>
                <w:color w:val="auto"/>
                <w:sz w:val="16"/>
                <w:szCs w:val="16"/>
              </w:rPr>
            </w:pPr>
          </w:p>
        </w:tc>
      </w:tr>
    </w:tbl>
    <w:p w14:paraId="019D6696" w14:textId="0E753FDE" w:rsidR="00381FC0" w:rsidRDefault="00381FC0"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1B2C38">
        <w:trPr>
          <w:trHeight w:val="427"/>
        </w:trPr>
        <w:tc>
          <w:tcPr>
            <w:tcW w:w="9608" w:type="dxa"/>
            <w:tcBorders>
              <w:bottom w:val="nil"/>
            </w:tcBorders>
            <w:shd w:val="clear" w:color="auto" w:fill="D9D9D9" w:themeFill="background1" w:themeFillShade="D9"/>
          </w:tcPr>
          <w:p w14:paraId="3A979286" w14:textId="44E7DD94" w:rsidR="006C1E7A" w:rsidRPr="00524FEE" w:rsidRDefault="006C1E7A" w:rsidP="00B44320">
            <w:pPr>
              <w:spacing w:after="0"/>
              <w:rPr>
                <w:color w:val="auto"/>
              </w:rPr>
            </w:pPr>
            <w:bookmarkStart w:id="3" w:name="_Hlk138950819"/>
            <w:r>
              <w:rPr>
                <w:b/>
                <w:color w:val="auto"/>
                <w:sz w:val="24"/>
                <w:szCs w:val="24"/>
              </w:rPr>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1B2C38">
        <w:trPr>
          <w:trHeight w:val="74"/>
        </w:trPr>
        <w:tc>
          <w:tcPr>
            <w:tcW w:w="9608" w:type="dxa"/>
            <w:tcBorders>
              <w:top w:val="nil"/>
            </w:tcBorders>
            <w:shd w:val="clear" w:color="auto" w:fill="D9D9D9" w:themeFill="background1" w:themeFillShade="D9"/>
          </w:tcPr>
          <w:p w14:paraId="40ED083B" w14:textId="164BE792" w:rsidR="006C1E7A" w:rsidRPr="00BD03D7" w:rsidRDefault="006C1E7A" w:rsidP="00B44320">
            <w:pPr>
              <w:spacing w:after="0"/>
              <w:rPr>
                <w:b/>
                <w:color w:val="auto"/>
              </w:rPr>
            </w:pPr>
          </w:p>
        </w:tc>
      </w:tr>
      <w:bookmarkEnd w:id="3"/>
    </w:tbl>
    <w:p w14:paraId="0D45649E" w14:textId="77777777" w:rsidR="006C1E7A" w:rsidRDefault="006C1E7A" w:rsidP="00D05ADC">
      <w:pPr>
        <w:spacing w:after="0" w:line="120" w:lineRule="auto"/>
        <w:rPr>
          <w:color w:val="auto"/>
        </w:rPr>
      </w:pPr>
    </w:p>
    <w:tbl>
      <w:tblPr>
        <w:tblStyle w:val="TableGrid"/>
        <w:tblpPr w:leftFromText="180" w:rightFromText="180" w:vertAnchor="text" w:horzAnchor="margin" w:tblpY="-33"/>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7640"/>
        <w:gridCol w:w="1968"/>
      </w:tblGrid>
      <w:tr w:rsidR="001B2C38" w:rsidRPr="00566BDC" w14:paraId="525BEB8E" w14:textId="77777777" w:rsidTr="001B2C38">
        <w:tc>
          <w:tcPr>
            <w:tcW w:w="7640" w:type="dxa"/>
          </w:tcPr>
          <w:p w14:paraId="693FB71F" w14:textId="77777777" w:rsidR="001B2C38" w:rsidRPr="00524FEE" w:rsidRDefault="001B2C38" w:rsidP="001B2C38">
            <w:pPr>
              <w:spacing w:after="0" w:line="240" w:lineRule="auto"/>
              <w:rPr>
                <w:b/>
                <w:color w:val="auto"/>
              </w:rPr>
            </w:pPr>
            <w:r>
              <w:rPr>
                <w:color w:val="auto"/>
              </w:rPr>
              <w:t>Managing Today</w:t>
            </w:r>
          </w:p>
          <w:p w14:paraId="4C6109B9" w14:textId="77777777" w:rsidR="001B2C38" w:rsidRPr="00524FEE" w:rsidRDefault="001B2C38" w:rsidP="001B2C38">
            <w:pPr>
              <w:spacing w:after="0" w:line="240" w:lineRule="auto"/>
              <w:rPr>
                <w:b/>
                <w:color w:val="auto"/>
              </w:rPr>
            </w:pPr>
          </w:p>
        </w:tc>
        <w:sdt>
          <w:sdtPr>
            <w:rPr>
              <w:color w:val="auto"/>
              <w:sz w:val="40"/>
              <w:szCs w:val="40"/>
            </w:rPr>
            <w:id w:val="-502581236"/>
            <w14:checkbox>
              <w14:checked w14:val="1"/>
              <w14:checkedState w14:val="2612" w14:font="MS Gothic"/>
              <w14:uncheckedState w14:val="2610" w14:font="MS Gothic"/>
            </w14:checkbox>
          </w:sdtPr>
          <w:sdtEndPr/>
          <w:sdtContent>
            <w:tc>
              <w:tcPr>
                <w:tcW w:w="1968" w:type="dxa"/>
              </w:tcPr>
              <w:p w14:paraId="41BEDE1E" w14:textId="77777777" w:rsidR="001B2C38" w:rsidRPr="00F31E0E" w:rsidRDefault="001B2C38" w:rsidP="001B2C38">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1B2C38" w:rsidRPr="00566BDC" w14:paraId="2E35F38A" w14:textId="77777777" w:rsidTr="001B2C38">
        <w:tc>
          <w:tcPr>
            <w:tcW w:w="7640" w:type="dxa"/>
          </w:tcPr>
          <w:p w14:paraId="2B688B71" w14:textId="77777777" w:rsidR="001B2C38" w:rsidRDefault="001B2C38" w:rsidP="001B2C38">
            <w:pPr>
              <w:spacing w:after="0" w:line="240" w:lineRule="auto"/>
              <w:rPr>
                <w:color w:val="auto"/>
              </w:rPr>
            </w:pPr>
            <w:r>
              <w:rPr>
                <w:color w:val="auto"/>
              </w:rPr>
              <w:t>Managing Tomorrow</w:t>
            </w:r>
          </w:p>
          <w:p w14:paraId="64BA3442" w14:textId="77777777" w:rsidR="001B2C38" w:rsidRPr="00524FEE" w:rsidRDefault="001B2C38" w:rsidP="001B2C38">
            <w:pPr>
              <w:spacing w:after="0" w:line="240" w:lineRule="auto"/>
              <w:rPr>
                <w:b/>
                <w:color w:val="auto"/>
              </w:rPr>
            </w:pPr>
          </w:p>
        </w:tc>
        <w:sdt>
          <w:sdtPr>
            <w:rPr>
              <w:color w:val="auto"/>
              <w:sz w:val="40"/>
              <w:szCs w:val="40"/>
            </w:rPr>
            <w:id w:val="1263573161"/>
            <w14:checkbox>
              <w14:checked w14:val="1"/>
              <w14:checkedState w14:val="2612" w14:font="MS Gothic"/>
              <w14:uncheckedState w14:val="2610" w14:font="MS Gothic"/>
            </w14:checkbox>
          </w:sdtPr>
          <w:sdtEndPr/>
          <w:sdtContent>
            <w:tc>
              <w:tcPr>
                <w:tcW w:w="1968" w:type="dxa"/>
              </w:tcPr>
              <w:p w14:paraId="5673A962" w14:textId="77777777" w:rsidR="001B2C38" w:rsidRPr="00F31E0E" w:rsidRDefault="001B2C38" w:rsidP="001B2C38">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bl>
    <w:p w14:paraId="666F3372" w14:textId="77777777" w:rsidR="001B2C38" w:rsidRDefault="001B2C38" w:rsidP="00D05ADC">
      <w:pPr>
        <w:spacing w:after="0" w:line="120" w:lineRule="auto"/>
        <w:rPr>
          <w:color w:val="auto"/>
        </w:rPr>
      </w:pPr>
    </w:p>
    <w:p w14:paraId="427AB142" w14:textId="77777777" w:rsidR="001B2C38" w:rsidRDefault="001B2C38" w:rsidP="00D05ADC">
      <w:pPr>
        <w:spacing w:after="0" w:line="120" w:lineRule="auto"/>
        <w:rPr>
          <w:color w:val="auto"/>
        </w:rPr>
      </w:pPr>
    </w:p>
    <w:p w14:paraId="251CBDB8" w14:textId="77777777" w:rsidR="001B2C38" w:rsidRDefault="001B2C38" w:rsidP="001B2C38">
      <w:pPr>
        <w:spacing w:after="0" w:line="240" w:lineRule="auto"/>
        <w:rPr>
          <w:color w:val="auto"/>
        </w:rPr>
      </w:pPr>
    </w:p>
    <w:tbl>
      <w:tblPr>
        <w:tblStyle w:val="TableGrid"/>
        <w:tblpPr w:leftFromText="180" w:rightFromText="180" w:vertAnchor="text" w:horzAnchor="margin" w:tblpY="-472"/>
        <w:tblW w:w="0" w:type="auto"/>
        <w:tblBorders>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1B2C38" w:rsidRPr="00566BDC" w14:paraId="061F34F7" w14:textId="77777777" w:rsidTr="001B2C38">
        <w:tc>
          <w:tcPr>
            <w:tcW w:w="7640" w:type="dxa"/>
          </w:tcPr>
          <w:p w14:paraId="3ACDCD0E" w14:textId="77777777" w:rsidR="001B2C38" w:rsidRDefault="001B2C38" w:rsidP="001B2C38">
            <w:pPr>
              <w:spacing w:after="0" w:line="240" w:lineRule="auto"/>
              <w:jc w:val="both"/>
              <w:rPr>
                <w:color w:val="auto"/>
              </w:rPr>
            </w:pPr>
            <w:r>
              <w:rPr>
                <w:color w:val="auto"/>
              </w:rPr>
              <w:t>Enabling the Effective Operation of the Organisation</w:t>
            </w:r>
          </w:p>
          <w:p w14:paraId="04407585" w14:textId="77777777" w:rsidR="001B2C38" w:rsidRPr="00524FEE" w:rsidRDefault="001B2C38" w:rsidP="001B2C38">
            <w:pPr>
              <w:spacing w:after="0" w:line="240" w:lineRule="auto"/>
              <w:rPr>
                <w:b/>
                <w:color w:val="auto"/>
              </w:rPr>
            </w:pPr>
          </w:p>
        </w:tc>
        <w:sdt>
          <w:sdtPr>
            <w:rPr>
              <w:color w:val="auto"/>
              <w:sz w:val="40"/>
              <w:szCs w:val="40"/>
            </w:rPr>
            <w:id w:val="-1638247711"/>
            <w14:checkbox>
              <w14:checked w14:val="1"/>
              <w14:checkedState w14:val="2612" w14:font="MS Gothic"/>
              <w14:uncheckedState w14:val="2610" w14:font="MS Gothic"/>
            </w14:checkbox>
          </w:sdtPr>
          <w:sdtEndPr/>
          <w:sdtContent>
            <w:tc>
              <w:tcPr>
                <w:tcW w:w="1968" w:type="dxa"/>
              </w:tcPr>
              <w:p w14:paraId="37E92437" w14:textId="77777777" w:rsidR="001B2C38" w:rsidRPr="00F31E0E" w:rsidRDefault="001B2C38" w:rsidP="001B2C38">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1B2C38" w:rsidRPr="00566BDC" w14:paraId="57795F83" w14:textId="77777777" w:rsidTr="001B2C38">
        <w:tc>
          <w:tcPr>
            <w:tcW w:w="7640" w:type="dxa"/>
          </w:tcPr>
          <w:p w14:paraId="1DEA3C86" w14:textId="77777777" w:rsidR="001B2C38" w:rsidRDefault="001B2C38" w:rsidP="001B2C38">
            <w:pPr>
              <w:spacing w:after="0" w:line="240" w:lineRule="auto"/>
              <w:jc w:val="both"/>
              <w:rPr>
                <w:color w:val="auto"/>
              </w:rPr>
            </w:pPr>
            <w:r>
              <w:rPr>
                <w:color w:val="auto"/>
              </w:rPr>
              <w:t>Voice at the Heart</w:t>
            </w:r>
          </w:p>
          <w:p w14:paraId="70E81E11" w14:textId="77777777" w:rsidR="001B2C38" w:rsidRDefault="001B2C38" w:rsidP="001B2C38">
            <w:pPr>
              <w:spacing w:after="0" w:line="240" w:lineRule="auto"/>
              <w:jc w:val="both"/>
              <w:rPr>
                <w:color w:val="auto"/>
                <w:sz w:val="16"/>
                <w:szCs w:val="16"/>
              </w:rPr>
            </w:pPr>
          </w:p>
          <w:p w14:paraId="763F992E" w14:textId="77777777" w:rsidR="001B2C38" w:rsidRPr="001B2C38" w:rsidRDefault="001B2C38" w:rsidP="001B2C38">
            <w:pPr>
              <w:spacing w:after="0" w:line="240" w:lineRule="auto"/>
              <w:jc w:val="both"/>
              <w:rPr>
                <w:color w:val="auto"/>
                <w:sz w:val="16"/>
                <w:szCs w:val="16"/>
              </w:rPr>
            </w:pPr>
          </w:p>
        </w:tc>
        <w:sdt>
          <w:sdtPr>
            <w:rPr>
              <w:color w:val="auto"/>
              <w:sz w:val="40"/>
              <w:szCs w:val="40"/>
            </w:rPr>
            <w:id w:val="-285584539"/>
            <w14:checkbox>
              <w14:checked w14:val="1"/>
              <w14:checkedState w14:val="2612" w14:font="MS Gothic"/>
              <w14:uncheckedState w14:val="2610" w14:font="MS Gothic"/>
            </w14:checkbox>
          </w:sdtPr>
          <w:sdtEndPr/>
          <w:sdtContent>
            <w:tc>
              <w:tcPr>
                <w:tcW w:w="1968" w:type="dxa"/>
              </w:tcPr>
              <w:p w14:paraId="00E4756C" w14:textId="77777777" w:rsidR="001B2C38" w:rsidRDefault="001B2C38" w:rsidP="001B2C38">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tbl>
      <w:tblPr>
        <w:tblStyle w:val="TableGrid"/>
        <w:tblpPr w:leftFromText="180" w:rightFromText="180" w:vertAnchor="text" w:horzAnchor="margin" w:tblpY="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1B2C38" w:rsidRPr="00524FEE" w14:paraId="5E2CD2B6" w14:textId="77777777" w:rsidTr="001B2C38">
        <w:trPr>
          <w:trHeight w:val="427"/>
        </w:trPr>
        <w:tc>
          <w:tcPr>
            <w:tcW w:w="9608" w:type="dxa"/>
            <w:tcBorders>
              <w:bottom w:val="nil"/>
            </w:tcBorders>
            <w:shd w:val="clear" w:color="auto" w:fill="D9D9D9" w:themeFill="background1" w:themeFillShade="D9"/>
          </w:tcPr>
          <w:p w14:paraId="6CD262FF" w14:textId="40E6287B" w:rsidR="001B2C38" w:rsidRPr="00524FEE" w:rsidRDefault="001B2C38" w:rsidP="001B2C38">
            <w:pPr>
              <w:spacing w:after="0" w:line="240" w:lineRule="auto"/>
              <w:rPr>
                <w:color w:val="auto"/>
              </w:rPr>
            </w:pPr>
            <w:r w:rsidRPr="00566BDC">
              <w:rPr>
                <w:b/>
                <w:color w:val="auto"/>
              </w:rPr>
              <w:t>IMPLICATIONS</w:t>
            </w:r>
          </w:p>
        </w:tc>
      </w:tr>
      <w:tr w:rsidR="001B2C38" w:rsidRPr="00BD03D7" w14:paraId="257C97F3" w14:textId="77777777" w:rsidTr="001B2C38">
        <w:trPr>
          <w:trHeight w:val="74"/>
        </w:trPr>
        <w:tc>
          <w:tcPr>
            <w:tcW w:w="9608" w:type="dxa"/>
            <w:tcBorders>
              <w:top w:val="nil"/>
            </w:tcBorders>
            <w:shd w:val="clear" w:color="auto" w:fill="D9D9D9" w:themeFill="background1" w:themeFillShade="D9"/>
          </w:tcPr>
          <w:p w14:paraId="789C768B" w14:textId="77777777" w:rsidR="001B2C38" w:rsidRPr="001B2C38" w:rsidRDefault="001B2C38" w:rsidP="001B2C38">
            <w:pPr>
              <w:spacing w:after="0" w:line="360" w:lineRule="auto"/>
              <w:rPr>
                <w:b/>
                <w:color w:val="auto"/>
                <w:sz w:val="24"/>
                <w:szCs w:val="24"/>
              </w:rPr>
            </w:pPr>
          </w:p>
        </w:tc>
      </w:tr>
    </w:tbl>
    <w:p w14:paraId="3AEF5805" w14:textId="77777777" w:rsidR="001B2C38" w:rsidRPr="001B2C38" w:rsidRDefault="001B2C38" w:rsidP="001B2C38">
      <w:pPr>
        <w:spacing w:after="0" w:line="240" w:lineRule="auto"/>
        <w:rPr>
          <w:color w:val="auto"/>
          <w:sz w:val="6"/>
          <w:szCs w:val="6"/>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62"/>
        <w:gridCol w:w="6646"/>
      </w:tblGrid>
      <w:tr w:rsidR="004307C4" w:rsidRPr="00566BDC" w14:paraId="20FF7694" w14:textId="77777777" w:rsidTr="001B2C38">
        <w:tc>
          <w:tcPr>
            <w:tcW w:w="2962" w:type="dxa"/>
          </w:tcPr>
          <w:p w14:paraId="0F1AF5E8" w14:textId="77777777" w:rsidR="004307C4" w:rsidRPr="00566BDC" w:rsidRDefault="004307C4" w:rsidP="001B2C38">
            <w:pPr>
              <w:spacing w:after="0" w:line="240" w:lineRule="auto"/>
              <w:rPr>
                <w:b/>
                <w:color w:val="auto"/>
              </w:rPr>
            </w:pPr>
            <w:r w:rsidRPr="00566BDC">
              <w:rPr>
                <w:color w:val="auto"/>
              </w:rPr>
              <w:t>Finance</w:t>
            </w:r>
          </w:p>
        </w:tc>
        <w:tc>
          <w:tcPr>
            <w:tcW w:w="6646" w:type="dxa"/>
          </w:tcPr>
          <w:p w14:paraId="16D2687E" w14:textId="7022EF69" w:rsidR="002D2FBC" w:rsidRPr="003E1821" w:rsidRDefault="00F80420" w:rsidP="001B2C38">
            <w:pPr>
              <w:spacing w:after="0" w:line="240" w:lineRule="auto"/>
              <w:rPr>
                <w:bCs/>
                <w:color w:val="auto"/>
              </w:rPr>
            </w:pPr>
            <w:r>
              <w:rPr>
                <w:bCs/>
                <w:color w:val="auto"/>
              </w:rPr>
              <w:t xml:space="preserve">N/A at present but and </w:t>
            </w:r>
            <w:r w:rsidR="002F59C9">
              <w:rPr>
                <w:bCs/>
                <w:color w:val="auto"/>
              </w:rPr>
              <w:t xml:space="preserve">may have implications if </w:t>
            </w:r>
            <w:proofErr w:type="gramStart"/>
            <w:r w:rsidR="002F59C9">
              <w:rPr>
                <w:bCs/>
                <w:color w:val="auto"/>
              </w:rPr>
              <w:t>particular themes</w:t>
            </w:r>
            <w:proofErr w:type="gramEnd"/>
            <w:r w:rsidR="002F59C9">
              <w:rPr>
                <w:bCs/>
                <w:color w:val="auto"/>
              </w:rPr>
              <w:t xml:space="preserve"> and/or recommendations are progressed in the future.</w:t>
            </w:r>
          </w:p>
        </w:tc>
      </w:tr>
      <w:tr w:rsidR="00E238FC" w:rsidRPr="00566BDC" w14:paraId="7F287BB4" w14:textId="77777777" w:rsidTr="001B2C38">
        <w:tc>
          <w:tcPr>
            <w:tcW w:w="2962" w:type="dxa"/>
          </w:tcPr>
          <w:p w14:paraId="4EFA89F3" w14:textId="49F7FB96" w:rsidR="00E238FC" w:rsidRPr="00566BDC" w:rsidRDefault="00F50234" w:rsidP="001B2C38">
            <w:pPr>
              <w:spacing w:after="0" w:line="240" w:lineRule="auto"/>
              <w:rPr>
                <w:color w:val="auto"/>
              </w:rPr>
            </w:pPr>
            <w:r w:rsidRPr="00566BDC">
              <w:rPr>
                <w:color w:val="auto"/>
              </w:rPr>
              <w:t>Quality</w:t>
            </w:r>
          </w:p>
        </w:tc>
        <w:tc>
          <w:tcPr>
            <w:tcW w:w="6646" w:type="dxa"/>
          </w:tcPr>
          <w:p w14:paraId="0799A17A" w14:textId="1F44256F" w:rsidR="00E238FC" w:rsidRPr="0071752E" w:rsidRDefault="002F59C9" w:rsidP="001B2C38">
            <w:pPr>
              <w:spacing w:after="0" w:line="240" w:lineRule="auto"/>
              <w:rPr>
                <w:bCs/>
                <w:color w:val="auto"/>
              </w:rPr>
            </w:pPr>
            <w:r>
              <w:rPr>
                <w:bCs/>
                <w:color w:val="auto"/>
              </w:rPr>
              <w:t xml:space="preserve">Better understanding of public perceptions and experience is key to </w:t>
            </w:r>
            <w:r w:rsidR="000B2EFC" w:rsidRPr="000B2EFC">
              <w:rPr>
                <w:bCs/>
                <w:color w:val="auto"/>
              </w:rPr>
              <w:t xml:space="preserve">improving </w:t>
            </w:r>
            <w:r>
              <w:rPr>
                <w:bCs/>
                <w:color w:val="auto"/>
              </w:rPr>
              <w:t xml:space="preserve">quality, </w:t>
            </w:r>
            <w:r w:rsidR="000B2EFC" w:rsidRPr="000B2EFC">
              <w:rPr>
                <w:bCs/>
                <w:color w:val="auto"/>
              </w:rPr>
              <w:t>access to care and reducing health inequalities</w:t>
            </w:r>
            <w:r w:rsidR="000B2EFC">
              <w:rPr>
                <w:bCs/>
                <w:color w:val="auto"/>
              </w:rPr>
              <w:t>.</w:t>
            </w:r>
          </w:p>
          <w:p w14:paraId="7C8B1819" w14:textId="2BD47580" w:rsidR="002D2FBC" w:rsidRPr="00566BDC" w:rsidRDefault="002D2FBC" w:rsidP="001B2C38">
            <w:pPr>
              <w:spacing w:after="0" w:line="240" w:lineRule="auto"/>
              <w:rPr>
                <w:b/>
                <w:color w:val="auto"/>
              </w:rPr>
            </w:pPr>
          </w:p>
        </w:tc>
      </w:tr>
      <w:tr w:rsidR="004307C4" w:rsidRPr="00566BDC" w14:paraId="3285F263" w14:textId="77777777" w:rsidTr="001B2C38">
        <w:tc>
          <w:tcPr>
            <w:tcW w:w="2962" w:type="dxa"/>
          </w:tcPr>
          <w:p w14:paraId="23F52933" w14:textId="0F3A4A92" w:rsidR="00B23603" w:rsidRDefault="004307C4" w:rsidP="001B2C38">
            <w:pPr>
              <w:spacing w:after="0" w:line="240" w:lineRule="auto"/>
              <w:rPr>
                <w:color w:val="auto"/>
              </w:rPr>
            </w:pPr>
            <w:r w:rsidRPr="00566BDC">
              <w:rPr>
                <w:color w:val="auto"/>
              </w:rPr>
              <w:t>HR</w:t>
            </w:r>
          </w:p>
          <w:p w14:paraId="0374C637" w14:textId="77777777" w:rsidR="00B23603" w:rsidRPr="00566BDC" w:rsidRDefault="00B23603" w:rsidP="001B2C38">
            <w:pPr>
              <w:spacing w:after="0" w:line="240" w:lineRule="auto"/>
              <w:rPr>
                <w:b/>
                <w:color w:val="auto"/>
              </w:rPr>
            </w:pPr>
          </w:p>
        </w:tc>
        <w:tc>
          <w:tcPr>
            <w:tcW w:w="6646" w:type="dxa"/>
          </w:tcPr>
          <w:p w14:paraId="6EDA19FA" w14:textId="0CEC34D5" w:rsidR="002D2FBC" w:rsidRPr="0071752E" w:rsidRDefault="000B2EFC" w:rsidP="001B2C38">
            <w:pPr>
              <w:spacing w:after="0" w:line="240" w:lineRule="auto"/>
              <w:rPr>
                <w:bCs/>
                <w:color w:val="auto"/>
              </w:rPr>
            </w:pPr>
            <w:r>
              <w:rPr>
                <w:bCs/>
                <w:color w:val="auto"/>
              </w:rPr>
              <w:t>N/A at present</w:t>
            </w:r>
            <w:r w:rsidR="002F59C9">
              <w:rPr>
                <w:bCs/>
                <w:color w:val="auto"/>
              </w:rPr>
              <w:t>.</w:t>
            </w:r>
          </w:p>
          <w:p w14:paraId="31E4D32B" w14:textId="613FFD02" w:rsidR="002D2FBC" w:rsidRPr="0071752E" w:rsidRDefault="002D2FBC" w:rsidP="001B2C38">
            <w:pPr>
              <w:spacing w:after="0" w:line="240" w:lineRule="auto"/>
              <w:rPr>
                <w:bCs/>
                <w:color w:val="auto"/>
              </w:rPr>
            </w:pPr>
          </w:p>
        </w:tc>
      </w:tr>
      <w:tr w:rsidR="00B87F8C" w:rsidRPr="00566BDC" w14:paraId="021977C1" w14:textId="77777777" w:rsidTr="001B2C38">
        <w:tc>
          <w:tcPr>
            <w:tcW w:w="2962" w:type="dxa"/>
          </w:tcPr>
          <w:p w14:paraId="76E8A113" w14:textId="7091C2A2" w:rsidR="00B87F8C" w:rsidRDefault="00B87F8C" w:rsidP="001B2C38">
            <w:pPr>
              <w:spacing w:after="0" w:line="240" w:lineRule="auto"/>
              <w:rPr>
                <w:color w:val="auto"/>
              </w:rPr>
            </w:pPr>
            <w:r>
              <w:rPr>
                <w:color w:val="auto"/>
              </w:rPr>
              <w:t>Legal / Regulatory</w:t>
            </w:r>
          </w:p>
        </w:tc>
        <w:tc>
          <w:tcPr>
            <w:tcW w:w="6646" w:type="dxa"/>
          </w:tcPr>
          <w:p w14:paraId="557845C5" w14:textId="5FF5ADF2" w:rsidR="002D2FBC" w:rsidRPr="002F59C9" w:rsidRDefault="002F59C9" w:rsidP="001B2C38">
            <w:pPr>
              <w:spacing w:after="0" w:line="240" w:lineRule="auto"/>
              <w:rPr>
                <w:bCs/>
                <w:color w:val="auto"/>
              </w:rPr>
            </w:pPr>
            <w:r w:rsidRPr="002F59C9">
              <w:rPr>
                <w:bCs/>
                <w:color w:val="auto"/>
              </w:rPr>
              <w:t>The ICB is required to meet its statutory duties</w:t>
            </w:r>
            <w:r>
              <w:rPr>
                <w:bCs/>
                <w:color w:val="auto"/>
              </w:rPr>
              <w:t xml:space="preserve"> as part </w:t>
            </w:r>
            <w:r w:rsidRPr="002F59C9">
              <w:rPr>
                <w:bCs/>
                <w:color w:val="auto"/>
              </w:rPr>
              <w:t xml:space="preserve">of the NHS Act to </w:t>
            </w:r>
            <w:proofErr w:type="gramStart"/>
            <w:r w:rsidRPr="002F59C9">
              <w:rPr>
                <w:bCs/>
                <w:color w:val="auto"/>
              </w:rPr>
              <w:t>make arrangements</w:t>
            </w:r>
            <w:proofErr w:type="gramEnd"/>
            <w:r w:rsidRPr="002F59C9">
              <w:rPr>
                <w:bCs/>
                <w:color w:val="auto"/>
              </w:rPr>
              <w:t xml:space="preserve"> to secure that people are appropriately ‘involved’ in planning, proposals and decisions regarding NHS services.</w:t>
            </w:r>
          </w:p>
        </w:tc>
      </w:tr>
      <w:tr w:rsidR="00255925" w:rsidRPr="00566BDC" w14:paraId="4514A14F" w14:textId="77777777" w:rsidTr="001B2C38">
        <w:tc>
          <w:tcPr>
            <w:tcW w:w="2962" w:type="dxa"/>
          </w:tcPr>
          <w:p w14:paraId="7AD7246B" w14:textId="77777777" w:rsidR="00255925" w:rsidRDefault="00255925" w:rsidP="001B2C38">
            <w:pPr>
              <w:spacing w:after="0" w:line="240" w:lineRule="auto"/>
              <w:rPr>
                <w:color w:val="auto"/>
              </w:rPr>
            </w:pPr>
            <w:r>
              <w:rPr>
                <w:color w:val="auto"/>
              </w:rPr>
              <w:t>Data Protection / IG</w:t>
            </w:r>
          </w:p>
          <w:p w14:paraId="4EBADFBE" w14:textId="14A0963E" w:rsidR="00B23603" w:rsidRPr="00566BDC" w:rsidRDefault="00B23603" w:rsidP="001B2C38">
            <w:pPr>
              <w:spacing w:after="0" w:line="240" w:lineRule="auto"/>
              <w:rPr>
                <w:color w:val="auto"/>
              </w:rPr>
            </w:pPr>
          </w:p>
        </w:tc>
        <w:tc>
          <w:tcPr>
            <w:tcW w:w="6646" w:type="dxa"/>
          </w:tcPr>
          <w:p w14:paraId="72265EED" w14:textId="3A045CFE" w:rsidR="002D2FBC" w:rsidRPr="0071752E" w:rsidRDefault="0071752E" w:rsidP="001B2C38">
            <w:pPr>
              <w:spacing w:after="0" w:line="240" w:lineRule="auto"/>
              <w:rPr>
                <w:bCs/>
                <w:color w:val="auto"/>
              </w:rPr>
            </w:pPr>
            <w:r w:rsidRPr="0071752E">
              <w:rPr>
                <w:bCs/>
                <w:color w:val="auto"/>
              </w:rPr>
              <w:t>N/A</w:t>
            </w:r>
            <w:r w:rsidR="000B2EFC">
              <w:rPr>
                <w:bCs/>
                <w:color w:val="auto"/>
              </w:rPr>
              <w:t xml:space="preserve"> at present.</w:t>
            </w:r>
          </w:p>
        </w:tc>
      </w:tr>
      <w:tr w:rsidR="004307C4" w:rsidRPr="00566BDC" w14:paraId="542CD7B3" w14:textId="77777777" w:rsidTr="001B2C38">
        <w:tc>
          <w:tcPr>
            <w:tcW w:w="2962" w:type="dxa"/>
          </w:tcPr>
          <w:p w14:paraId="57B08AAB" w14:textId="5E2EF19D" w:rsidR="004307C4" w:rsidRPr="00566BDC" w:rsidRDefault="00F50234" w:rsidP="001B2C38">
            <w:pPr>
              <w:spacing w:after="0" w:line="240" w:lineRule="auto"/>
              <w:rPr>
                <w:b/>
                <w:color w:val="auto"/>
              </w:rPr>
            </w:pPr>
            <w:r>
              <w:rPr>
                <w:color w:val="auto"/>
              </w:rPr>
              <w:t>Health inequality / equality</w:t>
            </w:r>
          </w:p>
        </w:tc>
        <w:tc>
          <w:tcPr>
            <w:tcW w:w="6646" w:type="dxa"/>
          </w:tcPr>
          <w:p w14:paraId="2AC49FA2" w14:textId="6C221D24" w:rsidR="002D2FBC" w:rsidRPr="002F59C9" w:rsidRDefault="002F59C9" w:rsidP="001B2C38">
            <w:pPr>
              <w:spacing w:after="0" w:line="240" w:lineRule="auto"/>
              <w:rPr>
                <w:bCs/>
                <w:color w:val="auto"/>
              </w:rPr>
            </w:pPr>
            <w:r w:rsidRPr="002F59C9">
              <w:rPr>
                <w:bCs/>
                <w:color w:val="auto"/>
              </w:rPr>
              <w:t>Better understanding of public perceptions and experience is key to improving quality, access to care and reducing health inequalities.</w:t>
            </w:r>
          </w:p>
        </w:tc>
      </w:tr>
      <w:tr w:rsidR="00CD20A8" w:rsidRPr="00566BDC" w14:paraId="1C67E1C3" w14:textId="77777777" w:rsidTr="001B2C38">
        <w:tc>
          <w:tcPr>
            <w:tcW w:w="2962" w:type="dxa"/>
          </w:tcPr>
          <w:p w14:paraId="13F94CB5" w14:textId="244B5D6A" w:rsidR="00CD20A8" w:rsidRDefault="00CD20A8" w:rsidP="001B2C38">
            <w:pPr>
              <w:spacing w:after="0" w:line="240" w:lineRule="auto"/>
              <w:rPr>
                <w:color w:val="auto"/>
              </w:rPr>
            </w:pPr>
            <w:r>
              <w:rPr>
                <w:color w:val="auto"/>
              </w:rPr>
              <w:t>Conflict of Interest</w:t>
            </w:r>
            <w:r w:rsidR="00440CA7">
              <w:rPr>
                <w:color w:val="auto"/>
              </w:rPr>
              <w:t xml:space="preserve"> Aspects</w:t>
            </w:r>
          </w:p>
          <w:p w14:paraId="2F9D1286" w14:textId="584CC39D" w:rsidR="00CD20A8" w:rsidRDefault="00CD20A8" w:rsidP="001B2C38">
            <w:pPr>
              <w:spacing w:after="0" w:line="240" w:lineRule="auto"/>
              <w:rPr>
                <w:color w:val="auto"/>
              </w:rPr>
            </w:pPr>
          </w:p>
        </w:tc>
        <w:tc>
          <w:tcPr>
            <w:tcW w:w="6646" w:type="dxa"/>
          </w:tcPr>
          <w:p w14:paraId="37DC6051" w14:textId="313BF0B7" w:rsidR="00CD20A8" w:rsidRPr="0071752E" w:rsidRDefault="0071752E" w:rsidP="001B2C38">
            <w:pPr>
              <w:spacing w:after="0" w:line="240" w:lineRule="auto"/>
              <w:rPr>
                <w:bCs/>
                <w:color w:val="auto"/>
              </w:rPr>
            </w:pPr>
            <w:r w:rsidRPr="0071752E">
              <w:rPr>
                <w:bCs/>
                <w:color w:val="auto"/>
              </w:rPr>
              <w:t>N/A</w:t>
            </w:r>
            <w:r w:rsidR="000B2EFC">
              <w:rPr>
                <w:bCs/>
                <w:color w:val="auto"/>
              </w:rPr>
              <w:t xml:space="preserve"> at present.</w:t>
            </w:r>
          </w:p>
        </w:tc>
      </w:tr>
      <w:tr w:rsidR="004307C4" w:rsidRPr="00566BDC" w14:paraId="7420D59D" w14:textId="77777777" w:rsidTr="001B2C38">
        <w:tc>
          <w:tcPr>
            <w:tcW w:w="2962" w:type="dxa"/>
          </w:tcPr>
          <w:p w14:paraId="2B07DB2D" w14:textId="77777777" w:rsidR="004307C4" w:rsidRDefault="00255925" w:rsidP="001B2C38">
            <w:pPr>
              <w:spacing w:after="0" w:line="240" w:lineRule="auto"/>
              <w:rPr>
                <w:color w:val="auto"/>
              </w:rPr>
            </w:pPr>
            <w:r>
              <w:rPr>
                <w:color w:val="auto"/>
              </w:rPr>
              <w:t>Sustainability</w:t>
            </w:r>
          </w:p>
          <w:p w14:paraId="575BE3AA" w14:textId="677027EF" w:rsidR="0093186A" w:rsidRPr="00566BDC" w:rsidRDefault="0093186A" w:rsidP="001B2C38">
            <w:pPr>
              <w:spacing w:after="0" w:line="240" w:lineRule="auto"/>
              <w:rPr>
                <w:b/>
                <w:color w:val="auto"/>
              </w:rPr>
            </w:pPr>
          </w:p>
        </w:tc>
        <w:tc>
          <w:tcPr>
            <w:tcW w:w="6646" w:type="dxa"/>
          </w:tcPr>
          <w:p w14:paraId="61775A59" w14:textId="665DA8BD" w:rsidR="004307C4" w:rsidRPr="0071752E" w:rsidRDefault="002F59C9" w:rsidP="001B2C38">
            <w:pPr>
              <w:spacing w:after="0" w:line="240" w:lineRule="auto"/>
              <w:rPr>
                <w:bCs/>
                <w:color w:val="auto"/>
              </w:rPr>
            </w:pPr>
            <w:r>
              <w:rPr>
                <w:bCs/>
                <w:color w:val="auto"/>
              </w:rPr>
              <w:t>N/A at present.</w:t>
            </w:r>
          </w:p>
          <w:p w14:paraId="7B39D156" w14:textId="3AD1F487" w:rsidR="002D2FBC" w:rsidRPr="00566BDC" w:rsidRDefault="002D2FBC" w:rsidP="001B2C38">
            <w:pPr>
              <w:spacing w:after="0" w:line="240" w:lineRule="auto"/>
              <w:rPr>
                <w:b/>
                <w:color w:val="auto"/>
              </w:rPr>
            </w:pPr>
          </w:p>
        </w:tc>
      </w:tr>
    </w:tbl>
    <w:p w14:paraId="285336CD" w14:textId="1B6A2B12" w:rsidR="005E2527" w:rsidRPr="001B2C38" w:rsidRDefault="005E2527" w:rsidP="001B2C38">
      <w:pPr>
        <w:spacing w:after="0" w:line="240" w:lineRule="auto"/>
        <w:rPr>
          <w:color w:val="auto"/>
          <w:sz w:val="16"/>
          <w:szCs w:val="16"/>
        </w:rPr>
      </w:pPr>
    </w:p>
    <w:tbl>
      <w:tblPr>
        <w:tblStyle w:val="TableGrid"/>
        <w:tblW w:w="0" w:type="auto"/>
        <w:tblLook w:val="04A0" w:firstRow="1" w:lastRow="0" w:firstColumn="1" w:lastColumn="0" w:noHBand="0" w:noVBand="1"/>
      </w:tblPr>
      <w:tblGrid>
        <w:gridCol w:w="9608"/>
      </w:tblGrid>
      <w:tr w:rsidR="005E2527" w:rsidRPr="00566BDC" w14:paraId="6B25BF82" w14:textId="77777777" w:rsidTr="006C1E7A">
        <w:tc>
          <w:tcPr>
            <w:tcW w:w="9747" w:type="dxa"/>
            <w:tcBorders>
              <w:top w:val="double" w:sz="4" w:space="0" w:color="auto"/>
              <w:left w:val="double" w:sz="4" w:space="0" w:color="auto"/>
              <w:bottom w:val="double" w:sz="4" w:space="0" w:color="auto"/>
              <w:right w:val="double" w:sz="4" w:space="0" w:color="auto"/>
            </w:tcBorders>
          </w:tcPr>
          <w:p w14:paraId="0AB52275" w14:textId="77777777" w:rsidR="005E2527" w:rsidRPr="001B2C38" w:rsidRDefault="005E2527" w:rsidP="001B2C38">
            <w:pPr>
              <w:spacing w:after="0" w:line="240" w:lineRule="auto"/>
              <w:rPr>
                <w:b/>
                <w:color w:val="auto"/>
                <w:sz w:val="16"/>
                <w:szCs w:val="16"/>
              </w:rPr>
            </w:pPr>
            <w:bookmarkStart w:id="4" w:name="_Hlk106134678"/>
          </w:p>
          <w:p w14:paraId="2BFBAB54" w14:textId="77777777" w:rsidR="001B2C38" w:rsidRDefault="00D00EC7" w:rsidP="001B2C38">
            <w:pPr>
              <w:spacing w:after="0" w:line="240" w:lineRule="auto"/>
              <w:rPr>
                <w:color w:val="auto"/>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20443C1C" w14:textId="77777777" w:rsidR="001B2C38" w:rsidRPr="001B2C38" w:rsidRDefault="001B2C38" w:rsidP="001B2C38">
            <w:pPr>
              <w:spacing w:after="0" w:line="240" w:lineRule="auto"/>
              <w:rPr>
                <w:color w:val="auto"/>
                <w:sz w:val="16"/>
                <w:szCs w:val="16"/>
              </w:rPr>
            </w:pPr>
          </w:p>
          <w:p w14:paraId="4F451D39" w14:textId="77777777" w:rsidR="002D2FBC" w:rsidRDefault="002F59C9" w:rsidP="001B2C38">
            <w:pPr>
              <w:spacing w:after="0" w:line="240" w:lineRule="auto"/>
              <w:rPr>
                <w:color w:val="auto"/>
              </w:rPr>
            </w:pPr>
            <w:r>
              <w:rPr>
                <w:color w:val="auto"/>
              </w:rPr>
              <w:t xml:space="preserve">The primary risk is that the ICB </w:t>
            </w:r>
            <w:r w:rsidR="00DA1A34">
              <w:rPr>
                <w:color w:val="auto"/>
              </w:rPr>
              <w:t xml:space="preserve">fails to appropriately </w:t>
            </w:r>
            <w:r w:rsidR="006623FD">
              <w:rPr>
                <w:color w:val="auto"/>
              </w:rPr>
              <w:t>involve</w:t>
            </w:r>
            <w:r w:rsidR="00DA1A34">
              <w:rPr>
                <w:color w:val="auto"/>
              </w:rPr>
              <w:t xml:space="preserve"> the public in it</w:t>
            </w:r>
            <w:r w:rsidR="006623FD">
              <w:rPr>
                <w:color w:val="auto"/>
              </w:rPr>
              <w:t>s</w:t>
            </w:r>
            <w:r w:rsidR="00DA1A34">
              <w:rPr>
                <w:color w:val="auto"/>
              </w:rPr>
              <w:t xml:space="preserve"> </w:t>
            </w:r>
            <w:r w:rsidR="006623FD">
              <w:rPr>
                <w:color w:val="auto"/>
              </w:rPr>
              <w:t>planning,</w:t>
            </w:r>
            <w:r w:rsidR="00DA1A34">
              <w:rPr>
                <w:color w:val="auto"/>
              </w:rPr>
              <w:t xml:space="preserve"> proposals and decision regarding NHS services, as part of its statutory duty. </w:t>
            </w:r>
            <w:r w:rsidR="006623FD">
              <w:rPr>
                <w:color w:val="auto"/>
              </w:rPr>
              <w:t>E</w:t>
            </w:r>
            <w:r w:rsidR="00DA1A34">
              <w:rPr>
                <w:color w:val="auto"/>
              </w:rPr>
              <w:t xml:space="preserve">nsuring </w:t>
            </w:r>
            <w:r w:rsidR="006623FD">
              <w:rPr>
                <w:color w:val="auto"/>
              </w:rPr>
              <w:t xml:space="preserve">that </w:t>
            </w:r>
            <w:r w:rsidR="00DA1A34">
              <w:rPr>
                <w:color w:val="auto"/>
              </w:rPr>
              <w:t>the Voice of the Lived Experience is part of every Board agenda, and that the dashboard and key reports are brought to the Board’s attention is a key part of the mitigation.</w:t>
            </w:r>
          </w:p>
          <w:p w14:paraId="05EA5FD8" w14:textId="77777777" w:rsidR="001B2C38" w:rsidRDefault="001B2C38" w:rsidP="001B2C38">
            <w:pPr>
              <w:spacing w:after="0" w:line="240" w:lineRule="auto"/>
              <w:rPr>
                <w:color w:val="auto"/>
                <w:sz w:val="10"/>
                <w:szCs w:val="10"/>
              </w:rPr>
            </w:pPr>
          </w:p>
          <w:p w14:paraId="5F7D7606" w14:textId="604FAF83" w:rsidR="001B2C38" w:rsidRPr="001B2C38" w:rsidRDefault="001B2C38" w:rsidP="001B2C38">
            <w:pPr>
              <w:spacing w:after="0" w:line="240" w:lineRule="auto"/>
              <w:rPr>
                <w:color w:val="auto"/>
                <w:sz w:val="10"/>
                <w:szCs w:val="10"/>
              </w:rPr>
            </w:pPr>
          </w:p>
        </w:tc>
      </w:tr>
      <w:bookmarkEnd w:id="4"/>
    </w:tbl>
    <w:p w14:paraId="0E1133FC" w14:textId="450414A7" w:rsidR="00043155" w:rsidRPr="001B2C38" w:rsidRDefault="00043155" w:rsidP="001B2C38">
      <w:pPr>
        <w:spacing w:after="0" w:line="240" w:lineRule="auto"/>
        <w:rPr>
          <w:color w:val="auto"/>
          <w:sz w:val="16"/>
          <w:szCs w:val="16"/>
        </w:rPr>
      </w:pPr>
    </w:p>
    <w:tbl>
      <w:tblPr>
        <w:tblStyle w:val="TableGrid"/>
        <w:tblW w:w="0" w:type="auto"/>
        <w:tblLook w:val="04A0" w:firstRow="1" w:lastRow="0" w:firstColumn="1" w:lastColumn="0" w:noHBand="0" w:noVBand="1"/>
      </w:tblPr>
      <w:tblGrid>
        <w:gridCol w:w="9608"/>
      </w:tblGrid>
      <w:tr w:rsidR="00043155" w:rsidRPr="00566BDC" w14:paraId="7C027CCA" w14:textId="77777777" w:rsidTr="006C1E7A">
        <w:tc>
          <w:tcPr>
            <w:tcW w:w="9747" w:type="dxa"/>
            <w:tcBorders>
              <w:top w:val="double" w:sz="4" w:space="0" w:color="auto"/>
              <w:left w:val="double" w:sz="4" w:space="0" w:color="auto"/>
              <w:bottom w:val="double" w:sz="4" w:space="0" w:color="auto"/>
              <w:right w:val="double" w:sz="4" w:space="0" w:color="auto"/>
            </w:tcBorders>
          </w:tcPr>
          <w:p w14:paraId="3E9DE11A" w14:textId="77777777" w:rsidR="00043155" w:rsidRPr="001B2C38" w:rsidRDefault="00043155" w:rsidP="001B2C38">
            <w:pPr>
              <w:spacing w:after="0" w:line="240" w:lineRule="auto"/>
              <w:rPr>
                <w:b/>
                <w:color w:val="auto"/>
                <w:sz w:val="16"/>
                <w:szCs w:val="16"/>
              </w:rPr>
            </w:pPr>
          </w:p>
          <w:p w14:paraId="01219628" w14:textId="0B6B9EFD" w:rsidR="00043155" w:rsidRDefault="00043155" w:rsidP="001B2C38">
            <w:pPr>
              <w:spacing w:after="0" w:line="240" w:lineRule="auto"/>
              <w:rPr>
                <w:color w:val="auto"/>
              </w:rPr>
            </w:pPr>
            <w:r>
              <w:rPr>
                <w:b/>
                <w:color w:val="auto"/>
              </w:rPr>
              <w:t>MONITORING AND ASSURANCE</w:t>
            </w:r>
            <w:r w:rsidRPr="00566BDC">
              <w:rPr>
                <w:b/>
                <w:color w:val="auto"/>
              </w:rPr>
              <w:t>:</w:t>
            </w:r>
            <w:r>
              <w:rPr>
                <w:b/>
                <w:color w:val="auto"/>
              </w:rPr>
              <w:t xml:space="preserve"> </w:t>
            </w:r>
          </w:p>
          <w:p w14:paraId="516BE25F" w14:textId="05833D99" w:rsidR="00043155" w:rsidRPr="001B2C38" w:rsidRDefault="00043155" w:rsidP="001B2C38">
            <w:pPr>
              <w:spacing w:after="0" w:line="240" w:lineRule="auto"/>
              <w:rPr>
                <w:color w:val="auto"/>
                <w:sz w:val="16"/>
                <w:szCs w:val="16"/>
              </w:rPr>
            </w:pPr>
          </w:p>
          <w:p w14:paraId="7BB85618" w14:textId="690E99C7" w:rsidR="000B2EFC" w:rsidRPr="006E11AB" w:rsidRDefault="00A83B92" w:rsidP="001B2C38">
            <w:pPr>
              <w:spacing w:after="0" w:line="240" w:lineRule="auto"/>
              <w:rPr>
                <w:color w:val="auto"/>
              </w:rPr>
            </w:pPr>
            <w:r>
              <w:rPr>
                <w:color w:val="auto"/>
              </w:rPr>
              <w:t>As part</w:t>
            </w:r>
            <w:r w:rsidR="00DA1A34">
              <w:rPr>
                <w:color w:val="auto"/>
              </w:rPr>
              <w:t xml:space="preserve"> of the task and </w:t>
            </w:r>
            <w:r w:rsidR="006623FD">
              <w:rPr>
                <w:color w:val="auto"/>
              </w:rPr>
              <w:t>finish</w:t>
            </w:r>
            <w:r w:rsidR="00DA1A34">
              <w:rPr>
                <w:color w:val="auto"/>
              </w:rPr>
              <w:t xml:space="preserve"> </w:t>
            </w:r>
            <w:r w:rsidR="006623FD">
              <w:rPr>
                <w:color w:val="auto"/>
              </w:rPr>
              <w:t>group</w:t>
            </w:r>
            <w:r w:rsidR="00DA1A34">
              <w:rPr>
                <w:color w:val="auto"/>
              </w:rPr>
              <w:t xml:space="preserve"> activity, g</w:t>
            </w:r>
            <w:r w:rsidR="001E0739">
              <w:rPr>
                <w:color w:val="auto"/>
              </w:rPr>
              <w:t>overnance</w:t>
            </w:r>
            <w:r>
              <w:rPr>
                <w:color w:val="auto"/>
              </w:rPr>
              <w:t xml:space="preserve"> and assurance</w:t>
            </w:r>
            <w:r w:rsidR="00DA1A34">
              <w:rPr>
                <w:color w:val="auto"/>
              </w:rPr>
              <w:t xml:space="preserve"> is being reviewed. </w:t>
            </w:r>
          </w:p>
          <w:p w14:paraId="5FEC0180" w14:textId="77777777" w:rsidR="00043155" w:rsidRPr="00566BDC" w:rsidRDefault="00043155" w:rsidP="001B2C38">
            <w:pPr>
              <w:spacing w:after="0" w:line="240" w:lineRule="auto"/>
              <w:rPr>
                <w:color w:val="auto"/>
              </w:rPr>
            </w:pPr>
          </w:p>
        </w:tc>
      </w:tr>
    </w:tbl>
    <w:p w14:paraId="489916CB" w14:textId="39492D09" w:rsidR="00043155" w:rsidRPr="001B2C38" w:rsidRDefault="00043155" w:rsidP="001B2C38">
      <w:pPr>
        <w:spacing w:after="0" w:line="240" w:lineRule="auto"/>
        <w:rPr>
          <w:color w:val="auto"/>
          <w:sz w:val="16"/>
          <w:szCs w:val="16"/>
        </w:rPr>
      </w:pPr>
    </w:p>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1B2C38" w:rsidRDefault="00566BDC" w:rsidP="001B2C38">
            <w:pPr>
              <w:spacing w:after="0" w:line="240" w:lineRule="auto"/>
              <w:rPr>
                <w:b/>
                <w:color w:val="auto"/>
                <w:sz w:val="16"/>
                <w:szCs w:val="16"/>
              </w:rPr>
            </w:pPr>
            <w:bookmarkStart w:id="5" w:name="_Hlk106098484"/>
          </w:p>
          <w:p w14:paraId="4734DBB0" w14:textId="3ABF0842" w:rsidR="00880E9F" w:rsidRPr="0063018A" w:rsidRDefault="00880E9F" w:rsidP="001B2C38">
            <w:pPr>
              <w:spacing w:after="0" w:line="240" w:lineRule="auto"/>
              <w:rPr>
                <w:color w:val="auto"/>
              </w:rPr>
            </w:pPr>
            <w:r w:rsidRPr="00566BDC">
              <w:rPr>
                <w:b/>
                <w:color w:val="auto"/>
              </w:rPr>
              <w:t>ENGAGEMENT:</w:t>
            </w:r>
            <w:r w:rsidRPr="00566BDC">
              <w:rPr>
                <w:color w:val="auto"/>
              </w:rPr>
              <w:t xml:space="preserve"> </w:t>
            </w:r>
          </w:p>
          <w:p w14:paraId="02E3FF42" w14:textId="77777777" w:rsidR="00880E9F" w:rsidRPr="001B2C38" w:rsidRDefault="00880E9F" w:rsidP="001B2C38">
            <w:pPr>
              <w:spacing w:after="0" w:line="240" w:lineRule="auto"/>
              <w:rPr>
                <w:color w:val="auto"/>
                <w:sz w:val="16"/>
                <w:szCs w:val="16"/>
              </w:rPr>
            </w:pPr>
          </w:p>
          <w:p w14:paraId="710C2F7F" w14:textId="77777777" w:rsidR="00DA1A34" w:rsidRDefault="00B716B3" w:rsidP="001B2C38">
            <w:pPr>
              <w:spacing w:after="0" w:line="240" w:lineRule="auto"/>
              <w:rPr>
                <w:color w:val="auto"/>
              </w:rPr>
            </w:pPr>
            <w:r>
              <w:rPr>
                <w:color w:val="auto"/>
              </w:rPr>
              <w:t>Extensive engagement was conducted with members of the public across Humber and North Yorkshire, including targeted groups.</w:t>
            </w:r>
            <w:r w:rsidR="00DA1A34">
              <w:rPr>
                <w:color w:val="auto"/>
              </w:rPr>
              <w:t xml:space="preserve"> </w:t>
            </w:r>
          </w:p>
          <w:p w14:paraId="02D6A569" w14:textId="1E9A6AF5" w:rsidR="001B2C38" w:rsidRPr="00566BDC" w:rsidRDefault="001B2C38" w:rsidP="001B2C38">
            <w:pPr>
              <w:spacing w:after="0" w:line="240" w:lineRule="auto"/>
              <w:rPr>
                <w:color w:val="auto"/>
              </w:rPr>
            </w:pPr>
          </w:p>
        </w:tc>
      </w:tr>
      <w:bookmarkEnd w:id="5"/>
    </w:tbl>
    <w:p w14:paraId="784EBC53" w14:textId="464D2516" w:rsidR="00880E9F" w:rsidRPr="00566BDC" w:rsidRDefault="00880E9F" w:rsidP="0010586B">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14:paraId="0FEFEDA4" w14:textId="77777777" w:rsidTr="00CD20A8">
        <w:trPr>
          <w:trHeight w:val="427"/>
        </w:trPr>
        <w:tc>
          <w:tcPr>
            <w:tcW w:w="9608" w:type="dxa"/>
            <w:tcBorders>
              <w:bottom w:val="nil"/>
            </w:tcBorders>
          </w:tcPr>
          <w:p w14:paraId="39D3DDC7" w14:textId="17218D97" w:rsidR="00CD20A8" w:rsidRPr="00524FEE" w:rsidRDefault="00CD20A8" w:rsidP="00CD20A8">
            <w:pPr>
              <w:spacing w:after="0"/>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563B91">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0086751B">
        <w:tc>
          <w:tcPr>
            <w:tcW w:w="9608" w:type="dxa"/>
            <w:tcBorders>
              <w:top w:val="nil"/>
            </w:tcBorders>
          </w:tcPr>
          <w:p w14:paraId="6B3410EE" w14:textId="05A0B2C8" w:rsidR="004F190C" w:rsidRPr="00CD20A8" w:rsidRDefault="004F190C" w:rsidP="0086751B">
            <w:pPr>
              <w:spacing w:after="0"/>
              <w:rPr>
                <w:color w:val="auto"/>
                <w:sz w:val="20"/>
              </w:rPr>
            </w:pPr>
            <w:r w:rsidRPr="00BD03D7">
              <w:rPr>
                <w:color w:val="auto"/>
                <w:sz w:val="20"/>
              </w:rPr>
              <w:t xml:space="preserve">If yes, </w:t>
            </w:r>
            <w:r>
              <w:rPr>
                <w:color w:val="auto"/>
                <w:sz w:val="20"/>
              </w:rPr>
              <w:t xml:space="preserve">please </w:t>
            </w:r>
            <w:r w:rsidR="006C31DB">
              <w:rPr>
                <w:color w:val="auto"/>
                <w:sz w:val="20"/>
              </w:rPr>
              <w:t>detail</w:t>
            </w:r>
            <w:r>
              <w:rPr>
                <w:color w:val="auto"/>
                <w:sz w:val="20"/>
              </w:rPr>
              <w:t xml:space="preserve"> the </w:t>
            </w:r>
            <w:r w:rsidR="006C31DB">
              <w:rPr>
                <w:color w:val="auto"/>
                <w:sz w:val="20"/>
              </w:rPr>
              <w:t xml:space="preserve">specific </w:t>
            </w:r>
            <w:r>
              <w:rPr>
                <w:color w:val="auto"/>
                <w:sz w:val="20"/>
              </w:rPr>
              <w:t xml:space="preserve">grounds for </w:t>
            </w:r>
            <w:r w:rsidR="00B23603">
              <w:rPr>
                <w:color w:val="auto"/>
                <w:sz w:val="20"/>
              </w:rPr>
              <w:t>exemption.</w:t>
            </w:r>
            <w:r w:rsidR="00CD20A8">
              <w:rPr>
                <w:color w:val="auto"/>
                <w:sz w:val="20"/>
              </w:rPr>
              <w:t xml:space="preserve">    </w:t>
            </w:r>
          </w:p>
          <w:p w14:paraId="3CB6CF64" w14:textId="477A7C29" w:rsidR="004F190C" w:rsidRPr="00BD03D7" w:rsidRDefault="004F190C" w:rsidP="0086751B">
            <w:pPr>
              <w:spacing w:after="0"/>
              <w:rPr>
                <w:b/>
                <w:color w:val="auto"/>
              </w:rPr>
            </w:pPr>
          </w:p>
        </w:tc>
      </w:tr>
    </w:tbl>
    <w:p w14:paraId="16B805DE" w14:textId="0446CC03" w:rsidR="006C6CAA" w:rsidRDefault="006C6CAA" w:rsidP="003D3904">
      <w:pPr>
        <w:rPr>
          <w:b/>
          <w:bCs/>
          <w:color w:val="auto"/>
          <w:sz w:val="24"/>
          <w:szCs w:val="24"/>
        </w:rPr>
      </w:pPr>
    </w:p>
    <w:sectPr w:rsidR="006C6CAA" w:rsidSect="000A5B90">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E01DC" w14:textId="77777777" w:rsidR="00E92C1B" w:rsidRDefault="00E92C1B" w:rsidP="00206B76">
      <w:pPr>
        <w:spacing w:after="0" w:line="240" w:lineRule="auto"/>
      </w:pPr>
      <w:r>
        <w:separator/>
      </w:r>
    </w:p>
  </w:endnote>
  <w:endnote w:type="continuationSeparator" w:id="0">
    <w:p w14:paraId="54F1EAEE" w14:textId="77777777" w:rsidR="00E92C1B" w:rsidRDefault="00E92C1B"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A4935" w14:textId="77777777" w:rsidR="00E92C1B" w:rsidRDefault="00E92C1B" w:rsidP="00206B76">
      <w:pPr>
        <w:spacing w:after="0" w:line="240" w:lineRule="auto"/>
      </w:pPr>
      <w:r>
        <w:separator/>
      </w:r>
    </w:p>
  </w:footnote>
  <w:footnote w:type="continuationSeparator" w:id="0">
    <w:p w14:paraId="3A620235" w14:textId="77777777" w:rsidR="00E92C1B" w:rsidRDefault="00E92C1B"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257"/>
    <w:multiLevelType w:val="hybridMultilevel"/>
    <w:tmpl w:val="2E5E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E207B"/>
    <w:multiLevelType w:val="hybridMultilevel"/>
    <w:tmpl w:val="AA14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F0AAA"/>
    <w:multiLevelType w:val="hybridMultilevel"/>
    <w:tmpl w:val="6E067AEC"/>
    <w:lvl w:ilvl="0" w:tplc="65B68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17FE7"/>
    <w:multiLevelType w:val="hybridMultilevel"/>
    <w:tmpl w:val="6D364726"/>
    <w:lvl w:ilvl="0" w:tplc="08090001">
      <w:start w:val="1"/>
      <w:numFmt w:val="bullet"/>
      <w:lvlText w:val=""/>
      <w:lvlJc w:val="left"/>
      <w:pPr>
        <w:ind w:left="720" w:hanging="360"/>
      </w:pPr>
      <w:rPr>
        <w:rFonts w:ascii="Symbol" w:hAnsi="Symbol" w:hint="default"/>
      </w:rPr>
    </w:lvl>
    <w:lvl w:ilvl="1" w:tplc="6EEA7E00">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D4BF4"/>
    <w:multiLevelType w:val="hybridMultilevel"/>
    <w:tmpl w:val="402E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9128E"/>
    <w:multiLevelType w:val="hybridMultilevel"/>
    <w:tmpl w:val="0900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3020D"/>
    <w:multiLevelType w:val="multilevel"/>
    <w:tmpl w:val="9A8C6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DF5D0E"/>
    <w:multiLevelType w:val="hybridMultilevel"/>
    <w:tmpl w:val="5B64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453FB"/>
    <w:multiLevelType w:val="hybridMultilevel"/>
    <w:tmpl w:val="17F0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562C9"/>
    <w:multiLevelType w:val="multilevel"/>
    <w:tmpl w:val="2B84E7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0A6EF7"/>
    <w:multiLevelType w:val="hybridMultilevel"/>
    <w:tmpl w:val="AF5E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C06DF"/>
    <w:multiLevelType w:val="hybridMultilevel"/>
    <w:tmpl w:val="A928F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425667"/>
    <w:multiLevelType w:val="hybridMultilevel"/>
    <w:tmpl w:val="D10E8F66"/>
    <w:lvl w:ilvl="0" w:tplc="AB7C6696">
      <w:start w:val="1"/>
      <w:numFmt w:val="bullet"/>
      <w:lvlText w:val="•"/>
      <w:lvlJc w:val="left"/>
      <w:pPr>
        <w:tabs>
          <w:tab w:val="num" w:pos="720"/>
        </w:tabs>
        <w:ind w:left="720" w:hanging="360"/>
      </w:pPr>
      <w:rPr>
        <w:rFonts w:ascii="Arial" w:hAnsi="Arial" w:hint="default"/>
      </w:rPr>
    </w:lvl>
    <w:lvl w:ilvl="1" w:tplc="E1DEC122" w:tentative="1">
      <w:start w:val="1"/>
      <w:numFmt w:val="bullet"/>
      <w:lvlText w:val="•"/>
      <w:lvlJc w:val="left"/>
      <w:pPr>
        <w:tabs>
          <w:tab w:val="num" w:pos="1440"/>
        </w:tabs>
        <w:ind w:left="1440" w:hanging="360"/>
      </w:pPr>
      <w:rPr>
        <w:rFonts w:ascii="Arial" w:hAnsi="Arial" w:hint="default"/>
      </w:rPr>
    </w:lvl>
    <w:lvl w:ilvl="2" w:tplc="D71E17FA" w:tentative="1">
      <w:start w:val="1"/>
      <w:numFmt w:val="bullet"/>
      <w:lvlText w:val="•"/>
      <w:lvlJc w:val="left"/>
      <w:pPr>
        <w:tabs>
          <w:tab w:val="num" w:pos="2160"/>
        </w:tabs>
        <w:ind w:left="2160" w:hanging="360"/>
      </w:pPr>
      <w:rPr>
        <w:rFonts w:ascii="Arial" w:hAnsi="Arial" w:hint="default"/>
      </w:rPr>
    </w:lvl>
    <w:lvl w:ilvl="3" w:tplc="32488598" w:tentative="1">
      <w:start w:val="1"/>
      <w:numFmt w:val="bullet"/>
      <w:lvlText w:val="•"/>
      <w:lvlJc w:val="left"/>
      <w:pPr>
        <w:tabs>
          <w:tab w:val="num" w:pos="2880"/>
        </w:tabs>
        <w:ind w:left="2880" w:hanging="360"/>
      </w:pPr>
      <w:rPr>
        <w:rFonts w:ascii="Arial" w:hAnsi="Arial" w:hint="default"/>
      </w:rPr>
    </w:lvl>
    <w:lvl w:ilvl="4" w:tplc="AB42AEE6" w:tentative="1">
      <w:start w:val="1"/>
      <w:numFmt w:val="bullet"/>
      <w:lvlText w:val="•"/>
      <w:lvlJc w:val="left"/>
      <w:pPr>
        <w:tabs>
          <w:tab w:val="num" w:pos="3600"/>
        </w:tabs>
        <w:ind w:left="3600" w:hanging="360"/>
      </w:pPr>
      <w:rPr>
        <w:rFonts w:ascii="Arial" w:hAnsi="Arial" w:hint="default"/>
      </w:rPr>
    </w:lvl>
    <w:lvl w:ilvl="5" w:tplc="453EE2B8" w:tentative="1">
      <w:start w:val="1"/>
      <w:numFmt w:val="bullet"/>
      <w:lvlText w:val="•"/>
      <w:lvlJc w:val="left"/>
      <w:pPr>
        <w:tabs>
          <w:tab w:val="num" w:pos="4320"/>
        </w:tabs>
        <w:ind w:left="4320" w:hanging="360"/>
      </w:pPr>
      <w:rPr>
        <w:rFonts w:ascii="Arial" w:hAnsi="Arial" w:hint="default"/>
      </w:rPr>
    </w:lvl>
    <w:lvl w:ilvl="6" w:tplc="7340C700" w:tentative="1">
      <w:start w:val="1"/>
      <w:numFmt w:val="bullet"/>
      <w:lvlText w:val="•"/>
      <w:lvlJc w:val="left"/>
      <w:pPr>
        <w:tabs>
          <w:tab w:val="num" w:pos="5040"/>
        </w:tabs>
        <w:ind w:left="5040" w:hanging="360"/>
      </w:pPr>
      <w:rPr>
        <w:rFonts w:ascii="Arial" w:hAnsi="Arial" w:hint="default"/>
      </w:rPr>
    </w:lvl>
    <w:lvl w:ilvl="7" w:tplc="C366B592" w:tentative="1">
      <w:start w:val="1"/>
      <w:numFmt w:val="bullet"/>
      <w:lvlText w:val="•"/>
      <w:lvlJc w:val="left"/>
      <w:pPr>
        <w:tabs>
          <w:tab w:val="num" w:pos="5760"/>
        </w:tabs>
        <w:ind w:left="5760" w:hanging="360"/>
      </w:pPr>
      <w:rPr>
        <w:rFonts w:ascii="Arial" w:hAnsi="Arial" w:hint="default"/>
      </w:rPr>
    </w:lvl>
    <w:lvl w:ilvl="8" w:tplc="28523F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FC0CCB"/>
    <w:multiLevelType w:val="hybridMultilevel"/>
    <w:tmpl w:val="F222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52890"/>
    <w:multiLevelType w:val="multilevel"/>
    <w:tmpl w:val="F9DC2C6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B1117"/>
    <w:multiLevelType w:val="multilevel"/>
    <w:tmpl w:val="F9DC2C6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E4DA4"/>
    <w:multiLevelType w:val="hybridMultilevel"/>
    <w:tmpl w:val="AA7A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822D7"/>
    <w:multiLevelType w:val="hybridMultilevel"/>
    <w:tmpl w:val="73C0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461A2"/>
    <w:multiLevelType w:val="hybridMultilevel"/>
    <w:tmpl w:val="94B42264"/>
    <w:lvl w:ilvl="0" w:tplc="A794517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1F21376"/>
    <w:multiLevelType w:val="hybridMultilevel"/>
    <w:tmpl w:val="B03C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0383A"/>
    <w:multiLevelType w:val="hybridMultilevel"/>
    <w:tmpl w:val="6AEC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75F31"/>
    <w:multiLevelType w:val="multilevel"/>
    <w:tmpl w:val="2B84E7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45663C"/>
    <w:multiLevelType w:val="hybridMultilevel"/>
    <w:tmpl w:val="54CCA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666477">
    <w:abstractNumId w:val="16"/>
  </w:num>
  <w:num w:numId="2" w16cid:durableId="882718920">
    <w:abstractNumId w:val="3"/>
  </w:num>
  <w:num w:numId="3" w16cid:durableId="69666238">
    <w:abstractNumId w:val="0"/>
  </w:num>
  <w:num w:numId="4" w16cid:durableId="86193173">
    <w:abstractNumId w:val="7"/>
  </w:num>
  <w:num w:numId="5" w16cid:durableId="1161777815">
    <w:abstractNumId w:val="11"/>
  </w:num>
  <w:num w:numId="6" w16cid:durableId="711077932">
    <w:abstractNumId w:val="20"/>
  </w:num>
  <w:num w:numId="7" w16cid:durableId="1752845817">
    <w:abstractNumId w:val="9"/>
  </w:num>
  <w:num w:numId="8" w16cid:durableId="1268586603">
    <w:abstractNumId w:val="23"/>
  </w:num>
  <w:num w:numId="9" w16cid:durableId="1168062679">
    <w:abstractNumId w:val="27"/>
  </w:num>
  <w:num w:numId="10" w16cid:durableId="1092311845">
    <w:abstractNumId w:val="22"/>
  </w:num>
  <w:num w:numId="11" w16cid:durableId="679045621">
    <w:abstractNumId w:val="13"/>
  </w:num>
  <w:num w:numId="12" w16cid:durableId="1551503190">
    <w:abstractNumId w:val="19"/>
  </w:num>
  <w:num w:numId="13" w16cid:durableId="774637503">
    <w:abstractNumId w:val="21"/>
  </w:num>
  <w:num w:numId="14" w16cid:durableId="101265943">
    <w:abstractNumId w:val="24"/>
  </w:num>
  <w:num w:numId="15" w16cid:durableId="744255836">
    <w:abstractNumId w:val="4"/>
  </w:num>
  <w:num w:numId="16" w16cid:durableId="1675718757">
    <w:abstractNumId w:val="28"/>
  </w:num>
  <w:num w:numId="17" w16cid:durableId="1191258937">
    <w:abstractNumId w:val="25"/>
  </w:num>
  <w:num w:numId="18" w16cid:durableId="1910455670">
    <w:abstractNumId w:val="8"/>
  </w:num>
  <w:num w:numId="19" w16cid:durableId="1738823400">
    <w:abstractNumId w:val="15"/>
  </w:num>
  <w:num w:numId="20" w16cid:durableId="529874347">
    <w:abstractNumId w:val="26"/>
  </w:num>
  <w:num w:numId="21" w16cid:durableId="538591460">
    <w:abstractNumId w:val="12"/>
  </w:num>
  <w:num w:numId="22" w16cid:durableId="1757288462">
    <w:abstractNumId w:val="2"/>
  </w:num>
  <w:num w:numId="23" w16cid:durableId="1979073167">
    <w:abstractNumId w:val="10"/>
  </w:num>
  <w:num w:numId="24" w16cid:durableId="1464612525">
    <w:abstractNumId w:val="14"/>
  </w:num>
  <w:num w:numId="25" w16cid:durableId="1389457780">
    <w:abstractNumId w:val="17"/>
  </w:num>
  <w:num w:numId="26" w16cid:durableId="683555275">
    <w:abstractNumId w:val="18"/>
  </w:num>
  <w:num w:numId="27" w16cid:durableId="697774994">
    <w:abstractNumId w:val="5"/>
  </w:num>
  <w:num w:numId="28" w16cid:durableId="260530672">
    <w:abstractNumId w:val="1"/>
  </w:num>
  <w:num w:numId="29" w16cid:durableId="115379373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26704"/>
    <w:rsid w:val="000302F3"/>
    <w:rsid w:val="00043155"/>
    <w:rsid w:val="00045447"/>
    <w:rsid w:val="00047BA1"/>
    <w:rsid w:val="000601A8"/>
    <w:rsid w:val="0006137D"/>
    <w:rsid w:val="00065017"/>
    <w:rsid w:val="00080753"/>
    <w:rsid w:val="000830E8"/>
    <w:rsid w:val="00085A81"/>
    <w:rsid w:val="00095494"/>
    <w:rsid w:val="000A2C91"/>
    <w:rsid w:val="000A5B90"/>
    <w:rsid w:val="000A6313"/>
    <w:rsid w:val="000B082B"/>
    <w:rsid w:val="000B2EFC"/>
    <w:rsid w:val="000B6058"/>
    <w:rsid w:val="000B7B78"/>
    <w:rsid w:val="000C3DF7"/>
    <w:rsid w:val="000D2F25"/>
    <w:rsid w:val="000E4B82"/>
    <w:rsid w:val="000E54A7"/>
    <w:rsid w:val="000E6CE5"/>
    <w:rsid w:val="000F00F0"/>
    <w:rsid w:val="000F6182"/>
    <w:rsid w:val="000F681C"/>
    <w:rsid w:val="001049D6"/>
    <w:rsid w:val="0010586B"/>
    <w:rsid w:val="0010672E"/>
    <w:rsid w:val="00117908"/>
    <w:rsid w:val="00122DFC"/>
    <w:rsid w:val="00131375"/>
    <w:rsid w:val="00133A04"/>
    <w:rsid w:val="00137DBB"/>
    <w:rsid w:val="00165FAE"/>
    <w:rsid w:val="00167407"/>
    <w:rsid w:val="0017450E"/>
    <w:rsid w:val="001774D9"/>
    <w:rsid w:val="00186878"/>
    <w:rsid w:val="00196845"/>
    <w:rsid w:val="001A1DBB"/>
    <w:rsid w:val="001A441A"/>
    <w:rsid w:val="001B1EF2"/>
    <w:rsid w:val="001B25C2"/>
    <w:rsid w:val="001B2C38"/>
    <w:rsid w:val="001C09DB"/>
    <w:rsid w:val="001C2543"/>
    <w:rsid w:val="001C6F52"/>
    <w:rsid w:val="001C786C"/>
    <w:rsid w:val="001E0739"/>
    <w:rsid w:val="001E6526"/>
    <w:rsid w:val="001E780C"/>
    <w:rsid w:val="002001E7"/>
    <w:rsid w:val="00202518"/>
    <w:rsid w:val="00204AC7"/>
    <w:rsid w:val="00206B76"/>
    <w:rsid w:val="00211B1F"/>
    <w:rsid w:val="0021269C"/>
    <w:rsid w:val="00213DF2"/>
    <w:rsid w:val="0021698E"/>
    <w:rsid w:val="002170BA"/>
    <w:rsid w:val="00221680"/>
    <w:rsid w:val="002258B0"/>
    <w:rsid w:val="002415F0"/>
    <w:rsid w:val="002418A9"/>
    <w:rsid w:val="0025572F"/>
    <w:rsid w:val="00255925"/>
    <w:rsid w:val="00263D8C"/>
    <w:rsid w:val="00270E1F"/>
    <w:rsid w:val="00273C37"/>
    <w:rsid w:val="0029694C"/>
    <w:rsid w:val="002A13D9"/>
    <w:rsid w:val="002A33AE"/>
    <w:rsid w:val="002A5816"/>
    <w:rsid w:val="002B0F1C"/>
    <w:rsid w:val="002B21BA"/>
    <w:rsid w:val="002B4676"/>
    <w:rsid w:val="002B5059"/>
    <w:rsid w:val="002B6F55"/>
    <w:rsid w:val="002B7229"/>
    <w:rsid w:val="002D223A"/>
    <w:rsid w:val="002D22F3"/>
    <w:rsid w:val="002D2FBC"/>
    <w:rsid w:val="002D4BC5"/>
    <w:rsid w:val="002D7FCB"/>
    <w:rsid w:val="002E50F3"/>
    <w:rsid w:val="002F59C9"/>
    <w:rsid w:val="0030048D"/>
    <w:rsid w:val="00303057"/>
    <w:rsid w:val="00310A09"/>
    <w:rsid w:val="00326FBF"/>
    <w:rsid w:val="003312D3"/>
    <w:rsid w:val="003315EE"/>
    <w:rsid w:val="00331688"/>
    <w:rsid w:val="00340567"/>
    <w:rsid w:val="0034324D"/>
    <w:rsid w:val="003728AB"/>
    <w:rsid w:val="003734A1"/>
    <w:rsid w:val="00373698"/>
    <w:rsid w:val="0037462C"/>
    <w:rsid w:val="00375B48"/>
    <w:rsid w:val="0037732B"/>
    <w:rsid w:val="00381FC0"/>
    <w:rsid w:val="00386180"/>
    <w:rsid w:val="00390986"/>
    <w:rsid w:val="00390F40"/>
    <w:rsid w:val="003A14A9"/>
    <w:rsid w:val="003A1818"/>
    <w:rsid w:val="003A367C"/>
    <w:rsid w:val="003B2F18"/>
    <w:rsid w:val="003B6637"/>
    <w:rsid w:val="003C1D6F"/>
    <w:rsid w:val="003C5AB0"/>
    <w:rsid w:val="003D11C8"/>
    <w:rsid w:val="003D379C"/>
    <w:rsid w:val="003D3904"/>
    <w:rsid w:val="003D47EE"/>
    <w:rsid w:val="003E1821"/>
    <w:rsid w:val="003E2167"/>
    <w:rsid w:val="003E336A"/>
    <w:rsid w:val="003E5B87"/>
    <w:rsid w:val="003F6485"/>
    <w:rsid w:val="003F7FBC"/>
    <w:rsid w:val="00401E6D"/>
    <w:rsid w:val="004159D1"/>
    <w:rsid w:val="004307C4"/>
    <w:rsid w:val="00431C03"/>
    <w:rsid w:val="00440CA7"/>
    <w:rsid w:val="00440CFB"/>
    <w:rsid w:val="00445AFD"/>
    <w:rsid w:val="0046152F"/>
    <w:rsid w:val="00466779"/>
    <w:rsid w:val="004765EA"/>
    <w:rsid w:val="00476E2A"/>
    <w:rsid w:val="00481604"/>
    <w:rsid w:val="00485613"/>
    <w:rsid w:val="00490B12"/>
    <w:rsid w:val="0049270B"/>
    <w:rsid w:val="0049375E"/>
    <w:rsid w:val="00496429"/>
    <w:rsid w:val="00497DAE"/>
    <w:rsid w:val="004A429C"/>
    <w:rsid w:val="004A4AF8"/>
    <w:rsid w:val="004A4FEF"/>
    <w:rsid w:val="004A6F2B"/>
    <w:rsid w:val="004B0CCF"/>
    <w:rsid w:val="004B6A05"/>
    <w:rsid w:val="004B7D12"/>
    <w:rsid w:val="004C16F5"/>
    <w:rsid w:val="004C2764"/>
    <w:rsid w:val="004D060E"/>
    <w:rsid w:val="004F1273"/>
    <w:rsid w:val="004F190C"/>
    <w:rsid w:val="004F3385"/>
    <w:rsid w:val="0050341E"/>
    <w:rsid w:val="00505381"/>
    <w:rsid w:val="0051512E"/>
    <w:rsid w:val="00521467"/>
    <w:rsid w:val="00524FEE"/>
    <w:rsid w:val="0052611C"/>
    <w:rsid w:val="00556818"/>
    <w:rsid w:val="00563B91"/>
    <w:rsid w:val="00563C6A"/>
    <w:rsid w:val="00566BDC"/>
    <w:rsid w:val="005829D5"/>
    <w:rsid w:val="0059099C"/>
    <w:rsid w:val="0059566F"/>
    <w:rsid w:val="005A0576"/>
    <w:rsid w:val="005A3F90"/>
    <w:rsid w:val="005A6CEB"/>
    <w:rsid w:val="005A7BEA"/>
    <w:rsid w:val="005C4DDD"/>
    <w:rsid w:val="005C6C78"/>
    <w:rsid w:val="005D3300"/>
    <w:rsid w:val="005E1A4B"/>
    <w:rsid w:val="005E2527"/>
    <w:rsid w:val="005F3077"/>
    <w:rsid w:val="005F3CA8"/>
    <w:rsid w:val="00604489"/>
    <w:rsid w:val="00606936"/>
    <w:rsid w:val="0061348C"/>
    <w:rsid w:val="006219EE"/>
    <w:rsid w:val="0063018A"/>
    <w:rsid w:val="00631548"/>
    <w:rsid w:val="0063369F"/>
    <w:rsid w:val="00634CC3"/>
    <w:rsid w:val="006353ED"/>
    <w:rsid w:val="006362B9"/>
    <w:rsid w:val="0063726D"/>
    <w:rsid w:val="006500B1"/>
    <w:rsid w:val="00651D97"/>
    <w:rsid w:val="006552CE"/>
    <w:rsid w:val="00657EA8"/>
    <w:rsid w:val="00661ED3"/>
    <w:rsid w:val="006623FD"/>
    <w:rsid w:val="00692EB3"/>
    <w:rsid w:val="00696CD9"/>
    <w:rsid w:val="006C125A"/>
    <w:rsid w:val="006C1E7A"/>
    <w:rsid w:val="006C31DB"/>
    <w:rsid w:val="006C4C28"/>
    <w:rsid w:val="006C6CAA"/>
    <w:rsid w:val="006C7A4C"/>
    <w:rsid w:val="006E11AB"/>
    <w:rsid w:val="006E1649"/>
    <w:rsid w:val="006F51F1"/>
    <w:rsid w:val="006F7291"/>
    <w:rsid w:val="007025AD"/>
    <w:rsid w:val="007048AE"/>
    <w:rsid w:val="007109D4"/>
    <w:rsid w:val="00711F77"/>
    <w:rsid w:val="00714138"/>
    <w:rsid w:val="0071752E"/>
    <w:rsid w:val="00722B9F"/>
    <w:rsid w:val="00723683"/>
    <w:rsid w:val="00744439"/>
    <w:rsid w:val="00746877"/>
    <w:rsid w:val="00750FD9"/>
    <w:rsid w:val="00752FC4"/>
    <w:rsid w:val="00755F6D"/>
    <w:rsid w:val="00764500"/>
    <w:rsid w:val="007650BC"/>
    <w:rsid w:val="007736DB"/>
    <w:rsid w:val="00786061"/>
    <w:rsid w:val="0079013B"/>
    <w:rsid w:val="00795922"/>
    <w:rsid w:val="007A3FFD"/>
    <w:rsid w:val="007A6CC7"/>
    <w:rsid w:val="007B0DD7"/>
    <w:rsid w:val="007B7316"/>
    <w:rsid w:val="007C42F1"/>
    <w:rsid w:val="007C48D3"/>
    <w:rsid w:val="007C6F0E"/>
    <w:rsid w:val="007C7835"/>
    <w:rsid w:val="007C7DFF"/>
    <w:rsid w:val="007D0981"/>
    <w:rsid w:val="007D5A7F"/>
    <w:rsid w:val="007E0F0A"/>
    <w:rsid w:val="007E630F"/>
    <w:rsid w:val="007E7D10"/>
    <w:rsid w:val="00801D37"/>
    <w:rsid w:val="008104F6"/>
    <w:rsid w:val="008133A3"/>
    <w:rsid w:val="008142EE"/>
    <w:rsid w:val="008205C8"/>
    <w:rsid w:val="00832316"/>
    <w:rsid w:val="00856A5A"/>
    <w:rsid w:val="00856D9A"/>
    <w:rsid w:val="00857751"/>
    <w:rsid w:val="008601C9"/>
    <w:rsid w:val="00862AFA"/>
    <w:rsid w:val="00864DEE"/>
    <w:rsid w:val="00880E9F"/>
    <w:rsid w:val="008827DA"/>
    <w:rsid w:val="00884D3A"/>
    <w:rsid w:val="00892AAE"/>
    <w:rsid w:val="008951B4"/>
    <w:rsid w:val="008B11BB"/>
    <w:rsid w:val="008B1783"/>
    <w:rsid w:val="008B518F"/>
    <w:rsid w:val="008C54B1"/>
    <w:rsid w:val="008D121F"/>
    <w:rsid w:val="008D4F11"/>
    <w:rsid w:val="008E386D"/>
    <w:rsid w:val="008E64C6"/>
    <w:rsid w:val="008F2002"/>
    <w:rsid w:val="008F27FD"/>
    <w:rsid w:val="00901FDA"/>
    <w:rsid w:val="0090276F"/>
    <w:rsid w:val="009061A5"/>
    <w:rsid w:val="00912FC7"/>
    <w:rsid w:val="00913A2F"/>
    <w:rsid w:val="00922F3D"/>
    <w:rsid w:val="0093186A"/>
    <w:rsid w:val="009369E8"/>
    <w:rsid w:val="00946F33"/>
    <w:rsid w:val="00947AE3"/>
    <w:rsid w:val="009538C1"/>
    <w:rsid w:val="00953DC4"/>
    <w:rsid w:val="00955029"/>
    <w:rsid w:val="009552BF"/>
    <w:rsid w:val="00963148"/>
    <w:rsid w:val="00973ACF"/>
    <w:rsid w:val="009A6569"/>
    <w:rsid w:val="009B4654"/>
    <w:rsid w:val="009C5785"/>
    <w:rsid w:val="009D047E"/>
    <w:rsid w:val="009F44BF"/>
    <w:rsid w:val="00A07AA3"/>
    <w:rsid w:val="00A11200"/>
    <w:rsid w:val="00A24C14"/>
    <w:rsid w:val="00A304AD"/>
    <w:rsid w:val="00A31302"/>
    <w:rsid w:val="00A35FB5"/>
    <w:rsid w:val="00A40600"/>
    <w:rsid w:val="00A47E04"/>
    <w:rsid w:val="00A5045D"/>
    <w:rsid w:val="00A5390B"/>
    <w:rsid w:val="00A569F8"/>
    <w:rsid w:val="00A713CE"/>
    <w:rsid w:val="00A75C83"/>
    <w:rsid w:val="00A76A81"/>
    <w:rsid w:val="00A83562"/>
    <w:rsid w:val="00A83B92"/>
    <w:rsid w:val="00A87191"/>
    <w:rsid w:val="00A90438"/>
    <w:rsid w:val="00A90556"/>
    <w:rsid w:val="00A928F1"/>
    <w:rsid w:val="00A958CA"/>
    <w:rsid w:val="00A95E61"/>
    <w:rsid w:val="00A962A9"/>
    <w:rsid w:val="00AA3E87"/>
    <w:rsid w:val="00AC22C8"/>
    <w:rsid w:val="00AC6206"/>
    <w:rsid w:val="00AD0594"/>
    <w:rsid w:val="00AD21D4"/>
    <w:rsid w:val="00AD44BB"/>
    <w:rsid w:val="00AD4F6E"/>
    <w:rsid w:val="00AD63BF"/>
    <w:rsid w:val="00AE0874"/>
    <w:rsid w:val="00AE1706"/>
    <w:rsid w:val="00AE1D23"/>
    <w:rsid w:val="00AF093A"/>
    <w:rsid w:val="00AF316A"/>
    <w:rsid w:val="00AF4C41"/>
    <w:rsid w:val="00B002ED"/>
    <w:rsid w:val="00B00F64"/>
    <w:rsid w:val="00B01207"/>
    <w:rsid w:val="00B0199D"/>
    <w:rsid w:val="00B0337D"/>
    <w:rsid w:val="00B10152"/>
    <w:rsid w:val="00B1044C"/>
    <w:rsid w:val="00B177EC"/>
    <w:rsid w:val="00B17BE3"/>
    <w:rsid w:val="00B23603"/>
    <w:rsid w:val="00B2634B"/>
    <w:rsid w:val="00B41A5E"/>
    <w:rsid w:val="00B42479"/>
    <w:rsid w:val="00B449FA"/>
    <w:rsid w:val="00B45B6F"/>
    <w:rsid w:val="00B52206"/>
    <w:rsid w:val="00B54190"/>
    <w:rsid w:val="00B64CDB"/>
    <w:rsid w:val="00B716B3"/>
    <w:rsid w:val="00B86AF2"/>
    <w:rsid w:val="00B87F8C"/>
    <w:rsid w:val="00B907B0"/>
    <w:rsid w:val="00B91EB9"/>
    <w:rsid w:val="00B93628"/>
    <w:rsid w:val="00B9579C"/>
    <w:rsid w:val="00BA2E3F"/>
    <w:rsid w:val="00BA31CD"/>
    <w:rsid w:val="00BB5B75"/>
    <w:rsid w:val="00BC2195"/>
    <w:rsid w:val="00BC4C4B"/>
    <w:rsid w:val="00BD03D7"/>
    <w:rsid w:val="00BD6B55"/>
    <w:rsid w:val="00BE579C"/>
    <w:rsid w:val="00BE6F00"/>
    <w:rsid w:val="00BF6358"/>
    <w:rsid w:val="00C00E2C"/>
    <w:rsid w:val="00C11908"/>
    <w:rsid w:val="00C20147"/>
    <w:rsid w:val="00C252C7"/>
    <w:rsid w:val="00C4131D"/>
    <w:rsid w:val="00C448EC"/>
    <w:rsid w:val="00C52EC7"/>
    <w:rsid w:val="00C736DA"/>
    <w:rsid w:val="00C760C9"/>
    <w:rsid w:val="00C8521E"/>
    <w:rsid w:val="00CA24E7"/>
    <w:rsid w:val="00CA4189"/>
    <w:rsid w:val="00CB4853"/>
    <w:rsid w:val="00CD003C"/>
    <w:rsid w:val="00CD20A8"/>
    <w:rsid w:val="00CD5926"/>
    <w:rsid w:val="00CD6317"/>
    <w:rsid w:val="00CD7034"/>
    <w:rsid w:val="00CE07C2"/>
    <w:rsid w:val="00CF5029"/>
    <w:rsid w:val="00D00EC7"/>
    <w:rsid w:val="00D05ADC"/>
    <w:rsid w:val="00D15832"/>
    <w:rsid w:val="00D164AE"/>
    <w:rsid w:val="00D24B48"/>
    <w:rsid w:val="00D431A0"/>
    <w:rsid w:val="00D5363C"/>
    <w:rsid w:val="00D55444"/>
    <w:rsid w:val="00D619F8"/>
    <w:rsid w:val="00D72226"/>
    <w:rsid w:val="00D72609"/>
    <w:rsid w:val="00D80231"/>
    <w:rsid w:val="00D86D42"/>
    <w:rsid w:val="00D90441"/>
    <w:rsid w:val="00D90801"/>
    <w:rsid w:val="00DA1A34"/>
    <w:rsid w:val="00DA55E6"/>
    <w:rsid w:val="00DA69CA"/>
    <w:rsid w:val="00DC01B6"/>
    <w:rsid w:val="00DC7824"/>
    <w:rsid w:val="00DC7FA8"/>
    <w:rsid w:val="00DD3540"/>
    <w:rsid w:val="00DD7F1F"/>
    <w:rsid w:val="00DF212B"/>
    <w:rsid w:val="00DF22AE"/>
    <w:rsid w:val="00E02119"/>
    <w:rsid w:val="00E16508"/>
    <w:rsid w:val="00E16E8E"/>
    <w:rsid w:val="00E213AA"/>
    <w:rsid w:val="00E22336"/>
    <w:rsid w:val="00E238FC"/>
    <w:rsid w:val="00E23F16"/>
    <w:rsid w:val="00E26982"/>
    <w:rsid w:val="00E3188D"/>
    <w:rsid w:val="00E34B3D"/>
    <w:rsid w:val="00E3617B"/>
    <w:rsid w:val="00E36CAA"/>
    <w:rsid w:val="00E37AF0"/>
    <w:rsid w:val="00E428C9"/>
    <w:rsid w:val="00E42977"/>
    <w:rsid w:val="00E4346B"/>
    <w:rsid w:val="00E43B29"/>
    <w:rsid w:val="00E735DB"/>
    <w:rsid w:val="00E750DE"/>
    <w:rsid w:val="00E77806"/>
    <w:rsid w:val="00E84C5B"/>
    <w:rsid w:val="00E92C1B"/>
    <w:rsid w:val="00E93107"/>
    <w:rsid w:val="00EA1442"/>
    <w:rsid w:val="00EA7E82"/>
    <w:rsid w:val="00EB1B46"/>
    <w:rsid w:val="00EC02C2"/>
    <w:rsid w:val="00EC11A1"/>
    <w:rsid w:val="00EC6BF2"/>
    <w:rsid w:val="00ED2242"/>
    <w:rsid w:val="00EE3645"/>
    <w:rsid w:val="00EE4E15"/>
    <w:rsid w:val="00EF012F"/>
    <w:rsid w:val="00EF158C"/>
    <w:rsid w:val="00EF2340"/>
    <w:rsid w:val="00EF2519"/>
    <w:rsid w:val="00EF4BA3"/>
    <w:rsid w:val="00F02345"/>
    <w:rsid w:val="00F07B5F"/>
    <w:rsid w:val="00F12D21"/>
    <w:rsid w:val="00F169E7"/>
    <w:rsid w:val="00F17DC9"/>
    <w:rsid w:val="00F32A5F"/>
    <w:rsid w:val="00F4644B"/>
    <w:rsid w:val="00F50234"/>
    <w:rsid w:val="00F51B74"/>
    <w:rsid w:val="00F56ACD"/>
    <w:rsid w:val="00F60A32"/>
    <w:rsid w:val="00F623A5"/>
    <w:rsid w:val="00F637DB"/>
    <w:rsid w:val="00F76790"/>
    <w:rsid w:val="00F80420"/>
    <w:rsid w:val="00F86952"/>
    <w:rsid w:val="00F87E85"/>
    <w:rsid w:val="00F96AEC"/>
    <w:rsid w:val="00FA5C25"/>
    <w:rsid w:val="00FA6456"/>
    <w:rsid w:val="00FB76C8"/>
    <w:rsid w:val="00FC40F8"/>
    <w:rsid w:val="00FC6A4D"/>
    <w:rsid w:val="00FE1045"/>
    <w:rsid w:val="00FE4442"/>
    <w:rsid w:val="00FF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33124085">
      <w:bodyDiv w:val="1"/>
      <w:marLeft w:val="0"/>
      <w:marRight w:val="0"/>
      <w:marTop w:val="0"/>
      <w:marBottom w:val="0"/>
      <w:divBdr>
        <w:top w:val="none" w:sz="0" w:space="0" w:color="auto"/>
        <w:left w:val="none" w:sz="0" w:space="0" w:color="auto"/>
        <w:bottom w:val="none" w:sz="0" w:space="0" w:color="auto"/>
        <w:right w:val="none" w:sz="0" w:space="0" w:color="auto"/>
      </w:divBdr>
      <w:divsChild>
        <w:div w:id="562065175">
          <w:marLeft w:val="446"/>
          <w:marRight w:val="0"/>
          <w:marTop w:val="0"/>
          <w:marBottom w:val="0"/>
          <w:divBdr>
            <w:top w:val="none" w:sz="0" w:space="0" w:color="auto"/>
            <w:left w:val="none" w:sz="0" w:space="0" w:color="auto"/>
            <w:bottom w:val="none" w:sz="0" w:space="0" w:color="auto"/>
            <w:right w:val="none" w:sz="0" w:space="0" w:color="auto"/>
          </w:divBdr>
        </w:div>
      </w:divsChild>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3.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4.xml><?xml version="1.0" encoding="utf-8"?>
<ds:datastoreItem xmlns:ds="http://schemas.openxmlformats.org/officeDocument/2006/customXml" ds:itemID="{061DA949-B127-41BD-B7F7-DFC352955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JONES, Emma (NHS HUMBER AND NORTH YORKSHIRE ICB - 03F)</cp:lastModifiedBy>
  <cp:revision>5</cp:revision>
  <cp:lastPrinted>2025-02-05T13:34:00Z</cp:lastPrinted>
  <dcterms:created xsi:type="dcterms:W3CDTF">2025-02-03T09:27:00Z</dcterms:created>
  <dcterms:modified xsi:type="dcterms:W3CDTF">2025-02-05T13:34:00Z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