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092"/>
        <w:gridCol w:w="7516"/>
      </w:tblGrid>
      <w:tr w:rsidR="00B23603" w:rsidRPr="00566BDC" w14:paraId="2D8CF850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47343F76" w14:textId="77777777" w:rsidR="00B23603" w:rsidRDefault="00B23603" w:rsidP="007B0DD7">
            <w:pPr>
              <w:spacing w:after="0" w:line="240" w:lineRule="auto"/>
              <w:rPr>
                <w:b/>
                <w:color w:val="auto"/>
              </w:rPr>
            </w:pPr>
            <w:bookmarkStart w:id="0" w:name="_Hlk106134195"/>
            <w:r>
              <w:rPr>
                <w:b/>
                <w:color w:val="auto"/>
              </w:rPr>
              <w:t xml:space="preserve">Report to: </w:t>
            </w:r>
          </w:p>
          <w:p w14:paraId="21887D2C" w14:textId="724AB738" w:rsidR="00B23603" w:rsidRPr="00524FEE" w:rsidRDefault="00B23603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0C36CE17" w14:textId="763BA51D" w:rsidR="00B23603" w:rsidRPr="00F31E0E" w:rsidRDefault="0071752E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Humber and North Yorkshire Integrated Care </w:t>
            </w:r>
            <w:r w:rsidR="00047BA1">
              <w:rPr>
                <w:color w:val="auto"/>
                <w:sz w:val="24"/>
                <w:szCs w:val="24"/>
              </w:rPr>
              <w:t>Board</w:t>
            </w:r>
          </w:p>
        </w:tc>
      </w:tr>
      <w:tr w:rsidR="00373698" w:rsidRPr="00566BDC" w14:paraId="686A02B3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3E0203E6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Date of Meeting:</w:t>
            </w:r>
          </w:p>
          <w:p w14:paraId="6E5C6A31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6A62B942" w14:textId="16C1AD3A" w:rsidR="00373698" w:rsidRPr="00F31E0E" w:rsidRDefault="00755F6D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C7335B" w:rsidRPr="00C7335B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="00C7335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January</w:t>
            </w:r>
            <w:r w:rsidR="0071752E">
              <w:rPr>
                <w:color w:val="auto"/>
                <w:sz w:val="24"/>
                <w:szCs w:val="24"/>
              </w:rPr>
              <w:t xml:space="preserve"> 202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</w:tr>
      <w:tr w:rsidR="00373698" w:rsidRPr="00566BDC" w14:paraId="5757FC8D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45F6722E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Subject:</w:t>
            </w:r>
          </w:p>
          <w:p w14:paraId="1A8730CB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4F67ACAB" w14:textId="09760C82" w:rsidR="00373698" w:rsidRPr="0063726D" w:rsidRDefault="005829D5" w:rsidP="00786061">
            <w:pPr>
              <w:spacing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Voice of the Lived Experience</w:t>
            </w:r>
            <w:r w:rsidR="00263D8C">
              <w:rPr>
                <w:b/>
                <w:bCs/>
                <w:color w:val="auto"/>
                <w:sz w:val="32"/>
                <w:szCs w:val="32"/>
              </w:rPr>
              <w:t xml:space="preserve"> – </w:t>
            </w:r>
            <w:r w:rsidR="00755F6D" w:rsidRPr="00755F6D">
              <w:rPr>
                <w:b/>
                <w:bCs/>
                <w:color w:val="auto"/>
                <w:sz w:val="32"/>
                <w:szCs w:val="32"/>
              </w:rPr>
              <w:t>Cancer Patient Experience Survey</w:t>
            </w:r>
            <w:r w:rsidR="00755F6D">
              <w:rPr>
                <w:b/>
                <w:bCs/>
                <w:color w:val="auto"/>
                <w:sz w:val="32"/>
                <w:szCs w:val="32"/>
              </w:rPr>
              <w:t>: U</w:t>
            </w:r>
            <w:r w:rsidR="00755F6D" w:rsidRPr="00755F6D">
              <w:rPr>
                <w:b/>
                <w:bCs/>
                <w:color w:val="auto"/>
                <w:sz w:val="32"/>
                <w:szCs w:val="32"/>
              </w:rPr>
              <w:t>sing insight to improve patient experience of care</w:t>
            </w:r>
          </w:p>
        </w:tc>
      </w:tr>
      <w:tr w:rsidR="00373698" w:rsidRPr="00566BDC" w14:paraId="64241F01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6580A4A8" w14:textId="5CA5F125" w:rsidR="00373698" w:rsidRPr="00524FEE" w:rsidRDefault="005A3F90" w:rsidP="007B0DD7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Director</w:t>
            </w:r>
            <w:r w:rsidR="00EF4BA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Sponsor</w:t>
            </w:r>
            <w:r w:rsidR="00373698" w:rsidRPr="00524FEE">
              <w:rPr>
                <w:b/>
                <w:color w:val="auto"/>
              </w:rPr>
              <w:t>:</w:t>
            </w:r>
          </w:p>
          <w:p w14:paraId="1339AF67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270ACB40" w14:textId="0C0FC088" w:rsidR="00373698" w:rsidRPr="00F31E0E" w:rsidRDefault="0071752E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Anja Hazebroek, Director of Communications, Marketing and Media Relations</w:t>
            </w:r>
            <w:r w:rsidR="003D379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142EE" w:rsidRPr="00566BDC" w14:paraId="40590258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58C65183" w14:textId="77777777" w:rsidR="008142EE" w:rsidRPr="00524FEE" w:rsidRDefault="008142EE" w:rsidP="007B0DD7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Author:</w:t>
            </w:r>
          </w:p>
          <w:p w14:paraId="4B31FADC" w14:textId="77777777" w:rsidR="008142EE" w:rsidRPr="00524FEE" w:rsidRDefault="008142EE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5771B5D1" w14:textId="2DBE5697" w:rsidR="008142EE" w:rsidRPr="00F31E0E" w:rsidRDefault="00263D8C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Mark Williams, Head of Community Engagement and Insight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2273"/>
        <w:gridCol w:w="821"/>
      </w:tblGrid>
      <w:tr w:rsidR="00BB5B75" w14:paraId="31E3ECFC" w14:textId="77777777" w:rsidTr="007C7835"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06A8370" w14:textId="77777777" w:rsidR="00BB5B75" w:rsidRDefault="00BB5B75" w:rsidP="007C7835">
            <w:pPr>
              <w:rPr>
                <w:b/>
                <w:bCs/>
                <w:color w:val="auto"/>
              </w:rPr>
            </w:pPr>
            <w:bookmarkStart w:id="1" w:name="_Hlk138951700"/>
            <w:bookmarkEnd w:id="0"/>
            <w:r>
              <w:rPr>
                <w:b/>
                <w:bCs/>
                <w:color w:val="auto"/>
              </w:rPr>
              <w:t>Agenda Item</w:t>
            </w:r>
            <w:r w:rsidRPr="007B0DD7">
              <w:rPr>
                <w:b/>
                <w:bCs/>
                <w:color w:val="auto"/>
              </w:rPr>
              <w:t xml:space="preserve"> No: </w:t>
            </w:r>
          </w:p>
          <w:p w14:paraId="5D88B756" w14:textId="77777777" w:rsidR="00BB5B75" w:rsidRPr="007B0DD7" w:rsidRDefault="00BB5B75" w:rsidP="007C7835">
            <w:pPr>
              <w:spacing w:line="240" w:lineRule="auto"/>
              <w:contextualSpacing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E529B" w14:textId="0ABD537E" w:rsidR="00BB5B75" w:rsidRPr="00BB5B75" w:rsidRDefault="00C7335B" w:rsidP="007C7835">
            <w:pPr>
              <w:jc w:val="center"/>
              <w:rPr>
                <w:b/>
                <w:bCs/>
                <w:sz w:val="32"/>
                <w:szCs w:val="32"/>
              </w:rPr>
            </w:pPr>
            <w:r w:rsidRPr="00C7335B">
              <w:rPr>
                <w:b/>
                <w:bCs/>
                <w:color w:val="auto"/>
                <w:sz w:val="32"/>
                <w:szCs w:val="32"/>
              </w:rPr>
              <w:t>7</w:t>
            </w:r>
          </w:p>
        </w:tc>
      </w:tr>
    </w:tbl>
    <w:bookmarkEnd w:id="1"/>
    <w:p w14:paraId="31BBC7A1" w14:textId="0B10B29D" w:rsidR="00880E9F" w:rsidRDefault="003E5B87" w:rsidP="00D05ADC">
      <w:pPr>
        <w:spacing w:after="0" w:line="120" w:lineRule="auto"/>
      </w:pPr>
      <w:r w:rsidRPr="007109D4">
        <w:rPr>
          <w:noProof/>
        </w:rPr>
        <w:drawing>
          <wp:anchor distT="0" distB="0" distL="114300" distR="114300" simplePos="0" relativeHeight="251679744" behindDoc="0" locked="0" layoutInCell="1" allowOverlap="1" wp14:anchorId="35A678BF" wp14:editId="1C2C151C">
            <wp:simplePos x="0" y="0"/>
            <wp:positionH relativeFrom="margin">
              <wp:posOffset>4747860</wp:posOffset>
            </wp:positionH>
            <wp:positionV relativeFrom="paragraph">
              <wp:posOffset>-548005</wp:posOffset>
            </wp:positionV>
            <wp:extent cx="1323700" cy="706632"/>
            <wp:effectExtent l="0" t="0" r="0" b="0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0" cy="70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78720" behindDoc="0" locked="0" layoutInCell="1" allowOverlap="1" wp14:anchorId="340992E0" wp14:editId="00CAB76D">
            <wp:simplePos x="0" y="0"/>
            <wp:positionH relativeFrom="margin">
              <wp:posOffset>5833</wp:posOffset>
            </wp:positionH>
            <wp:positionV relativeFrom="paragraph">
              <wp:posOffset>-501015</wp:posOffset>
            </wp:positionV>
            <wp:extent cx="2543175" cy="483620"/>
            <wp:effectExtent l="0" t="0" r="0" b="0"/>
            <wp:wrapNone/>
            <wp:docPr id="28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FDEAD" w14:textId="65E6BE79" w:rsidR="007B0DD7" w:rsidRDefault="007B0DD7" w:rsidP="007B0DD7"/>
    <w:p w14:paraId="176AC93B" w14:textId="394E2501" w:rsidR="007B0DD7" w:rsidRPr="007B0DD7" w:rsidRDefault="007B0DD7" w:rsidP="007B0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72609" w:rsidRPr="00566BDC" w14:paraId="5E0D93DE" w14:textId="77777777" w:rsidTr="006C1E7A">
        <w:trPr>
          <w:trHeight w:val="1274"/>
        </w:trPr>
        <w:tc>
          <w:tcPr>
            <w:tcW w:w="9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A39C1" w14:textId="77777777" w:rsidR="00D72609" w:rsidRDefault="00D72609" w:rsidP="004A6F2B">
            <w:pPr>
              <w:spacing w:after="0" w:line="240" w:lineRule="auto"/>
              <w:rPr>
                <w:b/>
                <w:color w:val="auto"/>
              </w:rPr>
            </w:pPr>
          </w:p>
          <w:p w14:paraId="0A9659D6" w14:textId="22B28CF5" w:rsidR="00D72609" w:rsidRPr="003A1818" w:rsidRDefault="00D72609" w:rsidP="004A6F2B">
            <w:pPr>
              <w:spacing w:after="0" w:line="240" w:lineRule="auto"/>
              <w:rPr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color w:val="auto"/>
              </w:rPr>
              <w:t>STATUS</w:t>
            </w:r>
            <w:r w:rsidRPr="00524FEE">
              <w:rPr>
                <w:b/>
                <w:color w:val="auto"/>
              </w:rPr>
              <w:t xml:space="preserve"> OF THE REPORT:</w:t>
            </w:r>
            <w:r w:rsidR="003A1818">
              <w:rPr>
                <w:b/>
                <w:color w:val="auto"/>
              </w:rPr>
              <w:t xml:space="preserve"> </w:t>
            </w:r>
          </w:p>
          <w:p w14:paraId="61D25B83" w14:textId="7C897184" w:rsidR="006C6CAA" w:rsidRPr="003E5B87" w:rsidRDefault="00E42977" w:rsidP="00E42977">
            <w:pPr>
              <w:spacing w:after="0" w:line="240" w:lineRule="auto"/>
              <w:rPr>
                <w:color w:val="auto"/>
                <w:sz w:val="40"/>
                <w:szCs w:val="44"/>
              </w:rPr>
            </w:pPr>
            <w:r>
              <w:rPr>
                <w:color w:val="auto"/>
                <w:szCs w:val="24"/>
              </w:rPr>
              <w:t>A</w:t>
            </w:r>
            <w:r w:rsidR="00D72609">
              <w:rPr>
                <w:color w:val="auto"/>
                <w:szCs w:val="24"/>
              </w:rPr>
              <w:t xml:space="preserve">pprove </w:t>
            </w:r>
            <w:sdt>
              <w:sdtPr>
                <w:rPr>
                  <w:color w:val="auto"/>
                  <w:sz w:val="40"/>
                  <w:szCs w:val="44"/>
                </w:rPr>
                <w:id w:val="-16104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18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 w:rsidR="00D72609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D</w:t>
            </w:r>
            <w:r w:rsidR="00D72609">
              <w:rPr>
                <w:color w:val="auto"/>
                <w:szCs w:val="24"/>
              </w:rPr>
              <w:t xml:space="preserve">iscuss </w:t>
            </w:r>
            <w:sdt>
              <w:sdtPr>
                <w:rPr>
                  <w:color w:val="auto"/>
                  <w:sz w:val="40"/>
                  <w:szCs w:val="44"/>
                </w:rPr>
                <w:id w:val="-1579591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39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  <w:r w:rsidR="00D72609">
              <w:rPr>
                <w:color w:val="auto"/>
                <w:szCs w:val="44"/>
              </w:rPr>
              <w:t xml:space="preserve">  </w:t>
            </w:r>
            <w:r>
              <w:rPr>
                <w:color w:val="auto"/>
                <w:szCs w:val="24"/>
              </w:rPr>
              <w:t xml:space="preserve">Assurance </w:t>
            </w:r>
            <w:sdt>
              <w:sdtPr>
                <w:rPr>
                  <w:color w:val="auto"/>
                  <w:sz w:val="40"/>
                  <w:szCs w:val="44"/>
                </w:rPr>
                <w:id w:val="-1481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18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>
              <w:rPr>
                <w:color w:val="auto"/>
                <w:sz w:val="40"/>
                <w:szCs w:val="44"/>
              </w:rPr>
              <w:t xml:space="preserve"> </w:t>
            </w:r>
            <w:r w:rsidR="003A1818" w:rsidRPr="003A1818">
              <w:rPr>
                <w:color w:val="auto"/>
                <w:szCs w:val="24"/>
              </w:rPr>
              <w:t>I</w:t>
            </w:r>
            <w:r w:rsidR="00D72609">
              <w:rPr>
                <w:color w:val="auto"/>
                <w:szCs w:val="24"/>
              </w:rPr>
              <w:t xml:space="preserve">nformation  </w:t>
            </w:r>
            <w:sdt>
              <w:sdtPr>
                <w:rPr>
                  <w:color w:val="auto"/>
                  <w:sz w:val="40"/>
                  <w:szCs w:val="44"/>
                </w:rPr>
                <w:id w:val="-36004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52E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  <w:r>
              <w:rPr>
                <w:color w:val="auto"/>
                <w:szCs w:val="44"/>
              </w:rPr>
              <w:t xml:space="preserve">  </w:t>
            </w:r>
            <w:r w:rsidR="00D72609">
              <w:rPr>
                <w:color w:val="auto"/>
                <w:szCs w:val="24"/>
              </w:rPr>
              <w:t xml:space="preserve">A Regulatory Requirement </w:t>
            </w:r>
            <w:sdt>
              <w:sdtPr>
                <w:rPr>
                  <w:color w:val="auto"/>
                  <w:sz w:val="40"/>
                  <w:szCs w:val="44"/>
                </w:rPr>
                <w:id w:val="999157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6F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</w:p>
        </w:tc>
      </w:tr>
    </w:tbl>
    <w:p w14:paraId="347C550D" w14:textId="77777777" w:rsidR="002D2FBC" w:rsidRDefault="002D2FBC" w:rsidP="00D05ADC">
      <w:pPr>
        <w:spacing w:after="0" w:line="120" w:lineRule="auto"/>
      </w:pPr>
    </w:p>
    <w:tbl>
      <w:tblPr>
        <w:tblStyle w:val="TableGrid"/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880E9F" w:rsidRPr="00566BDC" w14:paraId="1CA5B16E" w14:textId="77777777" w:rsidTr="006C1E7A">
        <w:trPr>
          <w:trHeight w:val="182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E1D45" w14:textId="08E6F6EA" w:rsidR="00524FEE" w:rsidRDefault="00524FEE" w:rsidP="006C6CAA">
            <w:pPr>
              <w:spacing w:after="0" w:line="240" w:lineRule="auto"/>
              <w:rPr>
                <w:b/>
                <w:color w:val="auto"/>
              </w:rPr>
            </w:pPr>
          </w:p>
          <w:p w14:paraId="7D775F64" w14:textId="584548CC" w:rsidR="00744439" w:rsidRDefault="007650BC" w:rsidP="00B45B6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SUMMARY </w:t>
            </w:r>
            <w:r w:rsidR="00F02345">
              <w:rPr>
                <w:b/>
                <w:color w:val="auto"/>
              </w:rPr>
              <w:t>OF REPORT</w:t>
            </w:r>
            <w:r w:rsidR="002B7229">
              <w:rPr>
                <w:b/>
                <w:color w:val="auto"/>
              </w:rPr>
              <w:t>:</w:t>
            </w:r>
            <w:r w:rsidR="00B17BE3">
              <w:rPr>
                <w:b/>
                <w:color w:val="auto"/>
              </w:rPr>
              <w:t xml:space="preserve"> </w:t>
            </w:r>
          </w:p>
          <w:p w14:paraId="1168BA11" w14:textId="77777777" w:rsidR="00892AAE" w:rsidRPr="00744439" w:rsidRDefault="00892AAE" w:rsidP="00B45B6F">
            <w:pPr>
              <w:spacing w:after="0" w:line="240" w:lineRule="auto"/>
              <w:rPr>
                <w:bCs/>
                <w:color w:val="auto"/>
              </w:rPr>
            </w:pPr>
          </w:p>
          <w:p w14:paraId="7A295480" w14:textId="3D1317A0" w:rsidR="00B17BE3" w:rsidRDefault="00B45B6F" w:rsidP="00892AAE">
            <w:pPr>
              <w:spacing w:after="0" w:line="240" w:lineRule="auto"/>
              <w:jc w:val="both"/>
              <w:rPr>
                <w:color w:val="auto"/>
              </w:rPr>
            </w:pPr>
            <w:r w:rsidRPr="00B45B6F">
              <w:rPr>
                <w:color w:val="auto"/>
              </w:rPr>
              <w:t>Meaningful engagement with our</w:t>
            </w:r>
            <w:r>
              <w:rPr>
                <w:color w:val="auto"/>
              </w:rPr>
              <w:t xml:space="preserve"> </w:t>
            </w:r>
            <w:r w:rsidRPr="00B45B6F">
              <w:rPr>
                <w:color w:val="auto"/>
              </w:rPr>
              <w:t>communities and people is vital to truly understand local sentiment, need, priorities, and concerns</w:t>
            </w:r>
            <w:r>
              <w:rPr>
                <w:color w:val="auto"/>
              </w:rPr>
              <w:t xml:space="preserve"> in Humber and North Yorkshire</w:t>
            </w:r>
            <w:r w:rsidRPr="00B45B6F">
              <w:rPr>
                <w:color w:val="auto"/>
              </w:rPr>
              <w:t>.</w:t>
            </w:r>
          </w:p>
          <w:p w14:paraId="19575253" w14:textId="77777777" w:rsidR="00B45B6F" w:rsidRDefault="00B45B6F" w:rsidP="00892AAE">
            <w:pPr>
              <w:spacing w:after="0" w:line="240" w:lineRule="auto"/>
              <w:jc w:val="both"/>
              <w:rPr>
                <w:color w:val="auto"/>
              </w:rPr>
            </w:pPr>
          </w:p>
          <w:p w14:paraId="5469E6F5" w14:textId="31DFB49A" w:rsidR="00263D8C" w:rsidRDefault="00B45B6F" w:rsidP="00755F6D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Th</w:t>
            </w:r>
            <w:r w:rsidR="00A40600">
              <w:rPr>
                <w:color w:val="auto"/>
              </w:rPr>
              <w:t>is</w:t>
            </w:r>
            <w:r>
              <w:rPr>
                <w:color w:val="auto"/>
              </w:rPr>
              <w:t xml:space="preserve"> </w:t>
            </w:r>
            <w:r w:rsidR="00EC6BF2">
              <w:rPr>
                <w:color w:val="auto"/>
              </w:rPr>
              <w:t xml:space="preserve">month’s </w:t>
            </w:r>
            <w:r>
              <w:rPr>
                <w:color w:val="auto"/>
              </w:rPr>
              <w:t>report</w:t>
            </w:r>
            <w:r w:rsidR="00EC6BF2">
              <w:rPr>
                <w:color w:val="auto"/>
              </w:rPr>
              <w:t xml:space="preserve"> </w:t>
            </w:r>
            <w:r w:rsidR="00263D8C">
              <w:rPr>
                <w:color w:val="auto"/>
              </w:rPr>
              <w:t xml:space="preserve">provides a </w:t>
            </w:r>
            <w:r w:rsidR="002B5059">
              <w:rPr>
                <w:color w:val="auto"/>
              </w:rPr>
              <w:t xml:space="preserve">headline </w:t>
            </w:r>
            <w:r w:rsidR="00263D8C">
              <w:rPr>
                <w:color w:val="auto"/>
              </w:rPr>
              <w:t xml:space="preserve">summary </w:t>
            </w:r>
            <w:r w:rsidR="00755F6D">
              <w:rPr>
                <w:color w:val="auto"/>
              </w:rPr>
              <w:t xml:space="preserve">of the </w:t>
            </w:r>
            <w:r w:rsidR="00755F6D" w:rsidRPr="00755F6D">
              <w:rPr>
                <w:color w:val="auto"/>
              </w:rPr>
              <w:t>National Cancer Patient Experience Survey</w:t>
            </w:r>
            <w:r w:rsidR="00755F6D">
              <w:rPr>
                <w:color w:val="auto"/>
              </w:rPr>
              <w:t xml:space="preserve">. </w:t>
            </w:r>
            <w:r w:rsidR="00755F6D" w:rsidRPr="00755F6D">
              <w:rPr>
                <w:color w:val="auto"/>
              </w:rPr>
              <w:t>These recently published results are from a survey conducted in 2023</w:t>
            </w:r>
            <w:r w:rsidR="00755F6D">
              <w:rPr>
                <w:color w:val="auto"/>
              </w:rPr>
              <w:t>. Results are published annually.</w:t>
            </w:r>
          </w:p>
          <w:p w14:paraId="48896FA4" w14:textId="77777777" w:rsidR="00755F6D" w:rsidRDefault="00755F6D" w:rsidP="002B5059">
            <w:pPr>
              <w:spacing w:after="0" w:line="240" w:lineRule="auto"/>
              <w:jc w:val="both"/>
              <w:rPr>
                <w:color w:val="auto"/>
              </w:rPr>
            </w:pPr>
          </w:p>
          <w:p w14:paraId="4311CB48" w14:textId="2FF156E7" w:rsidR="00755F6D" w:rsidRDefault="00755F6D" w:rsidP="002B5059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The Board will also view</w:t>
            </w:r>
            <w:r w:rsidRPr="00755F6D">
              <w:rPr>
                <w:color w:val="auto"/>
              </w:rPr>
              <w:t xml:space="preserve"> short film, funded by the Cancer Alliance and Macmillan Cancer Support, which highlights the experiences of people with a cancer diagnosis</w:t>
            </w:r>
            <w:r>
              <w:rPr>
                <w:color w:val="auto"/>
              </w:rPr>
              <w:t>.</w:t>
            </w:r>
          </w:p>
          <w:p w14:paraId="4EC538D0" w14:textId="77777777" w:rsidR="00A40600" w:rsidRDefault="00A40600" w:rsidP="00A40600">
            <w:pPr>
              <w:spacing w:after="0" w:line="240" w:lineRule="auto"/>
              <w:jc w:val="both"/>
              <w:rPr>
                <w:color w:val="auto"/>
              </w:rPr>
            </w:pPr>
          </w:p>
          <w:p w14:paraId="0AFB514E" w14:textId="253468AF" w:rsidR="00A958CA" w:rsidRDefault="002B7229" w:rsidP="00C7335B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RECOMMENDATIONS:</w:t>
            </w:r>
            <w:r w:rsidR="002D2FBC">
              <w:rPr>
                <w:color w:val="auto"/>
              </w:rPr>
              <w:t xml:space="preserve"> </w:t>
            </w:r>
          </w:p>
          <w:p w14:paraId="59D0E49B" w14:textId="0AC14BB3" w:rsidR="007650BC" w:rsidRDefault="007650BC" w:rsidP="006C6CAA">
            <w:pPr>
              <w:spacing w:after="0" w:line="240" w:lineRule="auto"/>
              <w:rPr>
                <w:color w:val="auto"/>
              </w:rPr>
            </w:pPr>
          </w:p>
          <w:p w14:paraId="3481C0C9" w14:textId="225D58A2" w:rsidR="002D2FBC" w:rsidRDefault="002D2FBC" w:rsidP="006C6CAA">
            <w:pPr>
              <w:spacing w:after="0" w:line="240" w:lineRule="auto"/>
              <w:rPr>
                <w:color w:val="auto"/>
              </w:rPr>
            </w:pPr>
            <w:bookmarkStart w:id="2" w:name="_Hlk106101454"/>
            <w:r>
              <w:rPr>
                <w:color w:val="auto"/>
              </w:rPr>
              <w:t>Members are asked to:</w:t>
            </w:r>
          </w:p>
          <w:p w14:paraId="721DF360" w14:textId="77777777" w:rsidR="002D2FBC" w:rsidRDefault="002D2FBC" w:rsidP="006C6CAA">
            <w:pPr>
              <w:spacing w:after="0" w:line="240" w:lineRule="auto"/>
              <w:rPr>
                <w:color w:val="auto"/>
              </w:rPr>
            </w:pPr>
          </w:p>
          <w:p w14:paraId="7C3D9568" w14:textId="77777777" w:rsidR="009F44BF" w:rsidRDefault="0071752E" w:rsidP="001A1D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</w:rPr>
            </w:pPr>
            <w:r w:rsidRPr="003E1821">
              <w:rPr>
                <w:color w:val="auto"/>
              </w:rPr>
              <w:t>Note</w:t>
            </w:r>
            <w:r w:rsidR="008E386D">
              <w:rPr>
                <w:color w:val="auto"/>
              </w:rPr>
              <w:t xml:space="preserve"> and discuss</w:t>
            </w:r>
            <w:r w:rsidRPr="003E1821">
              <w:rPr>
                <w:color w:val="auto"/>
              </w:rPr>
              <w:t xml:space="preserve"> the </w:t>
            </w:r>
            <w:r w:rsidR="008E386D">
              <w:rPr>
                <w:color w:val="auto"/>
              </w:rPr>
              <w:t>key themes</w:t>
            </w:r>
            <w:r w:rsidR="005E1A4B">
              <w:rPr>
                <w:color w:val="auto"/>
              </w:rPr>
              <w:t>.</w:t>
            </w:r>
            <w:bookmarkEnd w:id="2"/>
          </w:p>
          <w:p w14:paraId="5DD056FB" w14:textId="2CD0B4B0" w:rsidR="00C7335B" w:rsidRPr="001A1DBB" w:rsidRDefault="00C7335B" w:rsidP="00C7335B">
            <w:pPr>
              <w:pStyle w:val="ListParagraph"/>
              <w:spacing w:after="0" w:line="240" w:lineRule="auto"/>
              <w:ind w:left="1080"/>
              <w:rPr>
                <w:color w:val="auto"/>
              </w:rPr>
            </w:pPr>
          </w:p>
        </w:tc>
      </w:tr>
    </w:tbl>
    <w:p w14:paraId="019D6696" w14:textId="0E753FDE" w:rsidR="00381FC0" w:rsidRDefault="00381FC0" w:rsidP="00D05ADC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C1E7A" w:rsidRPr="00524FEE" w14:paraId="63DCEC3B" w14:textId="77777777" w:rsidTr="00C7335B">
        <w:trPr>
          <w:trHeight w:val="427"/>
        </w:trPr>
        <w:tc>
          <w:tcPr>
            <w:tcW w:w="9608" w:type="dxa"/>
            <w:tcBorders>
              <w:bottom w:val="nil"/>
            </w:tcBorders>
            <w:shd w:val="clear" w:color="auto" w:fill="D9D9D9" w:themeFill="background1" w:themeFillShade="D9"/>
          </w:tcPr>
          <w:p w14:paraId="3A979286" w14:textId="0CC05E8A" w:rsidR="006C1E7A" w:rsidRPr="00524FEE" w:rsidRDefault="006C1E7A" w:rsidP="00B44320">
            <w:pPr>
              <w:spacing w:after="0"/>
              <w:rPr>
                <w:color w:val="auto"/>
              </w:rPr>
            </w:pPr>
            <w:bookmarkStart w:id="3" w:name="_Hlk138950819"/>
            <w:r>
              <w:rPr>
                <w:b/>
                <w:color w:val="auto"/>
                <w:sz w:val="24"/>
                <w:szCs w:val="24"/>
              </w:rPr>
              <w:t xml:space="preserve">ICB STRATEGIC </w:t>
            </w:r>
            <w:r w:rsidRPr="00753A32">
              <w:rPr>
                <w:b/>
                <w:color w:val="auto"/>
                <w:sz w:val="24"/>
                <w:szCs w:val="24"/>
              </w:rPr>
              <w:t>OBJECTIVE</w:t>
            </w:r>
          </w:p>
        </w:tc>
      </w:tr>
      <w:tr w:rsidR="006C1E7A" w:rsidRPr="00BD03D7" w14:paraId="60619CF1" w14:textId="77777777" w:rsidTr="00C7335B">
        <w:trPr>
          <w:trHeight w:val="74"/>
        </w:trPr>
        <w:tc>
          <w:tcPr>
            <w:tcW w:w="9608" w:type="dxa"/>
            <w:tcBorders>
              <w:top w:val="nil"/>
            </w:tcBorders>
            <w:shd w:val="clear" w:color="auto" w:fill="D9D9D9" w:themeFill="background1" w:themeFillShade="D9"/>
          </w:tcPr>
          <w:p w14:paraId="40ED083B" w14:textId="164BE792" w:rsidR="006C1E7A" w:rsidRPr="00BD03D7" w:rsidRDefault="006C1E7A" w:rsidP="00B44320">
            <w:pPr>
              <w:spacing w:after="0"/>
              <w:rPr>
                <w:b/>
                <w:color w:val="auto"/>
              </w:rPr>
            </w:pPr>
          </w:p>
        </w:tc>
      </w:tr>
      <w:bookmarkEnd w:id="3"/>
    </w:tbl>
    <w:p w14:paraId="0D45649E" w14:textId="77777777" w:rsidR="006C1E7A" w:rsidRDefault="006C1E7A" w:rsidP="00D05ADC">
      <w:pPr>
        <w:spacing w:after="0" w:line="120" w:lineRule="auto"/>
        <w:rPr>
          <w:color w:val="auto"/>
        </w:rPr>
      </w:pPr>
    </w:p>
    <w:tbl>
      <w:tblPr>
        <w:tblStyle w:val="TableGrid"/>
        <w:tblpPr w:leftFromText="180" w:rightFromText="180" w:vertAnchor="text" w:horzAnchor="margin" w:tblpY="-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1968"/>
      </w:tblGrid>
      <w:tr w:rsidR="006C1E7A" w:rsidRPr="00566BDC" w14:paraId="184C4369" w14:textId="77777777" w:rsidTr="00C7335B">
        <w:tc>
          <w:tcPr>
            <w:tcW w:w="7640" w:type="dxa"/>
          </w:tcPr>
          <w:p w14:paraId="2272254D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Managing Today</w:t>
            </w:r>
          </w:p>
          <w:p w14:paraId="100DB891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</w:p>
        </w:tc>
        <w:sdt>
          <w:sdtPr>
            <w:rPr>
              <w:color w:val="auto"/>
              <w:sz w:val="40"/>
              <w:szCs w:val="40"/>
            </w:rPr>
            <w:id w:val="-502581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796E51FD" w14:textId="7CC686C8" w:rsidR="006C1E7A" w:rsidRPr="00F31E0E" w:rsidRDefault="0071752E" w:rsidP="006C1E7A">
                <w:pPr>
                  <w:spacing w:after="0" w:line="240" w:lineRule="auto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6C1E7A" w:rsidRPr="00566BDC" w14:paraId="0896D655" w14:textId="77777777" w:rsidTr="00C7335B">
        <w:tc>
          <w:tcPr>
            <w:tcW w:w="7640" w:type="dxa"/>
          </w:tcPr>
          <w:p w14:paraId="40C2C738" w14:textId="77777777" w:rsidR="006C1E7A" w:rsidRDefault="006C1E7A" w:rsidP="006C1E7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Managing Tomorrow</w:t>
            </w:r>
          </w:p>
          <w:p w14:paraId="0B619267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</w:p>
        </w:tc>
        <w:sdt>
          <w:sdtPr>
            <w:rPr>
              <w:color w:val="auto"/>
              <w:sz w:val="40"/>
              <w:szCs w:val="40"/>
            </w:rPr>
            <w:id w:val="1263573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393A31D7" w14:textId="7DFFB8D2" w:rsidR="006C1E7A" w:rsidRPr="00F31E0E" w:rsidRDefault="003E1821" w:rsidP="006C1E7A">
                <w:pPr>
                  <w:spacing w:after="0" w:line="240" w:lineRule="auto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6C1E7A" w:rsidRPr="00566BDC" w14:paraId="6432F0E8" w14:textId="77777777" w:rsidTr="00C7335B">
        <w:tc>
          <w:tcPr>
            <w:tcW w:w="7640" w:type="dxa"/>
          </w:tcPr>
          <w:p w14:paraId="1DA92A76" w14:textId="77777777" w:rsidR="006C1E7A" w:rsidRDefault="006C1E7A" w:rsidP="006C1E7A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Enabling the Effective Operation of the Organisation</w:t>
            </w:r>
          </w:p>
          <w:p w14:paraId="7DCEB174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</w:p>
        </w:tc>
        <w:sdt>
          <w:sdtPr>
            <w:rPr>
              <w:color w:val="auto"/>
              <w:sz w:val="40"/>
              <w:szCs w:val="40"/>
            </w:rPr>
            <w:id w:val="-1638247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7D7A9F01" w14:textId="7E7B3ABD" w:rsidR="006C1E7A" w:rsidRPr="00F31E0E" w:rsidRDefault="00C7335B" w:rsidP="006C1E7A">
                <w:pPr>
                  <w:spacing w:after="0" w:line="240" w:lineRule="auto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C7335B" w:rsidRPr="00566BDC" w14:paraId="54097BDD" w14:textId="77777777" w:rsidTr="00C7335B">
        <w:tc>
          <w:tcPr>
            <w:tcW w:w="7640" w:type="dxa"/>
          </w:tcPr>
          <w:p w14:paraId="2F5CB50E" w14:textId="15759369" w:rsidR="00C7335B" w:rsidRDefault="00C7335B" w:rsidP="006C1E7A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Voice of the Lived Experience</w:t>
            </w:r>
          </w:p>
        </w:tc>
        <w:sdt>
          <w:sdtPr>
            <w:rPr>
              <w:color w:val="auto"/>
              <w:sz w:val="40"/>
              <w:szCs w:val="40"/>
            </w:rPr>
            <w:id w:val="1431549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8" w:type="dxa"/>
              </w:tcPr>
              <w:p w14:paraId="129AB474" w14:textId="3C303919" w:rsidR="00C7335B" w:rsidRDefault="00C7335B" w:rsidP="006C1E7A">
                <w:pPr>
                  <w:spacing w:after="0" w:line="240" w:lineRule="auto"/>
                  <w:jc w:val="center"/>
                  <w:rPr>
                    <w:color w:val="auto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-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23603" w:rsidRPr="00524FEE" w14:paraId="789A9B3F" w14:textId="77777777" w:rsidTr="00C7335B">
        <w:trPr>
          <w:trHeight w:val="427"/>
        </w:trPr>
        <w:tc>
          <w:tcPr>
            <w:tcW w:w="9608" w:type="dxa"/>
            <w:tcBorders>
              <w:bottom w:val="nil"/>
            </w:tcBorders>
            <w:shd w:val="clear" w:color="auto" w:fill="D9D9D9" w:themeFill="background1" w:themeFillShade="D9"/>
          </w:tcPr>
          <w:p w14:paraId="24FC2816" w14:textId="51EBACD3" w:rsidR="00B23603" w:rsidRPr="00524FEE" w:rsidRDefault="00B23603" w:rsidP="00C7335B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lastRenderedPageBreak/>
              <w:t>IMPLICATIONS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B23603" w:rsidRPr="00BD03D7" w14:paraId="4051B561" w14:textId="77777777" w:rsidTr="00C7335B">
        <w:trPr>
          <w:trHeight w:val="74"/>
        </w:trPr>
        <w:tc>
          <w:tcPr>
            <w:tcW w:w="9608" w:type="dxa"/>
            <w:tcBorders>
              <w:top w:val="nil"/>
            </w:tcBorders>
            <w:shd w:val="clear" w:color="auto" w:fill="D9D9D9" w:themeFill="background1" w:themeFillShade="D9"/>
          </w:tcPr>
          <w:p w14:paraId="49FB9F78" w14:textId="77777777" w:rsidR="00B23603" w:rsidRDefault="00B23603" w:rsidP="00C7335B">
            <w:pPr>
              <w:spacing w:after="0" w:line="240" w:lineRule="auto"/>
              <w:rPr>
                <w:b/>
                <w:color w:val="auto"/>
              </w:rPr>
            </w:pPr>
          </w:p>
          <w:p w14:paraId="5E42B61F" w14:textId="77777777" w:rsidR="00C7335B" w:rsidRPr="00BD03D7" w:rsidRDefault="00C7335B" w:rsidP="00C7335B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14:paraId="285336CD" w14:textId="1B6A2B12" w:rsidR="005E2527" w:rsidRPr="00C7335B" w:rsidRDefault="005E2527" w:rsidP="00C7335B">
      <w:pPr>
        <w:spacing w:after="0" w:line="240" w:lineRule="auto"/>
        <w:rPr>
          <w:color w:val="auto"/>
          <w:sz w:val="6"/>
          <w:szCs w:val="6"/>
        </w:rPr>
      </w:pPr>
    </w:p>
    <w:tbl>
      <w:tblPr>
        <w:tblStyle w:val="TableGrid"/>
        <w:tblpPr w:leftFromText="180" w:rightFromText="180" w:vertAnchor="page" w:horzAnchor="margin" w:tblpY="23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646"/>
      </w:tblGrid>
      <w:tr w:rsidR="00C7335B" w:rsidRPr="00566BDC" w14:paraId="3462BC51" w14:textId="77777777" w:rsidTr="00C7335B">
        <w:tc>
          <w:tcPr>
            <w:tcW w:w="2962" w:type="dxa"/>
          </w:tcPr>
          <w:p w14:paraId="3E22EDC7" w14:textId="77777777" w:rsidR="00C7335B" w:rsidRPr="00566BDC" w:rsidRDefault="00C7335B" w:rsidP="00C7335B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Finance</w:t>
            </w:r>
          </w:p>
        </w:tc>
        <w:tc>
          <w:tcPr>
            <w:tcW w:w="6646" w:type="dxa"/>
          </w:tcPr>
          <w:p w14:paraId="5D08C462" w14:textId="77777777" w:rsidR="00C7335B" w:rsidRPr="003E1821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N/A at present but and may have implications if </w:t>
            </w:r>
            <w:proofErr w:type="gramStart"/>
            <w:r>
              <w:rPr>
                <w:bCs/>
                <w:color w:val="auto"/>
              </w:rPr>
              <w:t>particular themes</w:t>
            </w:r>
            <w:proofErr w:type="gramEnd"/>
            <w:r>
              <w:rPr>
                <w:bCs/>
                <w:color w:val="auto"/>
              </w:rPr>
              <w:t xml:space="preserve"> and/or recommendations are progressed in the future.</w:t>
            </w:r>
          </w:p>
        </w:tc>
      </w:tr>
      <w:tr w:rsidR="00C7335B" w:rsidRPr="00566BDC" w14:paraId="3A5CD07E" w14:textId="77777777" w:rsidTr="00C7335B">
        <w:tc>
          <w:tcPr>
            <w:tcW w:w="2962" w:type="dxa"/>
          </w:tcPr>
          <w:p w14:paraId="4ADF4BAA" w14:textId="77777777" w:rsidR="00C7335B" w:rsidRPr="00566BDC" w:rsidRDefault="00C7335B" w:rsidP="00C7335B">
            <w:pPr>
              <w:spacing w:after="0" w:line="240" w:lineRule="auto"/>
              <w:rPr>
                <w:color w:val="auto"/>
              </w:rPr>
            </w:pPr>
            <w:r w:rsidRPr="00566BDC">
              <w:rPr>
                <w:color w:val="auto"/>
              </w:rPr>
              <w:t>Quality</w:t>
            </w:r>
          </w:p>
        </w:tc>
        <w:tc>
          <w:tcPr>
            <w:tcW w:w="6646" w:type="dxa"/>
          </w:tcPr>
          <w:p w14:paraId="7366833C" w14:textId="77777777" w:rsidR="00C7335B" w:rsidRPr="0071752E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Better understanding of public perceptions and experience is key to </w:t>
            </w:r>
            <w:r w:rsidRPr="000B2EFC">
              <w:rPr>
                <w:bCs/>
                <w:color w:val="auto"/>
              </w:rPr>
              <w:t xml:space="preserve">improving </w:t>
            </w:r>
            <w:r>
              <w:rPr>
                <w:bCs/>
                <w:color w:val="auto"/>
              </w:rPr>
              <w:t xml:space="preserve">quality, </w:t>
            </w:r>
            <w:r w:rsidRPr="000B2EFC">
              <w:rPr>
                <w:bCs/>
                <w:color w:val="auto"/>
              </w:rPr>
              <w:t>access to care and reducing health inequalities</w:t>
            </w:r>
            <w:r>
              <w:rPr>
                <w:bCs/>
                <w:color w:val="auto"/>
              </w:rPr>
              <w:t>.</w:t>
            </w:r>
          </w:p>
          <w:p w14:paraId="3EC583C4" w14:textId="77777777" w:rsidR="00C7335B" w:rsidRPr="00566BDC" w:rsidRDefault="00C7335B" w:rsidP="00C7335B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C7335B" w:rsidRPr="00566BDC" w14:paraId="72F034A0" w14:textId="77777777" w:rsidTr="00C7335B">
        <w:tc>
          <w:tcPr>
            <w:tcW w:w="2962" w:type="dxa"/>
          </w:tcPr>
          <w:p w14:paraId="15B746E5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  <w:r w:rsidRPr="00566BDC">
              <w:rPr>
                <w:color w:val="auto"/>
              </w:rPr>
              <w:t>HR</w:t>
            </w:r>
          </w:p>
          <w:p w14:paraId="33277FDB" w14:textId="77777777" w:rsidR="00C7335B" w:rsidRPr="00566BDC" w:rsidRDefault="00C7335B" w:rsidP="00C7335B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646" w:type="dxa"/>
          </w:tcPr>
          <w:p w14:paraId="0D60C509" w14:textId="77777777" w:rsidR="00C7335B" w:rsidRPr="0071752E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N/A at present.</w:t>
            </w:r>
          </w:p>
          <w:p w14:paraId="5473A0E4" w14:textId="77777777" w:rsidR="00C7335B" w:rsidRPr="0071752E" w:rsidRDefault="00C7335B" w:rsidP="00C7335B">
            <w:pPr>
              <w:spacing w:after="0" w:line="240" w:lineRule="auto"/>
              <w:rPr>
                <w:bCs/>
                <w:color w:val="auto"/>
              </w:rPr>
            </w:pPr>
          </w:p>
        </w:tc>
      </w:tr>
      <w:tr w:rsidR="00C7335B" w:rsidRPr="00566BDC" w14:paraId="2CF62600" w14:textId="77777777" w:rsidTr="00C7335B">
        <w:tc>
          <w:tcPr>
            <w:tcW w:w="2962" w:type="dxa"/>
          </w:tcPr>
          <w:p w14:paraId="041FCA40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Legal / Regulatory</w:t>
            </w:r>
          </w:p>
        </w:tc>
        <w:tc>
          <w:tcPr>
            <w:tcW w:w="6646" w:type="dxa"/>
          </w:tcPr>
          <w:p w14:paraId="529EB0EC" w14:textId="77777777" w:rsidR="00C7335B" w:rsidRPr="002F59C9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 w:rsidRPr="002F59C9">
              <w:rPr>
                <w:bCs/>
                <w:color w:val="auto"/>
              </w:rPr>
              <w:t>The ICB is required to meet its statutory duties</w:t>
            </w:r>
            <w:r>
              <w:rPr>
                <w:bCs/>
                <w:color w:val="auto"/>
              </w:rPr>
              <w:t xml:space="preserve"> as part </w:t>
            </w:r>
            <w:r w:rsidRPr="002F59C9">
              <w:rPr>
                <w:bCs/>
                <w:color w:val="auto"/>
              </w:rPr>
              <w:t xml:space="preserve">of the NHS Act to </w:t>
            </w:r>
            <w:proofErr w:type="gramStart"/>
            <w:r w:rsidRPr="002F59C9">
              <w:rPr>
                <w:bCs/>
                <w:color w:val="auto"/>
              </w:rPr>
              <w:t>make arrangements</w:t>
            </w:r>
            <w:proofErr w:type="gramEnd"/>
            <w:r w:rsidRPr="002F59C9">
              <w:rPr>
                <w:bCs/>
                <w:color w:val="auto"/>
              </w:rPr>
              <w:t xml:space="preserve"> to secure that people are appropriately ‘involved’ in planning, proposals and decisions regarding NHS services.</w:t>
            </w:r>
          </w:p>
        </w:tc>
      </w:tr>
      <w:tr w:rsidR="00C7335B" w:rsidRPr="00566BDC" w14:paraId="57E517F6" w14:textId="77777777" w:rsidTr="00C7335B">
        <w:tc>
          <w:tcPr>
            <w:tcW w:w="2962" w:type="dxa"/>
          </w:tcPr>
          <w:p w14:paraId="7A1CA6C9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Data Protection / IG</w:t>
            </w:r>
          </w:p>
          <w:p w14:paraId="38377697" w14:textId="77777777" w:rsidR="00C7335B" w:rsidRPr="00566BDC" w:rsidRDefault="00C7335B" w:rsidP="00C7335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46" w:type="dxa"/>
          </w:tcPr>
          <w:p w14:paraId="42CD4537" w14:textId="77777777" w:rsidR="00C7335B" w:rsidRPr="0071752E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 w:rsidRPr="0071752E">
              <w:rPr>
                <w:bCs/>
                <w:color w:val="auto"/>
              </w:rPr>
              <w:t>N/A</w:t>
            </w:r>
            <w:r>
              <w:rPr>
                <w:bCs/>
                <w:color w:val="auto"/>
              </w:rPr>
              <w:t xml:space="preserve"> at present.</w:t>
            </w:r>
          </w:p>
        </w:tc>
      </w:tr>
      <w:tr w:rsidR="00C7335B" w:rsidRPr="00566BDC" w14:paraId="2C8E9A15" w14:textId="77777777" w:rsidTr="00C7335B">
        <w:tc>
          <w:tcPr>
            <w:tcW w:w="2962" w:type="dxa"/>
          </w:tcPr>
          <w:p w14:paraId="0AD50F10" w14:textId="77777777" w:rsidR="00C7335B" w:rsidRPr="00566BDC" w:rsidRDefault="00C7335B" w:rsidP="00C7335B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Health inequality / equality</w:t>
            </w:r>
          </w:p>
        </w:tc>
        <w:tc>
          <w:tcPr>
            <w:tcW w:w="6646" w:type="dxa"/>
          </w:tcPr>
          <w:p w14:paraId="2AAF925C" w14:textId="77777777" w:rsidR="00C7335B" w:rsidRPr="002F59C9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 w:rsidRPr="002F59C9">
              <w:rPr>
                <w:bCs/>
                <w:color w:val="auto"/>
              </w:rPr>
              <w:t>Better understanding of public perceptions and experience is key to improving quality, access to care and reducing health inequalities.</w:t>
            </w:r>
          </w:p>
        </w:tc>
      </w:tr>
      <w:tr w:rsidR="00C7335B" w:rsidRPr="00566BDC" w14:paraId="599138E1" w14:textId="77777777" w:rsidTr="00C7335B">
        <w:tc>
          <w:tcPr>
            <w:tcW w:w="2962" w:type="dxa"/>
          </w:tcPr>
          <w:p w14:paraId="75B9D61E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Conflict of Interest Aspects</w:t>
            </w:r>
          </w:p>
          <w:p w14:paraId="75582977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46" w:type="dxa"/>
          </w:tcPr>
          <w:p w14:paraId="523BC213" w14:textId="77777777" w:rsidR="00C7335B" w:rsidRPr="0071752E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 w:rsidRPr="0071752E">
              <w:rPr>
                <w:bCs/>
                <w:color w:val="auto"/>
              </w:rPr>
              <w:t>N/A</w:t>
            </w:r>
            <w:r>
              <w:rPr>
                <w:bCs/>
                <w:color w:val="auto"/>
              </w:rPr>
              <w:t xml:space="preserve"> at present.</w:t>
            </w:r>
          </w:p>
        </w:tc>
      </w:tr>
      <w:tr w:rsidR="00C7335B" w:rsidRPr="00566BDC" w14:paraId="5D783FBF" w14:textId="77777777" w:rsidTr="00C7335B">
        <w:tc>
          <w:tcPr>
            <w:tcW w:w="2962" w:type="dxa"/>
          </w:tcPr>
          <w:p w14:paraId="333FF1BF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Sustainability</w:t>
            </w:r>
          </w:p>
          <w:p w14:paraId="3729F658" w14:textId="77777777" w:rsidR="00C7335B" w:rsidRPr="00566BDC" w:rsidRDefault="00C7335B" w:rsidP="00C7335B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646" w:type="dxa"/>
          </w:tcPr>
          <w:p w14:paraId="5FDC4C28" w14:textId="77777777" w:rsidR="00C7335B" w:rsidRPr="0071752E" w:rsidRDefault="00C7335B" w:rsidP="00C7335B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N/A at present.</w:t>
            </w:r>
          </w:p>
          <w:p w14:paraId="21629198" w14:textId="77777777" w:rsidR="00C7335B" w:rsidRPr="00566BDC" w:rsidRDefault="00C7335B" w:rsidP="00C7335B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14:paraId="420D8EE8" w14:textId="77777777" w:rsidR="00C7335B" w:rsidRPr="00C7335B" w:rsidRDefault="00C7335B" w:rsidP="00C7335B">
      <w:pPr>
        <w:spacing w:after="0" w:line="240" w:lineRule="auto"/>
        <w:rPr>
          <w:color w:val="auto"/>
          <w:sz w:val="6"/>
          <w:szCs w:val="6"/>
        </w:rPr>
      </w:pPr>
    </w:p>
    <w:p w14:paraId="7A7E46E5" w14:textId="77777777" w:rsidR="00C7335B" w:rsidRDefault="00C7335B" w:rsidP="00C7335B">
      <w:pPr>
        <w:spacing w:after="0" w:line="240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E2527" w:rsidRPr="00566BDC" w14:paraId="6B25BF82" w14:textId="77777777" w:rsidTr="006C1E7A"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52275" w14:textId="77777777" w:rsidR="005E2527" w:rsidRPr="00566BDC" w:rsidRDefault="005E2527" w:rsidP="00C7335B">
            <w:pPr>
              <w:spacing w:after="0" w:line="240" w:lineRule="auto"/>
              <w:rPr>
                <w:b/>
                <w:color w:val="auto"/>
              </w:rPr>
            </w:pPr>
            <w:bookmarkStart w:id="4" w:name="_Hlk106134678"/>
          </w:p>
          <w:p w14:paraId="3129B2FB" w14:textId="77777777" w:rsidR="00C7335B" w:rsidRDefault="00D00EC7" w:rsidP="00C7335B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ASSESSED</w:t>
            </w:r>
            <w:r w:rsidR="005E2527">
              <w:rPr>
                <w:b/>
                <w:color w:val="auto"/>
              </w:rPr>
              <w:t xml:space="preserve"> RISK</w:t>
            </w:r>
            <w:r w:rsidR="005E2527" w:rsidRPr="00566BDC">
              <w:rPr>
                <w:b/>
                <w:color w:val="auto"/>
              </w:rPr>
              <w:t>:</w:t>
            </w:r>
            <w:r w:rsidR="005E2527" w:rsidRPr="00566BDC">
              <w:rPr>
                <w:color w:val="auto"/>
              </w:rPr>
              <w:t xml:space="preserve"> </w:t>
            </w:r>
          </w:p>
          <w:p w14:paraId="299E3B94" w14:textId="77777777" w:rsidR="00C7335B" w:rsidRDefault="00C7335B" w:rsidP="00C7335B">
            <w:pPr>
              <w:spacing w:after="0" w:line="240" w:lineRule="auto"/>
              <w:rPr>
                <w:color w:val="auto"/>
              </w:rPr>
            </w:pPr>
          </w:p>
          <w:p w14:paraId="59BBE300" w14:textId="27C41D21" w:rsidR="002F59C9" w:rsidRPr="00566BDC" w:rsidRDefault="002F59C9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The primary risk is that the ICB </w:t>
            </w:r>
            <w:r w:rsidR="00DA1A34">
              <w:rPr>
                <w:color w:val="auto"/>
              </w:rPr>
              <w:t xml:space="preserve">fails to appropriately </w:t>
            </w:r>
            <w:r w:rsidR="006623FD">
              <w:rPr>
                <w:color w:val="auto"/>
              </w:rPr>
              <w:t>involve</w:t>
            </w:r>
            <w:r w:rsidR="00DA1A34">
              <w:rPr>
                <w:color w:val="auto"/>
              </w:rPr>
              <w:t xml:space="preserve"> the public in it</w:t>
            </w:r>
            <w:r w:rsidR="006623FD">
              <w:rPr>
                <w:color w:val="auto"/>
              </w:rPr>
              <w:t>s</w:t>
            </w:r>
            <w:r w:rsidR="00DA1A34">
              <w:rPr>
                <w:color w:val="auto"/>
              </w:rPr>
              <w:t xml:space="preserve"> </w:t>
            </w:r>
            <w:r w:rsidR="006623FD">
              <w:rPr>
                <w:color w:val="auto"/>
              </w:rPr>
              <w:t>planning,</w:t>
            </w:r>
            <w:r w:rsidR="00DA1A34">
              <w:rPr>
                <w:color w:val="auto"/>
              </w:rPr>
              <w:t xml:space="preserve"> proposals and decision regarding NHS services, as part of its statutory duty. </w:t>
            </w:r>
            <w:r w:rsidR="006623FD">
              <w:rPr>
                <w:color w:val="auto"/>
              </w:rPr>
              <w:t>E</w:t>
            </w:r>
            <w:r w:rsidR="00DA1A34">
              <w:rPr>
                <w:color w:val="auto"/>
              </w:rPr>
              <w:t xml:space="preserve">nsuring </w:t>
            </w:r>
            <w:r w:rsidR="006623FD">
              <w:rPr>
                <w:color w:val="auto"/>
              </w:rPr>
              <w:t xml:space="preserve">that </w:t>
            </w:r>
            <w:r w:rsidR="00DA1A34">
              <w:rPr>
                <w:color w:val="auto"/>
              </w:rPr>
              <w:t>the Voice of the Lived Experience is part of every Board agenda, and that the dashboard and key reports are brought to the Board’s attention is a key part of the mitigation.</w:t>
            </w:r>
          </w:p>
          <w:p w14:paraId="5F7D7606" w14:textId="73C4EB35" w:rsidR="002D2FBC" w:rsidRPr="00566BDC" w:rsidRDefault="002D2FBC" w:rsidP="00C7335B">
            <w:pPr>
              <w:spacing w:after="0" w:line="240" w:lineRule="auto"/>
              <w:rPr>
                <w:color w:val="auto"/>
              </w:rPr>
            </w:pPr>
          </w:p>
        </w:tc>
      </w:tr>
      <w:bookmarkEnd w:id="4"/>
    </w:tbl>
    <w:p w14:paraId="0E1133FC" w14:textId="450414A7" w:rsidR="00043155" w:rsidRPr="00C7335B" w:rsidRDefault="00043155" w:rsidP="00C7335B">
      <w:pPr>
        <w:spacing w:after="0" w:line="240" w:lineRule="auto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43155" w:rsidRPr="00566BDC" w14:paraId="7C027CCA" w14:textId="77777777" w:rsidTr="006C1E7A"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E11A" w14:textId="77777777" w:rsidR="00043155" w:rsidRPr="00566BDC" w:rsidRDefault="00043155" w:rsidP="00C7335B">
            <w:pPr>
              <w:spacing w:after="0" w:line="240" w:lineRule="auto"/>
              <w:rPr>
                <w:b/>
                <w:color w:val="auto"/>
              </w:rPr>
            </w:pPr>
          </w:p>
          <w:p w14:paraId="01219628" w14:textId="36606645" w:rsidR="00043155" w:rsidRDefault="00043155" w:rsidP="00C7335B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MONITORING AND ASSURANCE</w:t>
            </w:r>
            <w:r w:rsidRPr="00566BDC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 xml:space="preserve"> </w:t>
            </w:r>
          </w:p>
          <w:p w14:paraId="516BE25F" w14:textId="05833D99" w:rsidR="00043155" w:rsidRDefault="00043155" w:rsidP="00C7335B">
            <w:pPr>
              <w:spacing w:after="0" w:line="240" w:lineRule="auto"/>
              <w:rPr>
                <w:color w:val="auto"/>
              </w:rPr>
            </w:pPr>
          </w:p>
          <w:p w14:paraId="7BB85618" w14:textId="690E99C7" w:rsidR="000B2EFC" w:rsidRPr="006E11AB" w:rsidRDefault="00A83B92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As part</w:t>
            </w:r>
            <w:r w:rsidR="00DA1A34">
              <w:rPr>
                <w:color w:val="auto"/>
              </w:rPr>
              <w:t xml:space="preserve"> of the task and </w:t>
            </w:r>
            <w:r w:rsidR="006623FD">
              <w:rPr>
                <w:color w:val="auto"/>
              </w:rPr>
              <w:t>finish</w:t>
            </w:r>
            <w:r w:rsidR="00DA1A34">
              <w:rPr>
                <w:color w:val="auto"/>
              </w:rPr>
              <w:t xml:space="preserve"> </w:t>
            </w:r>
            <w:r w:rsidR="006623FD">
              <w:rPr>
                <w:color w:val="auto"/>
              </w:rPr>
              <w:t>group</w:t>
            </w:r>
            <w:r w:rsidR="00DA1A34">
              <w:rPr>
                <w:color w:val="auto"/>
              </w:rPr>
              <w:t xml:space="preserve"> activity, g</w:t>
            </w:r>
            <w:r w:rsidR="001E0739">
              <w:rPr>
                <w:color w:val="auto"/>
              </w:rPr>
              <w:t>overnance</w:t>
            </w:r>
            <w:r>
              <w:rPr>
                <w:color w:val="auto"/>
              </w:rPr>
              <w:t xml:space="preserve"> and assurance</w:t>
            </w:r>
            <w:r w:rsidR="00DA1A34">
              <w:rPr>
                <w:color w:val="auto"/>
              </w:rPr>
              <w:t xml:space="preserve"> is being reviewed. </w:t>
            </w:r>
          </w:p>
          <w:p w14:paraId="5FEC0180" w14:textId="77777777" w:rsidR="00043155" w:rsidRPr="00566BDC" w:rsidRDefault="00043155" w:rsidP="00C7335B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489916CB" w14:textId="39492D09" w:rsidR="00043155" w:rsidRPr="00C7335B" w:rsidRDefault="00043155" w:rsidP="00C7335B">
      <w:pPr>
        <w:spacing w:after="0" w:line="240" w:lineRule="auto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880E9F" w:rsidRPr="00566BDC" w14:paraId="7F94535B" w14:textId="77777777" w:rsidTr="006C1E7A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4EAEA" w14:textId="77777777" w:rsidR="00566BDC" w:rsidRPr="00566BDC" w:rsidRDefault="00566BDC" w:rsidP="00C7335B">
            <w:pPr>
              <w:spacing w:after="0" w:line="240" w:lineRule="auto"/>
              <w:rPr>
                <w:b/>
                <w:color w:val="auto"/>
              </w:rPr>
            </w:pPr>
            <w:bookmarkStart w:id="5" w:name="_Hlk106098484"/>
          </w:p>
          <w:p w14:paraId="4734DBB0" w14:textId="2B40462D" w:rsidR="00880E9F" w:rsidRPr="0063018A" w:rsidRDefault="00880E9F" w:rsidP="00C7335B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ENGAGEMENT:</w:t>
            </w:r>
            <w:r w:rsidRPr="00566BDC">
              <w:rPr>
                <w:color w:val="auto"/>
              </w:rPr>
              <w:t xml:space="preserve"> </w:t>
            </w:r>
          </w:p>
          <w:p w14:paraId="02E3FF42" w14:textId="77777777" w:rsidR="00880E9F" w:rsidRDefault="00880E9F" w:rsidP="00C7335B">
            <w:pPr>
              <w:spacing w:after="0" w:line="240" w:lineRule="auto"/>
              <w:rPr>
                <w:color w:val="auto"/>
              </w:rPr>
            </w:pPr>
          </w:p>
          <w:p w14:paraId="797D586C" w14:textId="77777777" w:rsidR="00DA1A34" w:rsidRDefault="00B716B3" w:rsidP="00C7335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Extensive engagement was conducted with members of the public across Humber and North Yorkshire, including targeted groups.</w:t>
            </w:r>
            <w:r w:rsidR="00DA1A34">
              <w:rPr>
                <w:color w:val="auto"/>
              </w:rPr>
              <w:t xml:space="preserve"> </w:t>
            </w:r>
          </w:p>
          <w:p w14:paraId="02D6A569" w14:textId="1E9A6AF5" w:rsidR="00C7335B" w:rsidRPr="00566BDC" w:rsidRDefault="00C7335B" w:rsidP="00C7335B">
            <w:pPr>
              <w:spacing w:after="0" w:line="240" w:lineRule="auto"/>
              <w:rPr>
                <w:color w:val="auto"/>
              </w:rPr>
            </w:pPr>
          </w:p>
        </w:tc>
      </w:tr>
      <w:bookmarkEnd w:id="5"/>
    </w:tbl>
    <w:p w14:paraId="784EBC53" w14:textId="464D2516" w:rsidR="00880E9F" w:rsidRPr="00C7335B" w:rsidRDefault="00880E9F" w:rsidP="00C7335B">
      <w:pPr>
        <w:spacing w:after="0" w:line="240" w:lineRule="auto"/>
        <w:rPr>
          <w:color w:val="auto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D20A8" w14:paraId="0FEFEDA4" w14:textId="77777777" w:rsidTr="00CD20A8">
        <w:trPr>
          <w:trHeight w:val="427"/>
        </w:trPr>
        <w:tc>
          <w:tcPr>
            <w:tcW w:w="9608" w:type="dxa"/>
            <w:tcBorders>
              <w:bottom w:val="nil"/>
            </w:tcBorders>
          </w:tcPr>
          <w:p w14:paraId="39D3DDC7" w14:textId="17218D97" w:rsidR="00CD20A8" w:rsidRPr="00524FEE" w:rsidRDefault="00CD20A8" w:rsidP="00C7335B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REPORT EXEMPT FROM PUBLIC DISCLOSURE                            </w:t>
            </w:r>
            <w:r w:rsidRPr="00524FEE">
              <w:rPr>
                <w:color w:val="auto"/>
              </w:rPr>
              <w:t>No</w:t>
            </w:r>
            <w:r>
              <w:rPr>
                <w:color w:val="auto"/>
              </w:rPr>
              <w:t xml:space="preserve">   </w:t>
            </w:r>
            <w:sdt>
              <w:sdtPr>
                <w:rPr>
                  <w:color w:val="auto"/>
                  <w:sz w:val="40"/>
                  <w:szCs w:val="40"/>
                </w:rPr>
                <w:id w:val="1459919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91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sdtContent>
            </w:sdt>
            <w:r>
              <w:rPr>
                <w:color w:val="auto"/>
                <w:sz w:val="40"/>
                <w:szCs w:val="40"/>
              </w:rPr>
              <w:t xml:space="preserve">   </w:t>
            </w:r>
            <w:r w:rsidRPr="00524FEE">
              <w:rPr>
                <w:color w:val="auto"/>
              </w:rPr>
              <w:t>Yes</w:t>
            </w:r>
            <w:r>
              <w:rPr>
                <w:color w:val="auto"/>
              </w:rPr>
              <w:t xml:space="preserve">   </w:t>
            </w:r>
            <w:sdt>
              <w:sdtPr>
                <w:rPr>
                  <w:color w:val="auto"/>
                  <w:sz w:val="40"/>
                  <w:szCs w:val="40"/>
                </w:rPr>
                <w:id w:val="19483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0A8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F190C" w14:paraId="4C3F0319" w14:textId="77777777" w:rsidTr="0086751B">
        <w:tc>
          <w:tcPr>
            <w:tcW w:w="9608" w:type="dxa"/>
            <w:tcBorders>
              <w:top w:val="nil"/>
            </w:tcBorders>
          </w:tcPr>
          <w:p w14:paraId="6B3410EE" w14:textId="05A0B2C8" w:rsidR="004F190C" w:rsidRPr="00CD20A8" w:rsidRDefault="004F190C" w:rsidP="00C7335B">
            <w:pPr>
              <w:spacing w:after="0" w:line="240" w:lineRule="auto"/>
              <w:rPr>
                <w:color w:val="auto"/>
                <w:sz w:val="20"/>
              </w:rPr>
            </w:pPr>
            <w:r w:rsidRPr="00BD03D7">
              <w:rPr>
                <w:color w:val="auto"/>
                <w:sz w:val="20"/>
              </w:rPr>
              <w:t xml:space="preserve">If yes, </w:t>
            </w:r>
            <w:r>
              <w:rPr>
                <w:color w:val="auto"/>
                <w:sz w:val="20"/>
              </w:rPr>
              <w:t xml:space="preserve">please </w:t>
            </w:r>
            <w:r w:rsidR="006C31DB">
              <w:rPr>
                <w:color w:val="auto"/>
                <w:sz w:val="20"/>
              </w:rPr>
              <w:t>detail</w:t>
            </w:r>
            <w:r>
              <w:rPr>
                <w:color w:val="auto"/>
                <w:sz w:val="20"/>
              </w:rPr>
              <w:t xml:space="preserve"> the </w:t>
            </w:r>
            <w:r w:rsidR="006C31DB">
              <w:rPr>
                <w:color w:val="auto"/>
                <w:sz w:val="20"/>
              </w:rPr>
              <w:t xml:space="preserve">specific </w:t>
            </w:r>
            <w:r>
              <w:rPr>
                <w:color w:val="auto"/>
                <w:sz w:val="20"/>
              </w:rPr>
              <w:t xml:space="preserve">grounds for </w:t>
            </w:r>
            <w:r w:rsidR="00B23603">
              <w:rPr>
                <w:color w:val="auto"/>
                <w:sz w:val="20"/>
              </w:rPr>
              <w:t>exemption.</w:t>
            </w:r>
            <w:r w:rsidR="00CD20A8">
              <w:rPr>
                <w:color w:val="auto"/>
                <w:sz w:val="20"/>
              </w:rPr>
              <w:t xml:space="preserve">    </w:t>
            </w:r>
          </w:p>
          <w:p w14:paraId="3CB6CF64" w14:textId="477A7C29" w:rsidR="004F190C" w:rsidRPr="00BD03D7" w:rsidRDefault="004F190C" w:rsidP="00C7335B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14:paraId="21642BAF" w14:textId="77777777" w:rsidR="00880E9F" w:rsidRPr="00566BDC" w:rsidRDefault="00880E9F" w:rsidP="00C7335B">
      <w:pPr>
        <w:spacing w:after="0" w:line="240" w:lineRule="auto"/>
        <w:rPr>
          <w:color w:val="auto"/>
        </w:rPr>
      </w:pPr>
    </w:p>
    <w:p w14:paraId="50C7EA2B" w14:textId="77777777" w:rsidR="007109D4" w:rsidRDefault="007109D4" w:rsidP="00C7335B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16B805DE" w14:textId="0446CC03" w:rsidR="006C6CAA" w:rsidRDefault="006C6CAA" w:rsidP="00C7335B">
      <w:pPr>
        <w:spacing w:after="0" w:line="240" w:lineRule="auto"/>
        <w:rPr>
          <w:b/>
          <w:bCs/>
          <w:color w:val="auto"/>
          <w:sz w:val="24"/>
          <w:szCs w:val="24"/>
        </w:rPr>
      </w:pPr>
    </w:p>
    <w:sectPr w:rsidR="006C6CAA" w:rsidSect="000A5B90"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6040" w14:textId="77777777" w:rsidR="00401E6D" w:rsidRDefault="00401E6D" w:rsidP="00206B76">
      <w:pPr>
        <w:spacing w:after="0" w:line="240" w:lineRule="auto"/>
      </w:pPr>
      <w:r>
        <w:separator/>
      </w:r>
    </w:p>
  </w:endnote>
  <w:endnote w:type="continuationSeparator" w:id="0">
    <w:p w14:paraId="4FA56123" w14:textId="77777777" w:rsidR="00401E6D" w:rsidRDefault="00401E6D" w:rsidP="002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667157"/>
      <w:docPartObj>
        <w:docPartGallery w:val="Page Numbers (Bottom of Page)"/>
        <w:docPartUnique/>
      </w:docPartObj>
    </w:sdtPr>
    <w:sdtEndPr>
      <w:rPr>
        <w:color w:val="auto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  <w:sz w:val="16"/>
            <w:szCs w:val="16"/>
          </w:rPr>
        </w:sdtEndPr>
        <w:sdtContent>
          <w:p w14:paraId="6010A07D" w14:textId="0728662A" w:rsidR="000B082B" w:rsidRPr="006C6CAA" w:rsidRDefault="006C6CAA" w:rsidP="006C6CAA">
            <w:pPr>
              <w:pStyle w:val="Footer"/>
              <w:jc w:val="right"/>
              <w:rPr>
                <w:color w:val="auto"/>
                <w:sz w:val="16"/>
                <w:szCs w:val="16"/>
              </w:rPr>
            </w:pPr>
            <w:r w:rsidRPr="006C6CAA">
              <w:rPr>
                <w:color w:val="auto"/>
                <w:sz w:val="16"/>
                <w:szCs w:val="16"/>
              </w:rPr>
              <w:t xml:space="preserve">Page </w:t>
            </w:r>
            <w:r w:rsidRPr="006C6CAA">
              <w:rPr>
                <w:color w:val="auto"/>
                <w:sz w:val="16"/>
                <w:szCs w:val="16"/>
              </w:rPr>
              <w:fldChar w:fldCharType="begin"/>
            </w:r>
            <w:r w:rsidRPr="006C6CAA">
              <w:rPr>
                <w:color w:val="auto"/>
                <w:sz w:val="16"/>
                <w:szCs w:val="16"/>
              </w:rPr>
              <w:instrText xml:space="preserve"> PAGE </w:instrText>
            </w:r>
            <w:r w:rsidRPr="006C6CAA">
              <w:rPr>
                <w:color w:val="auto"/>
                <w:sz w:val="16"/>
                <w:szCs w:val="16"/>
              </w:rPr>
              <w:fldChar w:fldCharType="separate"/>
            </w:r>
            <w:r w:rsidRPr="006C6CAA">
              <w:rPr>
                <w:noProof/>
                <w:color w:val="auto"/>
                <w:sz w:val="16"/>
                <w:szCs w:val="16"/>
              </w:rPr>
              <w:t>2</w:t>
            </w:r>
            <w:r w:rsidRPr="006C6CAA">
              <w:rPr>
                <w:color w:val="auto"/>
                <w:sz w:val="16"/>
                <w:szCs w:val="16"/>
              </w:rPr>
              <w:fldChar w:fldCharType="end"/>
            </w:r>
            <w:r w:rsidRPr="006C6CAA">
              <w:rPr>
                <w:color w:val="auto"/>
                <w:sz w:val="16"/>
                <w:szCs w:val="16"/>
              </w:rPr>
              <w:t xml:space="preserve"> of </w:t>
            </w:r>
            <w:r w:rsidRPr="006C6CAA">
              <w:rPr>
                <w:color w:val="auto"/>
                <w:sz w:val="16"/>
                <w:szCs w:val="16"/>
              </w:rPr>
              <w:fldChar w:fldCharType="begin"/>
            </w:r>
            <w:r w:rsidRPr="006C6CAA">
              <w:rPr>
                <w:color w:val="auto"/>
                <w:sz w:val="16"/>
                <w:szCs w:val="16"/>
              </w:rPr>
              <w:instrText xml:space="preserve"> NUMPAGES  </w:instrText>
            </w:r>
            <w:r w:rsidRPr="006C6CAA">
              <w:rPr>
                <w:color w:val="auto"/>
                <w:sz w:val="16"/>
                <w:szCs w:val="16"/>
              </w:rPr>
              <w:fldChar w:fldCharType="separate"/>
            </w:r>
            <w:r w:rsidRPr="006C6CAA">
              <w:rPr>
                <w:noProof/>
                <w:color w:val="auto"/>
                <w:sz w:val="16"/>
                <w:szCs w:val="16"/>
              </w:rPr>
              <w:t>2</w:t>
            </w:r>
            <w:r w:rsidRPr="006C6CAA">
              <w:rPr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9E0C" w14:textId="77777777" w:rsidR="00401E6D" w:rsidRDefault="00401E6D" w:rsidP="00206B76">
      <w:pPr>
        <w:spacing w:after="0" w:line="240" w:lineRule="auto"/>
      </w:pPr>
      <w:r>
        <w:separator/>
      </w:r>
    </w:p>
  </w:footnote>
  <w:footnote w:type="continuationSeparator" w:id="0">
    <w:p w14:paraId="407A7F27" w14:textId="77777777" w:rsidR="00401E6D" w:rsidRDefault="00401E6D" w:rsidP="0020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609"/>
    <w:multiLevelType w:val="hybridMultilevel"/>
    <w:tmpl w:val="7110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07B"/>
    <w:multiLevelType w:val="hybridMultilevel"/>
    <w:tmpl w:val="AA14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624"/>
    <w:multiLevelType w:val="hybridMultilevel"/>
    <w:tmpl w:val="9B22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0AAA"/>
    <w:multiLevelType w:val="hybridMultilevel"/>
    <w:tmpl w:val="6E067AEC"/>
    <w:lvl w:ilvl="0" w:tplc="65B68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60E1"/>
    <w:multiLevelType w:val="hybridMultilevel"/>
    <w:tmpl w:val="17C66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128E"/>
    <w:multiLevelType w:val="hybridMultilevel"/>
    <w:tmpl w:val="0900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020D"/>
    <w:multiLevelType w:val="multilevel"/>
    <w:tmpl w:val="9A8C6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DF5D0E"/>
    <w:multiLevelType w:val="hybridMultilevel"/>
    <w:tmpl w:val="5B647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C7521"/>
    <w:multiLevelType w:val="hybridMultilevel"/>
    <w:tmpl w:val="5812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453FB"/>
    <w:multiLevelType w:val="hybridMultilevel"/>
    <w:tmpl w:val="17F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2C9"/>
    <w:multiLevelType w:val="multilevel"/>
    <w:tmpl w:val="2B84E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0A6EF7"/>
    <w:multiLevelType w:val="hybridMultilevel"/>
    <w:tmpl w:val="AF5E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6DF"/>
    <w:multiLevelType w:val="hybridMultilevel"/>
    <w:tmpl w:val="A928F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6C50"/>
    <w:multiLevelType w:val="multilevel"/>
    <w:tmpl w:val="540E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425667"/>
    <w:multiLevelType w:val="hybridMultilevel"/>
    <w:tmpl w:val="D10E8F66"/>
    <w:lvl w:ilvl="0" w:tplc="AB7C6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1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8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2A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E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2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FC0CCB"/>
    <w:multiLevelType w:val="hybridMultilevel"/>
    <w:tmpl w:val="F222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52890"/>
    <w:multiLevelType w:val="multilevel"/>
    <w:tmpl w:val="F9DC2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A62FE3"/>
    <w:multiLevelType w:val="hybridMultilevel"/>
    <w:tmpl w:val="BEFE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1117"/>
    <w:multiLevelType w:val="multilevel"/>
    <w:tmpl w:val="F9DC2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E4DA4"/>
    <w:multiLevelType w:val="hybridMultilevel"/>
    <w:tmpl w:val="AA7A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822D7"/>
    <w:multiLevelType w:val="hybridMultilevel"/>
    <w:tmpl w:val="73C0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61A2"/>
    <w:multiLevelType w:val="hybridMultilevel"/>
    <w:tmpl w:val="94B42264"/>
    <w:lvl w:ilvl="0" w:tplc="A794517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F21376"/>
    <w:multiLevelType w:val="hybridMultilevel"/>
    <w:tmpl w:val="B03C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0383A"/>
    <w:multiLevelType w:val="hybridMultilevel"/>
    <w:tmpl w:val="6AEC7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75F31"/>
    <w:multiLevelType w:val="multilevel"/>
    <w:tmpl w:val="2B84E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45663C"/>
    <w:multiLevelType w:val="hybridMultilevel"/>
    <w:tmpl w:val="54CCA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6477">
    <w:abstractNumId w:val="13"/>
  </w:num>
  <w:num w:numId="2" w16cid:durableId="882718920">
    <w:abstractNumId w:val="2"/>
  </w:num>
  <w:num w:numId="3" w16cid:durableId="69666238">
    <w:abstractNumId w:val="0"/>
  </w:num>
  <w:num w:numId="4" w16cid:durableId="86193173">
    <w:abstractNumId w:val="4"/>
  </w:num>
  <w:num w:numId="5" w16cid:durableId="1161777815">
    <w:abstractNumId w:val="8"/>
  </w:num>
  <w:num w:numId="6" w16cid:durableId="711077932">
    <w:abstractNumId w:val="17"/>
  </w:num>
  <w:num w:numId="7" w16cid:durableId="1752845817">
    <w:abstractNumId w:val="6"/>
  </w:num>
  <w:num w:numId="8" w16cid:durableId="1268586603">
    <w:abstractNumId w:val="20"/>
  </w:num>
  <w:num w:numId="9" w16cid:durableId="1168062679">
    <w:abstractNumId w:val="24"/>
  </w:num>
  <w:num w:numId="10" w16cid:durableId="1092311845">
    <w:abstractNumId w:val="19"/>
  </w:num>
  <w:num w:numId="11" w16cid:durableId="679045621">
    <w:abstractNumId w:val="10"/>
  </w:num>
  <w:num w:numId="12" w16cid:durableId="1551503190">
    <w:abstractNumId w:val="16"/>
  </w:num>
  <w:num w:numId="13" w16cid:durableId="774637503">
    <w:abstractNumId w:val="18"/>
  </w:num>
  <w:num w:numId="14" w16cid:durableId="101265943">
    <w:abstractNumId w:val="21"/>
  </w:num>
  <w:num w:numId="15" w16cid:durableId="744255836">
    <w:abstractNumId w:val="3"/>
  </w:num>
  <w:num w:numId="16" w16cid:durableId="1675718757">
    <w:abstractNumId w:val="25"/>
  </w:num>
  <w:num w:numId="17" w16cid:durableId="1191258937">
    <w:abstractNumId w:val="22"/>
  </w:num>
  <w:num w:numId="18" w16cid:durableId="1910455670">
    <w:abstractNumId w:val="5"/>
  </w:num>
  <w:num w:numId="19" w16cid:durableId="1738823400">
    <w:abstractNumId w:val="12"/>
  </w:num>
  <w:num w:numId="20" w16cid:durableId="529874347">
    <w:abstractNumId w:val="23"/>
  </w:num>
  <w:num w:numId="21" w16cid:durableId="538591460">
    <w:abstractNumId w:val="9"/>
  </w:num>
  <w:num w:numId="22" w16cid:durableId="1757288462">
    <w:abstractNumId w:val="1"/>
  </w:num>
  <w:num w:numId="23" w16cid:durableId="1979073167">
    <w:abstractNumId w:val="7"/>
  </w:num>
  <w:num w:numId="24" w16cid:durableId="1464612525">
    <w:abstractNumId w:val="11"/>
  </w:num>
  <w:num w:numId="25" w16cid:durableId="1389457780">
    <w:abstractNumId w:val="14"/>
  </w:num>
  <w:num w:numId="26" w16cid:durableId="68355527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00041"/>
    <w:rsid w:val="00007950"/>
    <w:rsid w:val="000102CB"/>
    <w:rsid w:val="000126CA"/>
    <w:rsid w:val="00026704"/>
    <w:rsid w:val="000302F3"/>
    <w:rsid w:val="00043155"/>
    <w:rsid w:val="00045447"/>
    <w:rsid w:val="00047BA1"/>
    <w:rsid w:val="000601A8"/>
    <w:rsid w:val="0006137D"/>
    <w:rsid w:val="00065017"/>
    <w:rsid w:val="00080753"/>
    <w:rsid w:val="000830E8"/>
    <w:rsid w:val="00085A81"/>
    <w:rsid w:val="00095494"/>
    <w:rsid w:val="000A2C91"/>
    <w:rsid w:val="000A5B90"/>
    <w:rsid w:val="000A6313"/>
    <w:rsid w:val="000B082B"/>
    <w:rsid w:val="000B2EFC"/>
    <w:rsid w:val="000B6058"/>
    <w:rsid w:val="000B7B78"/>
    <w:rsid w:val="000C3DF7"/>
    <w:rsid w:val="000D2F25"/>
    <w:rsid w:val="000E4B82"/>
    <w:rsid w:val="000E54A7"/>
    <w:rsid w:val="000E6CE5"/>
    <w:rsid w:val="000F00F0"/>
    <w:rsid w:val="000F6182"/>
    <w:rsid w:val="000F681C"/>
    <w:rsid w:val="001049D6"/>
    <w:rsid w:val="0010586B"/>
    <w:rsid w:val="0010672E"/>
    <w:rsid w:val="00117908"/>
    <w:rsid w:val="00122DFC"/>
    <w:rsid w:val="00131375"/>
    <w:rsid w:val="00133A04"/>
    <w:rsid w:val="00137DBB"/>
    <w:rsid w:val="00165FAE"/>
    <w:rsid w:val="00167407"/>
    <w:rsid w:val="0017450E"/>
    <w:rsid w:val="001774D9"/>
    <w:rsid w:val="00186878"/>
    <w:rsid w:val="00196845"/>
    <w:rsid w:val="001A1DBB"/>
    <w:rsid w:val="001A441A"/>
    <w:rsid w:val="001B1EF2"/>
    <w:rsid w:val="001B25C2"/>
    <w:rsid w:val="001C09DB"/>
    <w:rsid w:val="001C2543"/>
    <w:rsid w:val="001C6F52"/>
    <w:rsid w:val="001C786C"/>
    <w:rsid w:val="001E0739"/>
    <w:rsid w:val="001E6526"/>
    <w:rsid w:val="001E780C"/>
    <w:rsid w:val="002001E7"/>
    <w:rsid w:val="00202518"/>
    <w:rsid w:val="00204AC7"/>
    <w:rsid w:val="00206B76"/>
    <w:rsid w:val="00211B1F"/>
    <w:rsid w:val="0021269C"/>
    <w:rsid w:val="00213DF2"/>
    <w:rsid w:val="0021698E"/>
    <w:rsid w:val="002170BA"/>
    <w:rsid w:val="00221680"/>
    <w:rsid w:val="002258B0"/>
    <w:rsid w:val="002415F0"/>
    <w:rsid w:val="002418A9"/>
    <w:rsid w:val="0025572F"/>
    <w:rsid w:val="00255925"/>
    <w:rsid w:val="00263D8C"/>
    <w:rsid w:val="00270E1F"/>
    <w:rsid w:val="00273C37"/>
    <w:rsid w:val="0029694C"/>
    <w:rsid w:val="002A13D9"/>
    <w:rsid w:val="002A33AE"/>
    <w:rsid w:val="002A5816"/>
    <w:rsid w:val="002B0F1C"/>
    <w:rsid w:val="002B21BA"/>
    <w:rsid w:val="002B4676"/>
    <w:rsid w:val="002B5059"/>
    <w:rsid w:val="002B6F55"/>
    <w:rsid w:val="002B7229"/>
    <w:rsid w:val="002D223A"/>
    <w:rsid w:val="002D22F3"/>
    <w:rsid w:val="002D2FBC"/>
    <w:rsid w:val="002D4BC5"/>
    <w:rsid w:val="002D7FCB"/>
    <w:rsid w:val="002E50F3"/>
    <w:rsid w:val="002F59C9"/>
    <w:rsid w:val="00303057"/>
    <w:rsid w:val="00310A09"/>
    <w:rsid w:val="00326FBF"/>
    <w:rsid w:val="003312D3"/>
    <w:rsid w:val="003315EE"/>
    <w:rsid w:val="00331688"/>
    <w:rsid w:val="00340567"/>
    <w:rsid w:val="0034324D"/>
    <w:rsid w:val="003728AB"/>
    <w:rsid w:val="003734A1"/>
    <w:rsid w:val="00373698"/>
    <w:rsid w:val="0037462C"/>
    <w:rsid w:val="0037732B"/>
    <w:rsid w:val="00381FC0"/>
    <w:rsid w:val="00386180"/>
    <w:rsid w:val="00390986"/>
    <w:rsid w:val="00390F40"/>
    <w:rsid w:val="003A14A9"/>
    <w:rsid w:val="003A1818"/>
    <w:rsid w:val="003B2F18"/>
    <w:rsid w:val="003B6637"/>
    <w:rsid w:val="003C1D6F"/>
    <w:rsid w:val="003C5AB0"/>
    <w:rsid w:val="003D11C8"/>
    <w:rsid w:val="003D379C"/>
    <w:rsid w:val="003D3904"/>
    <w:rsid w:val="003D47EE"/>
    <w:rsid w:val="003E1821"/>
    <w:rsid w:val="003E2167"/>
    <w:rsid w:val="003E336A"/>
    <w:rsid w:val="003E5B87"/>
    <w:rsid w:val="003F6485"/>
    <w:rsid w:val="003F7FBC"/>
    <w:rsid w:val="00401E6D"/>
    <w:rsid w:val="004159D1"/>
    <w:rsid w:val="004307C4"/>
    <w:rsid w:val="00431C03"/>
    <w:rsid w:val="00440CA7"/>
    <w:rsid w:val="00440CFB"/>
    <w:rsid w:val="00445AFD"/>
    <w:rsid w:val="0046152F"/>
    <w:rsid w:val="00466779"/>
    <w:rsid w:val="004765EA"/>
    <w:rsid w:val="00476E2A"/>
    <w:rsid w:val="00481604"/>
    <w:rsid w:val="00485613"/>
    <w:rsid w:val="00490B12"/>
    <w:rsid w:val="0049270B"/>
    <w:rsid w:val="0049375E"/>
    <w:rsid w:val="00496429"/>
    <w:rsid w:val="00497DAE"/>
    <w:rsid w:val="004A429C"/>
    <w:rsid w:val="004A4AF8"/>
    <w:rsid w:val="004A4FEF"/>
    <w:rsid w:val="004A6F2B"/>
    <w:rsid w:val="004B0CCF"/>
    <w:rsid w:val="004B6A05"/>
    <w:rsid w:val="004B7D12"/>
    <w:rsid w:val="004C16F5"/>
    <w:rsid w:val="004C2764"/>
    <w:rsid w:val="004D060E"/>
    <w:rsid w:val="004F1273"/>
    <w:rsid w:val="004F190C"/>
    <w:rsid w:val="004F3385"/>
    <w:rsid w:val="0050341E"/>
    <w:rsid w:val="00505381"/>
    <w:rsid w:val="0051512E"/>
    <w:rsid w:val="00521467"/>
    <w:rsid w:val="00524FEE"/>
    <w:rsid w:val="0052611C"/>
    <w:rsid w:val="00556818"/>
    <w:rsid w:val="00563B91"/>
    <w:rsid w:val="00563C6A"/>
    <w:rsid w:val="00566BDC"/>
    <w:rsid w:val="005829D5"/>
    <w:rsid w:val="0059099C"/>
    <w:rsid w:val="0059566F"/>
    <w:rsid w:val="005A0576"/>
    <w:rsid w:val="005A3F90"/>
    <w:rsid w:val="005A6CEB"/>
    <w:rsid w:val="005A7BEA"/>
    <w:rsid w:val="005C4DDD"/>
    <w:rsid w:val="005C6C78"/>
    <w:rsid w:val="005D3300"/>
    <w:rsid w:val="005E1A4B"/>
    <w:rsid w:val="005E2527"/>
    <w:rsid w:val="005F3077"/>
    <w:rsid w:val="00604489"/>
    <w:rsid w:val="00606936"/>
    <w:rsid w:val="0061348C"/>
    <w:rsid w:val="006219EE"/>
    <w:rsid w:val="0063018A"/>
    <w:rsid w:val="0063369F"/>
    <w:rsid w:val="00634CC3"/>
    <w:rsid w:val="006353ED"/>
    <w:rsid w:val="006362B9"/>
    <w:rsid w:val="0063726D"/>
    <w:rsid w:val="006500B1"/>
    <w:rsid w:val="006552CE"/>
    <w:rsid w:val="00657EA8"/>
    <w:rsid w:val="00661ED3"/>
    <w:rsid w:val="006623FD"/>
    <w:rsid w:val="00692EB3"/>
    <w:rsid w:val="00696CD9"/>
    <w:rsid w:val="006C125A"/>
    <w:rsid w:val="006C1E7A"/>
    <w:rsid w:val="006C31DB"/>
    <w:rsid w:val="006C4C28"/>
    <w:rsid w:val="006C6CAA"/>
    <w:rsid w:val="006C7A4C"/>
    <w:rsid w:val="006E11AB"/>
    <w:rsid w:val="006E1649"/>
    <w:rsid w:val="006F51F1"/>
    <w:rsid w:val="006F7291"/>
    <w:rsid w:val="007025AD"/>
    <w:rsid w:val="007048AE"/>
    <w:rsid w:val="007109D4"/>
    <w:rsid w:val="00711F77"/>
    <w:rsid w:val="00714138"/>
    <w:rsid w:val="0071752E"/>
    <w:rsid w:val="00722B9F"/>
    <w:rsid w:val="00723683"/>
    <w:rsid w:val="00744439"/>
    <w:rsid w:val="00746877"/>
    <w:rsid w:val="00750FD9"/>
    <w:rsid w:val="00752FC4"/>
    <w:rsid w:val="00755F6D"/>
    <w:rsid w:val="00764500"/>
    <w:rsid w:val="007650BC"/>
    <w:rsid w:val="007736DB"/>
    <w:rsid w:val="00786061"/>
    <w:rsid w:val="0079013B"/>
    <w:rsid w:val="00795922"/>
    <w:rsid w:val="007A3FFD"/>
    <w:rsid w:val="007A6CC7"/>
    <w:rsid w:val="007B0DD7"/>
    <w:rsid w:val="007B7316"/>
    <w:rsid w:val="007C42F1"/>
    <w:rsid w:val="007C48D3"/>
    <w:rsid w:val="007C6F0E"/>
    <w:rsid w:val="007C7835"/>
    <w:rsid w:val="007C7DFF"/>
    <w:rsid w:val="007D0981"/>
    <w:rsid w:val="007D5A7F"/>
    <w:rsid w:val="007E0F0A"/>
    <w:rsid w:val="007E630F"/>
    <w:rsid w:val="007E7D10"/>
    <w:rsid w:val="00801D37"/>
    <w:rsid w:val="008104F6"/>
    <w:rsid w:val="008133A3"/>
    <w:rsid w:val="008142EE"/>
    <w:rsid w:val="008205C8"/>
    <w:rsid w:val="00832316"/>
    <w:rsid w:val="00856A5A"/>
    <w:rsid w:val="00856D9A"/>
    <w:rsid w:val="00857751"/>
    <w:rsid w:val="008601C9"/>
    <w:rsid w:val="00862AFA"/>
    <w:rsid w:val="00864DEE"/>
    <w:rsid w:val="00880E9F"/>
    <w:rsid w:val="008827DA"/>
    <w:rsid w:val="00884D3A"/>
    <w:rsid w:val="00892AAE"/>
    <w:rsid w:val="008951B4"/>
    <w:rsid w:val="008B11BB"/>
    <w:rsid w:val="008B1783"/>
    <w:rsid w:val="008B518F"/>
    <w:rsid w:val="008C54B1"/>
    <w:rsid w:val="008D121F"/>
    <w:rsid w:val="008D4F11"/>
    <w:rsid w:val="008E386D"/>
    <w:rsid w:val="008E64C6"/>
    <w:rsid w:val="008F2002"/>
    <w:rsid w:val="008F27FD"/>
    <w:rsid w:val="00901FDA"/>
    <w:rsid w:val="0090276F"/>
    <w:rsid w:val="009061A5"/>
    <w:rsid w:val="00912FC7"/>
    <w:rsid w:val="00913A2F"/>
    <w:rsid w:val="00922F3D"/>
    <w:rsid w:val="0093186A"/>
    <w:rsid w:val="009369E8"/>
    <w:rsid w:val="00946F33"/>
    <w:rsid w:val="00947AE3"/>
    <w:rsid w:val="009538C1"/>
    <w:rsid w:val="00953DC4"/>
    <w:rsid w:val="00955029"/>
    <w:rsid w:val="009552BF"/>
    <w:rsid w:val="00963148"/>
    <w:rsid w:val="00973ACF"/>
    <w:rsid w:val="009A6569"/>
    <w:rsid w:val="009C5785"/>
    <w:rsid w:val="009D047E"/>
    <w:rsid w:val="009F44BF"/>
    <w:rsid w:val="00A07AA3"/>
    <w:rsid w:val="00A11200"/>
    <w:rsid w:val="00A24C14"/>
    <w:rsid w:val="00A304AD"/>
    <w:rsid w:val="00A31302"/>
    <w:rsid w:val="00A35FB5"/>
    <w:rsid w:val="00A40600"/>
    <w:rsid w:val="00A5045D"/>
    <w:rsid w:val="00A5390B"/>
    <w:rsid w:val="00A569F8"/>
    <w:rsid w:val="00A713CE"/>
    <w:rsid w:val="00A75C83"/>
    <w:rsid w:val="00A76A81"/>
    <w:rsid w:val="00A83562"/>
    <w:rsid w:val="00A83B92"/>
    <w:rsid w:val="00A87191"/>
    <w:rsid w:val="00A90438"/>
    <w:rsid w:val="00A90556"/>
    <w:rsid w:val="00A928F1"/>
    <w:rsid w:val="00A958CA"/>
    <w:rsid w:val="00A95E61"/>
    <w:rsid w:val="00A962A9"/>
    <w:rsid w:val="00AA3E87"/>
    <w:rsid w:val="00AA50A4"/>
    <w:rsid w:val="00AC22C8"/>
    <w:rsid w:val="00AC6206"/>
    <w:rsid w:val="00AD0594"/>
    <w:rsid w:val="00AD21D4"/>
    <w:rsid w:val="00AD44BB"/>
    <w:rsid w:val="00AD4F6E"/>
    <w:rsid w:val="00AD63BF"/>
    <w:rsid w:val="00AE0874"/>
    <w:rsid w:val="00AE1706"/>
    <w:rsid w:val="00AE1D23"/>
    <w:rsid w:val="00AF093A"/>
    <w:rsid w:val="00AF316A"/>
    <w:rsid w:val="00AF4C41"/>
    <w:rsid w:val="00B00F64"/>
    <w:rsid w:val="00B01207"/>
    <w:rsid w:val="00B0199D"/>
    <w:rsid w:val="00B0337D"/>
    <w:rsid w:val="00B10152"/>
    <w:rsid w:val="00B1044C"/>
    <w:rsid w:val="00B177EC"/>
    <w:rsid w:val="00B17BE3"/>
    <w:rsid w:val="00B23603"/>
    <w:rsid w:val="00B2634B"/>
    <w:rsid w:val="00B41A5E"/>
    <w:rsid w:val="00B42479"/>
    <w:rsid w:val="00B449FA"/>
    <w:rsid w:val="00B45B6F"/>
    <w:rsid w:val="00B52206"/>
    <w:rsid w:val="00B54190"/>
    <w:rsid w:val="00B64CDB"/>
    <w:rsid w:val="00B716B3"/>
    <w:rsid w:val="00B86AF2"/>
    <w:rsid w:val="00B87F8C"/>
    <w:rsid w:val="00B907B0"/>
    <w:rsid w:val="00B91EB9"/>
    <w:rsid w:val="00B93628"/>
    <w:rsid w:val="00B9579C"/>
    <w:rsid w:val="00BA2E3F"/>
    <w:rsid w:val="00BA31CD"/>
    <w:rsid w:val="00BB5B75"/>
    <w:rsid w:val="00BC2195"/>
    <w:rsid w:val="00BD03D7"/>
    <w:rsid w:val="00BD6B55"/>
    <w:rsid w:val="00BE579C"/>
    <w:rsid w:val="00BE6F00"/>
    <w:rsid w:val="00BF6358"/>
    <w:rsid w:val="00C00E2C"/>
    <w:rsid w:val="00C11908"/>
    <w:rsid w:val="00C20147"/>
    <w:rsid w:val="00C252C7"/>
    <w:rsid w:val="00C4131D"/>
    <w:rsid w:val="00C448EC"/>
    <w:rsid w:val="00C52EC7"/>
    <w:rsid w:val="00C7335B"/>
    <w:rsid w:val="00C736DA"/>
    <w:rsid w:val="00C760C9"/>
    <w:rsid w:val="00C8521E"/>
    <w:rsid w:val="00CA24E7"/>
    <w:rsid w:val="00CA4189"/>
    <w:rsid w:val="00CB4853"/>
    <w:rsid w:val="00CD003C"/>
    <w:rsid w:val="00CD20A8"/>
    <w:rsid w:val="00CD5926"/>
    <w:rsid w:val="00CD6317"/>
    <w:rsid w:val="00CD7034"/>
    <w:rsid w:val="00CE07C2"/>
    <w:rsid w:val="00CF4592"/>
    <w:rsid w:val="00CF5029"/>
    <w:rsid w:val="00D00EC7"/>
    <w:rsid w:val="00D05ADC"/>
    <w:rsid w:val="00D15832"/>
    <w:rsid w:val="00D164AE"/>
    <w:rsid w:val="00D24B48"/>
    <w:rsid w:val="00D431A0"/>
    <w:rsid w:val="00D5363C"/>
    <w:rsid w:val="00D55444"/>
    <w:rsid w:val="00D619F8"/>
    <w:rsid w:val="00D72226"/>
    <w:rsid w:val="00D72609"/>
    <w:rsid w:val="00D80231"/>
    <w:rsid w:val="00D86D42"/>
    <w:rsid w:val="00D90441"/>
    <w:rsid w:val="00D90801"/>
    <w:rsid w:val="00DA1A34"/>
    <w:rsid w:val="00DA55E6"/>
    <w:rsid w:val="00DA69CA"/>
    <w:rsid w:val="00DC01B6"/>
    <w:rsid w:val="00DC7824"/>
    <w:rsid w:val="00DC7FA8"/>
    <w:rsid w:val="00DD3540"/>
    <w:rsid w:val="00DD7F1F"/>
    <w:rsid w:val="00DF212B"/>
    <w:rsid w:val="00DF22AE"/>
    <w:rsid w:val="00E02119"/>
    <w:rsid w:val="00E16508"/>
    <w:rsid w:val="00E16E8E"/>
    <w:rsid w:val="00E213AA"/>
    <w:rsid w:val="00E22336"/>
    <w:rsid w:val="00E238FC"/>
    <w:rsid w:val="00E23F16"/>
    <w:rsid w:val="00E26982"/>
    <w:rsid w:val="00E3188D"/>
    <w:rsid w:val="00E34B3D"/>
    <w:rsid w:val="00E3617B"/>
    <w:rsid w:val="00E36CAA"/>
    <w:rsid w:val="00E37AF0"/>
    <w:rsid w:val="00E428C9"/>
    <w:rsid w:val="00E42977"/>
    <w:rsid w:val="00E4346B"/>
    <w:rsid w:val="00E43B29"/>
    <w:rsid w:val="00E735DB"/>
    <w:rsid w:val="00E750DE"/>
    <w:rsid w:val="00E77806"/>
    <w:rsid w:val="00E84C5B"/>
    <w:rsid w:val="00E93107"/>
    <w:rsid w:val="00EA1442"/>
    <w:rsid w:val="00EA7E82"/>
    <w:rsid w:val="00EB1B46"/>
    <w:rsid w:val="00EC02C2"/>
    <w:rsid w:val="00EC11A1"/>
    <w:rsid w:val="00EC6BF2"/>
    <w:rsid w:val="00ED2242"/>
    <w:rsid w:val="00EE3645"/>
    <w:rsid w:val="00EE4E15"/>
    <w:rsid w:val="00EF012F"/>
    <w:rsid w:val="00EF158C"/>
    <w:rsid w:val="00EF2340"/>
    <w:rsid w:val="00EF2519"/>
    <w:rsid w:val="00EF4BA3"/>
    <w:rsid w:val="00F02345"/>
    <w:rsid w:val="00F07B5F"/>
    <w:rsid w:val="00F12D21"/>
    <w:rsid w:val="00F169E7"/>
    <w:rsid w:val="00F17DC9"/>
    <w:rsid w:val="00F32A5F"/>
    <w:rsid w:val="00F4644B"/>
    <w:rsid w:val="00F50234"/>
    <w:rsid w:val="00F51B74"/>
    <w:rsid w:val="00F60A32"/>
    <w:rsid w:val="00F623A5"/>
    <w:rsid w:val="00F637DB"/>
    <w:rsid w:val="00F76790"/>
    <w:rsid w:val="00F80420"/>
    <w:rsid w:val="00F86952"/>
    <w:rsid w:val="00F87E85"/>
    <w:rsid w:val="00F96AEC"/>
    <w:rsid w:val="00FA5C25"/>
    <w:rsid w:val="00FA6456"/>
    <w:rsid w:val="00FB76C8"/>
    <w:rsid w:val="00FC40F8"/>
    <w:rsid w:val="00FC6A4D"/>
    <w:rsid w:val="00FE1045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8746"/>
  <w15:docId w15:val="{E6675094-E940-49B8-87DC-66F08D4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F2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C786C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86C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2D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76"/>
    <w:rPr>
      <w:color w:val="FF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76"/>
    <w:rPr>
      <w:color w:val="FF0000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E735D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_ip_UnifiedCompliancePolicyProperties xmlns="http://schemas.microsoft.com/sharepoint/v3" xsi:nil="true"/>
    <TaxCatchAll xmlns="1365388d-8e0b-4df5-a0a3-cd102b49988e" xsi:nil="true"/>
    <Comments xmlns="f6a82410-35a1-48d9-a432-e298e5b95e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18" ma:contentTypeDescription="Create a new document." ma:contentTypeScope="" ma:versionID="d78dcc516d9d0b8c742806fdab7285b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6bb9151ac21032116a52c569213d6963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3037-B374-4E91-8EE6-BB39F8C96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2.xml><?xml version="1.0" encoding="utf-8"?>
<ds:datastoreItem xmlns:ds="http://schemas.openxmlformats.org/officeDocument/2006/customXml" ds:itemID="{061DA949-B127-41BD-B7F7-DFC352955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EE223-3043-4547-99A2-9190AF28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53A60-B544-4BC1-9182-F2A47243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smorley</dc:creator>
  <cp:lastModifiedBy>JONES, Emma (NHS HUMBER AND NORTH YORKSHIRE ICB - 03F)</cp:lastModifiedBy>
  <cp:revision>3</cp:revision>
  <cp:lastPrinted>2017-09-01T14:28:00Z</cp:lastPrinted>
  <dcterms:created xsi:type="dcterms:W3CDTF">2025-01-03T10:39:00Z</dcterms:created>
  <dcterms:modified xsi:type="dcterms:W3CDTF">2025-01-03T11:23:00Z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