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533"/>
        <w:tblW w:w="0" w:type="auto"/>
        <w:tblLook w:val="04A0" w:firstRow="1" w:lastRow="0" w:firstColumn="1" w:lastColumn="0" w:noHBand="0" w:noVBand="1"/>
      </w:tblPr>
      <w:tblGrid>
        <w:gridCol w:w="2273"/>
        <w:gridCol w:w="821"/>
      </w:tblGrid>
      <w:tr w:rsidR="00BB5B75" w14:paraId="31E3ECFC" w14:textId="77777777" w:rsidTr="00B53C4C">
        <w:tc>
          <w:tcPr>
            <w:tcW w:w="2273" w:type="dxa"/>
            <w:tcBorders>
              <w:top w:val="double" w:sz="4" w:space="0" w:color="auto"/>
              <w:left w:val="double" w:sz="4" w:space="0" w:color="auto"/>
              <w:bottom w:val="single" w:sz="4" w:space="0" w:color="auto"/>
            </w:tcBorders>
          </w:tcPr>
          <w:p w14:paraId="5D88B756" w14:textId="4B7CAF86" w:rsidR="00BB5B75" w:rsidRPr="007B0DD7" w:rsidRDefault="00BB5B75" w:rsidP="00B53C4C">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13E28DCD" w:rsidR="00BB5B75" w:rsidRPr="00BB5B75" w:rsidRDefault="006F0008" w:rsidP="00B53C4C">
            <w:pPr>
              <w:jc w:val="center"/>
              <w:rPr>
                <w:b/>
                <w:bCs/>
                <w:sz w:val="32"/>
                <w:szCs w:val="32"/>
              </w:rPr>
            </w:pPr>
            <w:r w:rsidRPr="006F0008">
              <w:rPr>
                <w:b/>
                <w:bCs/>
                <w:color w:val="auto"/>
                <w:sz w:val="32"/>
                <w:szCs w:val="32"/>
              </w:rPr>
              <w:t>8</w:t>
            </w:r>
          </w:p>
        </w:tc>
      </w:tr>
    </w:tbl>
    <w:bookmarkEnd w:id="0"/>
    <w:p w14:paraId="31BBC7A1" w14:textId="0B10B29D" w:rsidR="00880E9F" w:rsidRDefault="003E5B87" w:rsidP="00D05ADC">
      <w:pPr>
        <w:spacing w:after="0" w:line="120" w:lineRule="auto"/>
      </w:pPr>
      <w:r w:rsidRPr="007109D4">
        <w:rPr>
          <w:noProof/>
        </w:rPr>
        <w:drawing>
          <wp:anchor distT="0" distB="0" distL="114300" distR="114300" simplePos="0" relativeHeight="251658241" behindDoc="0" locked="0" layoutInCell="1" allowOverlap="1" wp14:anchorId="35A678BF" wp14:editId="19CC510F">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5824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5BDD0D79">
        <w:tc>
          <w:tcPr>
            <w:tcW w:w="2092" w:type="dxa"/>
            <w:shd w:val="clear" w:color="auto" w:fill="auto"/>
          </w:tcPr>
          <w:p w14:paraId="3008F01A" w14:textId="77777777" w:rsidR="004C7CF3" w:rsidRPr="006861D1" w:rsidRDefault="004C7CF3" w:rsidP="004C7CF3">
            <w:pPr>
              <w:spacing w:after="0" w:line="240" w:lineRule="auto"/>
              <w:rPr>
                <w:b/>
                <w:color w:val="auto"/>
              </w:rPr>
            </w:pPr>
            <w:bookmarkStart w:id="1" w:name="_Hlk106134195"/>
            <w:r w:rsidRPr="006861D1">
              <w:rPr>
                <w:b/>
                <w:color w:val="auto"/>
              </w:rPr>
              <w:t xml:space="preserve">Report to: </w:t>
            </w:r>
          </w:p>
          <w:p w14:paraId="61EFD74F" w14:textId="77777777" w:rsidR="004C7CF3" w:rsidRPr="006861D1" w:rsidRDefault="004C7CF3" w:rsidP="004C7CF3">
            <w:pPr>
              <w:spacing w:after="0" w:line="240" w:lineRule="auto"/>
              <w:rPr>
                <w:b/>
                <w:color w:val="auto"/>
              </w:rPr>
            </w:pPr>
          </w:p>
        </w:tc>
        <w:tc>
          <w:tcPr>
            <w:tcW w:w="7516" w:type="dxa"/>
          </w:tcPr>
          <w:p w14:paraId="4923D594" w14:textId="2BE3F940" w:rsidR="004C7CF3" w:rsidRPr="00246DAF" w:rsidRDefault="00036606" w:rsidP="004C7CF3">
            <w:pPr>
              <w:spacing w:after="0" w:line="240" w:lineRule="auto"/>
              <w:rPr>
                <w:color w:val="auto"/>
                <w:sz w:val="24"/>
                <w:szCs w:val="24"/>
              </w:rPr>
            </w:pPr>
            <w:r w:rsidRPr="00246DAF">
              <w:rPr>
                <w:color w:val="auto"/>
                <w:sz w:val="24"/>
                <w:szCs w:val="24"/>
              </w:rPr>
              <w:t>Humber and North Yorkshire Integrated Care Board</w:t>
            </w:r>
          </w:p>
        </w:tc>
      </w:tr>
      <w:tr w:rsidR="004C7CF3" w:rsidRPr="00566BDC" w14:paraId="12950AFD" w14:textId="77777777" w:rsidTr="5BDD0D79">
        <w:tc>
          <w:tcPr>
            <w:tcW w:w="2092" w:type="dxa"/>
            <w:shd w:val="clear" w:color="auto" w:fill="auto"/>
          </w:tcPr>
          <w:p w14:paraId="7705AB92" w14:textId="77777777" w:rsidR="004C7CF3" w:rsidRPr="006861D1" w:rsidRDefault="004C7CF3" w:rsidP="004C7CF3">
            <w:pPr>
              <w:spacing w:after="0" w:line="240" w:lineRule="auto"/>
              <w:rPr>
                <w:b/>
                <w:color w:val="auto"/>
              </w:rPr>
            </w:pPr>
            <w:r w:rsidRPr="006861D1">
              <w:rPr>
                <w:b/>
                <w:color w:val="auto"/>
              </w:rPr>
              <w:t>Date of Meeting:</w:t>
            </w:r>
          </w:p>
          <w:p w14:paraId="2F94008B" w14:textId="77777777" w:rsidR="004C7CF3" w:rsidRPr="006861D1" w:rsidRDefault="004C7CF3" w:rsidP="004C7CF3">
            <w:pPr>
              <w:spacing w:after="0" w:line="240" w:lineRule="auto"/>
              <w:rPr>
                <w:b/>
                <w:color w:val="auto"/>
              </w:rPr>
            </w:pPr>
          </w:p>
        </w:tc>
        <w:tc>
          <w:tcPr>
            <w:tcW w:w="7516" w:type="dxa"/>
          </w:tcPr>
          <w:p w14:paraId="5BE59BC0" w14:textId="0BE636AD" w:rsidR="004C7CF3" w:rsidRPr="00246DAF" w:rsidRDefault="005C5640" w:rsidP="004C7CF3">
            <w:pPr>
              <w:spacing w:after="0" w:line="240" w:lineRule="auto"/>
              <w:rPr>
                <w:color w:val="auto"/>
                <w:sz w:val="24"/>
                <w:szCs w:val="24"/>
              </w:rPr>
            </w:pPr>
            <w:r w:rsidRPr="00246DAF">
              <w:rPr>
                <w:color w:val="auto"/>
                <w:sz w:val="24"/>
                <w:szCs w:val="24"/>
              </w:rPr>
              <w:t>12</w:t>
            </w:r>
            <w:r w:rsidR="000C5E7B">
              <w:rPr>
                <w:color w:val="auto"/>
                <w:sz w:val="24"/>
                <w:szCs w:val="24"/>
              </w:rPr>
              <w:t xml:space="preserve"> </w:t>
            </w:r>
            <w:r w:rsidR="00FD27C9" w:rsidRPr="00246DAF">
              <w:rPr>
                <w:color w:val="auto"/>
                <w:sz w:val="24"/>
                <w:szCs w:val="24"/>
              </w:rPr>
              <w:t>March</w:t>
            </w:r>
            <w:r w:rsidR="001A60F4" w:rsidRPr="00246DAF">
              <w:rPr>
                <w:color w:val="auto"/>
                <w:sz w:val="24"/>
                <w:szCs w:val="24"/>
              </w:rPr>
              <w:t xml:space="preserve"> 2025</w:t>
            </w:r>
          </w:p>
        </w:tc>
      </w:tr>
      <w:tr w:rsidR="004C7CF3" w:rsidRPr="00566BDC" w14:paraId="4E68B1D3" w14:textId="77777777" w:rsidTr="5BDD0D79">
        <w:tc>
          <w:tcPr>
            <w:tcW w:w="2092" w:type="dxa"/>
            <w:shd w:val="clear" w:color="auto" w:fill="auto"/>
          </w:tcPr>
          <w:p w14:paraId="7AD35782" w14:textId="77777777" w:rsidR="004C7CF3" w:rsidRPr="006861D1" w:rsidRDefault="004C7CF3" w:rsidP="004C7CF3">
            <w:pPr>
              <w:spacing w:after="0" w:line="240" w:lineRule="auto"/>
              <w:rPr>
                <w:b/>
                <w:color w:val="auto"/>
              </w:rPr>
            </w:pPr>
            <w:r w:rsidRPr="006861D1">
              <w:rPr>
                <w:b/>
                <w:color w:val="auto"/>
              </w:rPr>
              <w:t>Subject:</w:t>
            </w:r>
          </w:p>
          <w:p w14:paraId="18D120FF" w14:textId="77777777" w:rsidR="004C7CF3" w:rsidRPr="006861D1" w:rsidRDefault="004C7CF3" w:rsidP="004C7CF3">
            <w:pPr>
              <w:spacing w:after="0" w:line="240" w:lineRule="auto"/>
              <w:rPr>
                <w:b/>
                <w:color w:val="auto"/>
              </w:rPr>
            </w:pPr>
          </w:p>
        </w:tc>
        <w:tc>
          <w:tcPr>
            <w:tcW w:w="7516" w:type="dxa"/>
          </w:tcPr>
          <w:p w14:paraId="29EB9966" w14:textId="6B475802" w:rsidR="004C7CF3" w:rsidRPr="00246DAF" w:rsidRDefault="004C7CF3" w:rsidP="004C7CF3">
            <w:pPr>
              <w:spacing w:after="0" w:line="240" w:lineRule="auto"/>
              <w:rPr>
                <w:b/>
                <w:bCs/>
                <w:color w:val="auto"/>
                <w:sz w:val="24"/>
                <w:szCs w:val="24"/>
              </w:rPr>
            </w:pPr>
            <w:r w:rsidRPr="00246DAF">
              <w:rPr>
                <w:b/>
                <w:bCs/>
                <w:color w:val="auto"/>
                <w:sz w:val="24"/>
                <w:szCs w:val="24"/>
              </w:rPr>
              <w:t>Board Assurance Framework</w:t>
            </w:r>
            <w:r w:rsidR="000D56CB" w:rsidRPr="00246DAF">
              <w:rPr>
                <w:b/>
                <w:bCs/>
                <w:color w:val="auto"/>
                <w:sz w:val="24"/>
                <w:szCs w:val="24"/>
              </w:rPr>
              <w:t xml:space="preserve"> </w:t>
            </w:r>
          </w:p>
        </w:tc>
      </w:tr>
      <w:tr w:rsidR="004C7CF3" w:rsidRPr="00566BDC" w14:paraId="140B6ED8" w14:textId="77777777" w:rsidTr="00861B6C">
        <w:trPr>
          <w:trHeight w:val="402"/>
        </w:trPr>
        <w:tc>
          <w:tcPr>
            <w:tcW w:w="2092" w:type="dxa"/>
            <w:shd w:val="clear" w:color="auto" w:fill="auto"/>
          </w:tcPr>
          <w:p w14:paraId="7E647F87" w14:textId="6444A3A5" w:rsidR="004C7CF3" w:rsidRPr="006861D1" w:rsidRDefault="004C7CF3" w:rsidP="004C7CF3">
            <w:pPr>
              <w:spacing w:after="0" w:line="240" w:lineRule="auto"/>
              <w:rPr>
                <w:b/>
                <w:color w:val="auto"/>
              </w:rPr>
            </w:pPr>
            <w:r w:rsidRPr="006861D1">
              <w:rPr>
                <w:b/>
                <w:color w:val="auto"/>
              </w:rPr>
              <w:t>Director Sponsor:</w:t>
            </w:r>
          </w:p>
        </w:tc>
        <w:tc>
          <w:tcPr>
            <w:tcW w:w="7516" w:type="dxa"/>
          </w:tcPr>
          <w:p w14:paraId="27EA73C6" w14:textId="77777777" w:rsidR="004C7CF3" w:rsidRDefault="004C7CF3" w:rsidP="004C7CF3">
            <w:pPr>
              <w:spacing w:after="0" w:line="240" w:lineRule="auto"/>
              <w:rPr>
                <w:color w:val="auto"/>
                <w:sz w:val="24"/>
                <w:szCs w:val="24"/>
              </w:rPr>
            </w:pPr>
            <w:r w:rsidRPr="00246DAF">
              <w:rPr>
                <w:color w:val="auto"/>
                <w:sz w:val="24"/>
                <w:szCs w:val="24"/>
              </w:rPr>
              <w:t>Karina Ellis</w:t>
            </w:r>
            <w:r w:rsidR="00C36ADD" w:rsidRPr="00246DAF">
              <w:rPr>
                <w:color w:val="auto"/>
                <w:sz w:val="24"/>
                <w:szCs w:val="24"/>
              </w:rPr>
              <w:t>, E</w:t>
            </w:r>
            <w:r w:rsidRPr="00246DAF">
              <w:rPr>
                <w:color w:val="auto"/>
                <w:sz w:val="24"/>
                <w:szCs w:val="24"/>
              </w:rPr>
              <w:t>xecutive Director of Corporate Affairs</w:t>
            </w:r>
          </w:p>
          <w:p w14:paraId="707D5AA5" w14:textId="1F42B766" w:rsidR="000C5E7B" w:rsidRPr="00246DAF" w:rsidRDefault="000C5E7B" w:rsidP="004C7CF3">
            <w:pPr>
              <w:spacing w:after="0" w:line="240" w:lineRule="auto"/>
              <w:rPr>
                <w:color w:val="auto"/>
                <w:sz w:val="24"/>
                <w:szCs w:val="24"/>
              </w:rPr>
            </w:pPr>
          </w:p>
        </w:tc>
      </w:tr>
      <w:tr w:rsidR="004C7CF3" w:rsidRPr="00566BDC" w14:paraId="6A855F21" w14:textId="77777777" w:rsidTr="5BDD0D79">
        <w:trPr>
          <w:trHeight w:val="320"/>
        </w:trPr>
        <w:tc>
          <w:tcPr>
            <w:tcW w:w="2092" w:type="dxa"/>
            <w:shd w:val="clear" w:color="auto" w:fill="auto"/>
          </w:tcPr>
          <w:p w14:paraId="6C288ADB" w14:textId="7C5F1FD2" w:rsidR="004C7CF3" w:rsidRPr="006861D1" w:rsidRDefault="004C7CF3" w:rsidP="004C7CF3">
            <w:pPr>
              <w:spacing w:after="0" w:line="240" w:lineRule="auto"/>
              <w:rPr>
                <w:b/>
                <w:color w:val="auto"/>
              </w:rPr>
            </w:pPr>
            <w:r w:rsidRPr="006861D1">
              <w:rPr>
                <w:b/>
                <w:color w:val="auto"/>
              </w:rPr>
              <w:t>Author:</w:t>
            </w:r>
          </w:p>
        </w:tc>
        <w:tc>
          <w:tcPr>
            <w:tcW w:w="7516" w:type="dxa"/>
          </w:tcPr>
          <w:p w14:paraId="01B55181" w14:textId="77777777" w:rsidR="00C87942" w:rsidRDefault="00800E7E" w:rsidP="004C7CF3">
            <w:pPr>
              <w:spacing w:after="0" w:line="240" w:lineRule="auto"/>
              <w:rPr>
                <w:color w:val="auto"/>
                <w:sz w:val="24"/>
                <w:szCs w:val="24"/>
              </w:rPr>
            </w:pPr>
            <w:r w:rsidRPr="00246DAF">
              <w:rPr>
                <w:color w:val="auto"/>
                <w:sz w:val="24"/>
                <w:szCs w:val="24"/>
              </w:rPr>
              <w:t xml:space="preserve">Sasha Sencier, Head of Governance and </w:t>
            </w:r>
            <w:r w:rsidR="001A60F4" w:rsidRPr="00246DAF">
              <w:rPr>
                <w:color w:val="auto"/>
                <w:sz w:val="24"/>
                <w:szCs w:val="24"/>
              </w:rPr>
              <w:t>Compliance</w:t>
            </w:r>
          </w:p>
          <w:p w14:paraId="17351578" w14:textId="272A8887" w:rsidR="000C5E7B" w:rsidRPr="00246DAF" w:rsidRDefault="000C5E7B" w:rsidP="004C7CF3">
            <w:pPr>
              <w:spacing w:after="0" w:line="240" w:lineRule="auto"/>
              <w:rPr>
                <w:color w:val="auto"/>
                <w:sz w:val="24"/>
                <w:szCs w:val="24"/>
              </w:rPr>
            </w:pP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521267">
        <w:trPr>
          <w:trHeight w:val="1004"/>
        </w:trPr>
        <w:tc>
          <w:tcPr>
            <w:tcW w:w="9608" w:type="dxa"/>
            <w:tcBorders>
              <w:left w:val="double" w:sz="4" w:space="0" w:color="auto"/>
              <w:bottom w:val="double" w:sz="4" w:space="0" w:color="auto"/>
              <w:right w:val="double" w:sz="4" w:space="0" w:color="auto"/>
            </w:tcBorders>
          </w:tcPr>
          <w:p w14:paraId="0BD8E0C7" w14:textId="77777777" w:rsidR="00521267" w:rsidRDefault="00521267" w:rsidP="004A6F2B">
            <w:pPr>
              <w:spacing w:after="0" w:line="240" w:lineRule="auto"/>
              <w:rPr>
                <w:b/>
                <w:color w:val="auto"/>
              </w:rPr>
            </w:pPr>
          </w:p>
          <w:p w14:paraId="0A9659D6" w14:textId="6F46D7FC"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1E6DEE8B"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521267">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DC3040">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066341">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521267">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4A15A3">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395032FE">
        <w:trPr>
          <w:trHeight w:val="1824"/>
        </w:trPr>
        <w:tc>
          <w:tcPr>
            <w:tcW w:w="9624" w:type="dxa"/>
            <w:tcBorders>
              <w:top w:val="double" w:sz="4" w:space="0" w:color="auto"/>
              <w:left w:val="double" w:sz="4" w:space="0" w:color="auto"/>
              <w:bottom w:val="double" w:sz="4" w:space="0" w:color="auto"/>
              <w:right w:val="double" w:sz="4" w:space="0" w:color="auto"/>
            </w:tcBorders>
          </w:tcPr>
          <w:p w14:paraId="47045CE3" w14:textId="77777777" w:rsidR="000C5E7B" w:rsidRDefault="000C5E7B" w:rsidP="004C7CF3">
            <w:pPr>
              <w:spacing w:after="0" w:line="240" w:lineRule="auto"/>
              <w:rPr>
                <w:b/>
                <w:color w:val="auto"/>
                <w:sz w:val="24"/>
                <w:szCs w:val="24"/>
              </w:rPr>
            </w:pPr>
          </w:p>
          <w:p w14:paraId="14EC190B" w14:textId="190DF1DD" w:rsidR="00A958CA" w:rsidRPr="00246DAF" w:rsidRDefault="007650BC" w:rsidP="004C7CF3">
            <w:pPr>
              <w:spacing w:after="0" w:line="240" w:lineRule="auto"/>
              <w:rPr>
                <w:b/>
                <w:color w:val="auto"/>
                <w:sz w:val="24"/>
                <w:szCs w:val="24"/>
              </w:rPr>
            </w:pPr>
            <w:r w:rsidRPr="00246DAF">
              <w:rPr>
                <w:b/>
                <w:color w:val="auto"/>
                <w:sz w:val="24"/>
                <w:szCs w:val="24"/>
              </w:rPr>
              <w:t xml:space="preserve">SUMMARY </w:t>
            </w:r>
            <w:r w:rsidR="00F02345" w:rsidRPr="00246DAF">
              <w:rPr>
                <w:b/>
                <w:color w:val="auto"/>
                <w:sz w:val="24"/>
                <w:szCs w:val="24"/>
              </w:rPr>
              <w:t>OF REPORT</w:t>
            </w:r>
            <w:r w:rsidR="002B7229" w:rsidRPr="00246DAF">
              <w:rPr>
                <w:b/>
                <w:color w:val="auto"/>
                <w:sz w:val="24"/>
                <w:szCs w:val="24"/>
              </w:rPr>
              <w:t>:</w:t>
            </w:r>
          </w:p>
          <w:p w14:paraId="2DEB6D73" w14:textId="77777777" w:rsidR="00B53C4C" w:rsidRPr="00246DAF" w:rsidRDefault="00B53C4C" w:rsidP="00B30B67">
            <w:pPr>
              <w:spacing w:after="0" w:line="240" w:lineRule="auto"/>
              <w:rPr>
                <w:bCs/>
                <w:color w:val="auto"/>
                <w:sz w:val="24"/>
                <w:szCs w:val="24"/>
              </w:rPr>
            </w:pPr>
          </w:p>
          <w:p w14:paraId="7CE12F68" w14:textId="47C616D5" w:rsidR="00B30B67" w:rsidRPr="00246DAF" w:rsidRDefault="00B30B67" w:rsidP="395032FE">
            <w:pPr>
              <w:spacing w:after="0" w:line="240" w:lineRule="auto"/>
              <w:rPr>
                <w:color w:val="auto"/>
                <w:sz w:val="24"/>
                <w:szCs w:val="24"/>
              </w:rPr>
            </w:pPr>
            <w:r w:rsidRPr="00246DAF">
              <w:rPr>
                <w:color w:val="auto"/>
                <w:sz w:val="24"/>
                <w:szCs w:val="24"/>
              </w:rPr>
              <w:t>This paper presents the updated Board Assurance Framework (BAF</w:t>
            </w:r>
            <w:r w:rsidR="00830889" w:rsidRPr="00246DAF">
              <w:rPr>
                <w:color w:val="auto"/>
                <w:sz w:val="24"/>
                <w:szCs w:val="24"/>
              </w:rPr>
              <w:t>)</w:t>
            </w:r>
            <w:r w:rsidRPr="00246DAF">
              <w:rPr>
                <w:color w:val="auto"/>
                <w:sz w:val="24"/>
                <w:szCs w:val="24"/>
              </w:rPr>
              <w:t>. It aims to provide the ICB Board Members with assurance that the key risks, agreed by the Board, relating to the delivery of the ICB’s Strategic Objectives are being managed appropriately.</w:t>
            </w:r>
          </w:p>
          <w:p w14:paraId="032C2A98" w14:textId="77777777" w:rsidR="00B30B67" w:rsidRPr="00246DAF" w:rsidRDefault="00B30B67" w:rsidP="00B30B67">
            <w:pPr>
              <w:spacing w:after="0" w:line="240" w:lineRule="auto"/>
              <w:rPr>
                <w:bCs/>
                <w:color w:val="auto"/>
                <w:sz w:val="24"/>
                <w:szCs w:val="24"/>
              </w:rPr>
            </w:pPr>
          </w:p>
          <w:p w14:paraId="12448580" w14:textId="2F5D8505" w:rsidR="00B30B67" w:rsidRPr="00246DAF" w:rsidRDefault="00B30B67" w:rsidP="00B30B67">
            <w:pPr>
              <w:spacing w:after="0" w:line="240" w:lineRule="auto"/>
              <w:rPr>
                <w:bCs/>
                <w:color w:val="auto"/>
                <w:sz w:val="24"/>
                <w:szCs w:val="24"/>
              </w:rPr>
            </w:pPr>
            <w:r w:rsidRPr="00246DAF">
              <w:rPr>
                <w:bCs/>
                <w:color w:val="auto"/>
                <w:sz w:val="24"/>
                <w:szCs w:val="24"/>
              </w:rPr>
              <w:t>Key areas for consideration by the Board are detailed in Section 3 of the report</w:t>
            </w:r>
            <w:r w:rsidR="00256BE8" w:rsidRPr="00246DAF">
              <w:rPr>
                <w:bCs/>
                <w:color w:val="auto"/>
                <w:sz w:val="24"/>
                <w:szCs w:val="24"/>
              </w:rPr>
              <w:t xml:space="preserve">. </w:t>
            </w:r>
            <w:r w:rsidRPr="00246DAF">
              <w:rPr>
                <w:bCs/>
                <w:color w:val="auto"/>
                <w:sz w:val="24"/>
                <w:szCs w:val="24"/>
              </w:rPr>
              <w:t xml:space="preserve">The BAF can be found in full at Appendix </w:t>
            </w:r>
            <w:r w:rsidR="004A15A3" w:rsidRPr="00246DAF">
              <w:rPr>
                <w:bCs/>
                <w:color w:val="auto"/>
                <w:sz w:val="24"/>
                <w:szCs w:val="24"/>
              </w:rPr>
              <w:t>A</w:t>
            </w:r>
            <w:r w:rsidRPr="00246DAF">
              <w:rPr>
                <w:bCs/>
                <w:color w:val="auto"/>
                <w:sz w:val="24"/>
                <w:szCs w:val="24"/>
              </w:rPr>
              <w:t>.</w:t>
            </w:r>
          </w:p>
          <w:p w14:paraId="1F73B7B3" w14:textId="282B54D8" w:rsidR="00B30B67" w:rsidRPr="00246DAF" w:rsidRDefault="00B30B67" w:rsidP="00B30B67">
            <w:pPr>
              <w:spacing w:after="0" w:line="240" w:lineRule="auto"/>
              <w:rPr>
                <w:bCs/>
                <w:color w:val="auto"/>
                <w:sz w:val="24"/>
                <w:szCs w:val="24"/>
              </w:rPr>
            </w:pPr>
          </w:p>
          <w:p w14:paraId="5FCCD29F" w14:textId="62D8B85B" w:rsidR="00664ED5" w:rsidRPr="00246DAF" w:rsidRDefault="00664ED5" w:rsidP="004C7CF3">
            <w:pPr>
              <w:spacing w:after="0" w:line="240" w:lineRule="auto"/>
              <w:rPr>
                <w:color w:val="auto"/>
                <w:sz w:val="24"/>
                <w:szCs w:val="24"/>
              </w:rPr>
            </w:pPr>
            <w:r w:rsidRPr="00246DAF">
              <w:rPr>
                <w:b/>
                <w:bCs/>
                <w:color w:val="auto"/>
                <w:sz w:val="24"/>
                <w:szCs w:val="24"/>
              </w:rPr>
              <w:t>RECOMMENDATIONS:</w:t>
            </w:r>
            <w:r w:rsidRPr="00246DAF">
              <w:rPr>
                <w:color w:val="auto"/>
                <w:sz w:val="24"/>
                <w:szCs w:val="24"/>
              </w:rPr>
              <w:t xml:space="preserve"> </w:t>
            </w:r>
          </w:p>
          <w:p w14:paraId="0656DFAD" w14:textId="77777777" w:rsidR="004C7CF3" w:rsidRPr="00246DAF" w:rsidRDefault="004C7CF3" w:rsidP="004C7CF3">
            <w:pPr>
              <w:spacing w:after="0" w:line="240" w:lineRule="auto"/>
              <w:rPr>
                <w:color w:val="auto"/>
                <w:sz w:val="24"/>
                <w:szCs w:val="24"/>
              </w:rPr>
            </w:pPr>
          </w:p>
          <w:p w14:paraId="0AB12A90" w14:textId="42F53776" w:rsidR="00664ED5" w:rsidRPr="00246DAF" w:rsidRDefault="00664ED5" w:rsidP="004C7CF3">
            <w:pPr>
              <w:spacing w:after="0" w:line="240" w:lineRule="auto"/>
              <w:rPr>
                <w:color w:val="auto"/>
                <w:sz w:val="24"/>
                <w:szCs w:val="24"/>
              </w:rPr>
            </w:pPr>
            <w:bookmarkStart w:id="2" w:name="_Hlk106101454"/>
            <w:r w:rsidRPr="00246DAF">
              <w:rPr>
                <w:color w:val="auto"/>
                <w:sz w:val="24"/>
                <w:szCs w:val="24"/>
              </w:rPr>
              <w:t>Members are asked to:</w:t>
            </w:r>
          </w:p>
          <w:bookmarkEnd w:id="2"/>
          <w:p w14:paraId="63AC8D3C" w14:textId="3AA9517F" w:rsidR="001B0CF3" w:rsidRPr="00246DAF" w:rsidRDefault="00393851" w:rsidP="001B0CF3">
            <w:pPr>
              <w:pStyle w:val="ListParagraph"/>
              <w:numPr>
                <w:ilvl w:val="0"/>
                <w:numId w:val="17"/>
              </w:numPr>
              <w:spacing w:after="0" w:line="240" w:lineRule="auto"/>
              <w:rPr>
                <w:color w:val="auto"/>
                <w:sz w:val="24"/>
                <w:szCs w:val="24"/>
              </w:rPr>
            </w:pPr>
            <w:r w:rsidRPr="00246DAF">
              <w:rPr>
                <w:color w:val="auto"/>
                <w:sz w:val="24"/>
                <w:szCs w:val="24"/>
              </w:rPr>
              <w:t xml:space="preserve">Discuss any </w:t>
            </w:r>
            <w:r w:rsidR="001B0CF3" w:rsidRPr="00246DAF">
              <w:rPr>
                <w:color w:val="auto"/>
                <w:sz w:val="24"/>
                <w:szCs w:val="24"/>
              </w:rPr>
              <w:t>updates.</w:t>
            </w:r>
          </w:p>
          <w:p w14:paraId="17DBB835" w14:textId="77777777" w:rsidR="00246DAF" w:rsidRPr="00246DAF" w:rsidRDefault="001B0CF3" w:rsidP="00246DAF">
            <w:pPr>
              <w:pStyle w:val="ListParagraph"/>
              <w:numPr>
                <w:ilvl w:val="0"/>
                <w:numId w:val="17"/>
              </w:numPr>
              <w:spacing w:after="0" w:line="240" w:lineRule="auto"/>
              <w:rPr>
                <w:color w:val="auto"/>
                <w:sz w:val="24"/>
                <w:szCs w:val="24"/>
              </w:rPr>
            </w:pPr>
            <w:r w:rsidRPr="00246DAF">
              <w:rPr>
                <w:color w:val="auto"/>
                <w:sz w:val="24"/>
                <w:szCs w:val="24"/>
              </w:rPr>
              <w:t>Approve the updated Board Assurance Framework.</w:t>
            </w:r>
          </w:p>
          <w:p w14:paraId="55840E9F" w14:textId="77777777" w:rsidR="000C5E7B" w:rsidRDefault="00246DAF" w:rsidP="000C5E7B">
            <w:pPr>
              <w:pStyle w:val="ListParagraph"/>
              <w:numPr>
                <w:ilvl w:val="0"/>
                <w:numId w:val="17"/>
              </w:numPr>
              <w:spacing w:after="0" w:line="240" w:lineRule="auto"/>
              <w:rPr>
                <w:color w:val="auto"/>
                <w:sz w:val="24"/>
                <w:szCs w:val="24"/>
              </w:rPr>
            </w:pPr>
            <w:r w:rsidRPr="00246DAF">
              <w:rPr>
                <w:color w:val="auto"/>
                <w:sz w:val="24"/>
                <w:szCs w:val="24"/>
              </w:rPr>
              <w:t>Notes that the annual review of the BAF will be taken to the April Board.</w:t>
            </w:r>
          </w:p>
          <w:p w14:paraId="0FD593B7" w14:textId="5613ED51" w:rsidR="00B53C4C" w:rsidRPr="000C5E7B" w:rsidRDefault="001B0CF3" w:rsidP="000C5E7B">
            <w:pPr>
              <w:pStyle w:val="ListParagraph"/>
              <w:numPr>
                <w:ilvl w:val="0"/>
                <w:numId w:val="17"/>
              </w:numPr>
              <w:spacing w:after="0" w:line="240" w:lineRule="auto"/>
              <w:rPr>
                <w:color w:val="auto"/>
                <w:sz w:val="24"/>
                <w:szCs w:val="24"/>
              </w:rPr>
            </w:pPr>
            <w:r w:rsidRPr="000C5E7B">
              <w:rPr>
                <w:color w:val="auto"/>
                <w:sz w:val="24"/>
                <w:szCs w:val="24"/>
              </w:rPr>
              <w:t>Identify any further areas of risk that may impact on the delivery of the ICB strategic objectives.</w:t>
            </w:r>
          </w:p>
          <w:p w14:paraId="5DD056FB" w14:textId="3AA587AF" w:rsidR="000C5E7B" w:rsidRPr="001B0CF3" w:rsidRDefault="000C5E7B" w:rsidP="000C5E7B">
            <w:pPr>
              <w:pStyle w:val="ListParagraph"/>
              <w:spacing w:after="0" w:line="240" w:lineRule="auto"/>
              <w:ind w:left="360"/>
              <w:rPr>
                <w:color w:val="auto"/>
                <w:sz w:val="16"/>
                <w:szCs w:val="16"/>
              </w:rPr>
            </w:pPr>
          </w:p>
        </w:tc>
      </w:tr>
    </w:tbl>
    <w:tbl>
      <w:tblPr>
        <w:tblStyle w:val="TableGrid"/>
        <w:tblpPr w:leftFromText="180" w:rightFromText="180" w:vertAnchor="text" w:horzAnchor="margin" w:tblpY="2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0C5E7B" w:rsidRPr="00524FEE" w14:paraId="72EAB93D" w14:textId="77777777" w:rsidTr="000C5E7B">
        <w:trPr>
          <w:trHeight w:val="427"/>
        </w:trPr>
        <w:tc>
          <w:tcPr>
            <w:tcW w:w="9600" w:type="dxa"/>
            <w:shd w:val="clear" w:color="auto" w:fill="D9D9D9" w:themeFill="background1" w:themeFillShade="D9"/>
          </w:tcPr>
          <w:p w14:paraId="4FB4E469" w14:textId="77777777" w:rsidR="000C5E7B" w:rsidRDefault="000C5E7B" w:rsidP="000C5E7B">
            <w:pPr>
              <w:spacing w:after="0"/>
              <w:rPr>
                <w:b/>
                <w:color w:val="auto"/>
              </w:rPr>
            </w:pPr>
            <w:bookmarkStart w:id="3" w:name="_Hlk138950819"/>
            <w:r w:rsidRPr="00826000">
              <w:rPr>
                <w:b/>
                <w:color w:val="auto"/>
              </w:rPr>
              <w:t>ICB ST</w:t>
            </w:r>
            <w:r w:rsidRPr="006E0CCC">
              <w:rPr>
                <w:b/>
                <w:color w:val="auto"/>
              </w:rPr>
              <w:t xml:space="preserve">RATEGIC </w:t>
            </w:r>
            <w:r w:rsidRPr="00826000">
              <w:rPr>
                <w:b/>
                <w:color w:val="auto"/>
              </w:rPr>
              <w:t xml:space="preserve">OBJECTIVE </w:t>
            </w:r>
          </w:p>
          <w:p w14:paraId="69AB7D17" w14:textId="77777777" w:rsidR="000C5E7B" w:rsidRPr="00524FEE" w:rsidRDefault="000C5E7B" w:rsidP="000C5E7B">
            <w:pPr>
              <w:spacing w:after="0"/>
              <w:rPr>
                <w:color w:val="auto"/>
              </w:rPr>
            </w:pPr>
          </w:p>
        </w:tc>
      </w:tr>
      <w:bookmarkEnd w:id="3"/>
    </w:tbl>
    <w:p w14:paraId="653D6F76" w14:textId="77777777" w:rsidR="004C7CF3" w:rsidRDefault="004C7CF3" w:rsidP="00D05ADC">
      <w:pPr>
        <w:spacing w:after="0" w:line="120" w:lineRule="auto"/>
        <w:rPr>
          <w:color w:val="auto"/>
        </w:rPr>
      </w:pPr>
    </w:p>
    <w:p w14:paraId="2C57DBCB" w14:textId="77777777" w:rsidR="000C5E7B" w:rsidRDefault="000C5E7B" w:rsidP="00D05ADC">
      <w:pPr>
        <w:spacing w:after="0" w:line="120" w:lineRule="auto"/>
        <w:rPr>
          <w:color w:val="auto"/>
        </w:rPr>
      </w:pPr>
    </w:p>
    <w:tbl>
      <w:tblPr>
        <w:tblStyle w:val="TableGrid"/>
        <w:tblpPr w:leftFromText="180" w:rightFromText="180" w:vertAnchor="text" w:horzAnchor="margin" w:tblpY="-61"/>
        <w:tblW w:w="0" w:type="auto"/>
        <w:tblLook w:val="04A0" w:firstRow="1" w:lastRow="0" w:firstColumn="1" w:lastColumn="0" w:noHBand="0" w:noVBand="1"/>
      </w:tblPr>
      <w:tblGrid>
        <w:gridCol w:w="7634"/>
        <w:gridCol w:w="1966"/>
      </w:tblGrid>
      <w:tr w:rsidR="004A15A3" w:rsidRPr="00566BDC" w14:paraId="25264C85" w14:textId="77777777" w:rsidTr="004A15A3">
        <w:trPr>
          <w:trHeight w:val="118"/>
        </w:trPr>
        <w:tc>
          <w:tcPr>
            <w:tcW w:w="7634" w:type="dxa"/>
            <w:tcBorders>
              <w:top w:val="double" w:sz="4" w:space="0" w:color="auto"/>
              <w:left w:val="double" w:sz="4" w:space="0" w:color="auto"/>
            </w:tcBorders>
          </w:tcPr>
          <w:p w14:paraId="5E115EDE" w14:textId="2E23AFCA" w:rsidR="004A15A3" w:rsidRPr="004A15A3" w:rsidRDefault="004A15A3" w:rsidP="004A15A3">
            <w:pPr>
              <w:spacing w:after="0" w:line="240" w:lineRule="auto"/>
              <w:rPr>
                <w:b/>
                <w:color w:val="auto"/>
              </w:rPr>
            </w:pPr>
            <w:r w:rsidRPr="004A15A3">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5B715066" w14:textId="6A68EB4F" w:rsidR="004A15A3" w:rsidRPr="00B53C4C" w:rsidRDefault="00B53C4C" w:rsidP="004A15A3">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4A15A3" w:rsidRPr="00566BDC" w14:paraId="74FDB700" w14:textId="77777777" w:rsidTr="004A15A3">
        <w:tc>
          <w:tcPr>
            <w:tcW w:w="7634" w:type="dxa"/>
            <w:tcBorders>
              <w:left w:val="double" w:sz="4" w:space="0" w:color="auto"/>
            </w:tcBorders>
          </w:tcPr>
          <w:p w14:paraId="78520A47" w14:textId="5F9B5702" w:rsidR="004A15A3" w:rsidRPr="004A15A3" w:rsidRDefault="004A15A3" w:rsidP="004A15A3">
            <w:pPr>
              <w:spacing w:after="0" w:line="240" w:lineRule="auto"/>
              <w:rPr>
                <w:b/>
                <w:color w:val="auto"/>
              </w:rPr>
            </w:pPr>
            <w:r w:rsidRPr="004A15A3">
              <w:rPr>
                <w:color w:val="auto"/>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7E61476A" w14:textId="18F1A0FE" w:rsidR="004A15A3" w:rsidRPr="00B53C4C" w:rsidRDefault="004A15A3" w:rsidP="004A15A3">
                <w:pPr>
                  <w:spacing w:after="0" w:line="240" w:lineRule="auto"/>
                  <w:jc w:val="center"/>
                  <w:rPr>
                    <w:color w:val="auto"/>
                    <w:sz w:val="40"/>
                    <w:szCs w:val="40"/>
                  </w:rPr>
                </w:pPr>
                <w:r w:rsidRPr="00B53C4C">
                  <w:rPr>
                    <w:rFonts w:ascii="MS Gothic" w:eastAsia="MS Gothic" w:hAnsi="MS Gothic" w:hint="eastAsia"/>
                    <w:color w:val="auto"/>
                    <w:sz w:val="40"/>
                    <w:szCs w:val="40"/>
                  </w:rPr>
                  <w:t>☒</w:t>
                </w:r>
              </w:p>
            </w:tc>
          </w:sdtContent>
        </w:sdt>
      </w:tr>
      <w:tr w:rsidR="004A15A3" w:rsidRPr="00566BDC" w14:paraId="7D8E6621" w14:textId="77777777" w:rsidTr="004A15A3">
        <w:tc>
          <w:tcPr>
            <w:tcW w:w="7634" w:type="dxa"/>
            <w:tcBorders>
              <w:left w:val="double" w:sz="4" w:space="0" w:color="auto"/>
            </w:tcBorders>
          </w:tcPr>
          <w:p w14:paraId="0D29792A" w14:textId="67E5E640" w:rsidR="004A15A3" w:rsidRPr="004A15A3" w:rsidRDefault="004A15A3" w:rsidP="004A15A3">
            <w:pPr>
              <w:spacing w:after="0" w:line="240" w:lineRule="auto"/>
              <w:jc w:val="both"/>
              <w:rPr>
                <w:b/>
                <w:color w:val="auto"/>
              </w:rPr>
            </w:pPr>
            <w:r w:rsidRPr="004A15A3">
              <w:rPr>
                <w:color w:val="auto"/>
              </w:rPr>
              <w:t>Leading for Sustainability</w:t>
            </w:r>
          </w:p>
        </w:tc>
        <w:sdt>
          <w:sdtPr>
            <w:rPr>
              <w:color w:val="auto"/>
              <w:sz w:val="40"/>
              <w:szCs w:val="40"/>
            </w:rPr>
            <w:id w:val="-1638247711"/>
            <w14:checkbox>
              <w14:checked w14:val="1"/>
              <w14:checkedState w14:val="2612" w14:font="MS Gothic"/>
              <w14:uncheckedState w14:val="2610" w14:font="MS Gothic"/>
            </w14:checkbox>
          </w:sdtPr>
          <w:sdtEndPr/>
          <w:sdtContent>
            <w:tc>
              <w:tcPr>
                <w:tcW w:w="1966" w:type="dxa"/>
                <w:tcBorders>
                  <w:right w:val="double" w:sz="4" w:space="0" w:color="auto"/>
                </w:tcBorders>
              </w:tcPr>
              <w:p w14:paraId="0B19F310" w14:textId="164D7759" w:rsidR="004A15A3" w:rsidRPr="00B53C4C" w:rsidRDefault="004A15A3" w:rsidP="004A15A3">
                <w:pPr>
                  <w:spacing w:after="0" w:line="240" w:lineRule="auto"/>
                  <w:jc w:val="center"/>
                  <w:rPr>
                    <w:color w:val="auto"/>
                    <w:sz w:val="40"/>
                    <w:szCs w:val="40"/>
                  </w:rPr>
                </w:pPr>
                <w:r w:rsidRPr="00B53C4C">
                  <w:rPr>
                    <w:rFonts w:ascii="MS Gothic" w:eastAsia="MS Gothic" w:hAnsi="MS Gothic" w:hint="eastAsia"/>
                    <w:color w:val="auto"/>
                    <w:sz w:val="40"/>
                    <w:szCs w:val="40"/>
                  </w:rPr>
                  <w:t>☒</w:t>
                </w:r>
              </w:p>
            </w:tc>
          </w:sdtContent>
        </w:sdt>
      </w:tr>
      <w:tr w:rsidR="004A15A3" w:rsidRPr="00566BDC" w14:paraId="49C164C3" w14:textId="77777777" w:rsidTr="004A15A3">
        <w:tc>
          <w:tcPr>
            <w:tcW w:w="7634" w:type="dxa"/>
            <w:tcBorders>
              <w:left w:val="double" w:sz="4" w:space="0" w:color="auto"/>
              <w:bottom w:val="double" w:sz="4" w:space="0" w:color="auto"/>
            </w:tcBorders>
          </w:tcPr>
          <w:p w14:paraId="3CAF4B99" w14:textId="4546B87A" w:rsidR="004A15A3" w:rsidRPr="004A15A3" w:rsidRDefault="004A15A3" w:rsidP="004A15A3">
            <w:pPr>
              <w:spacing w:after="0" w:line="240" w:lineRule="auto"/>
              <w:jc w:val="both"/>
              <w:rPr>
                <w:color w:val="auto"/>
              </w:rPr>
            </w:pPr>
            <w:r w:rsidRPr="004A15A3">
              <w:rPr>
                <w:color w:val="auto"/>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2BF3F9C2" w14:textId="1C83487A" w:rsidR="004A15A3" w:rsidRPr="00B53C4C" w:rsidRDefault="004A15A3" w:rsidP="004A15A3">
                <w:pPr>
                  <w:spacing w:after="0" w:line="240" w:lineRule="auto"/>
                  <w:jc w:val="center"/>
                  <w:rPr>
                    <w:color w:val="auto"/>
                    <w:sz w:val="40"/>
                    <w:szCs w:val="40"/>
                  </w:rPr>
                </w:pPr>
                <w:r w:rsidRPr="00B53C4C">
                  <w:rPr>
                    <w:rFonts w:ascii="MS Gothic" w:eastAsia="MS Gothic" w:hAnsi="MS Gothic" w:hint="eastAsia"/>
                    <w:color w:val="auto"/>
                    <w:sz w:val="40"/>
                    <w:szCs w:val="40"/>
                  </w:rPr>
                  <w:t>☒</w:t>
                </w:r>
              </w:p>
            </w:tc>
          </w:sdtContent>
        </w:sdt>
      </w:tr>
    </w:tbl>
    <w:p w14:paraId="5E35594F" w14:textId="77777777" w:rsidR="005A07E8" w:rsidRDefault="005A07E8" w:rsidP="000C5E7B">
      <w:pPr>
        <w:spacing w:after="0" w:line="240" w:lineRule="auto"/>
      </w:pPr>
    </w:p>
    <w:p w14:paraId="0951E279" w14:textId="77777777" w:rsidR="000C5E7B" w:rsidRDefault="000C5E7B"/>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8A29A2">
        <w:trPr>
          <w:trHeight w:val="427"/>
        </w:trPr>
        <w:tc>
          <w:tcPr>
            <w:tcW w:w="9600" w:type="dxa"/>
            <w:shd w:val="clear" w:color="auto" w:fill="D9D9D9" w:themeFill="background1" w:themeFillShade="D9"/>
          </w:tcPr>
          <w:p w14:paraId="1EC09D5F" w14:textId="77777777" w:rsidR="00B53C4C" w:rsidRDefault="00B23603" w:rsidP="007D6E93">
            <w:pPr>
              <w:spacing w:after="0" w:line="240" w:lineRule="auto"/>
              <w:rPr>
                <w:b/>
                <w:color w:val="auto"/>
              </w:rPr>
            </w:pPr>
            <w:r w:rsidRPr="00566BDC">
              <w:rPr>
                <w:b/>
                <w:color w:val="auto"/>
              </w:rPr>
              <w:lastRenderedPageBreak/>
              <w:t>IMPLICATIONS</w:t>
            </w:r>
          </w:p>
          <w:p w14:paraId="6C8361F3" w14:textId="77777777" w:rsidR="000C5E7B" w:rsidRDefault="000C5E7B" w:rsidP="007D6E93">
            <w:pPr>
              <w:spacing w:after="0" w:line="240" w:lineRule="auto"/>
              <w:rPr>
                <w:b/>
                <w:color w:val="auto"/>
              </w:rPr>
            </w:pPr>
          </w:p>
          <w:p w14:paraId="530EE8FF" w14:textId="77777777" w:rsidR="008A29A2" w:rsidRPr="008A29A2" w:rsidRDefault="008A29A2" w:rsidP="007D6E93">
            <w:pPr>
              <w:spacing w:after="0" w:line="240" w:lineRule="auto"/>
              <w:rPr>
                <w:b/>
                <w:color w:val="auto"/>
                <w:sz w:val="6"/>
                <w:szCs w:val="6"/>
              </w:rPr>
            </w:pPr>
          </w:p>
          <w:p w14:paraId="24FC2816" w14:textId="611D7AFA" w:rsidR="008A29A2" w:rsidRPr="00E705A6" w:rsidRDefault="008A29A2" w:rsidP="007D6E93">
            <w:pPr>
              <w:spacing w:after="0" w:line="240" w:lineRule="auto"/>
              <w:rPr>
                <w:color w:val="auto"/>
                <w:sz w:val="4"/>
                <w:szCs w:val="4"/>
              </w:rPr>
            </w:pPr>
          </w:p>
        </w:tc>
      </w:tr>
    </w:tbl>
    <w:p w14:paraId="67C4A036" w14:textId="77777777" w:rsidR="00B53C4C" w:rsidRPr="00B53C4C" w:rsidRDefault="00B53C4C" w:rsidP="00B53C4C">
      <w:pPr>
        <w:spacing w:after="0" w:line="240" w:lineRule="auto"/>
        <w:rPr>
          <w:sz w:val="8"/>
          <w:szCs w:val="8"/>
        </w:rPr>
      </w:pPr>
    </w:p>
    <w:tbl>
      <w:tblPr>
        <w:tblStyle w:val="TableGrid"/>
        <w:tblW w:w="0" w:type="auto"/>
        <w:tblLook w:val="04A0" w:firstRow="1" w:lastRow="0" w:firstColumn="1" w:lastColumn="0" w:noHBand="0" w:noVBand="1"/>
      </w:tblPr>
      <w:tblGrid>
        <w:gridCol w:w="2262"/>
        <w:gridCol w:w="7338"/>
      </w:tblGrid>
      <w:tr w:rsidR="004307C4" w:rsidRPr="00566BDC" w14:paraId="20FF7694" w14:textId="77777777" w:rsidTr="407D7D71">
        <w:tc>
          <w:tcPr>
            <w:tcW w:w="2262" w:type="dxa"/>
            <w:tcBorders>
              <w:top w:val="double" w:sz="4" w:space="0" w:color="auto"/>
              <w:left w:val="double" w:sz="4" w:space="0" w:color="auto"/>
            </w:tcBorders>
          </w:tcPr>
          <w:p w14:paraId="0F1AF5E8" w14:textId="77777777" w:rsidR="004307C4" w:rsidRPr="00566BDC" w:rsidRDefault="004307C4" w:rsidP="00566BDC">
            <w:pPr>
              <w:spacing w:after="0" w:line="240" w:lineRule="auto"/>
              <w:rPr>
                <w:b/>
                <w:color w:val="auto"/>
              </w:rPr>
            </w:pPr>
            <w:r w:rsidRPr="00566BDC">
              <w:rPr>
                <w:color w:val="auto"/>
              </w:rPr>
              <w:t>Finance</w:t>
            </w:r>
          </w:p>
        </w:tc>
        <w:tc>
          <w:tcPr>
            <w:tcW w:w="7338" w:type="dxa"/>
            <w:tcBorders>
              <w:top w:val="double" w:sz="4" w:space="0" w:color="auto"/>
              <w:right w:val="double" w:sz="4" w:space="0" w:color="auto"/>
            </w:tcBorders>
          </w:tcPr>
          <w:p w14:paraId="16D2687E" w14:textId="65429528" w:rsidR="002D2FBC" w:rsidRPr="00566BDC" w:rsidRDefault="0C1E07B9" w:rsidP="407D7D71">
            <w:pPr>
              <w:spacing w:after="0" w:line="240" w:lineRule="auto"/>
              <w:rPr>
                <w:b/>
                <w:bCs/>
                <w:color w:val="auto"/>
              </w:rPr>
            </w:pPr>
            <w:r w:rsidRPr="407D7D71">
              <w:rPr>
                <w:b/>
                <w:bCs/>
                <w:color w:val="auto"/>
              </w:rPr>
              <w:t xml:space="preserve">Risk </w:t>
            </w:r>
            <w:r w:rsidR="24544901" w:rsidRPr="407D7D71">
              <w:rPr>
                <w:b/>
                <w:bCs/>
                <w:color w:val="auto"/>
              </w:rPr>
              <w:t>C3</w:t>
            </w:r>
            <w:r w:rsidR="652AE0AF" w:rsidRPr="407D7D71">
              <w:rPr>
                <w:b/>
                <w:bCs/>
                <w:color w:val="auto"/>
              </w:rPr>
              <w:t xml:space="preserve"> (</w:t>
            </w:r>
            <w:r w:rsidR="58471A90" w:rsidRPr="407D7D71">
              <w:rPr>
                <w:b/>
                <w:bCs/>
                <w:color w:val="auto"/>
              </w:rPr>
              <w:t>2024/25 finance)</w:t>
            </w:r>
            <w:r w:rsidRPr="407D7D71">
              <w:rPr>
                <w:b/>
                <w:bCs/>
                <w:color w:val="auto"/>
              </w:rPr>
              <w:t xml:space="preserve"> </w:t>
            </w:r>
            <w:r w:rsidRPr="407D7D71">
              <w:rPr>
                <w:color w:val="auto"/>
              </w:rPr>
              <w:t>relates specifically to risks associated with the maintenance of financial control. The current assessment of the risks, together with their mitigations, associated with this are set out in the BAF</w:t>
            </w:r>
            <w:r w:rsidR="18F96875" w:rsidRPr="407D7D71">
              <w:rPr>
                <w:color w:val="auto"/>
              </w:rPr>
              <w:t xml:space="preserve">. </w:t>
            </w:r>
            <w:r w:rsidRPr="407D7D71">
              <w:rPr>
                <w:color w:val="auto"/>
              </w:rPr>
              <w:t>Financial implications associated with other risks would be set out on a case-by-case basis.</w:t>
            </w:r>
          </w:p>
        </w:tc>
      </w:tr>
      <w:tr w:rsidR="00E238FC" w:rsidRPr="00566BDC" w14:paraId="7F287BB4" w14:textId="77777777" w:rsidTr="407D7D71">
        <w:tc>
          <w:tcPr>
            <w:tcW w:w="2262" w:type="dxa"/>
            <w:tcBorders>
              <w:left w:val="double" w:sz="4" w:space="0" w:color="auto"/>
            </w:tcBorders>
          </w:tcPr>
          <w:p w14:paraId="4EFA89F3" w14:textId="49F7FB96" w:rsidR="00E238FC" w:rsidRPr="00566BDC" w:rsidRDefault="00F50234" w:rsidP="00566BDC">
            <w:pPr>
              <w:spacing w:after="0" w:line="240" w:lineRule="auto"/>
              <w:rPr>
                <w:color w:val="auto"/>
              </w:rPr>
            </w:pPr>
            <w:r w:rsidRPr="00566BDC">
              <w:rPr>
                <w:color w:val="auto"/>
              </w:rPr>
              <w:t>Quality</w:t>
            </w:r>
          </w:p>
        </w:tc>
        <w:tc>
          <w:tcPr>
            <w:tcW w:w="7338" w:type="dxa"/>
            <w:tcBorders>
              <w:right w:val="double" w:sz="4" w:space="0" w:color="auto"/>
            </w:tcBorders>
          </w:tcPr>
          <w:p w14:paraId="7C8B1819" w14:textId="32781A7C" w:rsidR="002D2FBC" w:rsidRPr="00566BDC" w:rsidRDefault="0C1E07B9" w:rsidP="407D7D71">
            <w:pPr>
              <w:spacing w:after="0" w:line="240" w:lineRule="auto"/>
              <w:rPr>
                <w:b/>
                <w:bCs/>
                <w:color w:val="auto"/>
              </w:rPr>
            </w:pPr>
            <w:r w:rsidRPr="407D7D71">
              <w:rPr>
                <w:b/>
                <w:bCs/>
                <w:color w:val="auto"/>
              </w:rPr>
              <w:t>Risks A1</w:t>
            </w:r>
            <w:r w:rsidR="58471A90" w:rsidRPr="407D7D71">
              <w:rPr>
                <w:b/>
                <w:bCs/>
                <w:color w:val="auto"/>
              </w:rPr>
              <w:t xml:space="preserve"> (patient safety)</w:t>
            </w:r>
            <w:r w:rsidRPr="407D7D71">
              <w:rPr>
                <w:color w:val="auto"/>
              </w:rPr>
              <w:t xml:space="preserve"> and </w:t>
            </w:r>
            <w:r w:rsidR="24544901" w:rsidRPr="407D7D71">
              <w:rPr>
                <w:b/>
                <w:bCs/>
                <w:color w:val="auto"/>
              </w:rPr>
              <w:t>D1</w:t>
            </w:r>
            <w:r w:rsidR="58471A90" w:rsidRPr="407D7D71">
              <w:rPr>
                <w:b/>
                <w:bCs/>
                <w:color w:val="auto"/>
              </w:rPr>
              <w:t xml:space="preserve"> (</w:t>
            </w:r>
            <w:r w:rsidR="43C1F8C8" w:rsidRPr="407D7D71">
              <w:rPr>
                <w:b/>
                <w:bCs/>
                <w:color w:val="auto"/>
              </w:rPr>
              <w:t>patient an</w:t>
            </w:r>
            <w:r w:rsidR="0455350A" w:rsidRPr="407D7D71">
              <w:rPr>
                <w:b/>
                <w:bCs/>
                <w:color w:val="auto"/>
              </w:rPr>
              <w:t>d</w:t>
            </w:r>
            <w:r w:rsidR="43C1F8C8" w:rsidRPr="407D7D71">
              <w:rPr>
                <w:b/>
                <w:bCs/>
                <w:color w:val="auto"/>
              </w:rPr>
              <w:t xml:space="preserve"> public </w:t>
            </w:r>
            <w:r w:rsidR="58471A90" w:rsidRPr="407D7D71">
              <w:rPr>
                <w:b/>
                <w:bCs/>
                <w:color w:val="auto"/>
              </w:rPr>
              <w:t>engagement)</w:t>
            </w:r>
            <w:r w:rsidRPr="407D7D71">
              <w:rPr>
                <w:color w:val="auto"/>
              </w:rPr>
              <w:t xml:space="preserve"> refer specifically to quality impacts should the threats relating to clinical quality, safety and patient experience not be adequately mitigated for</w:t>
            </w:r>
            <w:r w:rsidR="34B37FC7" w:rsidRPr="407D7D71">
              <w:rPr>
                <w:color w:val="auto"/>
              </w:rPr>
              <w:t xml:space="preserve">. </w:t>
            </w:r>
            <w:r w:rsidRPr="407D7D71">
              <w:rPr>
                <w:color w:val="auto"/>
              </w:rPr>
              <w:t xml:space="preserve">The current controls and assurances in place are set out within the BAF  </w:t>
            </w:r>
          </w:p>
        </w:tc>
      </w:tr>
      <w:tr w:rsidR="00995601" w:rsidRPr="00566BDC" w14:paraId="3285F263" w14:textId="77777777" w:rsidTr="407D7D71">
        <w:tc>
          <w:tcPr>
            <w:tcW w:w="2262" w:type="dxa"/>
            <w:tcBorders>
              <w:left w:val="double" w:sz="4" w:space="0" w:color="auto"/>
            </w:tcBorders>
          </w:tcPr>
          <w:p w14:paraId="23F52933" w14:textId="0F3A4A92" w:rsidR="00995601" w:rsidRDefault="00995601" w:rsidP="00995601">
            <w:pPr>
              <w:spacing w:after="0" w:line="240" w:lineRule="auto"/>
              <w:rPr>
                <w:color w:val="auto"/>
              </w:rPr>
            </w:pPr>
            <w:r w:rsidRPr="00566BDC">
              <w:rPr>
                <w:color w:val="auto"/>
              </w:rPr>
              <w:t>HR</w:t>
            </w:r>
          </w:p>
          <w:p w14:paraId="0374C637" w14:textId="77777777" w:rsidR="00995601" w:rsidRPr="00566BDC" w:rsidRDefault="00995601" w:rsidP="00995601">
            <w:pPr>
              <w:spacing w:after="0" w:line="240" w:lineRule="auto"/>
              <w:rPr>
                <w:b/>
                <w:color w:val="auto"/>
              </w:rPr>
            </w:pPr>
          </w:p>
        </w:tc>
        <w:tc>
          <w:tcPr>
            <w:tcW w:w="7338" w:type="dxa"/>
            <w:tcBorders>
              <w:right w:val="double" w:sz="4" w:space="0" w:color="auto"/>
            </w:tcBorders>
          </w:tcPr>
          <w:p w14:paraId="31E4D32B" w14:textId="6A94410F" w:rsidR="00995601" w:rsidRPr="00566BDC" w:rsidRDefault="00987692" w:rsidP="00995601">
            <w:pPr>
              <w:spacing w:after="0" w:line="240" w:lineRule="auto"/>
              <w:rPr>
                <w:b/>
                <w:color w:val="auto"/>
              </w:rPr>
            </w:pPr>
            <w:r w:rsidRPr="00987692">
              <w:rPr>
                <w:b/>
                <w:bCs/>
                <w:color w:val="auto"/>
              </w:rPr>
              <w:t>C7 (workforce availability &amp; transformation)</w:t>
            </w:r>
            <w:r>
              <w:rPr>
                <w:b/>
                <w:bCs/>
                <w:color w:val="auto"/>
              </w:rPr>
              <w:t xml:space="preserve"> </w:t>
            </w:r>
            <w:r w:rsidR="00995601">
              <w:rPr>
                <w:bCs/>
                <w:color w:val="auto"/>
              </w:rPr>
              <w:t>set</w:t>
            </w:r>
            <w:r>
              <w:rPr>
                <w:bCs/>
                <w:color w:val="auto"/>
              </w:rPr>
              <w:t>s</w:t>
            </w:r>
            <w:r w:rsidR="00995601">
              <w:rPr>
                <w:bCs/>
                <w:color w:val="auto"/>
              </w:rPr>
              <w:t xml:space="preserve"> out the risks in the event of not delivering the ICB People Plan, together with the controls and mitigations in place to minimise these. </w:t>
            </w:r>
          </w:p>
        </w:tc>
      </w:tr>
      <w:tr w:rsidR="00995601" w:rsidRPr="00566BDC" w14:paraId="021977C1" w14:textId="77777777" w:rsidTr="407D7D71">
        <w:tc>
          <w:tcPr>
            <w:tcW w:w="2262" w:type="dxa"/>
            <w:tcBorders>
              <w:left w:val="double" w:sz="4" w:space="0" w:color="auto"/>
            </w:tcBorders>
          </w:tcPr>
          <w:p w14:paraId="76E8A113" w14:textId="7091C2A2" w:rsidR="00995601" w:rsidRDefault="00995601" w:rsidP="00995601">
            <w:pPr>
              <w:spacing w:after="0" w:line="240" w:lineRule="auto"/>
              <w:rPr>
                <w:color w:val="auto"/>
              </w:rPr>
            </w:pPr>
            <w:r>
              <w:rPr>
                <w:color w:val="auto"/>
              </w:rPr>
              <w:t>Legal / Regulatory</w:t>
            </w:r>
          </w:p>
        </w:tc>
        <w:tc>
          <w:tcPr>
            <w:tcW w:w="7338" w:type="dxa"/>
            <w:tcBorders>
              <w:right w:val="double" w:sz="4" w:space="0" w:color="auto"/>
            </w:tcBorders>
          </w:tcPr>
          <w:p w14:paraId="557845C5" w14:textId="665642E6" w:rsidR="00995601" w:rsidRPr="00566BDC" w:rsidRDefault="00995601" w:rsidP="00995601">
            <w:pPr>
              <w:spacing w:after="0" w:line="240" w:lineRule="auto"/>
              <w:rPr>
                <w:b/>
                <w:color w:val="auto"/>
              </w:rPr>
            </w:pPr>
            <w:r w:rsidRPr="00995601">
              <w:rPr>
                <w:bCs/>
                <w:color w:val="auto"/>
              </w:rPr>
              <w:t>The maintenance of a comprehensive BAF provides an important means through which the compliance/regulatory risks to the ICB are mitigated</w:t>
            </w:r>
            <w:r w:rsidR="00843417">
              <w:rPr>
                <w:bCs/>
                <w:color w:val="auto"/>
              </w:rPr>
              <w:t>.</w:t>
            </w:r>
          </w:p>
        </w:tc>
      </w:tr>
      <w:tr w:rsidR="00995601" w:rsidRPr="00566BDC" w14:paraId="4514A14F" w14:textId="77777777" w:rsidTr="407D7D71">
        <w:tc>
          <w:tcPr>
            <w:tcW w:w="2262" w:type="dxa"/>
            <w:tcBorders>
              <w:left w:val="double" w:sz="4" w:space="0" w:color="auto"/>
            </w:tcBorders>
          </w:tcPr>
          <w:p w14:paraId="7AD7246B" w14:textId="77777777" w:rsidR="00995601" w:rsidRDefault="00995601" w:rsidP="00995601">
            <w:pPr>
              <w:spacing w:after="0" w:line="240" w:lineRule="auto"/>
              <w:rPr>
                <w:color w:val="auto"/>
              </w:rPr>
            </w:pPr>
            <w:r>
              <w:rPr>
                <w:color w:val="auto"/>
              </w:rPr>
              <w:t>Data Protection / IG</w:t>
            </w:r>
          </w:p>
          <w:p w14:paraId="4EBADFBE" w14:textId="14A0963E" w:rsidR="00995601" w:rsidRPr="00566BDC" w:rsidRDefault="00995601" w:rsidP="00995601">
            <w:pPr>
              <w:spacing w:after="0" w:line="240" w:lineRule="auto"/>
              <w:rPr>
                <w:color w:val="auto"/>
              </w:rPr>
            </w:pPr>
          </w:p>
        </w:tc>
        <w:tc>
          <w:tcPr>
            <w:tcW w:w="7338" w:type="dxa"/>
            <w:tcBorders>
              <w:right w:val="double" w:sz="4" w:space="0" w:color="auto"/>
            </w:tcBorders>
          </w:tcPr>
          <w:p w14:paraId="72265EED" w14:textId="25CEB25F" w:rsidR="00995601" w:rsidRPr="00566BDC" w:rsidRDefault="00995601" w:rsidP="00995601">
            <w:pPr>
              <w:spacing w:after="0" w:line="240" w:lineRule="auto"/>
              <w:rPr>
                <w:b/>
                <w:color w:val="auto"/>
              </w:rPr>
            </w:pPr>
            <w:r w:rsidRPr="00A876EE">
              <w:rPr>
                <w:bCs/>
                <w:color w:val="auto"/>
              </w:rPr>
              <w:t xml:space="preserve">There are no </w:t>
            </w:r>
            <w:r>
              <w:rPr>
                <w:bCs/>
                <w:color w:val="auto"/>
              </w:rPr>
              <w:t xml:space="preserve">direct </w:t>
            </w:r>
            <w:r w:rsidRPr="00A876EE">
              <w:rPr>
                <w:bCs/>
                <w:color w:val="auto"/>
              </w:rPr>
              <w:t>data protection / IG implications relating to this paper, however data protection/IG controls and mitigations will be considered</w:t>
            </w:r>
            <w:r>
              <w:rPr>
                <w:bCs/>
                <w:color w:val="auto"/>
              </w:rPr>
              <w:t>, as relevant,</w:t>
            </w:r>
            <w:r w:rsidRPr="00A876EE">
              <w:rPr>
                <w:bCs/>
                <w:color w:val="auto"/>
              </w:rPr>
              <w:t xml:space="preserve"> for all </w:t>
            </w:r>
            <w:r>
              <w:rPr>
                <w:bCs/>
                <w:color w:val="auto"/>
              </w:rPr>
              <w:t xml:space="preserve">principal </w:t>
            </w:r>
            <w:r w:rsidRPr="00A876EE">
              <w:rPr>
                <w:bCs/>
                <w:color w:val="auto"/>
              </w:rPr>
              <w:t>risks.</w:t>
            </w:r>
          </w:p>
        </w:tc>
      </w:tr>
      <w:tr w:rsidR="008057DB" w:rsidRPr="00566BDC" w14:paraId="542CD7B3" w14:textId="77777777" w:rsidTr="407D7D71">
        <w:tc>
          <w:tcPr>
            <w:tcW w:w="2262" w:type="dxa"/>
            <w:tcBorders>
              <w:left w:val="double" w:sz="4" w:space="0" w:color="auto"/>
            </w:tcBorders>
          </w:tcPr>
          <w:p w14:paraId="57B08AAB" w14:textId="5E2EF19D" w:rsidR="008057DB" w:rsidRPr="00566BDC" w:rsidRDefault="008057DB" w:rsidP="008057DB">
            <w:pPr>
              <w:spacing w:after="0" w:line="240" w:lineRule="auto"/>
              <w:rPr>
                <w:b/>
                <w:color w:val="auto"/>
              </w:rPr>
            </w:pPr>
            <w:r>
              <w:rPr>
                <w:color w:val="auto"/>
              </w:rPr>
              <w:t>Health inequality / equality</w:t>
            </w:r>
          </w:p>
        </w:tc>
        <w:tc>
          <w:tcPr>
            <w:tcW w:w="7338" w:type="dxa"/>
            <w:tcBorders>
              <w:right w:val="double" w:sz="4" w:space="0" w:color="auto"/>
            </w:tcBorders>
          </w:tcPr>
          <w:p w14:paraId="2AC49FA2" w14:textId="0E169112" w:rsidR="008057DB" w:rsidRPr="008057DB" w:rsidRDefault="454938E4" w:rsidP="407D7D71">
            <w:pPr>
              <w:spacing w:after="0" w:line="240" w:lineRule="auto"/>
              <w:rPr>
                <w:b/>
                <w:bCs/>
                <w:color w:val="auto"/>
              </w:rPr>
            </w:pPr>
            <w:r w:rsidRPr="407D7D71">
              <w:rPr>
                <w:b/>
                <w:bCs/>
                <w:color w:val="auto"/>
              </w:rPr>
              <w:t>Risks A1</w:t>
            </w:r>
            <w:r w:rsidR="58471A90" w:rsidRPr="407D7D71">
              <w:rPr>
                <w:b/>
                <w:bCs/>
                <w:color w:val="auto"/>
              </w:rPr>
              <w:t xml:space="preserve"> (patient safety)</w:t>
            </w:r>
            <w:r w:rsidRPr="407D7D71">
              <w:rPr>
                <w:b/>
                <w:bCs/>
                <w:color w:val="auto"/>
              </w:rPr>
              <w:t xml:space="preserve">, </w:t>
            </w:r>
            <w:r w:rsidR="00D07E5E" w:rsidRPr="407D7D71">
              <w:rPr>
                <w:b/>
                <w:bCs/>
                <w:color w:val="auto"/>
              </w:rPr>
              <w:t>A2</w:t>
            </w:r>
            <w:r w:rsidR="58471A90" w:rsidRPr="407D7D71">
              <w:rPr>
                <w:b/>
                <w:bCs/>
                <w:color w:val="auto"/>
              </w:rPr>
              <w:t xml:space="preserve"> (2024/25 delivery of operational plan)</w:t>
            </w:r>
            <w:r w:rsidR="2B2C1254" w:rsidRPr="407D7D71">
              <w:rPr>
                <w:b/>
                <w:bCs/>
                <w:color w:val="auto"/>
              </w:rPr>
              <w:t xml:space="preserve"> </w:t>
            </w:r>
            <w:r w:rsidRPr="407D7D71">
              <w:rPr>
                <w:color w:val="auto"/>
              </w:rPr>
              <w:t xml:space="preserve">and </w:t>
            </w:r>
            <w:r w:rsidR="001811BF" w:rsidRPr="001811BF">
              <w:rPr>
                <w:b/>
                <w:bCs/>
                <w:color w:val="auto"/>
              </w:rPr>
              <w:t>C7 (workforce availability &amp; transformation)</w:t>
            </w:r>
            <w:r w:rsidR="001811BF">
              <w:rPr>
                <w:b/>
                <w:bCs/>
                <w:color w:val="auto"/>
              </w:rPr>
              <w:t xml:space="preserve"> </w:t>
            </w:r>
            <w:r w:rsidRPr="407D7D71">
              <w:rPr>
                <w:color w:val="auto"/>
              </w:rPr>
              <w:t xml:space="preserve">reference the negative impacts on health inequality/ equality </w:t>
            </w:r>
            <w:r w:rsidR="0D9C99AF" w:rsidRPr="407D7D71">
              <w:rPr>
                <w:color w:val="auto"/>
              </w:rPr>
              <w:t>if</w:t>
            </w:r>
            <w:r w:rsidRPr="407D7D71">
              <w:rPr>
                <w:color w:val="auto"/>
              </w:rPr>
              <w:t xml:space="preserve"> each risk is not adequately controlled however the existing mitigations are also set out within the document.</w:t>
            </w:r>
          </w:p>
        </w:tc>
      </w:tr>
      <w:tr w:rsidR="008057DB" w:rsidRPr="00566BDC" w14:paraId="1C67E1C3" w14:textId="77777777" w:rsidTr="407D7D71">
        <w:tc>
          <w:tcPr>
            <w:tcW w:w="2262" w:type="dxa"/>
            <w:tcBorders>
              <w:left w:val="double" w:sz="4" w:space="0" w:color="auto"/>
            </w:tcBorders>
          </w:tcPr>
          <w:p w14:paraId="13F94CB5" w14:textId="244B5D6A" w:rsidR="008057DB" w:rsidRDefault="008057DB" w:rsidP="008057DB">
            <w:pPr>
              <w:spacing w:after="0" w:line="240" w:lineRule="auto"/>
              <w:rPr>
                <w:color w:val="auto"/>
              </w:rPr>
            </w:pPr>
            <w:r>
              <w:rPr>
                <w:color w:val="auto"/>
              </w:rPr>
              <w:t>Conflict of Interest Aspects</w:t>
            </w:r>
          </w:p>
          <w:p w14:paraId="2F9D1286" w14:textId="584CC39D" w:rsidR="008057DB" w:rsidRDefault="008057DB" w:rsidP="008057DB">
            <w:pPr>
              <w:spacing w:after="0" w:line="240" w:lineRule="auto"/>
              <w:rPr>
                <w:color w:val="auto"/>
              </w:rPr>
            </w:pPr>
          </w:p>
        </w:tc>
        <w:tc>
          <w:tcPr>
            <w:tcW w:w="7338" w:type="dxa"/>
            <w:tcBorders>
              <w:right w:val="double" w:sz="4" w:space="0" w:color="auto"/>
            </w:tcBorders>
          </w:tcPr>
          <w:p w14:paraId="37DC6051" w14:textId="2F2F0B53" w:rsidR="008057DB" w:rsidRPr="008057DB" w:rsidRDefault="008057DB" w:rsidP="008057DB">
            <w:pPr>
              <w:spacing w:after="0" w:line="240" w:lineRule="auto"/>
              <w:rPr>
                <w:b/>
                <w:color w:val="auto"/>
              </w:rPr>
            </w:pPr>
            <w:r w:rsidRPr="008057DB">
              <w:rPr>
                <w:color w:val="auto"/>
              </w:rPr>
              <w:t xml:space="preserve">No conflicts of interest are identified in relation to the BAF; however, it is noted that COIs will continue to be monitored on a case-by-case basis given the broad scope of the report’s contents and the professional / organisational diversity of the Board membership. </w:t>
            </w:r>
          </w:p>
        </w:tc>
      </w:tr>
      <w:tr w:rsidR="00995601" w:rsidRPr="00566BDC" w14:paraId="7420D59D" w14:textId="77777777" w:rsidTr="407D7D71">
        <w:tc>
          <w:tcPr>
            <w:tcW w:w="2262" w:type="dxa"/>
            <w:tcBorders>
              <w:left w:val="double" w:sz="4" w:space="0" w:color="auto"/>
              <w:bottom w:val="double" w:sz="4" w:space="0" w:color="auto"/>
            </w:tcBorders>
          </w:tcPr>
          <w:p w14:paraId="2B07DB2D" w14:textId="77777777" w:rsidR="00995601" w:rsidRDefault="00995601" w:rsidP="00995601">
            <w:pPr>
              <w:spacing w:after="0" w:line="240" w:lineRule="auto"/>
              <w:rPr>
                <w:color w:val="auto"/>
              </w:rPr>
            </w:pPr>
            <w:r>
              <w:rPr>
                <w:color w:val="auto"/>
              </w:rPr>
              <w:t>Sustainability</w:t>
            </w:r>
          </w:p>
          <w:p w14:paraId="575BE3AA" w14:textId="677027EF" w:rsidR="00995601" w:rsidRPr="00566BDC" w:rsidRDefault="00995601" w:rsidP="00995601">
            <w:pPr>
              <w:spacing w:after="0" w:line="240" w:lineRule="auto"/>
              <w:rPr>
                <w:b/>
                <w:color w:val="auto"/>
              </w:rPr>
            </w:pPr>
          </w:p>
        </w:tc>
        <w:tc>
          <w:tcPr>
            <w:tcW w:w="7338" w:type="dxa"/>
            <w:tcBorders>
              <w:bottom w:val="double" w:sz="4" w:space="0" w:color="auto"/>
              <w:right w:val="double" w:sz="4" w:space="0" w:color="auto"/>
            </w:tcBorders>
          </w:tcPr>
          <w:p w14:paraId="7B39D156" w14:textId="3DDECD72" w:rsidR="00995601" w:rsidRPr="00566BDC" w:rsidRDefault="00987692" w:rsidP="00995601">
            <w:pPr>
              <w:spacing w:after="0" w:line="240" w:lineRule="auto"/>
              <w:rPr>
                <w:b/>
                <w:color w:val="auto"/>
              </w:rPr>
            </w:pPr>
            <w:r w:rsidRPr="00987692">
              <w:rPr>
                <w:b/>
                <w:color w:val="auto"/>
              </w:rPr>
              <w:t>C7 (workforce availability &amp; transformation)</w:t>
            </w:r>
            <w:r>
              <w:rPr>
                <w:b/>
                <w:color w:val="auto"/>
              </w:rPr>
              <w:t xml:space="preserve">, </w:t>
            </w:r>
            <w:r w:rsidR="00D07E5E">
              <w:rPr>
                <w:b/>
                <w:color w:val="auto"/>
              </w:rPr>
              <w:t>C2</w:t>
            </w:r>
            <w:r w:rsidR="00CA76E7">
              <w:rPr>
                <w:b/>
                <w:color w:val="auto"/>
              </w:rPr>
              <w:t xml:space="preserve"> (Estates)</w:t>
            </w:r>
            <w:r w:rsidR="00D07E5E">
              <w:rPr>
                <w:b/>
                <w:color w:val="auto"/>
              </w:rPr>
              <w:t>, C3</w:t>
            </w:r>
            <w:r w:rsidR="00397F66">
              <w:rPr>
                <w:b/>
                <w:color w:val="auto"/>
              </w:rPr>
              <w:t>a / C3b</w:t>
            </w:r>
            <w:r w:rsidR="00CA76E7">
              <w:rPr>
                <w:b/>
                <w:color w:val="auto"/>
              </w:rPr>
              <w:t xml:space="preserve"> (2024/25 financial resource)</w:t>
            </w:r>
            <w:r w:rsidR="00D07E5E">
              <w:rPr>
                <w:b/>
                <w:color w:val="auto"/>
              </w:rPr>
              <w:t>, C5</w:t>
            </w:r>
            <w:r w:rsidR="00397F66">
              <w:rPr>
                <w:b/>
                <w:color w:val="auto"/>
              </w:rPr>
              <w:t>a / C5b</w:t>
            </w:r>
            <w:r w:rsidR="00CA76E7">
              <w:rPr>
                <w:b/>
                <w:color w:val="auto"/>
              </w:rPr>
              <w:t xml:space="preserve"> </w:t>
            </w:r>
            <w:r w:rsidR="00CA76E7" w:rsidRPr="00CA76E7">
              <w:rPr>
                <w:b/>
                <w:color w:val="auto"/>
              </w:rPr>
              <w:t>(medium term financial sustainability)</w:t>
            </w:r>
            <w:r w:rsidR="00CA76E7">
              <w:rPr>
                <w:b/>
                <w:color w:val="auto"/>
              </w:rPr>
              <w:t>,</w:t>
            </w:r>
            <w:r w:rsidR="00D07E5E">
              <w:rPr>
                <w:b/>
                <w:color w:val="auto"/>
              </w:rPr>
              <w:t xml:space="preserve"> and C6</w:t>
            </w:r>
            <w:r w:rsidR="00CA76E7">
              <w:rPr>
                <w:b/>
                <w:color w:val="auto"/>
              </w:rPr>
              <w:t xml:space="preserve"> (ICB workforce sustainability)</w:t>
            </w:r>
            <w:r w:rsidR="00D07E5E">
              <w:rPr>
                <w:b/>
                <w:color w:val="auto"/>
              </w:rPr>
              <w:t xml:space="preserve"> </w:t>
            </w:r>
            <w:r w:rsidR="00D07E5E">
              <w:rPr>
                <w:bCs/>
                <w:color w:val="auto"/>
              </w:rPr>
              <w:t>relate specifically to risks associated with leading for sustainability.</w:t>
            </w:r>
          </w:p>
        </w:tc>
      </w:tr>
    </w:tbl>
    <w:p w14:paraId="68CA004B" w14:textId="77777777" w:rsidR="00E705A6" w:rsidRPr="004C7CF3" w:rsidRDefault="00E705A6"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5E2527" w:rsidRPr="00566BDC" w14:paraId="6B25BF82" w14:textId="77777777" w:rsidTr="407D7D71">
        <w:tc>
          <w:tcPr>
            <w:tcW w:w="9747" w:type="dxa"/>
          </w:tcPr>
          <w:p w14:paraId="616AD8AD" w14:textId="77777777" w:rsidR="000C5E7B" w:rsidRDefault="000C5E7B">
            <w:pPr>
              <w:spacing w:after="0" w:line="240" w:lineRule="auto"/>
              <w:rPr>
                <w:b/>
                <w:color w:val="auto"/>
              </w:rPr>
            </w:pPr>
            <w:bookmarkStart w:id="4" w:name="_Hlk106134678"/>
          </w:p>
          <w:p w14:paraId="002A3CDE" w14:textId="07519FC4" w:rsidR="00E705A6" w:rsidRDefault="00D00EC7">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48EC3FB5" w14:textId="77777777" w:rsidR="004C7CF3" w:rsidRPr="004C7CF3" w:rsidRDefault="004C7CF3">
            <w:pPr>
              <w:spacing w:after="0" w:line="240" w:lineRule="auto"/>
              <w:rPr>
                <w:color w:val="auto"/>
                <w:sz w:val="16"/>
                <w:szCs w:val="16"/>
              </w:rPr>
            </w:pPr>
          </w:p>
          <w:p w14:paraId="48E057B1" w14:textId="1F577E67" w:rsidR="00AA1598" w:rsidRDefault="454938E4" w:rsidP="00EC228E">
            <w:pPr>
              <w:spacing w:after="0" w:line="240" w:lineRule="auto"/>
              <w:rPr>
                <w:color w:val="auto"/>
              </w:rPr>
            </w:pPr>
            <w:r w:rsidRPr="407D7D71">
              <w:rPr>
                <w:color w:val="auto"/>
              </w:rPr>
              <w:t>The ICB has a statutory and regulatory obligation to ensure that systems of control are in place,</w:t>
            </w:r>
            <w:r w:rsidR="0C1974F1" w:rsidRPr="407D7D71">
              <w:rPr>
                <w:color w:val="auto"/>
              </w:rPr>
              <w:t xml:space="preserve"> </w:t>
            </w:r>
            <w:r w:rsidRPr="407D7D71">
              <w:rPr>
                <w:color w:val="auto"/>
              </w:rPr>
              <w:t xml:space="preserve">to minimise the impact of all types of risk. The BAF </w:t>
            </w:r>
            <w:r w:rsidR="00D07E5E" w:rsidRPr="407D7D71">
              <w:rPr>
                <w:color w:val="auto"/>
              </w:rPr>
              <w:t>is an</w:t>
            </w:r>
            <w:r w:rsidRPr="407D7D71">
              <w:rPr>
                <w:color w:val="auto"/>
              </w:rPr>
              <w:t xml:space="preserve"> essential part of a robust and comprehensive internal control framework for the ICB.</w:t>
            </w:r>
          </w:p>
          <w:p w14:paraId="5F7D7606" w14:textId="3F6F7867" w:rsidR="00B53C4C" w:rsidRPr="00B53C4C" w:rsidRDefault="00B53C4C" w:rsidP="00EC228E">
            <w:pPr>
              <w:spacing w:after="0" w:line="240" w:lineRule="auto"/>
              <w:rPr>
                <w:color w:val="auto"/>
                <w:sz w:val="16"/>
                <w:szCs w:val="16"/>
              </w:rPr>
            </w:pP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407D7D71">
        <w:tc>
          <w:tcPr>
            <w:tcW w:w="9608" w:type="dxa"/>
            <w:tcBorders>
              <w:top w:val="double" w:sz="4" w:space="0" w:color="auto"/>
              <w:left w:val="double" w:sz="4" w:space="0" w:color="auto"/>
              <w:bottom w:val="double" w:sz="4" w:space="0" w:color="auto"/>
              <w:right w:val="double" w:sz="4" w:space="0" w:color="auto"/>
            </w:tcBorders>
          </w:tcPr>
          <w:p w14:paraId="404A541E" w14:textId="77777777" w:rsidR="000C5E7B" w:rsidRDefault="000C5E7B" w:rsidP="00EC228E">
            <w:pPr>
              <w:spacing w:after="0" w:line="240" w:lineRule="auto"/>
              <w:rPr>
                <w:b/>
                <w:color w:val="auto"/>
              </w:rPr>
            </w:pPr>
          </w:p>
          <w:p w14:paraId="2D1FF8A2" w14:textId="5B0740B5" w:rsidR="00E705A6" w:rsidRDefault="00043155" w:rsidP="00EC228E">
            <w:pPr>
              <w:spacing w:after="0" w:line="240" w:lineRule="auto"/>
              <w:rPr>
                <w:b/>
                <w:color w:val="auto"/>
              </w:rPr>
            </w:pPr>
            <w:r>
              <w:rPr>
                <w:b/>
                <w:color w:val="auto"/>
              </w:rPr>
              <w:t>MONITORING AND ASSURANCE</w:t>
            </w:r>
            <w:r w:rsidRPr="00566BDC">
              <w:rPr>
                <w:b/>
                <w:color w:val="auto"/>
              </w:rPr>
              <w:t>:</w:t>
            </w:r>
            <w:r>
              <w:rPr>
                <w:b/>
                <w:color w:val="auto"/>
              </w:rPr>
              <w:t xml:space="preserve"> </w:t>
            </w:r>
          </w:p>
          <w:p w14:paraId="4B6A97D9" w14:textId="77777777" w:rsidR="004C7CF3" w:rsidRPr="004C7CF3" w:rsidRDefault="004C7CF3" w:rsidP="00EC228E">
            <w:pPr>
              <w:spacing w:after="0" w:line="240" w:lineRule="auto"/>
              <w:rPr>
                <w:b/>
                <w:color w:val="auto"/>
                <w:sz w:val="16"/>
                <w:szCs w:val="16"/>
              </w:rPr>
            </w:pPr>
          </w:p>
          <w:p w14:paraId="0FB7D4E0" w14:textId="77777777" w:rsidR="00E705A6" w:rsidRDefault="008057DB" w:rsidP="00EC228E">
            <w:pPr>
              <w:spacing w:after="0" w:line="240" w:lineRule="auto"/>
              <w:rPr>
                <w:bCs/>
                <w:color w:val="auto"/>
              </w:rPr>
            </w:pPr>
            <w:r w:rsidRPr="00A876EE">
              <w:rPr>
                <w:bCs/>
                <w:color w:val="auto"/>
              </w:rPr>
              <w:t xml:space="preserve">The </w:t>
            </w:r>
            <w:r>
              <w:rPr>
                <w:bCs/>
                <w:color w:val="auto"/>
              </w:rPr>
              <w:t xml:space="preserve">Executive Team </w:t>
            </w:r>
            <w:r w:rsidRPr="00A876EE">
              <w:rPr>
                <w:bCs/>
                <w:color w:val="auto"/>
              </w:rPr>
              <w:t>will oversee the development of the wider risk management strategy and framework of which the BAF will be an element. The Audit Committee maintain</w:t>
            </w:r>
            <w:r>
              <w:rPr>
                <w:bCs/>
                <w:color w:val="auto"/>
              </w:rPr>
              <w:t>s independent</w:t>
            </w:r>
            <w:r w:rsidRPr="00A876EE">
              <w:rPr>
                <w:bCs/>
                <w:color w:val="auto"/>
              </w:rPr>
              <w:t xml:space="preserve"> oversight</w:t>
            </w:r>
            <w:r>
              <w:rPr>
                <w:bCs/>
                <w:color w:val="auto"/>
              </w:rPr>
              <w:t xml:space="preserve"> for the assurance</w:t>
            </w:r>
            <w:r w:rsidRPr="00A876EE">
              <w:rPr>
                <w:bCs/>
                <w:color w:val="auto"/>
              </w:rPr>
              <w:t xml:space="preserve"> of the BAF</w:t>
            </w:r>
            <w:r>
              <w:rPr>
                <w:bCs/>
                <w:color w:val="auto"/>
              </w:rPr>
              <w:t xml:space="preserve"> and ICB control framework</w:t>
            </w:r>
            <w:r w:rsidRPr="00A876EE">
              <w:rPr>
                <w:bCs/>
                <w:color w:val="auto"/>
              </w:rPr>
              <w:t>.</w:t>
            </w:r>
          </w:p>
          <w:p w14:paraId="5FEC0180" w14:textId="6D1787B8" w:rsidR="00AA1598" w:rsidRPr="00B53C4C" w:rsidRDefault="00AA1598" w:rsidP="00EC228E">
            <w:pPr>
              <w:spacing w:after="0" w:line="240" w:lineRule="auto"/>
              <w:rPr>
                <w:bCs/>
                <w:color w:val="auto"/>
                <w:sz w:val="16"/>
                <w:szCs w:val="16"/>
              </w:rPr>
            </w:pPr>
          </w:p>
        </w:tc>
      </w:tr>
    </w:tbl>
    <w:p w14:paraId="489916CB" w14:textId="39492D09" w:rsidR="00043155" w:rsidRPr="004C7CF3"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0"/>
      </w:tblGrid>
      <w:tr w:rsidR="00880E9F" w:rsidRPr="00566BDC" w14:paraId="7F94535B" w14:textId="77777777" w:rsidTr="407D7D71">
        <w:tc>
          <w:tcPr>
            <w:tcW w:w="9608" w:type="dxa"/>
          </w:tcPr>
          <w:p w14:paraId="0A676A84" w14:textId="77777777" w:rsidR="000C5E7B" w:rsidRDefault="000C5E7B" w:rsidP="008057DB">
            <w:pPr>
              <w:spacing w:after="0" w:line="240" w:lineRule="auto"/>
              <w:rPr>
                <w:b/>
                <w:color w:val="auto"/>
              </w:rPr>
            </w:pPr>
            <w:bookmarkStart w:id="5" w:name="_Hlk106098484"/>
          </w:p>
          <w:p w14:paraId="6DFDA48E" w14:textId="7E89E01B" w:rsidR="004C7CF3" w:rsidRPr="004C7CF3" w:rsidRDefault="00880E9F" w:rsidP="008057DB">
            <w:pPr>
              <w:spacing w:after="0" w:line="240" w:lineRule="auto"/>
              <w:rPr>
                <w:b/>
                <w:color w:val="auto"/>
              </w:rPr>
            </w:pPr>
            <w:r w:rsidRPr="004C7CF3">
              <w:rPr>
                <w:b/>
                <w:color w:val="auto"/>
              </w:rPr>
              <w:t>ENGAGEMENT:</w:t>
            </w:r>
          </w:p>
          <w:p w14:paraId="1BF34E7E" w14:textId="5527ABFB" w:rsidR="004C7CF3" w:rsidRPr="00B53C4C" w:rsidRDefault="00880E9F" w:rsidP="008057DB">
            <w:pPr>
              <w:spacing w:after="0" w:line="240" w:lineRule="auto"/>
              <w:rPr>
                <w:color w:val="auto"/>
                <w:sz w:val="16"/>
                <w:szCs w:val="16"/>
              </w:rPr>
            </w:pPr>
            <w:r w:rsidRPr="004C7CF3">
              <w:rPr>
                <w:color w:val="auto"/>
              </w:rPr>
              <w:t xml:space="preserve"> </w:t>
            </w:r>
          </w:p>
          <w:p w14:paraId="63862C49" w14:textId="77777777" w:rsidR="004C7CF3" w:rsidRDefault="454938E4" w:rsidP="407D7D71">
            <w:pPr>
              <w:spacing w:after="0" w:line="240" w:lineRule="auto"/>
              <w:rPr>
                <w:color w:val="auto"/>
              </w:rPr>
            </w:pPr>
            <w:r w:rsidRPr="407D7D71">
              <w:rPr>
                <w:color w:val="auto"/>
              </w:rPr>
              <w:t>A wide variety of ICB subject matter specialists, senior officers and the ICB Board have been engaged in the development of the BA</w:t>
            </w:r>
            <w:r w:rsidR="434107DD" w:rsidRPr="407D7D71">
              <w:rPr>
                <w:color w:val="auto"/>
              </w:rPr>
              <w:t>F</w:t>
            </w:r>
            <w:r w:rsidRPr="407D7D71">
              <w:rPr>
                <w:color w:val="auto"/>
              </w:rPr>
              <w:t xml:space="preserve">. </w:t>
            </w:r>
          </w:p>
          <w:p w14:paraId="02D6A569" w14:textId="59508F6F" w:rsidR="000C5E7B" w:rsidRPr="000C5E7B" w:rsidRDefault="000C5E7B" w:rsidP="407D7D71">
            <w:pPr>
              <w:spacing w:after="0" w:line="240" w:lineRule="auto"/>
              <w:rPr>
                <w:color w:val="auto"/>
                <w:sz w:val="16"/>
                <w:szCs w:val="16"/>
              </w:rPr>
            </w:pPr>
          </w:p>
        </w:tc>
      </w:tr>
    </w:tbl>
    <w:p w14:paraId="0A8A2FF1" w14:textId="77777777" w:rsidR="004C7CF3" w:rsidRPr="00B53C4C" w:rsidRDefault="004C7CF3" w:rsidP="004C7CF3">
      <w:pPr>
        <w:spacing w:after="0" w:line="240" w:lineRule="auto"/>
        <w:rPr>
          <w:sz w:val="12"/>
          <w:szCs w:val="1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407D7D71">
        <w:trPr>
          <w:trHeight w:val="427"/>
        </w:trPr>
        <w:tc>
          <w:tcPr>
            <w:tcW w:w="9608" w:type="dxa"/>
            <w:tcBorders>
              <w:bottom w:val="nil"/>
            </w:tcBorders>
          </w:tcPr>
          <w:bookmarkEnd w:id="5"/>
          <w:p w14:paraId="39D3DDC7" w14:textId="653CC8C9" w:rsidR="00CD20A8" w:rsidRPr="00524FEE" w:rsidRDefault="00CD20A8" w:rsidP="00CD20A8">
            <w:pPr>
              <w:spacing w:after="0"/>
              <w:rPr>
                <w:color w:val="auto"/>
              </w:rPr>
            </w:pPr>
            <w:r>
              <w:rPr>
                <w:b/>
                <w:color w:val="auto"/>
              </w:rPr>
              <w:t>RE</w:t>
            </w:r>
            <w:r w:rsidR="00417D0C">
              <w:rPr>
                <w:b/>
                <w:color w:val="auto"/>
              </w:rPr>
              <w:t>P</w:t>
            </w:r>
            <w:r>
              <w:rPr>
                <w:b/>
                <w:color w:val="auto"/>
              </w:rPr>
              <w:t xml:space="preserve">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8057DB">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407D7D71">
        <w:tc>
          <w:tcPr>
            <w:tcW w:w="9608" w:type="dxa"/>
            <w:tcBorders>
              <w:top w:val="nil"/>
              <w:bottom w:val="double" w:sz="4" w:space="0" w:color="auto"/>
            </w:tcBorders>
          </w:tcPr>
          <w:p w14:paraId="649D7899" w14:textId="54891259" w:rsidR="00AA1598" w:rsidRPr="00B53C4C" w:rsidRDefault="408A4D49" w:rsidP="407D7D71">
            <w:pPr>
              <w:spacing w:after="0"/>
              <w:rPr>
                <w:color w:val="auto"/>
                <w:sz w:val="20"/>
                <w:szCs w:val="20"/>
              </w:rPr>
            </w:pPr>
            <w:r w:rsidRPr="407D7D71">
              <w:rPr>
                <w:color w:val="auto"/>
                <w:sz w:val="20"/>
                <w:szCs w:val="20"/>
              </w:rPr>
              <w:t xml:space="preserve">If yes, please </w:t>
            </w:r>
            <w:r w:rsidR="2172777E" w:rsidRPr="407D7D71">
              <w:rPr>
                <w:color w:val="auto"/>
                <w:sz w:val="20"/>
                <w:szCs w:val="20"/>
              </w:rPr>
              <w:t>detail</w:t>
            </w:r>
            <w:r w:rsidRPr="407D7D71">
              <w:rPr>
                <w:color w:val="auto"/>
                <w:sz w:val="20"/>
                <w:szCs w:val="20"/>
              </w:rPr>
              <w:t xml:space="preserve"> the </w:t>
            </w:r>
            <w:r w:rsidR="2172777E" w:rsidRPr="407D7D71">
              <w:rPr>
                <w:color w:val="auto"/>
                <w:sz w:val="20"/>
                <w:szCs w:val="20"/>
              </w:rPr>
              <w:t xml:space="preserve">specific </w:t>
            </w:r>
            <w:r w:rsidRPr="407D7D71">
              <w:rPr>
                <w:color w:val="auto"/>
                <w:sz w:val="20"/>
                <w:szCs w:val="20"/>
              </w:rPr>
              <w:t xml:space="preserve">grounds for </w:t>
            </w:r>
            <w:r w:rsidR="345CC2DC" w:rsidRPr="407D7D71">
              <w:rPr>
                <w:color w:val="auto"/>
                <w:sz w:val="20"/>
                <w:szCs w:val="20"/>
              </w:rPr>
              <w:t>exemption</w:t>
            </w:r>
            <w:r w:rsidR="00F22910" w:rsidRPr="407D7D71">
              <w:rPr>
                <w:color w:val="auto"/>
                <w:sz w:val="20"/>
                <w:szCs w:val="20"/>
              </w:rPr>
              <w:t xml:space="preserve">. </w:t>
            </w:r>
          </w:p>
          <w:p w14:paraId="3CB6CF64" w14:textId="2E1CD815" w:rsidR="00E705A6" w:rsidRPr="00E705A6" w:rsidRDefault="00E705A6" w:rsidP="008057DB">
            <w:pPr>
              <w:spacing w:after="0"/>
              <w:rPr>
                <w:b/>
                <w:color w:val="auto"/>
                <w:sz w:val="4"/>
                <w:szCs w:val="4"/>
              </w:rPr>
            </w:pPr>
          </w:p>
        </w:tc>
      </w:tr>
    </w:tbl>
    <w:p w14:paraId="2444A12C" w14:textId="05FF2F4A" w:rsidR="00521267" w:rsidRPr="00A75CF1" w:rsidRDefault="00521267" w:rsidP="000C5E7B">
      <w:pPr>
        <w:spacing w:after="0" w:line="240" w:lineRule="auto"/>
        <w:jc w:val="center"/>
        <w:rPr>
          <w:b/>
          <w:bCs/>
          <w:color w:val="auto"/>
          <w:sz w:val="24"/>
          <w:szCs w:val="24"/>
        </w:rPr>
      </w:pPr>
      <w:r w:rsidRPr="00A75CF1">
        <w:rPr>
          <w:b/>
          <w:bCs/>
          <w:color w:val="auto"/>
          <w:sz w:val="24"/>
          <w:szCs w:val="24"/>
        </w:rPr>
        <w:lastRenderedPageBreak/>
        <w:t>Board Assurance Framework</w:t>
      </w:r>
    </w:p>
    <w:p w14:paraId="513BC547" w14:textId="0A0CC1C7" w:rsidR="00521267" w:rsidRPr="00A75CF1" w:rsidRDefault="00521267" w:rsidP="004C7CF3">
      <w:pPr>
        <w:spacing w:after="0" w:line="240" w:lineRule="auto"/>
        <w:rPr>
          <w:b/>
          <w:bCs/>
          <w:color w:val="auto"/>
          <w:sz w:val="24"/>
          <w:szCs w:val="24"/>
        </w:rPr>
      </w:pPr>
    </w:p>
    <w:p w14:paraId="4362075D" w14:textId="407997F6" w:rsidR="00521267" w:rsidRPr="00A75CF1" w:rsidRDefault="00EA1C6A" w:rsidP="004C7CF3">
      <w:pPr>
        <w:spacing w:after="0" w:line="240" w:lineRule="auto"/>
        <w:rPr>
          <w:b/>
          <w:bCs/>
          <w:color w:val="auto"/>
          <w:sz w:val="24"/>
          <w:szCs w:val="24"/>
        </w:rPr>
      </w:pPr>
      <w:r w:rsidRPr="00A75CF1">
        <w:rPr>
          <w:b/>
          <w:bCs/>
          <w:color w:val="auto"/>
          <w:sz w:val="24"/>
          <w:szCs w:val="24"/>
        </w:rPr>
        <w:t>1.0</w:t>
      </w:r>
      <w:r w:rsidRPr="00A75CF1">
        <w:rPr>
          <w:b/>
          <w:bCs/>
          <w:color w:val="auto"/>
          <w:sz w:val="24"/>
          <w:szCs w:val="24"/>
        </w:rPr>
        <w:tab/>
      </w:r>
      <w:r w:rsidR="00521267" w:rsidRPr="00A75CF1">
        <w:rPr>
          <w:b/>
          <w:bCs/>
          <w:color w:val="auto"/>
          <w:sz w:val="24"/>
          <w:szCs w:val="24"/>
        </w:rPr>
        <w:t>Purpose</w:t>
      </w:r>
    </w:p>
    <w:p w14:paraId="623AB8FA" w14:textId="77777777" w:rsidR="00EA1C6A" w:rsidRPr="00A75CF1" w:rsidRDefault="00EA1C6A" w:rsidP="004C7CF3">
      <w:pPr>
        <w:spacing w:after="0" w:line="240" w:lineRule="auto"/>
        <w:rPr>
          <w:b/>
          <w:bCs/>
          <w:color w:val="auto"/>
          <w:sz w:val="24"/>
          <w:szCs w:val="24"/>
        </w:rPr>
      </w:pPr>
    </w:p>
    <w:p w14:paraId="1F17D9BF" w14:textId="74790E20" w:rsidR="00D07E5E" w:rsidRPr="00A75CF1" w:rsidRDefault="005E3370" w:rsidP="00D07E5E">
      <w:pPr>
        <w:pStyle w:val="ListParagraph"/>
        <w:numPr>
          <w:ilvl w:val="1"/>
          <w:numId w:val="33"/>
        </w:numPr>
        <w:spacing w:after="0" w:line="240" w:lineRule="auto"/>
        <w:rPr>
          <w:color w:val="auto"/>
          <w:sz w:val="24"/>
          <w:szCs w:val="24"/>
        </w:rPr>
      </w:pPr>
      <w:r w:rsidRPr="00A75CF1">
        <w:rPr>
          <w:color w:val="auto"/>
          <w:sz w:val="24"/>
          <w:szCs w:val="24"/>
        </w:rPr>
        <w:t xml:space="preserve">This paper presents the updated Board Assurance Framework (BAF). It aims to provide the ICB Board Members with assurance that the key risks, agreed by the Board, relating to the delivery of the ICB’s Strategic </w:t>
      </w:r>
      <w:r w:rsidR="0047048A" w:rsidRPr="00A75CF1">
        <w:rPr>
          <w:color w:val="auto"/>
          <w:sz w:val="24"/>
          <w:szCs w:val="24"/>
        </w:rPr>
        <w:t>Objectives</w:t>
      </w:r>
      <w:r w:rsidRPr="00A75CF1">
        <w:rPr>
          <w:color w:val="auto"/>
          <w:sz w:val="24"/>
          <w:szCs w:val="24"/>
        </w:rPr>
        <w:t xml:space="preserve"> are being managed appropriately.</w:t>
      </w:r>
    </w:p>
    <w:p w14:paraId="0C306293" w14:textId="06015FAF" w:rsidR="00D07E5E" w:rsidRPr="00A75CF1" w:rsidRDefault="00D07E5E" w:rsidP="00D07E5E">
      <w:pPr>
        <w:pStyle w:val="ListParagraph"/>
        <w:spacing w:after="0" w:line="240" w:lineRule="auto"/>
        <w:rPr>
          <w:color w:val="auto"/>
          <w:sz w:val="24"/>
          <w:szCs w:val="24"/>
        </w:rPr>
      </w:pPr>
    </w:p>
    <w:p w14:paraId="64D87DCB" w14:textId="677422D8" w:rsidR="00806301" w:rsidRPr="00A75CF1" w:rsidRDefault="00806301" w:rsidP="00D07E5E">
      <w:pPr>
        <w:pStyle w:val="ListParagraph"/>
        <w:numPr>
          <w:ilvl w:val="1"/>
          <w:numId w:val="33"/>
        </w:numPr>
        <w:spacing w:after="0" w:line="240" w:lineRule="auto"/>
        <w:rPr>
          <w:color w:val="auto"/>
          <w:sz w:val="24"/>
          <w:szCs w:val="24"/>
        </w:rPr>
      </w:pPr>
      <w:r w:rsidRPr="00A75CF1">
        <w:rPr>
          <w:color w:val="auto"/>
          <w:sz w:val="24"/>
          <w:szCs w:val="24"/>
        </w:rPr>
        <w:t xml:space="preserve">Key areas for consideration by the Board are detailed in </w:t>
      </w:r>
      <w:r w:rsidRPr="00A75CF1">
        <w:rPr>
          <w:b/>
          <w:bCs/>
          <w:color w:val="auto"/>
          <w:sz w:val="24"/>
          <w:szCs w:val="24"/>
        </w:rPr>
        <w:t xml:space="preserve">Section </w:t>
      </w:r>
      <w:r w:rsidR="006075E0" w:rsidRPr="00A75CF1">
        <w:rPr>
          <w:b/>
          <w:bCs/>
          <w:color w:val="auto"/>
          <w:sz w:val="24"/>
          <w:szCs w:val="24"/>
        </w:rPr>
        <w:t>3</w:t>
      </w:r>
      <w:r w:rsidRPr="00A75CF1">
        <w:rPr>
          <w:color w:val="auto"/>
          <w:sz w:val="24"/>
          <w:szCs w:val="24"/>
        </w:rPr>
        <w:t xml:space="preserve"> of the report. </w:t>
      </w:r>
      <w:r w:rsidR="009775AF" w:rsidRPr="00A75CF1">
        <w:rPr>
          <w:color w:val="auto"/>
          <w:sz w:val="24"/>
          <w:szCs w:val="24"/>
        </w:rPr>
        <w:t xml:space="preserve">The BAF can be found in full at </w:t>
      </w:r>
      <w:r w:rsidRPr="00A75CF1">
        <w:rPr>
          <w:b/>
          <w:bCs/>
          <w:color w:val="auto"/>
          <w:sz w:val="24"/>
          <w:szCs w:val="24"/>
        </w:rPr>
        <w:t>A</w:t>
      </w:r>
      <w:r w:rsidR="009775AF" w:rsidRPr="00A75CF1">
        <w:rPr>
          <w:b/>
          <w:bCs/>
          <w:color w:val="auto"/>
          <w:sz w:val="24"/>
          <w:szCs w:val="24"/>
        </w:rPr>
        <w:t xml:space="preserve">ppendix </w:t>
      </w:r>
      <w:r w:rsidR="004A15A3" w:rsidRPr="00A75CF1">
        <w:rPr>
          <w:b/>
          <w:bCs/>
          <w:color w:val="auto"/>
          <w:sz w:val="24"/>
          <w:szCs w:val="24"/>
        </w:rPr>
        <w:t>A</w:t>
      </w:r>
      <w:r w:rsidR="009775AF" w:rsidRPr="00A75CF1">
        <w:rPr>
          <w:color w:val="auto"/>
          <w:sz w:val="24"/>
          <w:szCs w:val="24"/>
        </w:rPr>
        <w:t>.</w:t>
      </w:r>
    </w:p>
    <w:p w14:paraId="7CA6FCF1" w14:textId="4A89AF69" w:rsidR="00D07E5E" w:rsidRPr="00A75CF1" w:rsidRDefault="00D07E5E" w:rsidP="00D07E5E">
      <w:pPr>
        <w:spacing w:after="0" w:line="240" w:lineRule="auto"/>
        <w:rPr>
          <w:bCs/>
          <w:color w:val="auto"/>
          <w:sz w:val="24"/>
          <w:szCs w:val="24"/>
        </w:rPr>
      </w:pPr>
    </w:p>
    <w:p w14:paraId="4E8C5FB0" w14:textId="7BF37703" w:rsidR="00800E7E" w:rsidRPr="00A75CF1" w:rsidRDefault="00800E7E" w:rsidP="00800E7E">
      <w:pPr>
        <w:spacing w:after="0" w:line="240" w:lineRule="auto"/>
        <w:rPr>
          <w:b/>
          <w:color w:val="auto"/>
          <w:sz w:val="24"/>
          <w:szCs w:val="24"/>
        </w:rPr>
      </w:pPr>
      <w:r w:rsidRPr="00A75CF1">
        <w:rPr>
          <w:b/>
          <w:color w:val="auto"/>
          <w:sz w:val="24"/>
          <w:szCs w:val="24"/>
        </w:rPr>
        <w:t>2.0</w:t>
      </w:r>
      <w:r w:rsidRPr="00A75CF1">
        <w:rPr>
          <w:b/>
          <w:color w:val="auto"/>
          <w:sz w:val="24"/>
          <w:szCs w:val="24"/>
        </w:rPr>
        <w:tab/>
        <w:t xml:space="preserve">BAF Snapshot </w:t>
      </w:r>
    </w:p>
    <w:p w14:paraId="14FB8F82" w14:textId="1DF8830E" w:rsidR="00521267" w:rsidRPr="00A75CF1" w:rsidRDefault="00521267" w:rsidP="00521267">
      <w:pPr>
        <w:spacing w:after="0" w:line="240" w:lineRule="auto"/>
        <w:rPr>
          <w:bCs/>
          <w:color w:val="auto"/>
          <w:sz w:val="24"/>
          <w:szCs w:val="24"/>
        </w:rPr>
      </w:pPr>
    </w:p>
    <w:p w14:paraId="1CD76395" w14:textId="6E612305" w:rsidR="002A410D" w:rsidRPr="00A75CF1" w:rsidRDefault="006167BA" w:rsidP="006167BA">
      <w:pPr>
        <w:ind w:left="720" w:hanging="720"/>
        <w:rPr>
          <w:rFonts w:eastAsia="Arial"/>
          <w:color w:val="auto"/>
          <w:sz w:val="24"/>
          <w:szCs w:val="24"/>
        </w:rPr>
      </w:pPr>
      <w:r w:rsidRPr="00A75CF1">
        <w:rPr>
          <w:color w:val="auto"/>
          <w:sz w:val="24"/>
          <w:szCs w:val="24"/>
        </w:rPr>
        <w:t xml:space="preserve">2.1 </w:t>
      </w:r>
      <w:r w:rsidRPr="00A75CF1">
        <w:rPr>
          <w:color w:val="auto"/>
          <w:sz w:val="24"/>
          <w:szCs w:val="24"/>
        </w:rPr>
        <w:tab/>
        <w:t xml:space="preserve">There are currently </w:t>
      </w:r>
      <w:r w:rsidRPr="00A75CF1">
        <w:rPr>
          <w:b/>
          <w:color w:val="auto"/>
          <w:sz w:val="24"/>
          <w:szCs w:val="24"/>
        </w:rPr>
        <w:t>12</w:t>
      </w:r>
      <w:r w:rsidRPr="00A75CF1">
        <w:rPr>
          <w:color w:val="auto"/>
          <w:sz w:val="24"/>
          <w:szCs w:val="24"/>
        </w:rPr>
        <w:t xml:space="preserve"> active risks listed in the BAF, unchanged from last month. All risks and scores remain the same.</w:t>
      </w:r>
    </w:p>
    <w:p w14:paraId="4009C6B9" w14:textId="35FBBE9A" w:rsidR="2EDB6B5E" w:rsidRPr="00A75CF1" w:rsidRDefault="006167BA" w:rsidP="2EDB6B5E">
      <w:pPr>
        <w:spacing w:after="0" w:line="240" w:lineRule="auto"/>
        <w:ind w:left="720"/>
        <w:rPr>
          <w:rFonts w:eastAsia="Arial"/>
          <w:color w:val="auto"/>
          <w:sz w:val="24"/>
          <w:szCs w:val="24"/>
        </w:rPr>
      </w:pPr>
      <w:r w:rsidRPr="00A75CF1">
        <w:rPr>
          <w:rFonts w:eastAsia="Arial"/>
          <w:noProof/>
          <w:color w:val="auto"/>
          <w:sz w:val="24"/>
          <w:szCs w:val="24"/>
        </w:rPr>
        <w:drawing>
          <wp:anchor distT="0" distB="0" distL="114300" distR="114300" simplePos="0" relativeHeight="251657216" behindDoc="1" locked="0" layoutInCell="1" allowOverlap="1" wp14:anchorId="04EAADDB" wp14:editId="27778063">
            <wp:simplePos x="0" y="0"/>
            <wp:positionH relativeFrom="column">
              <wp:posOffset>-292735</wp:posOffset>
            </wp:positionH>
            <wp:positionV relativeFrom="paragraph">
              <wp:posOffset>2767330</wp:posOffset>
            </wp:positionV>
            <wp:extent cx="6864137" cy="1745615"/>
            <wp:effectExtent l="0" t="0" r="0" b="6985"/>
            <wp:wrapTight wrapText="bothSides">
              <wp:wrapPolygon edited="0">
                <wp:start x="0" y="0"/>
                <wp:lineTo x="0" y="21451"/>
                <wp:lineTo x="21522" y="21451"/>
                <wp:lineTo x="21522" y="0"/>
                <wp:lineTo x="0" y="0"/>
              </wp:wrapPolygon>
            </wp:wrapTight>
            <wp:docPr id="735225324" name="Picture 1" descr="A close-up of a list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25324" name="Picture 1" descr="A close-up of a list of word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64137" cy="1745615"/>
                    </a:xfrm>
                    <a:prstGeom prst="rect">
                      <a:avLst/>
                    </a:prstGeom>
                  </pic:spPr>
                </pic:pic>
              </a:graphicData>
            </a:graphic>
            <wp14:sizeRelH relativeFrom="page">
              <wp14:pctWidth>0</wp14:pctWidth>
            </wp14:sizeRelH>
            <wp14:sizeRelV relativeFrom="page">
              <wp14:pctHeight>0</wp14:pctHeight>
            </wp14:sizeRelV>
          </wp:anchor>
        </w:drawing>
      </w:r>
      <w:r w:rsidR="00613328" w:rsidRPr="00A75CF1">
        <w:rPr>
          <w:noProof/>
          <w:sz w:val="24"/>
          <w:szCs w:val="24"/>
        </w:rPr>
        <w:drawing>
          <wp:anchor distT="0" distB="0" distL="114300" distR="114300" simplePos="0" relativeHeight="251659264" behindDoc="1" locked="0" layoutInCell="1" allowOverlap="1" wp14:anchorId="43A59075" wp14:editId="3E837D03">
            <wp:simplePos x="0" y="0"/>
            <wp:positionH relativeFrom="margin">
              <wp:align>center</wp:align>
            </wp:positionH>
            <wp:positionV relativeFrom="paragraph">
              <wp:posOffset>424180</wp:posOffset>
            </wp:positionV>
            <wp:extent cx="5520055" cy="2197100"/>
            <wp:effectExtent l="0" t="0" r="4445" b="0"/>
            <wp:wrapTight wrapText="bothSides">
              <wp:wrapPolygon edited="0">
                <wp:start x="0" y="0"/>
                <wp:lineTo x="0" y="21350"/>
                <wp:lineTo x="21543" y="21350"/>
                <wp:lineTo x="21543" y="0"/>
                <wp:lineTo x="0" y="0"/>
              </wp:wrapPolygon>
            </wp:wrapTight>
            <wp:docPr id="714093508" name="Picture 1" descr="A red and green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93508" name="Picture 1" descr="A red and green squares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20055" cy="2197100"/>
                    </a:xfrm>
                    <a:prstGeom prst="rect">
                      <a:avLst/>
                    </a:prstGeom>
                  </pic:spPr>
                </pic:pic>
              </a:graphicData>
            </a:graphic>
            <wp14:sizeRelH relativeFrom="page">
              <wp14:pctWidth>0</wp14:pctWidth>
            </wp14:sizeRelH>
            <wp14:sizeRelV relativeFrom="page">
              <wp14:pctHeight>0</wp14:pctHeight>
            </wp14:sizeRelV>
          </wp:anchor>
        </w:drawing>
      </w:r>
      <w:r w:rsidR="0047048A" w:rsidRPr="00A75CF1">
        <w:rPr>
          <w:rFonts w:eastAsia="Arial"/>
          <w:color w:val="auto"/>
          <w:sz w:val="24"/>
          <w:szCs w:val="24"/>
        </w:rPr>
        <w:t>The table</w:t>
      </w:r>
      <w:r w:rsidR="00FE198D" w:rsidRPr="00A75CF1">
        <w:rPr>
          <w:rFonts w:eastAsia="Arial"/>
          <w:color w:val="auto"/>
          <w:sz w:val="24"/>
          <w:szCs w:val="24"/>
        </w:rPr>
        <w:t xml:space="preserve"> and heat maps</w:t>
      </w:r>
      <w:r w:rsidR="00240D1E" w:rsidRPr="00A75CF1">
        <w:rPr>
          <w:rFonts w:eastAsia="Arial"/>
          <w:color w:val="auto"/>
          <w:sz w:val="24"/>
          <w:szCs w:val="24"/>
        </w:rPr>
        <w:t xml:space="preserve"> in </w:t>
      </w:r>
      <w:r w:rsidR="00240D1E" w:rsidRPr="00A75CF1">
        <w:rPr>
          <w:rFonts w:eastAsia="Arial"/>
          <w:b/>
          <w:bCs/>
          <w:color w:val="auto"/>
          <w:sz w:val="24"/>
          <w:szCs w:val="24"/>
        </w:rPr>
        <w:t>Figure 1</w:t>
      </w:r>
      <w:r w:rsidR="0047048A" w:rsidRPr="00A75CF1">
        <w:rPr>
          <w:rFonts w:eastAsia="Arial"/>
          <w:color w:val="auto"/>
          <w:sz w:val="24"/>
          <w:szCs w:val="24"/>
        </w:rPr>
        <w:t xml:space="preserve"> </w:t>
      </w:r>
      <w:r w:rsidR="00FE198D" w:rsidRPr="00A75CF1">
        <w:rPr>
          <w:rFonts w:eastAsia="Arial"/>
          <w:color w:val="auto"/>
          <w:sz w:val="24"/>
          <w:szCs w:val="24"/>
        </w:rPr>
        <w:t>outline h</w:t>
      </w:r>
      <w:r w:rsidR="0047048A" w:rsidRPr="00A75CF1">
        <w:rPr>
          <w:rFonts w:eastAsia="Arial"/>
          <w:color w:val="auto"/>
          <w:sz w:val="24"/>
          <w:szCs w:val="24"/>
        </w:rPr>
        <w:t>ow</w:t>
      </w:r>
      <w:r w:rsidR="000D7FCF" w:rsidRPr="00A75CF1">
        <w:rPr>
          <w:rFonts w:eastAsia="Arial"/>
          <w:color w:val="auto"/>
          <w:sz w:val="24"/>
          <w:szCs w:val="24"/>
        </w:rPr>
        <w:t xml:space="preserve"> each of the</w:t>
      </w:r>
      <w:r w:rsidR="0047048A" w:rsidRPr="00A75CF1">
        <w:rPr>
          <w:rFonts w:eastAsia="Arial"/>
          <w:color w:val="auto"/>
          <w:sz w:val="24"/>
          <w:szCs w:val="24"/>
        </w:rPr>
        <w:t xml:space="preserve"> risks are aligned to</w:t>
      </w:r>
      <w:r w:rsidR="00165BC4" w:rsidRPr="00A75CF1">
        <w:rPr>
          <w:rFonts w:eastAsia="Arial"/>
          <w:color w:val="auto"/>
          <w:sz w:val="24"/>
          <w:szCs w:val="24"/>
        </w:rPr>
        <w:t xml:space="preserve"> the ICB strategic objectives, risk domains and risk appetite</w:t>
      </w:r>
      <w:r w:rsidR="00C818F6" w:rsidRPr="00A75CF1">
        <w:rPr>
          <w:rFonts w:eastAsia="Arial"/>
          <w:color w:val="auto"/>
          <w:sz w:val="24"/>
          <w:szCs w:val="24"/>
        </w:rPr>
        <w:t>.</w:t>
      </w:r>
      <w:r w:rsidR="00393342" w:rsidRPr="00A75CF1">
        <w:rPr>
          <w:rFonts w:eastAsia="Arial"/>
          <w:color w:val="auto"/>
          <w:sz w:val="24"/>
          <w:szCs w:val="24"/>
        </w:rPr>
        <w:t xml:space="preserve"> </w:t>
      </w:r>
    </w:p>
    <w:p w14:paraId="2C0F739F" w14:textId="1BDADA77" w:rsidR="00CB2095" w:rsidRPr="00A75CF1" w:rsidRDefault="00CB2095" w:rsidP="2EDB6B5E">
      <w:pPr>
        <w:spacing w:after="0" w:line="240" w:lineRule="auto"/>
        <w:ind w:left="720"/>
        <w:rPr>
          <w:rFonts w:eastAsia="Arial"/>
          <w:color w:val="auto"/>
          <w:sz w:val="24"/>
          <w:szCs w:val="24"/>
        </w:rPr>
      </w:pPr>
    </w:p>
    <w:p w14:paraId="4D27D776" w14:textId="4111CAAD" w:rsidR="002661F9" w:rsidRPr="00A75CF1" w:rsidRDefault="002D4183" w:rsidP="00CB2095">
      <w:pPr>
        <w:spacing w:after="0" w:line="240" w:lineRule="auto"/>
        <w:ind w:left="720" w:hanging="720"/>
        <w:rPr>
          <w:b/>
          <w:color w:val="auto"/>
          <w:sz w:val="24"/>
          <w:szCs w:val="24"/>
        </w:rPr>
      </w:pPr>
      <w:r w:rsidRPr="00A75CF1">
        <w:rPr>
          <w:noProof/>
          <w:sz w:val="24"/>
          <w:szCs w:val="24"/>
        </w:rPr>
        <mc:AlternateContent>
          <mc:Choice Requires="wps">
            <w:drawing>
              <wp:inline distT="45720" distB="45720" distL="114300" distR="114300" wp14:anchorId="3948FCB9" wp14:editId="340C9635">
                <wp:extent cx="5962650" cy="218364"/>
                <wp:effectExtent l="0" t="0" r="19050" b="10795"/>
                <wp:docPr id="461309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8364"/>
                        </a:xfrm>
                        <a:prstGeom prst="rect">
                          <a:avLst/>
                        </a:prstGeom>
                        <a:solidFill>
                          <a:srgbClr val="FFFFFF"/>
                        </a:solidFill>
                        <a:ln w="9525">
                          <a:solidFill>
                            <a:schemeClr val="bg1"/>
                          </a:solidFill>
                          <a:miter lim="800000"/>
                          <a:headEnd/>
                          <a:tailEnd/>
                        </a:ln>
                      </wps:spPr>
                      <wps:txbx>
                        <w:txbxContent>
                          <w:p w14:paraId="0DBD8CE9" w14:textId="77777777" w:rsidR="002D4183" w:rsidRPr="00613328" w:rsidRDefault="002D4183" w:rsidP="002D4183">
                            <w:pPr>
                              <w:rPr>
                                <w:b/>
                                <w:bCs/>
                                <w:color w:val="auto"/>
                                <w:sz w:val="16"/>
                                <w:szCs w:val="16"/>
                              </w:rPr>
                            </w:pPr>
                            <w:r w:rsidRPr="00613328">
                              <w:rPr>
                                <w:b/>
                                <w:bCs/>
                                <w:color w:val="auto"/>
                                <w:sz w:val="16"/>
                                <w:szCs w:val="16"/>
                              </w:rPr>
                              <w:t>Figure 1: Heat Map and Risk Table (based on risk appetite)</w:t>
                            </w:r>
                          </w:p>
                        </w:txbxContent>
                      </wps:txbx>
                      <wps:bodyPr rot="0" vert="horz" wrap="square" lIns="91440" tIns="45720" rIns="91440" bIns="45720" anchor="t" anchorCtr="0">
                        <a:noAutofit/>
                      </wps:bodyPr>
                    </wps:wsp>
                  </a:graphicData>
                </a:graphic>
              </wp:inline>
            </w:drawing>
          </mc:Choice>
          <mc:Fallback>
            <w:pict>
              <v:shapetype w14:anchorId="3948FCB9" id="_x0000_t202" coordsize="21600,21600" o:spt="202" path="m,l,21600r21600,l21600,xe">
                <v:stroke joinstyle="miter"/>
                <v:path gradientshapeok="t" o:connecttype="rect"/>
              </v:shapetype>
              <v:shape id="Text Box 2" o:spid="_x0000_s1026" type="#_x0000_t202" style="width:469.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" strokecolor="white [3212]">
                <v:textbox>
                  <w:txbxContent>
                    <w:p w14:paraId="0DBD8CE9" w14:textId="77777777" w:rsidR="002D4183" w:rsidRPr="00613328" w:rsidRDefault="002D4183" w:rsidP="002D4183">
                      <w:pPr>
                        <w:rPr>
                          <w:b/>
                          <w:bCs/>
                          <w:color w:val="auto"/>
                          <w:sz w:val="16"/>
                          <w:szCs w:val="16"/>
                        </w:rPr>
                      </w:pPr>
                      <w:r w:rsidRPr="00613328">
                        <w:rPr>
                          <w:b/>
                          <w:bCs/>
                          <w:color w:val="auto"/>
                          <w:sz w:val="16"/>
                          <w:szCs w:val="16"/>
                        </w:rPr>
                        <w:t>Figure 1: Heat Map and Risk Table (based on risk appetite)</w:t>
                      </w:r>
                    </w:p>
                  </w:txbxContent>
                </v:textbox>
                <w10:anchorlock/>
              </v:shape>
            </w:pict>
          </mc:Fallback>
        </mc:AlternateContent>
      </w:r>
    </w:p>
    <w:p w14:paraId="2361D214" w14:textId="78D9D35C" w:rsidR="00C35D2C" w:rsidRDefault="00C35D2C" w:rsidP="001F622A">
      <w:pPr>
        <w:rPr>
          <w:noProof/>
          <w:sz w:val="24"/>
          <w:szCs w:val="24"/>
        </w:rPr>
      </w:pPr>
    </w:p>
    <w:p w14:paraId="49747361" w14:textId="77777777" w:rsidR="00A75CF1" w:rsidRDefault="00A75CF1" w:rsidP="001F622A">
      <w:pPr>
        <w:rPr>
          <w:noProof/>
          <w:sz w:val="24"/>
          <w:szCs w:val="24"/>
        </w:rPr>
      </w:pPr>
    </w:p>
    <w:p w14:paraId="76327CA2" w14:textId="77777777" w:rsidR="00A75CF1" w:rsidRDefault="00A75CF1" w:rsidP="001F622A">
      <w:pPr>
        <w:rPr>
          <w:noProof/>
          <w:sz w:val="24"/>
          <w:szCs w:val="24"/>
        </w:rPr>
      </w:pPr>
    </w:p>
    <w:p w14:paraId="17952EF0" w14:textId="77777777" w:rsidR="00A75CF1" w:rsidRPr="00A75CF1" w:rsidRDefault="00A75CF1" w:rsidP="001F622A">
      <w:pPr>
        <w:rPr>
          <w:noProof/>
          <w:sz w:val="24"/>
          <w:szCs w:val="24"/>
        </w:rPr>
      </w:pPr>
    </w:p>
    <w:p w14:paraId="11BD308B" w14:textId="40FFF1A5" w:rsidR="00521267" w:rsidRDefault="00732A7A" w:rsidP="000C5E7B">
      <w:pPr>
        <w:spacing w:after="0" w:line="240" w:lineRule="auto"/>
        <w:rPr>
          <w:b/>
          <w:color w:val="auto"/>
          <w:sz w:val="24"/>
          <w:szCs w:val="24"/>
        </w:rPr>
      </w:pPr>
      <w:r w:rsidRPr="00A75CF1">
        <w:rPr>
          <w:noProof/>
          <w:sz w:val="24"/>
          <w:szCs w:val="24"/>
        </w:rPr>
        <w:lastRenderedPageBreak/>
        <w:t xml:space="preserve"> </w:t>
      </w:r>
      <w:r w:rsidR="001C2335" w:rsidRPr="00A75CF1">
        <w:rPr>
          <w:b/>
          <w:color w:val="auto"/>
          <w:sz w:val="24"/>
          <w:szCs w:val="24"/>
        </w:rPr>
        <w:t>3</w:t>
      </w:r>
      <w:r w:rsidR="00EA1C6A" w:rsidRPr="00A75CF1">
        <w:rPr>
          <w:b/>
          <w:color w:val="auto"/>
          <w:sz w:val="24"/>
          <w:szCs w:val="24"/>
        </w:rPr>
        <w:t>.0</w:t>
      </w:r>
      <w:r w:rsidR="00EA1C6A" w:rsidRPr="00A75CF1">
        <w:rPr>
          <w:b/>
          <w:color w:val="auto"/>
          <w:sz w:val="24"/>
          <w:szCs w:val="24"/>
        </w:rPr>
        <w:tab/>
      </w:r>
      <w:r w:rsidR="00EA1C6A" w:rsidRPr="000D1AE9">
        <w:rPr>
          <w:b/>
          <w:color w:val="auto"/>
          <w:sz w:val="24"/>
          <w:szCs w:val="24"/>
        </w:rPr>
        <w:t xml:space="preserve">BAF Risks: </w:t>
      </w:r>
      <w:r w:rsidR="00806301" w:rsidRPr="000D1AE9">
        <w:rPr>
          <w:b/>
          <w:color w:val="auto"/>
          <w:sz w:val="24"/>
          <w:szCs w:val="24"/>
        </w:rPr>
        <w:t>Areas for Attention of the Board</w:t>
      </w:r>
      <w:r w:rsidR="00EA1C6A" w:rsidRPr="000D1AE9">
        <w:rPr>
          <w:b/>
          <w:color w:val="auto"/>
          <w:sz w:val="24"/>
          <w:szCs w:val="24"/>
        </w:rPr>
        <w:t xml:space="preserve"> </w:t>
      </w:r>
    </w:p>
    <w:p w14:paraId="0A8ABACF" w14:textId="77777777" w:rsidR="000C5E7B" w:rsidRPr="000D1AE9" w:rsidRDefault="000C5E7B" w:rsidP="000C5E7B">
      <w:pPr>
        <w:spacing w:after="0" w:line="240" w:lineRule="auto"/>
        <w:rPr>
          <w:b/>
          <w:color w:val="auto"/>
          <w:sz w:val="24"/>
          <w:szCs w:val="24"/>
        </w:rPr>
      </w:pPr>
    </w:p>
    <w:p w14:paraId="542F249C" w14:textId="6BA2CE56" w:rsidR="0009721E" w:rsidRPr="000D1AE9" w:rsidRDefault="00972AB9" w:rsidP="000C5E7B">
      <w:pPr>
        <w:spacing w:after="0" w:line="240" w:lineRule="auto"/>
        <w:ind w:left="720"/>
        <w:rPr>
          <w:color w:val="auto"/>
          <w:sz w:val="24"/>
          <w:szCs w:val="24"/>
        </w:rPr>
      </w:pPr>
      <w:r w:rsidRPr="000D1AE9">
        <w:rPr>
          <w:color w:val="auto"/>
          <w:sz w:val="24"/>
          <w:szCs w:val="24"/>
        </w:rPr>
        <w:t xml:space="preserve">The Board has previously received updates on several high-impact risks related to quality, finance, performance, and workforce. These risks pose a significant threat to the successful delivery of our operational and financial plan. </w:t>
      </w:r>
    </w:p>
    <w:p w14:paraId="0E42E344" w14:textId="77777777" w:rsidR="00152D9F" w:rsidRPr="000D1AE9" w:rsidRDefault="00152D9F" w:rsidP="000C5E7B">
      <w:pPr>
        <w:spacing w:after="0" w:line="240" w:lineRule="auto"/>
        <w:ind w:left="720"/>
        <w:rPr>
          <w:color w:val="auto"/>
          <w:sz w:val="24"/>
          <w:szCs w:val="24"/>
        </w:rPr>
      </w:pPr>
    </w:p>
    <w:p w14:paraId="5D923E15" w14:textId="58ECC4B3" w:rsidR="00A1557F" w:rsidRPr="000D1AE9" w:rsidRDefault="00840D1F" w:rsidP="000C5E7B">
      <w:pPr>
        <w:spacing w:after="0" w:line="240" w:lineRule="auto"/>
        <w:ind w:left="720"/>
        <w:rPr>
          <w:color w:val="auto"/>
          <w:sz w:val="24"/>
          <w:szCs w:val="24"/>
        </w:rPr>
      </w:pPr>
      <w:r w:rsidRPr="000D1AE9">
        <w:rPr>
          <w:color w:val="auto"/>
          <w:sz w:val="24"/>
          <w:szCs w:val="24"/>
        </w:rPr>
        <w:t xml:space="preserve">Considering the extensive updates presented to the Board in February, which included a detailed review of Risk A1, there are no specific updates for the March Board meeting. However, it is important to note that several papers address or concentrate on </w:t>
      </w:r>
      <w:r w:rsidR="00B97DEB" w:rsidRPr="000D1AE9">
        <w:rPr>
          <w:color w:val="auto"/>
          <w:sz w:val="24"/>
          <w:szCs w:val="24"/>
        </w:rPr>
        <w:t>ongoing risk management</w:t>
      </w:r>
      <w:r w:rsidRPr="000D1AE9">
        <w:rPr>
          <w:color w:val="auto"/>
          <w:sz w:val="24"/>
          <w:szCs w:val="24"/>
        </w:rPr>
        <w:t>, which could result in the identification of new information necessitating additional updates to the BAF following the Board meeting.</w:t>
      </w:r>
    </w:p>
    <w:p w14:paraId="04FD62DF" w14:textId="77777777" w:rsidR="00152D9F" w:rsidRPr="000D1AE9" w:rsidRDefault="00152D9F" w:rsidP="000C5E7B">
      <w:pPr>
        <w:spacing w:after="0" w:line="240" w:lineRule="auto"/>
        <w:rPr>
          <w:color w:val="auto"/>
          <w:sz w:val="24"/>
          <w:szCs w:val="24"/>
        </w:rPr>
      </w:pPr>
    </w:p>
    <w:p w14:paraId="510BB05D" w14:textId="1EB36F0B" w:rsidR="00152D9F" w:rsidRDefault="00152D9F" w:rsidP="000C5E7B">
      <w:pPr>
        <w:spacing w:after="0" w:line="240" w:lineRule="auto"/>
        <w:rPr>
          <w:b/>
          <w:color w:val="auto"/>
          <w:sz w:val="24"/>
          <w:szCs w:val="24"/>
        </w:rPr>
      </w:pPr>
      <w:r w:rsidRPr="000D1AE9">
        <w:rPr>
          <w:b/>
          <w:color w:val="auto"/>
          <w:sz w:val="24"/>
          <w:szCs w:val="24"/>
        </w:rPr>
        <w:t>4.0</w:t>
      </w:r>
      <w:r w:rsidRPr="000D1AE9">
        <w:rPr>
          <w:b/>
          <w:color w:val="auto"/>
          <w:sz w:val="24"/>
          <w:szCs w:val="24"/>
        </w:rPr>
        <w:tab/>
      </w:r>
      <w:r w:rsidR="00A75CF1" w:rsidRPr="000D1AE9">
        <w:rPr>
          <w:b/>
          <w:color w:val="auto"/>
          <w:sz w:val="24"/>
          <w:szCs w:val="24"/>
        </w:rPr>
        <w:t xml:space="preserve">ICB </w:t>
      </w:r>
      <w:r w:rsidR="004746F9" w:rsidRPr="000D1AE9">
        <w:rPr>
          <w:b/>
          <w:color w:val="auto"/>
          <w:sz w:val="24"/>
          <w:szCs w:val="24"/>
        </w:rPr>
        <w:t xml:space="preserve">BAF: </w:t>
      </w:r>
      <w:r w:rsidR="000E3A5D" w:rsidRPr="000D1AE9">
        <w:rPr>
          <w:b/>
          <w:color w:val="auto"/>
          <w:sz w:val="24"/>
          <w:szCs w:val="24"/>
        </w:rPr>
        <w:t xml:space="preserve">2024/25 </w:t>
      </w:r>
      <w:r w:rsidR="004746F9" w:rsidRPr="000D1AE9">
        <w:rPr>
          <w:b/>
          <w:color w:val="auto"/>
          <w:sz w:val="24"/>
          <w:szCs w:val="24"/>
        </w:rPr>
        <w:t xml:space="preserve">Review and </w:t>
      </w:r>
      <w:r w:rsidR="00A75CF1" w:rsidRPr="000D1AE9">
        <w:rPr>
          <w:b/>
          <w:color w:val="auto"/>
          <w:sz w:val="24"/>
          <w:szCs w:val="24"/>
        </w:rPr>
        <w:t>Planning</w:t>
      </w:r>
      <w:r w:rsidR="004746F9" w:rsidRPr="000D1AE9">
        <w:rPr>
          <w:b/>
          <w:color w:val="auto"/>
          <w:sz w:val="24"/>
          <w:szCs w:val="24"/>
        </w:rPr>
        <w:t xml:space="preserve"> for 2025</w:t>
      </w:r>
      <w:r w:rsidR="000E3A5D" w:rsidRPr="000D1AE9">
        <w:rPr>
          <w:b/>
          <w:color w:val="auto"/>
          <w:sz w:val="24"/>
          <w:szCs w:val="24"/>
        </w:rPr>
        <w:t>/</w:t>
      </w:r>
      <w:r w:rsidR="004746F9" w:rsidRPr="000D1AE9">
        <w:rPr>
          <w:b/>
          <w:color w:val="auto"/>
          <w:sz w:val="24"/>
          <w:szCs w:val="24"/>
        </w:rPr>
        <w:t>26</w:t>
      </w:r>
    </w:p>
    <w:p w14:paraId="6E09F25D" w14:textId="77777777" w:rsidR="000C5E7B" w:rsidRPr="000D1AE9" w:rsidRDefault="000C5E7B" w:rsidP="000C5E7B">
      <w:pPr>
        <w:spacing w:after="0" w:line="240" w:lineRule="auto"/>
        <w:rPr>
          <w:b/>
          <w:color w:val="auto"/>
          <w:sz w:val="24"/>
          <w:szCs w:val="24"/>
        </w:rPr>
      </w:pPr>
    </w:p>
    <w:p w14:paraId="2CB14B96" w14:textId="4ADF01A5" w:rsidR="00A75CF1" w:rsidRPr="000D1AE9" w:rsidRDefault="00AD4426" w:rsidP="000C5E7B">
      <w:pPr>
        <w:spacing w:after="0" w:line="240" w:lineRule="auto"/>
        <w:ind w:left="720"/>
        <w:rPr>
          <w:rFonts w:ascii="Calibri" w:hAnsi="Calibri" w:cs="Calibri"/>
          <w:color w:val="auto"/>
          <w:sz w:val="24"/>
          <w:szCs w:val="24"/>
        </w:rPr>
      </w:pPr>
      <w:r w:rsidRPr="000D1AE9">
        <w:rPr>
          <w:color w:val="auto"/>
          <w:sz w:val="24"/>
          <w:szCs w:val="24"/>
        </w:rPr>
        <w:t>As part of the year-end processes, the Board will receive an annual review of the BAF for 2024/25. This review should aid in identifying necessary changes for the BAF for 2025/26. The report is scheduled to be presented to the Board in April 2025, and it is anticipated that several risks will be closed following year-end, with new ones being developed for 2025/26.</w:t>
      </w:r>
    </w:p>
    <w:p w14:paraId="2FC5DB99" w14:textId="77777777" w:rsidR="00CC223F" w:rsidRPr="000D1AE9" w:rsidRDefault="00CC223F" w:rsidP="000C5E7B">
      <w:pPr>
        <w:spacing w:after="0" w:line="240" w:lineRule="auto"/>
        <w:rPr>
          <w:rFonts w:ascii="Calibri" w:hAnsi="Calibri" w:cs="Calibri"/>
          <w:b/>
          <w:color w:val="7030A0"/>
          <w:sz w:val="24"/>
          <w:szCs w:val="24"/>
        </w:rPr>
      </w:pPr>
    </w:p>
    <w:p w14:paraId="6BA2ADEE" w14:textId="11B67E00" w:rsidR="00256BE8" w:rsidRPr="000D1AE9" w:rsidRDefault="00152D9F" w:rsidP="000C5E7B">
      <w:pPr>
        <w:spacing w:after="0" w:line="240" w:lineRule="auto"/>
        <w:rPr>
          <w:b/>
          <w:color w:val="auto"/>
          <w:sz w:val="24"/>
          <w:szCs w:val="24"/>
        </w:rPr>
      </w:pPr>
      <w:r w:rsidRPr="000D1AE9">
        <w:rPr>
          <w:b/>
          <w:color w:val="auto"/>
          <w:sz w:val="24"/>
          <w:szCs w:val="24"/>
        </w:rPr>
        <w:t>5</w:t>
      </w:r>
      <w:r w:rsidR="00256BE8" w:rsidRPr="000D1AE9">
        <w:rPr>
          <w:b/>
          <w:color w:val="auto"/>
          <w:sz w:val="24"/>
          <w:szCs w:val="24"/>
        </w:rPr>
        <w:t>.0</w:t>
      </w:r>
      <w:r w:rsidR="00256BE8" w:rsidRPr="000D1AE9">
        <w:rPr>
          <w:b/>
          <w:color w:val="auto"/>
          <w:sz w:val="24"/>
          <w:szCs w:val="24"/>
        </w:rPr>
        <w:tab/>
        <w:t xml:space="preserve">Recommendations </w:t>
      </w:r>
    </w:p>
    <w:p w14:paraId="5AF77A69" w14:textId="77777777" w:rsidR="00256BE8" w:rsidRPr="000D1AE9" w:rsidRDefault="00256BE8" w:rsidP="000C5E7B">
      <w:pPr>
        <w:spacing w:after="0" w:line="240" w:lineRule="auto"/>
        <w:rPr>
          <w:b/>
          <w:color w:val="auto"/>
          <w:sz w:val="24"/>
          <w:szCs w:val="24"/>
        </w:rPr>
      </w:pPr>
    </w:p>
    <w:p w14:paraId="700F2A76" w14:textId="267AA139" w:rsidR="00256BE8" w:rsidRPr="000D1AE9" w:rsidRDefault="00256BE8" w:rsidP="000C5E7B">
      <w:pPr>
        <w:spacing w:after="0" w:line="240" w:lineRule="auto"/>
        <w:ind w:firstLine="360"/>
        <w:rPr>
          <w:b/>
          <w:bCs/>
          <w:color w:val="auto"/>
          <w:sz w:val="24"/>
          <w:szCs w:val="24"/>
        </w:rPr>
      </w:pPr>
      <w:r w:rsidRPr="000D1AE9">
        <w:rPr>
          <w:b/>
          <w:bCs/>
          <w:color w:val="auto"/>
          <w:sz w:val="24"/>
          <w:szCs w:val="24"/>
        </w:rPr>
        <w:t>Members are asked to:</w:t>
      </w:r>
    </w:p>
    <w:p w14:paraId="4303B6D1" w14:textId="47F06558" w:rsidR="007D6E93" w:rsidRPr="000D1AE9" w:rsidRDefault="007D6E93" w:rsidP="000C5E7B">
      <w:pPr>
        <w:pStyle w:val="ListParagraph"/>
        <w:numPr>
          <w:ilvl w:val="1"/>
          <w:numId w:val="17"/>
        </w:numPr>
        <w:spacing w:after="0" w:line="240" w:lineRule="auto"/>
        <w:rPr>
          <w:color w:val="auto"/>
          <w:sz w:val="24"/>
          <w:szCs w:val="24"/>
        </w:rPr>
      </w:pPr>
      <w:r w:rsidRPr="000D1AE9">
        <w:rPr>
          <w:color w:val="auto"/>
          <w:sz w:val="24"/>
          <w:szCs w:val="24"/>
        </w:rPr>
        <w:t xml:space="preserve">Discuss </w:t>
      </w:r>
      <w:r w:rsidR="002661F9" w:rsidRPr="000D1AE9">
        <w:rPr>
          <w:color w:val="auto"/>
          <w:sz w:val="24"/>
          <w:szCs w:val="24"/>
        </w:rPr>
        <w:t xml:space="preserve">the </w:t>
      </w:r>
      <w:r w:rsidR="002A1992" w:rsidRPr="000D1AE9">
        <w:rPr>
          <w:color w:val="auto"/>
          <w:sz w:val="24"/>
          <w:szCs w:val="24"/>
        </w:rPr>
        <w:t>updates.</w:t>
      </w:r>
    </w:p>
    <w:p w14:paraId="5F1CCB49" w14:textId="65B984A4" w:rsidR="002661F9" w:rsidRPr="000D1AE9" w:rsidRDefault="002661F9" w:rsidP="000C5E7B">
      <w:pPr>
        <w:pStyle w:val="ListParagraph"/>
        <w:numPr>
          <w:ilvl w:val="1"/>
          <w:numId w:val="17"/>
        </w:numPr>
        <w:spacing w:after="0" w:line="240" w:lineRule="auto"/>
        <w:rPr>
          <w:color w:val="auto"/>
          <w:sz w:val="24"/>
          <w:szCs w:val="24"/>
        </w:rPr>
      </w:pPr>
      <w:r w:rsidRPr="000D1AE9">
        <w:rPr>
          <w:color w:val="auto"/>
          <w:sz w:val="24"/>
          <w:szCs w:val="24"/>
        </w:rPr>
        <w:t>Approve the updated Board Assurance Framework.</w:t>
      </w:r>
    </w:p>
    <w:p w14:paraId="4C131036" w14:textId="31AD72A4" w:rsidR="00246DAF" w:rsidRPr="000D1AE9" w:rsidRDefault="00246DAF" w:rsidP="000C5E7B">
      <w:pPr>
        <w:pStyle w:val="ListParagraph"/>
        <w:numPr>
          <w:ilvl w:val="1"/>
          <w:numId w:val="17"/>
        </w:numPr>
        <w:spacing w:after="0" w:line="240" w:lineRule="auto"/>
        <w:rPr>
          <w:color w:val="auto"/>
          <w:sz w:val="24"/>
          <w:szCs w:val="24"/>
        </w:rPr>
      </w:pPr>
      <w:r w:rsidRPr="000D1AE9">
        <w:rPr>
          <w:color w:val="auto"/>
          <w:sz w:val="24"/>
          <w:szCs w:val="24"/>
        </w:rPr>
        <w:t>Notes that the annual review of the BAF will be taken to the April Board.</w:t>
      </w:r>
    </w:p>
    <w:p w14:paraId="2BDA4D28" w14:textId="77777777" w:rsidR="007D6E93" w:rsidRPr="000D1AE9" w:rsidRDefault="007D6E93" w:rsidP="000C5E7B">
      <w:pPr>
        <w:pStyle w:val="ListParagraph"/>
        <w:numPr>
          <w:ilvl w:val="1"/>
          <w:numId w:val="17"/>
        </w:numPr>
        <w:spacing w:after="0" w:line="240" w:lineRule="auto"/>
        <w:rPr>
          <w:color w:val="auto"/>
          <w:sz w:val="24"/>
          <w:szCs w:val="24"/>
        </w:rPr>
      </w:pPr>
      <w:r w:rsidRPr="000D1AE9">
        <w:rPr>
          <w:color w:val="auto"/>
          <w:sz w:val="24"/>
          <w:szCs w:val="24"/>
        </w:rPr>
        <w:t>Identify any further areas of risk that may impact on the delivery of the ICB strategic objectives.</w:t>
      </w:r>
    </w:p>
    <w:p w14:paraId="64019716" w14:textId="77777777" w:rsidR="001F3B94" w:rsidRPr="000D1AE9" w:rsidRDefault="001F3B94" w:rsidP="000C5E7B">
      <w:pPr>
        <w:spacing w:after="0" w:line="240" w:lineRule="auto"/>
        <w:rPr>
          <w:color w:val="auto"/>
          <w:sz w:val="24"/>
          <w:szCs w:val="24"/>
        </w:rPr>
      </w:pPr>
    </w:p>
    <w:p w14:paraId="67EF43D3" w14:textId="77777777" w:rsidR="00435D82" w:rsidRPr="000D1AE9" w:rsidRDefault="00435D82" w:rsidP="000C5E7B">
      <w:pPr>
        <w:spacing w:after="0" w:line="240" w:lineRule="auto"/>
        <w:rPr>
          <w:b/>
          <w:bCs/>
          <w:color w:val="auto"/>
          <w:sz w:val="24"/>
          <w:szCs w:val="24"/>
        </w:rPr>
      </w:pPr>
    </w:p>
    <w:p w14:paraId="327343D5" w14:textId="6109D81B" w:rsidR="001F3B94" w:rsidRPr="000D1AE9" w:rsidRDefault="001F3B94" w:rsidP="000C5E7B">
      <w:pPr>
        <w:spacing w:after="0" w:line="240" w:lineRule="auto"/>
        <w:rPr>
          <w:b/>
          <w:bCs/>
          <w:color w:val="auto"/>
          <w:sz w:val="24"/>
          <w:szCs w:val="24"/>
        </w:rPr>
      </w:pPr>
      <w:r w:rsidRPr="000D1AE9">
        <w:rPr>
          <w:b/>
          <w:bCs/>
          <w:color w:val="auto"/>
          <w:sz w:val="24"/>
          <w:szCs w:val="24"/>
        </w:rPr>
        <w:t>END.</w:t>
      </w:r>
    </w:p>
    <w:p w14:paraId="23009A41" w14:textId="77777777" w:rsidR="00BC1938" w:rsidRPr="00A75CF1" w:rsidRDefault="00BC1938" w:rsidP="000C5E7B">
      <w:pPr>
        <w:spacing w:after="0" w:line="240" w:lineRule="auto"/>
        <w:rPr>
          <w:b/>
          <w:bCs/>
          <w:color w:val="auto"/>
          <w:sz w:val="24"/>
          <w:szCs w:val="24"/>
        </w:rPr>
      </w:pPr>
    </w:p>
    <w:p w14:paraId="1EE82453" w14:textId="77777777" w:rsidR="00BC1938" w:rsidRDefault="00BC1938" w:rsidP="000C5E7B">
      <w:pPr>
        <w:spacing w:after="0" w:line="240" w:lineRule="auto"/>
        <w:rPr>
          <w:b/>
          <w:bCs/>
          <w:color w:val="auto"/>
          <w:sz w:val="24"/>
          <w:szCs w:val="24"/>
        </w:rPr>
      </w:pPr>
    </w:p>
    <w:sectPr w:rsidR="00BC1938" w:rsidSect="00B34293">
      <w:headerReference w:type="default" r:id="rId15"/>
      <w:footerReference w:type="default" r:id="rId16"/>
      <w:pgSz w:w="11906" w:h="16838" w:code="9"/>
      <w:pgMar w:top="709"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B25E" w14:textId="77777777" w:rsidR="00E91F79" w:rsidRDefault="00E91F79" w:rsidP="00206B76">
      <w:pPr>
        <w:spacing w:after="0" w:line="240" w:lineRule="auto"/>
      </w:pPr>
      <w:r>
        <w:separator/>
      </w:r>
    </w:p>
  </w:endnote>
  <w:endnote w:type="continuationSeparator" w:id="0">
    <w:p w14:paraId="7734F55D" w14:textId="77777777" w:rsidR="00E91F79" w:rsidRDefault="00E91F79" w:rsidP="00206B76">
      <w:pPr>
        <w:spacing w:after="0" w:line="240" w:lineRule="auto"/>
      </w:pPr>
      <w:r>
        <w:continuationSeparator/>
      </w:r>
    </w:p>
  </w:endnote>
  <w:endnote w:type="continuationNotice" w:id="1">
    <w:p w14:paraId="6FB44E09" w14:textId="77777777" w:rsidR="00E91F79" w:rsidRDefault="00E91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E046" w14:textId="77777777" w:rsidR="00E91F79" w:rsidRDefault="00E91F79" w:rsidP="00206B76">
      <w:pPr>
        <w:spacing w:after="0" w:line="240" w:lineRule="auto"/>
      </w:pPr>
      <w:r>
        <w:separator/>
      </w:r>
    </w:p>
  </w:footnote>
  <w:footnote w:type="continuationSeparator" w:id="0">
    <w:p w14:paraId="66282432" w14:textId="77777777" w:rsidR="00E91F79" w:rsidRDefault="00E91F79" w:rsidP="00206B76">
      <w:pPr>
        <w:spacing w:after="0" w:line="240" w:lineRule="auto"/>
      </w:pPr>
      <w:r>
        <w:continuationSeparator/>
      </w:r>
    </w:p>
  </w:footnote>
  <w:footnote w:type="continuationNotice" w:id="1">
    <w:p w14:paraId="3011150E" w14:textId="77777777" w:rsidR="00E91F79" w:rsidRDefault="00E91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144E" w14:textId="068F741F" w:rsidR="004C7CF3" w:rsidRDefault="004C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E75"/>
    <w:multiLevelType w:val="hybridMultilevel"/>
    <w:tmpl w:val="58E00934"/>
    <w:lvl w:ilvl="0" w:tplc="A5C89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B0BF4"/>
    <w:multiLevelType w:val="hybridMultilevel"/>
    <w:tmpl w:val="93162120"/>
    <w:lvl w:ilvl="0" w:tplc="9E0811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A4994"/>
    <w:multiLevelType w:val="hybridMultilevel"/>
    <w:tmpl w:val="6406B408"/>
    <w:lvl w:ilvl="0" w:tplc="FFFFFFFF">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DD673EB"/>
    <w:multiLevelType w:val="hybridMultilevel"/>
    <w:tmpl w:val="B998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016C1D"/>
    <w:multiLevelType w:val="multilevel"/>
    <w:tmpl w:val="EC5C12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6D2965"/>
    <w:multiLevelType w:val="hybridMultilevel"/>
    <w:tmpl w:val="641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26686"/>
    <w:multiLevelType w:val="hybridMultilevel"/>
    <w:tmpl w:val="D1F2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10BE7"/>
    <w:multiLevelType w:val="hybridMultilevel"/>
    <w:tmpl w:val="C35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16BA4"/>
    <w:multiLevelType w:val="hybridMultilevel"/>
    <w:tmpl w:val="201C24AE"/>
    <w:lvl w:ilvl="0" w:tplc="F6D0460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30C19"/>
    <w:multiLevelType w:val="multilevel"/>
    <w:tmpl w:val="775A17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A2780"/>
    <w:multiLevelType w:val="hybridMultilevel"/>
    <w:tmpl w:val="14B85DC8"/>
    <w:lvl w:ilvl="0" w:tplc="953CB4E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108F7"/>
    <w:multiLevelType w:val="hybridMultilevel"/>
    <w:tmpl w:val="13FC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DA2205"/>
    <w:multiLevelType w:val="hybridMultilevel"/>
    <w:tmpl w:val="C866AE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B0A7F"/>
    <w:multiLevelType w:val="hybridMultilevel"/>
    <w:tmpl w:val="B288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07BFB"/>
    <w:multiLevelType w:val="hybridMultilevel"/>
    <w:tmpl w:val="52D6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FC56F7"/>
    <w:multiLevelType w:val="hybridMultilevel"/>
    <w:tmpl w:val="032E644A"/>
    <w:lvl w:ilvl="0" w:tplc="953CB4E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836B8"/>
    <w:multiLevelType w:val="hybridMultilevel"/>
    <w:tmpl w:val="2424E892"/>
    <w:lvl w:ilvl="0" w:tplc="AE8CE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EC2E23"/>
    <w:multiLevelType w:val="hybridMultilevel"/>
    <w:tmpl w:val="419200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007734"/>
    <w:multiLevelType w:val="hybridMultilevel"/>
    <w:tmpl w:val="F6666A5E"/>
    <w:lvl w:ilvl="0" w:tplc="29A0663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5A1262"/>
    <w:multiLevelType w:val="hybridMultilevel"/>
    <w:tmpl w:val="54F0E9A0"/>
    <w:lvl w:ilvl="0" w:tplc="29029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B61C5"/>
    <w:multiLevelType w:val="hybridMultilevel"/>
    <w:tmpl w:val="1FF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14AA1"/>
    <w:multiLevelType w:val="hybridMultilevel"/>
    <w:tmpl w:val="7910B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1C0FA0"/>
    <w:multiLevelType w:val="hybridMultilevel"/>
    <w:tmpl w:val="A1FCB0B2"/>
    <w:lvl w:ilvl="0" w:tplc="2A08D1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D5120D"/>
    <w:multiLevelType w:val="hybridMultilevel"/>
    <w:tmpl w:val="4E7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465FA"/>
    <w:multiLevelType w:val="hybridMultilevel"/>
    <w:tmpl w:val="F41458F0"/>
    <w:lvl w:ilvl="0" w:tplc="69461662">
      <w:start w:val="1"/>
      <w:numFmt w:val="bullet"/>
      <w:lvlText w:val="•"/>
      <w:lvlJc w:val="left"/>
      <w:pPr>
        <w:tabs>
          <w:tab w:val="num" w:pos="720"/>
        </w:tabs>
        <w:ind w:left="720" w:hanging="360"/>
      </w:pPr>
      <w:rPr>
        <w:rFonts w:ascii="Arial" w:hAnsi="Arial" w:hint="default"/>
      </w:rPr>
    </w:lvl>
    <w:lvl w:ilvl="1" w:tplc="1284ACDC" w:tentative="1">
      <w:start w:val="1"/>
      <w:numFmt w:val="bullet"/>
      <w:lvlText w:val="•"/>
      <w:lvlJc w:val="left"/>
      <w:pPr>
        <w:tabs>
          <w:tab w:val="num" w:pos="1440"/>
        </w:tabs>
        <w:ind w:left="1440" w:hanging="360"/>
      </w:pPr>
      <w:rPr>
        <w:rFonts w:ascii="Arial" w:hAnsi="Arial" w:hint="default"/>
      </w:rPr>
    </w:lvl>
    <w:lvl w:ilvl="2" w:tplc="1332BE66" w:tentative="1">
      <w:start w:val="1"/>
      <w:numFmt w:val="bullet"/>
      <w:lvlText w:val="•"/>
      <w:lvlJc w:val="left"/>
      <w:pPr>
        <w:tabs>
          <w:tab w:val="num" w:pos="2160"/>
        </w:tabs>
        <w:ind w:left="2160" w:hanging="360"/>
      </w:pPr>
      <w:rPr>
        <w:rFonts w:ascii="Arial" w:hAnsi="Arial" w:hint="default"/>
      </w:rPr>
    </w:lvl>
    <w:lvl w:ilvl="3" w:tplc="CFD6DB44" w:tentative="1">
      <w:start w:val="1"/>
      <w:numFmt w:val="bullet"/>
      <w:lvlText w:val="•"/>
      <w:lvlJc w:val="left"/>
      <w:pPr>
        <w:tabs>
          <w:tab w:val="num" w:pos="2880"/>
        </w:tabs>
        <w:ind w:left="2880" w:hanging="360"/>
      </w:pPr>
      <w:rPr>
        <w:rFonts w:ascii="Arial" w:hAnsi="Arial" w:hint="default"/>
      </w:rPr>
    </w:lvl>
    <w:lvl w:ilvl="4" w:tplc="3B325866" w:tentative="1">
      <w:start w:val="1"/>
      <w:numFmt w:val="bullet"/>
      <w:lvlText w:val="•"/>
      <w:lvlJc w:val="left"/>
      <w:pPr>
        <w:tabs>
          <w:tab w:val="num" w:pos="3600"/>
        </w:tabs>
        <w:ind w:left="3600" w:hanging="360"/>
      </w:pPr>
      <w:rPr>
        <w:rFonts w:ascii="Arial" w:hAnsi="Arial" w:hint="default"/>
      </w:rPr>
    </w:lvl>
    <w:lvl w:ilvl="5" w:tplc="CDA4C308" w:tentative="1">
      <w:start w:val="1"/>
      <w:numFmt w:val="bullet"/>
      <w:lvlText w:val="•"/>
      <w:lvlJc w:val="left"/>
      <w:pPr>
        <w:tabs>
          <w:tab w:val="num" w:pos="4320"/>
        </w:tabs>
        <w:ind w:left="4320" w:hanging="360"/>
      </w:pPr>
      <w:rPr>
        <w:rFonts w:ascii="Arial" w:hAnsi="Arial" w:hint="default"/>
      </w:rPr>
    </w:lvl>
    <w:lvl w:ilvl="6" w:tplc="930A4C24" w:tentative="1">
      <w:start w:val="1"/>
      <w:numFmt w:val="bullet"/>
      <w:lvlText w:val="•"/>
      <w:lvlJc w:val="left"/>
      <w:pPr>
        <w:tabs>
          <w:tab w:val="num" w:pos="5040"/>
        </w:tabs>
        <w:ind w:left="5040" w:hanging="360"/>
      </w:pPr>
      <w:rPr>
        <w:rFonts w:ascii="Arial" w:hAnsi="Arial" w:hint="default"/>
      </w:rPr>
    </w:lvl>
    <w:lvl w:ilvl="7" w:tplc="60D8DB0E" w:tentative="1">
      <w:start w:val="1"/>
      <w:numFmt w:val="bullet"/>
      <w:lvlText w:val="•"/>
      <w:lvlJc w:val="left"/>
      <w:pPr>
        <w:tabs>
          <w:tab w:val="num" w:pos="5760"/>
        </w:tabs>
        <w:ind w:left="5760" w:hanging="360"/>
      </w:pPr>
      <w:rPr>
        <w:rFonts w:ascii="Arial" w:hAnsi="Arial" w:hint="default"/>
      </w:rPr>
    </w:lvl>
    <w:lvl w:ilvl="8" w:tplc="3A32FA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6793"/>
    <w:multiLevelType w:val="hybridMultilevel"/>
    <w:tmpl w:val="6718A3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7015A9"/>
    <w:multiLevelType w:val="hybridMultilevel"/>
    <w:tmpl w:val="775A564E"/>
    <w:lvl w:ilvl="0" w:tplc="9E8CFC44">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36FEF"/>
    <w:multiLevelType w:val="hybridMultilevel"/>
    <w:tmpl w:val="7F4AA750"/>
    <w:lvl w:ilvl="0" w:tplc="9E8CFC44">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9D4754"/>
    <w:multiLevelType w:val="hybridMultilevel"/>
    <w:tmpl w:val="6472C922"/>
    <w:lvl w:ilvl="0" w:tplc="882464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327F5"/>
    <w:multiLevelType w:val="hybridMultilevel"/>
    <w:tmpl w:val="33B62DD8"/>
    <w:lvl w:ilvl="0" w:tplc="1EB456DC">
      <w:start w:val="1"/>
      <w:numFmt w:val="bullet"/>
      <w:lvlText w:val="•"/>
      <w:lvlJc w:val="left"/>
      <w:pPr>
        <w:tabs>
          <w:tab w:val="num" w:pos="720"/>
        </w:tabs>
        <w:ind w:left="720" w:hanging="360"/>
      </w:pPr>
      <w:rPr>
        <w:rFonts w:ascii="Arial" w:hAnsi="Arial" w:hint="default"/>
      </w:rPr>
    </w:lvl>
    <w:lvl w:ilvl="1" w:tplc="ADD415B0" w:tentative="1">
      <w:start w:val="1"/>
      <w:numFmt w:val="bullet"/>
      <w:lvlText w:val="•"/>
      <w:lvlJc w:val="left"/>
      <w:pPr>
        <w:tabs>
          <w:tab w:val="num" w:pos="1440"/>
        </w:tabs>
        <w:ind w:left="1440" w:hanging="360"/>
      </w:pPr>
      <w:rPr>
        <w:rFonts w:ascii="Arial" w:hAnsi="Arial" w:hint="default"/>
      </w:rPr>
    </w:lvl>
    <w:lvl w:ilvl="2" w:tplc="504CDAE0" w:tentative="1">
      <w:start w:val="1"/>
      <w:numFmt w:val="bullet"/>
      <w:lvlText w:val="•"/>
      <w:lvlJc w:val="left"/>
      <w:pPr>
        <w:tabs>
          <w:tab w:val="num" w:pos="2160"/>
        </w:tabs>
        <w:ind w:left="2160" w:hanging="360"/>
      </w:pPr>
      <w:rPr>
        <w:rFonts w:ascii="Arial" w:hAnsi="Arial" w:hint="default"/>
      </w:rPr>
    </w:lvl>
    <w:lvl w:ilvl="3" w:tplc="621C5DFC" w:tentative="1">
      <w:start w:val="1"/>
      <w:numFmt w:val="bullet"/>
      <w:lvlText w:val="•"/>
      <w:lvlJc w:val="left"/>
      <w:pPr>
        <w:tabs>
          <w:tab w:val="num" w:pos="2880"/>
        </w:tabs>
        <w:ind w:left="2880" w:hanging="360"/>
      </w:pPr>
      <w:rPr>
        <w:rFonts w:ascii="Arial" w:hAnsi="Arial" w:hint="default"/>
      </w:rPr>
    </w:lvl>
    <w:lvl w:ilvl="4" w:tplc="12CC804C" w:tentative="1">
      <w:start w:val="1"/>
      <w:numFmt w:val="bullet"/>
      <w:lvlText w:val="•"/>
      <w:lvlJc w:val="left"/>
      <w:pPr>
        <w:tabs>
          <w:tab w:val="num" w:pos="3600"/>
        </w:tabs>
        <w:ind w:left="3600" w:hanging="360"/>
      </w:pPr>
      <w:rPr>
        <w:rFonts w:ascii="Arial" w:hAnsi="Arial" w:hint="default"/>
      </w:rPr>
    </w:lvl>
    <w:lvl w:ilvl="5" w:tplc="8A1AABDE" w:tentative="1">
      <w:start w:val="1"/>
      <w:numFmt w:val="bullet"/>
      <w:lvlText w:val="•"/>
      <w:lvlJc w:val="left"/>
      <w:pPr>
        <w:tabs>
          <w:tab w:val="num" w:pos="4320"/>
        </w:tabs>
        <w:ind w:left="4320" w:hanging="360"/>
      </w:pPr>
      <w:rPr>
        <w:rFonts w:ascii="Arial" w:hAnsi="Arial" w:hint="default"/>
      </w:rPr>
    </w:lvl>
    <w:lvl w:ilvl="6" w:tplc="1388BF34" w:tentative="1">
      <w:start w:val="1"/>
      <w:numFmt w:val="bullet"/>
      <w:lvlText w:val="•"/>
      <w:lvlJc w:val="left"/>
      <w:pPr>
        <w:tabs>
          <w:tab w:val="num" w:pos="5040"/>
        </w:tabs>
        <w:ind w:left="5040" w:hanging="360"/>
      </w:pPr>
      <w:rPr>
        <w:rFonts w:ascii="Arial" w:hAnsi="Arial" w:hint="default"/>
      </w:rPr>
    </w:lvl>
    <w:lvl w:ilvl="7" w:tplc="E7BEF4C8" w:tentative="1">
      <w:start w:val="1"/>
      <w:numFmt w:val="bullet"/>
      <w:lvlText w:val="•"/>
      <w:lvlJc w:val="left"/>
      <w:pPr>
        <w:tabs>
          <w:tab w:val="num" w:pos="5760"/>
        </w:tabs>
        <w:ind w:left="5760" w:hanging="360"/>
      </w:pPr>
      <w:rPr>
        <w:rFonts w:ascii="Arial" w:hAnsi="Arial" w:hint="default"/>
      </w:rPr>
    </w:lvl>
    <w:lvl w:ilvl="8" w:tplc="46DCD98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8D3044"/>
    <w:multiLevelType w:val="hybridMultilevel"/>
    <w:tmpl w:val="3B8833CC"/>
    <w:lvl w:ilvl="0" w:tplc="D4067B36">
      <w:start w:val="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8CA38CD"/>
    <w:multiLevelType w:val="multilevel"/>
    <w:tmpl w:val="824C08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A24F3E"/>
    <w:multiLevelType w:val="hybridMultilevel"/>
    <w:tmpl w:val="2350FF3E"/>
    <w:lvl w:ilvl="0" w:tplc="6C6C0D4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23"/>
  </w:num>
  <w:num w:numId="2" w16cid:durableId="882718920">
    <w:abstractNumId w:val="2"/>
  </w:num>
  <w:num w:numId="3" w16cid:durableId="69666238">
    <w:abstractNumId w:val="0"/>
  </w:num>
  <w:num w:numId="4" w16cid:durableId="86193173">
    <w:abstractNumId w:val="13"/>
  </w:num>
  <w:num w:numId="5" w16cid:durableId="1161777815">
    <w:abstractNumId w:val="16"/>
  </w:num>
  <w:num w:numId="6" w16cid:durableId="711077932">
    <w:abstractNumId w:val="30"/>
  </w:num>
  <w:num w:numId="7" w16cid:durableId="2036148843">
    <w:abstractNumId w:val="20"/>
  </w:num>
  <w:num w:numId="8" w16cid:durableId="1568686436">
    <w:abstractNumId w:val="1"/>
  </w:num>
  <w:num w:numId="9" w16cid:durableId="1166673119">
    <w:abstractNumId w:val="24"/>
  </w:num>
  <w:num w:numId="10" w16cid:durableId="1232231754">
    <w:abstractNumId w:val="20"/>
  </w:num>
  <w:num w:numId="11" w16cid:durableId="1231037960">
    <w:abstractNumId w:val="21"/>
  </w:num>
  <w:num w:numId="12" w16cid:durableId="1520700995">
    <w:abstractNumId w:val="31"/>
  </w:num>
  <w:num w:numId="13" w16cid:durableId="619072874">
    <w:abstractNumId w:val="9"/>
  </w:num>
  <w:num w:numId="14" w16cid:durableId="1758751888">
    <w:abstractNumId w:val="8"/>
  </w:num>
  <w:num w:numId="15" w16cid:durableId="391926158">
    <w:abstractNumId w:val="34"/>
  </w:num>
  <w:num w:numId="16" w16cid:durableId="1427574144">
    <w:abstractNumId w:val="7"/>
  </w:num>
  <w:num w:numId="17" w16cid:durableId="478308068">
    <w:abstractNumId w:val="38"/>
  </w:num>
  <w:num w:numId="18" w16cid:durableId="1115518096">
    <w:abstractNumId w:val="35"/>
  </w:num>
  <w:num w:numId="19" w16cid:durableId="9383777">
    <w:abstractNumId w:val="27"/>
  </w:num>
  <w:num w:numId="20" w16cid:durableId="983588317">
    <w:abstractNumId w:val="36"/>
  </w:num>
  <w:num w:numId="21" w16cid:durableId="16458176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821284">
    <w:abstractNumId w:val="29"/>
  </w:num>
  <w:num w:numId="23" w16cid:durableId="1677413844">
    <w:abstractNumId w:val="5"/>
  </w:num>
  <w:num w:numId="24" w16cid:durableId="1590118209">
    <w:abstractNumId w:val="28"/>
  </w:num>
  <w:num w:numId="25" w16cid:durableId="773744511">
    <w:abstractNumId w:val="14"/>
  </w:num>
  <w:num w:numId="26" w16cid:durableId="560672065">
    <w:abstractNumId w:val="26"/>
  </w:num>
  <w:num w:numId="27" w16cid:durableId="637031707">
    <w:abstractNumId w:val="18"/>
  </w:num>
  <w:num w:numId="28" w16cid:durableId="1842961300">
    <w:abstractNumId w:val="11"/>
  </w:num>
  <w:num w:numId="29" w16cid:durableId="1722635454">
    <w:abstractNumId w:val="4"/>
  </w:num>
  <w:num w:numId="30" w16cid:durableId="493957154">
    <w:abstractNumId w:val="19"/>
  </w:num>
  <w:num w:numId="31" w16cid:durableId="375467818">
    <w:abstractNumId w:val="12"/>
  </w:num>
  <w:num w:numId="32" w16cid:durableId="1307585520">
    <w:abstractNumId w:val="15"/>
  </w:num>
  <w:num w:numId="33" w16cid:durableId="584916698">
    <w:abstractNumId w:val="6"/>
  </w:num>
  <w:num w:numId="34" w16cid:durableId="299464195">
    <w:abstractNumId w:val="37"/>
  </w:num>
  <w:num w:numId="35" w16cid:durableId="685644185">
    <w:abstractNumId w:val="17"/>
  </w:num>
  <w:num w:numId="36" w16cid:durableId="928387447">
    <w:abstractNumId w:val="39"/>
  </w:num>
  <w:num w:numId="37" w16cid:durableId="1960909713">
    <w:abstractNumId w:val="25"/>
  </w:num>
  <w:num w:numId="38" w16cid:durableId="938370717">
    <w:abstractNumId w:val="3"/>
  </w:num>
  <w:num w:numId="39" w16cid:durableId="1240561373">
    <w:abstractNumId w:val="33"/>
  </w:num>
  <w:num w:numId="40" w16cid:durableId="160241180">
    <w:abstractNumId w:val="32"/>
  </w:num>
  <w:num w:numId="41" w16cid:durableId="1921138328">
    <w:abstractNumId w:val="22"/>
  </w:num>
  <w:num w:numId="42" w16cid:durableId="53647800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20738"/>
    <w:rsid w:val="000209D8"/>
    <w:rsid w:val="00026704"/>
    <w:rsid w:val="00036606"/>
    <w:rsid w:val="0003664F"/>
    <w:rsid w:val="00037CC5"/>
    <w:rsid w:val="00037EB9"/>
    <w:rsid w:val="00043155"/>
    <w:rsid w:val="00045447"/>
    <w:rsid w:val="00045607"/>
    <w:rsid w:val="00055BD2"/>
    <w:rsid w:val="000601A8"/>
    <w:rsid w:val="0006137D"/>
    <w:rsid w:val="00061FA4"/>
    <w:rsid w:val="00066341"/>
    <w:rsid w:val="00080753"/>
    <w:rsid w:val="00080ED6"/>
    <w:rsid w:val="00082DFA"/>
    <w:rsid w:val="00085A81"/>
    <w:rsid w:val="00090582"/>
    <w:rsid w:val="00093125"/>
    <w:rsid w:val="00095494"/>
    <w:rsid w:val="000968D1"/>
    <w:rsid w:val="0009721E"/>
    <w:rsid w:val="000A2C91"/>
    <w:rsid w:val="000A3234"/>
    <w:rsid w:val="000A3FC6"/>
    <w:rsid w:val="000A4F34"/>
    <w:rsid w:val="000A54E9"/>
    <w:rsid w:val="000A6313"/>
    <w:rsid w:val="000B0481"/>
    <w:rsid w:val="000B082B"/>
    <w:rsid w:val="000B6058"/>
    <w:rsid w:val="000B7B78"/>
    <w:rsid w:val="000C2459"/>
    <w:rsid w:val="000C3DF7"/>
    <w:rsid w:val="000C520D"/>
    <w:rsid w:val="000C5E7B"/>
    <w:rsid w:val="000C6170"/>
    <w:rsid w:val="000D1AE9"/>
    <w:rsid w:val="000D2F25"/>
    <w:rsid w:val="000D56CB"/>
    <w:rsid w:val="000D7FCF"/>
    <w:rsid w:val="000E3A5D"/>
    <w:rsid w:val="000E4B82"/>
    <w:rsid w:val="000E54A7"/>
    <w:rsid w:val="000E6CE5"/>
    <w:rsid w:val="000F00F0"/>
    <w:rsid w:val="000F681C"/>
    <w:rsid w:val="000F6E0E"/>
    <w:rsid w:val="000F7499"/>
    <w:rsid w:val="000F7C97"/>
    <w:rsid w:val="00101B38"/>
    <w:rsid w:val="001034F6"/>
    <w:rsid w:val="00103C9C"/>
    <w:rsid w:val="001049D6"/>
    <w:rsid w:val="001052D8"/>
    <w:rsid w:val="0010586B"/>
    <w:rsid w:val="0010672E"/>
    <w:rsid w:val="00107138"/>
    <w:rsid w:val="00111C42"/>
    <w:rsid w:val="0011274C"/>
    <w:rsid w:val="00117908"/>
    <w:rsid w:val="00122DFC"/>
    <w:rsid w:val="00123F34"/>
    <w:rsid w:val="0012499D"/>
    <w:rsid w:val="00131D72"/>
    <w:rsid w:val="00133A04"/>
    <w:rsid w:val="00137102"/>
    <w:rsid w:val="00137330"/>
    <w:rsid w:val="00137DBB"/>
    <w:rsid w:val="00140968"/>
    <w:rsid w:val="00143661"/>
    <w:rsid w:val="001500BE"/>
    <w:rsid w:val="00152D9F"/>
    <w:rsid w:val="00157BD5"/>
    <w:rsid w:val="001600B4"/>
    <w:rsid w:val="0016391F"/>
    <w:rsid w:val="00164B34"/>
    <w:rsid w:val="00165BC4"/>
    <w:rsid w:val="00165FAE"/>
    <w:rsid w:val="00167407"/>
    <w:rsid w:val="00174D18"/>
    <w:rsid w:val="001756F8"/>
    <w:rsid w:val="001774D9"/>
    <w:rsid w:val="00180648"/>
    <w:rsid w:val="00180BE7"/>
    <w:rsid w:val="001811BF"/>
    <w:rsid w:val="001814E6"/>
    <w:rsid w:val="00185F9D"/>
    <w:rsid w:val="00186878"/>
    <w:rsid w:val="0018745B"/>
    <w:rsid w:val="0019070A"/>
    <w:rsid w:val="0019179F"/>
    <w:rsid w:val="001927F7"/>
    <w:rsid w:val="00192912"/>
    <w:rsid w:val="0019610F"/>
    <w:rsid w:val="00196845"/>
    <w:rsid w:val="001A2CCA"/>
    <w:rsid w:val="001A2E38"/>
    <w:rsid w:val="001A3CFB"/>
    <w:rsid w:val="001A441A"/>
    <w:rsid w:val="001A4996"/>
    <w:rsid w:val="001A60F4"/>
    <w:rsid w:val="001B0CF3"/>
    <w:rsid w:val="001B167E"/>
    <w:rsid w:val="001B1EF2"/>
    <w:rsid w:val="001B207D"/>
    <w:rsid w:val="001B25C2"/>
    <w:rsid w:val="001B57D4"/>
    <w:rsid w:val="001C09DB"/>
    <w:rsid w:val="001C15EF"/>
    <w:rsid w:val="001C1E14"/>
    <w:rsid w:val="001C2335"/>
    <w:rsid w:val="001C2543"/>
    <w:rsid w:val="001C25A3"/>
    <w:rsid w:val="001C38E1"/>
    <w:rsid w:val="001C6F52"/>
    <w:rsid w:val="001C786C"/>
    <w:rsid w:val="001D64FE"/>
    <w:rsid w:val="001E36F4"/>
    <w:rsid w:val="001E60DC"/>
    <w:rsid w:val="001E6526"/>
    <w:rsid w:val="001E780C"/>
    <w:rsid w:val="001F3018"/>
    <w:rsid w:val="001F3B94"/>
    <w:rsid w:val="001F5BC1"/>
    <w:rsid w:val="001F622A"/>
    <w:rsid w:val="001F677C"/>
    <w:rsid w:val="002001E7"/>
    <w:rsid w:val="00202518"/>
    <w:rsid w:val="00203CCF"/>
    <w:rsid w:val="00204AC7"/>
    <w:rsid w:val="00206B76"/>
    <w:rsid w:val="00207AB6"/>
    <w:rsid w:val="00211B1F"/>
    <w:rsid w:val="0021269C"/>
    <w:rsid w:val="00213035"/>
    <w:rsid w:val="00213DF2"/>
    <w:rsid w:val="0021698E"/>
    <w:rsid w:val="00216A97"/>
    <w:rsid w:val="002170BA"/>
    <w:rsid w:val="00221680"/>
    <w:rsid w:val="002219ED"/>
    <w:rsid w:val="00222D7C"/>
    <w:rsid w:val="002258B0"/>
    <w:rsid w:val="00226C9F"/>
    <w:rsid w:val="00230076"/>
    <w:rsid w:val="00231224"/>
    <w:rsid w:val="00235E46"/>
    <w:rsid w:val="00237975"/>
    <w:rsid w:val="00240D1E"/>
    <w:rsid w:val="002415F0"/>
    <w:rsid w:val="002422C3"/>
    <w:rsid w:val="0024399F"/>
    <w:rsid w:val="00246DAF"/>
    <w:rsid w:val="0025569E"/>
    <w:rsid w:val="0025572F"/>
    <w:rsid w:val="00255925"/>
    <w:rsid w:val="00256BE8"/>
    <w:rsid w:val="00264D9F"/>
    <w:rsid w:val="00265DE9"/>
    <w:rsid w:val="002661F9"/>
    <w:rsid w:val="00267EA7"/>
    <w:rsid w:val="002705A9"/>
    <w:rsid w:val="00270E1F"/>
    <w:rsid w:val="002713CC"/>
    <w:rsid w:val="002726CE"/>
    <w:rsid w:val="00273C37"/>
    <w:rsid w:val="00276B63"/>
    <w:rsid w:val="002773B3"/>
    <w:rsid w:val="00282EE3"/>
    <w:rsid w:val="0029272A"/>
    <w:rsid w:val="002942AF"/>
    <w:rsid w:val="00294DA5"/>
    <w:rsid w:val="002961CC"/>
    <w:rsid w:val="0029694C"/>
    <w:rsid w:val="002A13D9"/>
    <w:rsid w:val="002A1992"/>
    <w:rsid w:val="002A33AE"/>
    <w:rsid w:val="002A410D"/>
    <w:rsid w:val="002A48FF"/>
    <w:rsid w:val="002A5816"/>
    <w:rsid w:val="002A7903"/>
    <w:rsid w:val="002B0F1C"/>
    <w:rsid w:val="002B29A6"/>
    <w:rsid w:val="002B4676"/>
    <w:rsid w:val="002B6F55"/>
    <w:rsid w:val="002B7229"/>
    <w:rsid w:val="002C0D29"/>
    <w:rsid w:val="002C33B8"/>
    <w:rsid w:val="002C49C1"/>
    <w:rsid w:val="002C67FA"/>
    <w:rsid w:val="002C6AC8"/>
    <w:rsid w:val="002D223A"/>
    <w:rsid w:val="002D22F3"/>
    <w:rsid w:val="002D2C09"/>
    <w:rsid w:val="002D2FBC"/>
    <w:rsid w:val="002D40A4"/>
    <w:rsid w:val="002D4183"/>
    <w:rsid w:val="002D4BC5"/>
    <w:rsid w:val="002D7FCB"/>
    <w:rsid w:val="002E50F3"/>
    <w:rsid w:val="002E5561"/>
    <w:rsid w:val="002E5D33"/>
    <w:rsid w:val="002E608D"/>
    <w:rsid w:val="002F1B6C"/>
    <w:rsid w:val="002F489C"/>
    <w:rsid w:val="003000C2"/>
    <w:rsid w:val="00301DC1"/>
    <w:rsid w:val="00303057"/>
    <w:rsid w:val="00304963"/>
    <w:rsid w:val="00310A09"/>
    <w:rsid w:val="00311D22"/>
    <w:rsid w:val="00316CC1"/>
    <w:rsid w:val="0032012E"/>
    <w:rsid w:val="00325155"/>
    <w:rsid w:val="00326CEA"/>
    <w:rsid w:val="00326F35"/>
    <w:rsid w:val="00326FBF"/>
    <w:rsid w:val="00330340"/>
    <w:rsid w:val="00330AB7"/>
    <w:rsid w:val="00330EBD"/>
    <w:rsid w:val="003312D3"/>
    <w:rsid w:val="003315EE"/>
    <w:rsid w:val="00331688"/>
    <w:rsid w:val="00335ADD"/>
    <w:rsid w:val="00335D6B"/>
    <w:rsid w:val="00336753"/>
    <w:rsid w:val="00340567"/>
    <w:rsid w:val="00341035"/>
    <w:rsid w:val="0034324D"/>
    <w:rsid w:val="00345974"/>
    <w:rsid w:val="00350BEA"/>
    <w:rsid w:val="00353CC0"/>
    <w:rsid w:val="003541B7"/>
    <w:rsid w:val="00356E8A"/>
    <w:rsid w:val="0035749D"/>
    <w:rsid w:val="00364582"/>
    <w:rsid w:val="00366DEB"/>
    <w:rsid w:val="00367114"/>
    <w:rsid w:val="003701AB"/>
    <w:rsid w:val="00372065"/>
    <w:rsid w:val="003728AB"/>
    <w:rsid w:val="003734A1"/>
    <w:rsid w:val="00373698"/>
    <w:rsid w:val="0037462C"/>
    <w:rsid w:val="003763D9"/>
    <w:rsid w:val="00376A95"/>
    <w:rsid w:val="0037732B"/>
    <w:rsid w:val="00380FA9"/>
    <w:rsid w:val="00381FC0"/>
    <w:rsid w:val="0038248C"/>
    <w:rsid w:val="0038399D"/>
    <w:rsid w:val="00386180"/>
    <w:rsid w:val="003863E6"/>
    <w:rsid w:val="00390986"/>
    <w:rsid w:val="00390F40"/>
    <w:rsid w:val="00393342"/>
    <w:rsid w:val="00393851"/>
    <w:rsid w:val="00397F66"/>
    <w:rsid w:val="003A14A9"/>
    <w:rsid w:val="003A1818"/>
    <w:rsid w:val="003A29C7"/>
    <w:rsid w:val="003A5EF5"/>
    <w:rsid w:val="003A66C4"/>
    <w:rsid w:val="003A6AC6"/>
    <w:rsid w:val="003B2F18"/>
    <w:rsid w:val="003B372A"/>
    <w:rsid w:val="003B3DCD"/>
    <w:rsid w:val="003B6637"/>
    <w:rsid w:val="003C01F4"/>
    <w:rsid w:val="003C0A97"/>
    <w:rsid w:val="003C1D6F"/>
    <w:rsid w:val="003C3AA0"/>
    <w:rsid w:val="003C449C"/>
    <w:rsid w:val="003C5AB0"/>
    <w:rsid w:val="003D11C8"/>
    <w:rsid w:val="003D47EE"/>
    <w:rsid w:val="003D7AF5"/>
    <w:rsid w:val="003E2167"/>
    <w:rsid w:val="003E2A18"/>
    <w:rsid w:val="003E3405"/>
    <w:rsid w:val="003E4A3E"/>
    <w:rsid w:val="003E4A62"/>
    <w:rsid w:val="003E517B"/>
    <w:rsid w:val="003E5954"/>
    <w:rsid w:val="003E5B87"/>
    <w:rsid w:val="003E5CF4"/>
    <w:rsid w:val="003E6115"/>
    <w:rsid w:val="003E6E06"/>
    <w:rsid w:val="003F0B5A"/>
    <w:rsid w:val="003F24C6"/>
    <w:rsid w:val="003F2FF7"/>
    <w:rsid w:val="003F6485"/>
    <w:rsid w:val="003F71AA"/>
    <w:rsid w:val="003F7FBC"/>
    <w:rsid w:val="0040106D"/>
    <w:rsid w:val="0040395E"/>
    <w:rsid w:val="00406F0A"/>
    <w:rsid w:val="004159D1"/>
    <w:rsid w:val="00417D0C"/>
    <w:rsid w:val="00421890"/>
    <w:rsid w:val="00425623"/>
    <w:rsid w:val="00427B0D"/>
    <w:rsid w:val="00427D2F"/>
    <w:rsid w:val="004307C4"/>
    <w:rsid w:val="004313B1"/>
    <w:rsid w:val="00431C03"/>
    <w:rsid w:val="00435D82"/>
    <w:rsid w:val="00440CA7"/>
    <w:rsid w:val="00440CFB"/>
    <w:rsid w:val="0044116B"/>
    <w:rsid w:val="0044290F"/>
    <w:rsid w:val="004459B4"/>
    <w:rsid w:val="00445AFD"/>
    <w:rsid w:val="004476F4"/>
    <w:rsid w:val="004509E5"/>
    <w:rsid w:val="0045185F"/>
    <w:rsid w:val="00451D86"/>
    <w:rsid w:val="00451ED3"/>
    <w:rsid w:val="00453679"/>
    <w:rsid w:val="004540C3"/>
    <w:rsid w:val="00454727"/>
    <w:rsid w:val="00456F5E"/>
    <w:rsid w:val="0046152F"/>
    <w:rsid w:val="00466298"/>
    <w:rsid w:val="00466779"/>
    <w:rsid w:val="0046792A"/>
    <w:rsid w:val="0047048A"/>
    <w:rsid w:val="00471721"/>
    <w:rsid w:val="00472B38"/>
    <w:rsid w:val="00472B97"/>
    <w:rsid w:val="004746F9"/>
    <w:rsid w:val="00475BD4"/>
    <w:rsid w:val="004765EA"/>
    <w:rsid w:val="00476604"/>
    <w:rsid w:val="00476E2A"/>
    <w:rsid w:val="00477FFC"/>
    <w:rsid w:val="00481604"/>
    <w:rsid w:val="00482F5D"/>
    <w:rsid w:val="004839C0"/>
    <w:rsid w:val="00485613"/>
    <w:rsid w:val="0049270B"/>
    <w:rsid w:val="0049375E"/>
    <w:rsid w:val="00495D3B"/>
    <w:rsid w:val="00496397"/>
    <w:rsid w:val="00496429"/>
    <w:rsid w:val="004969A5"/>
    <w:rsid w:val="00496E7B"/>
    <w:rsid w:val="00497DAE"/>
    <w:rsid w:val="004A15A3"/>
    <w:rsid w:val="004A4AF8"/>
    <w:rsid w:val="004A4FEF"/>
    <w:rsid w:val="004A6F2B"/>
    <w:rsid w:val="004B078A"/>
    <w:rsid w:val="004B0CCF"/>
    <w:rsid w:val="004B3258"/>
    <w:rsid w:val="004B33C3"/>
    <w:rsid w:val="004B51B1"/>
    <w:rsid w:val="004B6A05"/>
    <w:rsid w:val="004B75B7"/>
    <w:rsid w:val="004B79CF"/>
    <w:rsid w:val="004C16F5"/>
    <w:rsid w:val="004C2714"/>
    <w:rsid w:val="004C2764"/>
    <w:rsid w:val="004C7CF3"/>
    <w:rsid w:val="004D060E"/>
    <w:rsid w:val="004D0975"/>
    <w:rsid w:val="004D1644"/>
    <w:rsid w:val="004D527D"/>
    <w:rsid w:val="004D6E89"/>
    <w:rsid w:val="004E15DA"/>
    <w:rsid w:val="004E4BDA"/>
    <w:rsid w:val="004E59EF"/>
    <w:rsid w:val="004F1273"/>
    <w:rsid w:val="004F190C"/>
    <w:rsid w:val="004F3385"/>
    <w:rsid w:val="00502323"/>
    <w:rsid w:val="00504DDC"/>
    <w:rsid w:val="00505381"/>
    <w:rsid w:val="005105B0"/>
    <w:rsid w:val="00512C67"/>
    <w:rsid w:val="00521267"/>
    <w:rsid w:val="00521467"/>
    <w:rsid w:val="005216E6"/>
    <w:rsid w:val="0052411B"/>
    <w:rsid w:val="00524FEE"/>
    <w:rsid w:val="005250EF"/>
    <w:rsid w:val="0052611C"/>
    <w:rsid w:val="0052764A"/>
    <w:rsid w:val="00535B4C"/>
    <w:rsid w:val="00536FD8"/>
    <w:rsid w:val="00540086"/>
    <w:rsid w:val="005423BA"/>
    <w:rsid w:val="005533F8"/>
    <w:rsid w:val="00556818"/>
    <w:rsid w:val="0056412C"/>
    <w:rsid w:val="00566A54"/>
    <w:rsid w:val="00566BDC"/>
    <w:rsid w:val="00567550"/>
    <w:rsid w:val="00580558"/>
    <w:rsid w:val="00581A21"/>
    <w:rsid w:val="00582191"/>
    <w:rsid w:val="0058639B"/>
    <w:rsid w:val="0059099C"/>
    <w:rsid w:val="005937C2"/>
    <w:rsid w:val="005945DC"/>
    <w:rsid w:val="00595362"/>
    <w:rsid w:val="0059566F"/>
    <w:rsid w:val="00597A59"/>
    <w:rsid w:val="005A07E8"/>
    <w:rsid w:val="005A1266"/>
    <w:rsid w:val="005A21C3"/>
    <w:rsid w:val="005A3F90"/>
    <w:rsid w:val="005A56EA"/>
    <w:rsid w:val="005A5C6D"/>
    <w:rsid w:val="005A68D2"/>
    <w:rsid w:val="005A6CEB"/>
    <w:rsid w:val="005B4F7F"/>
    <w:rsid w:val="005B7691"/>
    <w:rsid w:val="005C1242"/>
    <w:rsid w:val="005C4DDD"/>
    <w:rsid w:val="005C5640"/>
    <w:rsid w:val="005C6C78"/>
    <w:rsid w:val="005D2425"/>
    <w:rsid w:val="005D310F"/>
    <w:rsid w:val="005D3300"/>
    <w:rsid w:val="005D3C56"/>
    <w:rsid w:val="005D4A2C"/>
    <w:rsid w:val="005D5DFE"/>
    <w:rsid w:val="005D650F"/>
    <w:rsid w:val="005E081C"/>
    <w:rsid w:val="005E2527"/>
    <w:rsid w:val="005E3370"/>
    <w:rsid w:val="005E52ED"/>
    <w:rsid w:val="005E7F76"/>
    <w:rsid w:val="005E7FEC"/>
    <w:rsid w:val="005F3077"/>
    <w:rsid w:val="006042DC"/>
    <w:rsid w:val="00604489"/>
    <w:rsid w:val="00604B27"/>
    <w:rsid w:val="00606936"/>
    <w:rsid w:val="006075E0"/>
    <w:rsid w:val="00611645"/>
    <w:rsid w:val="00612C45"/>
    <w:rsid w:val="00613328"/>
    <w:rsid w:val="0061348C"/>
    <w:rsid w:val="00614019"/>
    <w:rsid w:val="006160E2"/>
    <w:rsid w:val="006167BA"/>
    <w:rsid w:val="00616F94"/>
    <w:rsid w:val="00617376"/>
    <w:rsid w:val="00620B51"/>
    <w:rsid w:val="00620C9B"/>
    <w:rsid w:val="0062189D"/>
    <w:rsid w:val="006219EE"/>
    <w:rsid w:val="00626AF5"/>
    <w:rsid w:val="0063018A"/>
    <w:rsid w:val="00631514"/>
    <w:rsid w:val="00632879"/>
    <w:rsid w:val="00632EF0"/>
    <w:rsid w:val="006333EB"/>
    <w:rsid w:val="0063382E"/>
    <w:rsid w:val="00634CC3"/>
    <w:rsid w:val="006353ED"/>
    <w:rsid w:val="006362B9"/>
    <w:rsid w:val="0063726D"/>
    <w:rsid w:val="00641D26"/>
    <w:rsid w:val="00642A66"/>
    <w:rsid w:val="00645388"/>
    <w:rsid w:val="00646FA9"/>
    <w:rsid w:val="006471B3"/>
    <w:rsid w:val="006500B1"/>
    <w:rsid w:val="00652B66"/>
    <w:rsid w:val="006552CE"/>
    <w:rsid w:val="0066077A"/>
    <w:rsid w:val="00663885"/>
    <w:rsid w:val="00664ED5"/>
    <w:rsid w:val="0066780B"/>
    <w:rsid w:val="00673435"/>
    <w:rsid w:val="00676B51"/>
    <w:rsid w:val="00681398"/>
    <w:rsid w:val="006819E0"/>
    <w:rsid w:val="0068235F"/>
    <w:rsid w:val="006830AB"/>
    <w:rsid w:val="00683DB1"/>
    <w:rsid w:val="0068586D"/>
    <w:rsid w:val="006861D1"/>
    <w:rsid w:val="006864F2"/>
    <w:rsid w:val="00687BCE"/>
    <w:rsid w:val="00691143"/>
    <w:rsid w:val="0069381D"/>
    <w:rsid w:val="00694560"/>
    <w:rsid w:val="00696449"/>
    <w:rsid w:val="00696CD9"/>
    <w:rsid w:val="006A58E4"/>
    <w:rsid w:val="006B5301"/>
    <w:rsid w:val="006C125A"/>
    <w:rsid w:val="006C16E6"/>
    <w:rsid w:val="006C1E7A"/>
    <w:rsid w:val="006C2561"/>
    <w:rsid w:val="006C31DB"/>
    <w:rsid w:val="006C38FF"/>
    <w:rsid w:val="006C4178"/>
    <w:rsid w:val="006C4C28"/>
    <w:rsid w:val="006C6CAA"/>
    <w:rsid w:val="006C6D5E"/>
    <w:rsid w:val="006C7A4C"/>
    <w:rsid w:val="006E0CCC"/>
    <w:rsid w:val="006E125E"/>
    <w:rsid w:val="006E1649"/>
    <w:rsid w:val="006E610C"/>
    <w:rsid w:val="006E65AD"/>
    <w:rsid w:val="006F0008"/>
    <w:rsid w:val="006F461A"/>
    <w:rsid w:val="006F51F1"/>
    <w:rsid w:val="006F54B0"/>
    <w:rsid w:val="006F7291"/>
    <w:rsid w:val="007025AD"/>
    <w:rsid w:val="00702E0E"/>
    <w:rsid w:val="0070480A"/>
    <w:rsid w:val="007054EE"/>
    <w:rsid w:val="007058F0"/>
    <w:rsid w:val="007109D4"/>
    <w:rsid w:val="00711CA5"/>
    <w:rsid w:val="00714138"/>
    <w:rsid w:val="00714236"/>
    <w:rsid w:val="0072003E"/>
    <w:rsid w:val="007209EC"/>
    <w:rsid w:val="00722B9F"/>
    <w:rsid w:val="00723683"/>
    <w:rsid w:val="00725E7E"/>
    <w:rsid w:val="00726BFB"/>
    <w:rsid w:val="00727BAA"/>
    <w:rsid w:val="0073165D"/>
    <w:rsid w:val="007316B3"/>
    <w:rsid w:val="00732A7A"/>
    <w:rsid w:val="00734A43"/>
    <w:rsid w:val="00742E46"/>
    <w:rsid w:val="00745BB6"/>
    <w:rsid w:val="00746877"/>
    <w:rsid w:val="00750FD9"/>
    <w:rsid w:val="00752FC4"/>
    <w:rsid w:val="00753C81"/>
    <w:rsid w:val="007554C1"/>
    <w:rsid w:val="00764500"/>
    <w:rsid w:val="007650BC"/>
    <w:rsid w:val="00767551"/>
    <w:rsid w:val="007724A2"/>
    <w:rsid w:val="007736DB"/>
    <w:rsid w:val="007745BC"/>
    <w:rsid w:val="00775734"/>
    <w:rsid w:val="0077684F"/>
    <w:rsid w:val="00780C56"/>
    <w:rsid w:val="00790385"/>
    <w:rsid w:val="007914AD"/>
    <w:rsid w:val="00791DF2"/>
    <w:rsid w:val="00793B1D"/>
    <w:rsid w:val="00794CEB"/>
    <w:rsid w:val="00795D21"/>
    <w:rsid w:val="007A0A30"/>
    <w:rsid w:val="007A2C43"/>
    <w:rsid w:val="007A3FFD"/>
    <w:rsid w:val="007A7375"/>
    <w:rsid w:val="007B0DD7"/>
    <w:rsid w:val="007B15FD"/>
    <w:rsid w:val="007B27F1"/>
    <w:rsid w:val="007B2D4C"/>
    <w:rsid w:val="007B5CB9"/>
    <w:rsid w:val="007B7316"/>
    <w:rsid w:val="007B748F"/>
    <w:rsid w:val="007C42F1"/>
    <w:rsid w:val="007C47BD"/>
    <w:rsid w:val="007C5574"/>
    <w:rsid w:val="007C6F0E"/>
    <w:rsid w:val="007C6FF5"/>
    <w:rsid w:val="007C7835"/>
    <w:rsid w:val="007D38B7"/>
    <w:rsid w:val="007D3EA4"/>
    <w:rsid w:val="007D5A7F"/>
    <w:rsid w:val="007D6D46"/>
    <w:rsid w:val="007D6E93"/>
    <w:rsid w:val="007E0F0A"/>
    <w:rsid w:val="007E1139"/>
    <w:rsid w:val="007E4543"/>
    <w:rsid w:val="007E5E79"/>
    <w:rsid w:val="007E630F"/>
    <w:rsid w:val="007E7D10"/>
    <w:rsid w:val="007F11E2"/>
    <w:rsid w:val="007F19A9"/>
    <w:rsid w:val="007F1F13"/>
    <w:rsid w:val="007F4573"/>
    <w:rsid w:val="007F6939"/>
    <w:rsid w:val="007F6A73"/>
    <w:rsid w:val="00800E7E"/>
    <w:rsid w:val="00801D37"/>
    <w:rsid w:val="00804092"/>
    <w:rsid w:val="008057DB"/>
    <w:rsid w:val="008060F5"/>
    <w:rsid w:val="00806301"/>
    <w:rsid w:val="008104F6"/>
    <w:rsid w:val="008133A3"/>
    <w:rsid w:val="008142EE"/>
    <w:rsid w:val="00814BD2"/>
    <w:rsid w:val="00814C80"/>
    <w:rsid w:val="008161FC"/>
    <w:rsid w:val="008205C8"/>
    <w:rsid w:val="008221EC"/>
    <w:rsid w:val="00822331"/>
    <w:rsid w:val="0082282E"/>
    <w:rsid w:val="008248C8"/>
    <w:rsid w:val="008259EA"/>
    <w:rsid w:val="00826000"/>
    <w:rsid w:val="00826898"/>
    <w:rsid w:val="00827FDF"/>
    <w:rsid w:val="00830889"/>
    <w:rsid w:val="00832316"/>
    <w:rsid w:val="008337C9"/>
    <w:rsid w:val="00840CC3"/>
    <w:rsid w:val="00840D1F"/>
    <w:rsid w:val="00843417"/>
    <w:rsid w:val="00846E18"/>
    <w:rsid w:val="008507B4"/>
    <w:rsid w:val="0085174C"/>
    <w:rsid w:val="008517F7"/>
    <w:rsid w:val="00852C25"/>
    <w:rsid w:val="00856A5A"/>
    <w:rsid w:val="00856D9A"/>
    <w:rsid w:val="00857751"/>
    <w:rsid w:val="008601C9"/>
    <w:rsid w:val="00860A87"/>
    <w:rsid w:val="00861B6C"/>
    <w:rsid w:val="00862AFA"/>
    <w:rsid w:val="00863C4E"/>
    <w:rsid w:val="00864DEE"/>
    <w:rsid w:val="008669B3"/>
    <w:rsid w:val="0087141C"/>
    <w:rsid w:val="00877B11"/>
    <w:rsid w:val="00880E9F"/>
    <w:rsid w:val="00882A6F"/>
    <w:rsid w:val="008834B9"/>
    <w:rsid w:val="00883537"/>
    <w:rsid w:val="00884D3A"/>
    <w:rsid w:val="00890991"/>
    <w:rsid w:val="00891FBA"/>
    <w:rsid w:val="008921D9"/>
    <w:rsid w:val="00893A7E"/>
    <w:rsid w:val="008951B4"/>
    <w:rsid w:val="0089542D"/>
    <w:rsid w:val="00897723"/>
    <w:rsid w:val="008A27EF"/>
    <w:rsid w:val="008A29A2"/>
    <w:rsid w:val="008A7BD1"/>
    <w:rsid w:val="008B098B"/>
    <w:rsid w:val="008B0C13"/>
    <w:rsid w:val="008B11BB"/>
    <w:rsid w:val="008B1783"/>
    <w:rsid w:val="008B518F"/>
    <w:rsid w:val="008C168D"/>
    <w:rsid w:val="008C29D3"/>
    <w:rsid w:val="008C54B1"/>
    <w:rsid w:val="008D121F"/>
    <w:rsid w:val="008D1DC7"/>
    <w:rsid w:val="008D3A9A"/>
    <w:rsid w:val="008D4F11"/>
    <w:rsid w:val="008E3157"/>
    <w:rsid w:val="008E5708"/>
    <w:rsid w:val="008E6255"/>
    <w:rsid w:val="008E64C6"/>
    <w:rsid w:val="008E788F"/>
    <w:rsid w:val="008F07E1"/>
    <w:rsid w:val="008F1871"/>
    <w:rsid w:val="008F2002"/>
    <w:rsid w:val="008F27FD"/>
    <w:rsid w:val="008F3EB2"/>
    <w:rsid w:val="008F41D0"/>
    <w:rsid w:val="008F49B9"/>
    <w:rsid w:val="008F79EE"/>
    <w:rsid w:val="00901321"/>
    <w:rsid w:val="00901EA0"/>
    <w:rsid w:val="00901FDA"/>
    <w:rsid w:val="0090276F"/>
    <w:rsid w:val="009050EB"/>
    <w:rsid w:val="00905748"/>
    <w:rsid w:val="009061A5"/>
    <w:rsid w:val="00911587"/>
    <w:rsid w:val="00912FC7"/>
    <w:rsid w:val="00913A2F"/>
    <w:rsid w:val="00916A1C"/>
    <w:rsid w:val="009203A5"/>
    <w:rsid w:val="00922735"/>
    <w:rsid w:val="00922F3D"/>
    <w:rsid w:val="0092627E"/>
    <w:rsid w:val="0093186A"/>
    <w:rsid w:val="00934D91"/>
    <w:rsid w:val="00936178"/>
    <w:rsid w:val="00936681"/>
    <w:rsid w:val="009369E8"/>
    <w:rsid w:val="00937073"/>
    <w:rsid w:val="0094490B"/>
    <w:rsid w:val="0094697E"/>
    <w:rsid w:val="00950415"/>
    <w:rsid w:val="009538C1"/>
    <w:rsid w:val="00953DC4"/>
    <w:rsid w:val="009548BB"/>
    <w:rsid w:val="00955029"/>
    <w:rsid w:val="00961C51"/>
    <w:rsid w:val="00962E62"/>
    <w:rsid w:val="00963148"/>
    <w:rsid w:val="009668EA"/>
    <w:rsid w:val="0096705C"/>
    <w:rsid w:val="00972AB9"/>
    <w:rsid w:val="00975977"/>
    <w:rsid w:val="009765A8"/>
    <w:rsid w:val="009775AF"/>
    <w:rsid w:val="0097794A"/>
    <w:rsid w:val="00984583"/>
    <w:rsid w:val="00984E97"/>
    <w:rsid w:val="00986630"/>
    <w:rsid w:val="00986F7D"/>
    <w:rsid w:val="00987692"/>
    <w:rsid w:val="00990923"/>
    <w:rsid w:val="00992C52"/>
    <w:rsid w:val="009939D0"/>
    <w:rsid w:val="0099552D"/>
    <w:rsid w:val="00995601"/>
    <w:rsid w:val="00996ABF"/>
    <w:rsid w:val="009A194D"/>
    <w:rsid w:val="009A2028"/>
    <w:rsid w:val="009A3232"/>
    <w:rsid w:val="009A6569"/>
    <w:rsid w:val="009A6927"/>
    <w:rsid w:val="009B02E1"/>
    <w:rsid w:val="009B052C"/>
    <w:rsid w:val="009B0DA4"/>
    <w:rsid w:val="009B12B2"/>
    <w:rsid w:val="009B272F"/>
    <w:rsid w:val="009B316E"/>
    <w:rsid w:val="009B3786"/>
    <w:rsid w:val="009B4E7F"/>
    <w:rsid w:val="009B72AB"/>
    <w:rsid w:val="009B73AC"/>
    <w:rsid w:val="009C5785"/>
    <w:rsid w:val="009C7E21"/>
    <w:rsid w:val="009D047E"/>
    <w:rsid w:val="009D0DAF"/>
    <w:rsid w:val="009D1C28"/>
    <w:rsid w:val="009D6AE7"/>
    <w:rsid w:val="009E1C34"/>
    <w:rsid w:val="009E4A2C"/>
    <w:rsid w:val="009E7906"/>
    <w:rsid w:val="009F44BF"/>
    <w:rsid w:val="009F62E6"/>
    <w:rsid w:val="009F64E5"/>
    <w:rsid w:val="00A01FD5"/>
    <w:rsid w:val="00A0652C"/>
    <w:rsid w:val="00A07AA3"/>
    <w:rsid w:val="00A11200"/>
    <w:rsid w:val="00A13E88"/>
    <w:rsid w:val="00A1557F"/>
    <w:rsid w:val="00A24C14"/>
    <w:rsid w:val="00A304AD"/>
    <w:rsid w:val="00A31302"/>
    <w:rsid w:val="00A35FB5"/>
    <w:rsid w:val="00A36CE3"/>
    <w:rsid w:val="00A41A36"/>
    <w:rsid w:val="00A45883"/>
    <w:rsid w:val="00A5045D"/>
    <w:rsid w:val="00A5390B"/>
    <w:rsid w:val="00A55F96"/>
    <w:rsid w:val="00A569F8"/>
    <w:rsid w:val="00A62081"/>
    <w:rsid w:val="00A630DF"/>
    <w:rsid w:val="00A64FDF"/>
    <w:rsid w:val="00A67167"/>
    <w:rsid w:val="00A6746C"/>
    <w:rsid w:val="00A713CE"/>
    <w:rsid w:val="00A7154D"/>
    <w:rsid w:val="00A71782"/>
    <w:rsid w:val="00A75C83"/>
    <w:rsid w:val="00A75CF1"/>
    <w:rsid w:val="00A76A81"/>
    <w:rsid w:val="00A81548"/>
    <w:rsid w:val="00A83562"/>
    <w:rsid w:val="00A84C31"/>
    <w:rsid w:val="00A87191"/>
    <w:rsid w:val="00A90438"/>
    <w:rsid w:val="00A90556"/>
    <w:rsid w:val="00A90CFD"/>
    <w:rsid w:val="00A928F1"/>
    <w:rsid w:val="00A958CA"/>
    <w:rsid w:val="00A95E61"/>
    <w:rsid w:val="00A962A9"/>
    <w:rsid w:val="00AA0F50"/>
    <w:rsid w:val="00AA1598"/>
    <w:rsid w:val="00AA21AC"/>
    <w:rsid w:val="00AA40C5"/>
    <w:rsid w:val="00AB2A77"/>
    <w:rsid w:val="00AB2DE0"/>
    <w:rsid w:val="00AB6E2D"/>
    <w:rsid w:val="00AC051F"/>
    <w:rsid w:val="00AC1DEA"/>
    <w:rsid w:val="00AC22C8"/>
    <w:rsid w:val="00AC55DC"/>
    <w:rsid w:val="00AC6206"/>
    <w:rsid w:val="00AC7DDF"/>
    <w:rsid w:val="00AD0594"/>
    <w:rsid w:val="00AD4426"/>
    <w:rsid w:val="00AD44BB"/>
    <w:rsid w:val="00AD4F1F"/>
    <w:rsid w:val="00AD4F6E"/>
    <w:rsid w:val="00AD4FEF"/>
    <w:rsid w:val="00AD7F08"/>
    <w:rsid w:val="00AE0234"/>
    <w:rsid w:val="00AE0490"/>
    <w:rsid w:val="00AE0874"/>
    <w:rsid w:val="00AE15C7"/>
    <w:rsid w:val="00AE1642"/>
    <w:rsid w:val="00AE1706"/>
    <w:rsid w:val="00AE1D23"/>
    <w:rsid w:val="00AE21BB"/>
    <w:rsid w:val="00AE4786"/>
    <w:rsid w:val="00AE48E6"/>
    <w:rsid w:val="00AE5C3B"/>
    <w:rsid w:val="00AF2CC6"/>
    <w:rsid w:val="00AF316A"/>
    <w:rsid w:val="00AF4C41"/>
    <w:rsid w:val="00B00F64"/>
    <w:rsid w:val="00B01207"/>
    <w:rsid w:val="00B0337D"/>
    <w:rsid w:val="00B07149"/>
    <w:rsid w:val="00B07D3F"/>
    <w:rsid w:val="00B1044C"/>
    <w:rsid w:val="00B12E9F"/>
    <w:rsid w:val="00B177EC"/>
    <w:rsid w:val="00B17BE3"/>
    <w:rsid w:val="00B210B6"/>
    <w:rsid w:val="00B21F17"/>
    <w:rsid w:val="00B23603"/>
    <w:rsid w:val="00B2634B"/>
    <w:rsid w:val="00B2779D"/>
    <w:rsid w:val="00B30B67"/>
    <w:rsid w:val="00B329F0"/>
    <w:rsid w:val="00B34293"/>
    <w:rsid w:val="00B34569"/>
    <w:rsid w:val="00B3588B"/>
    <w:rsid w:val="00B35FE1"/>
    <w:rsid w:val="00B4037E"/>
    <w:rsid w:val="00B40FDA"/>
    <w:rsid w:val="00B42479"/>
    <w:rsid w:val="00B4438F"/>
    <w:rsid w:val="00B449FA"/>
    <w:rsid w:val="00B502D5"/>
    <w:rsid w:val="00B521FC"/>
    <w:rsid w:val="00B52206"/>
    <w:rsid w:val="00B53C4C"/>
    <w:rsid w:val="00B60AC8"/>
    <w:rsid w:val="00B60CDE"/>
    <w:rsid w:val="00B6576A"/>
    <w:rsid w:val="00B65F96"/>
    <w:rsid w:val="00B665F6"/>
    <w:rsid w:val="00B716F1"/>
    <w:rsid w:val="00B74B60"/>
    <w:rsid w:val="00B80295"/>
    <w:rsid w:val="00B831B8"/>
    <w:rsid w:val="00B845BD"/>
    <w:rsid w:val="00B8534D"/>
    <w:rsid w:val="00B86AF2"/>
    <w:rsid w:val="00B87F8C"/>
    <w:rsid w:val="00B907B0"/>
    <w:rsid w:val="00B91835"/>
    <w:rsid w:val="00B919D4"/>
    <w:rsid w:val="00B91EB9"/>
    <w:rsid w:val="00B93412"/>
    <w:rsid w:val="00B9579C"/>
    <w:rsid w:val="00B97DEB"/>
    <w:rsid w:val="00BA2E3F"/>
    <w:rsid w:val="00BA31CD"/>
    <w:rsid w:val="00BB13BA"/>
    <w:rsid w:val="00BB5590"/>
    <w:rsid w:val="00BB5B75"/>
    <w:rsid w:val="00BB72B0"/>
    <w:rsid w:val="00BC1938"/>
    <w:rsid w:val="00BC2195"/>
    <w:rsid w:val="00BD03D7"/>
    <w:rsid w:val="00BD03EA"/>
    <w:rsid w:val="00BD6B55"/>
    <w:rsid w:val="00BE0A9C"/>
    <w:rsid w:val="00BE12A4"/>
    <w:rsid w:val="00BE2594"/>
    <w:rsid w:val="00BE579C"/>
    <w:rsid w:val="00BE6F00"/>
    <w:rsid w:val="00BF06DB"/>
    <w:rsid w:val="00BF32B2"/>
    <w:rsid w:val="00BF3E46"/>
    <w:rsid w:val="00C00007"/>
    <w:rsid w:val="00C00E2C"/>
    <w:rsid w:val="00C019A3"/>
    <w:rsid w:val="00C071BB"/>
    <w:rsid w:val="00C0747D"/>
    <w:rsid w:val="00C101AB"/>
    <w:rsid w:val="00C10464"/>
    <w:rsid w:val="00C106F0"/>
    <w:rsid w:val="00C20147"/>
    <w:rsid w:val="00C232DB"/>
    <w:rsid w:val="00C23AA3"/>
    <w:rsid w:val="00C24E7D"/>
    <w:rsid w:val="00C252C7"/>
    <w:rsid w:val="00C26235"/>
    <w:rsid w:val="00C31D48"/>
    <w:rsid w:val="00C32E38"/>
    <w:rsid w:val="00C342EB"/>
    <w:rsid w:val="00C35D2C"/>
    <w:rsid w:val="00C36ADD"/>
    <w:rsid w:val="00C376A6"/>
    <w:rsid w:val="00C41045"/>
    <w:rsid w:val="00C4131D"/>
    <w:rsid w:val="00C448EC"/>
    <w:rsid w:val="00C459E0"/>
    <w:rsid w:val="00C46210"/>
    <w:rsid w:val="00C50A58"/>
    <w:rsid w:val="00C52EC7"/>
    <w:rsid w:val="00C531B3"/>
    <w:rsid w:val="00C61238"/>
    <w:rsid w:val="00C61B24"/>
    <w:rsid w:val="00C6279D"/>
    <w:rsid w:val="00C632AF"/>
    <w:rsid w:val="00C641BF"/>
    <w:rsid w:val="00C64588"/>
    <w:rsid w:val="00C6779E"/>
    <w:rsid w:val="00C7181F"/>
    <w:rsid w:val="00C736DA"/>
    <w:rsid w:val="00C760C9"/>
    <w:rsid w:val="00C7685C"/>
    <w:rsid w:val="00C81045"/>
    <w:rsid w:val="00C818F6"/>
    <w:rsid w:val="00C84DE7"/>
    <w:rsid w:val="00C8521E"/>
    <w:rsid w:val="00C872E4"/>
    <w:rsid w:val="00C87942"/>
    <w:rsid w:val="00C9169F"/>
    <w:rsid w:val="00C968D0"/>
    <w:rsid w:val="00CA24E7"/>
    <w:rsid w:val="00CA4189"/>
    <w:rsid w:val="00CA51A6"/>
    <w:rsid w:val="00CA76E7"/>
    <w:rsid w:val="00CB2095"/>
    <w:rsid w:val="00CB3223"/>
    <w:rsid w:val="00CC223F"/>
    <w:rsid w:val="00CC4CDE"/>
    <w:rsid w:val="00CC5A0A"/>
    <w:rsid w:val="00CD003C"/>
    <w:rsid w:val="00CD0AFD"/>
    <w:rsid w:val="00CD20A8"/>
    <w:rsid w:val="00CD3721"/>
    <w:rsid w:val="00CD585C"/>
    <w:rsid w:val="00CD5926"/>
    <w:rsid w:val="00CD6317"/>
    <w:rsid w:val="00CD7034"/>
    <w:rsid w:val="00CD7E30"/>
    <w:rsid w:val="00CE16B9"/>
    <w:rsid w:val="00CE265E"/>
    <w:rsid w:val="00CE4254"/>
    <w:rsid w:val="00CE7061"/>
    <w:rsid w:val="00CF0302"/>
    <w:rsid w:val="00CF5029"/>
    <w:rsid w:val="00D00AB6"/>
    <w:rsid w:val="00D00EC7"/>
    <w:rsid w:val="00D00FD9"/>
    <w:rsid w:val="00D05ADC"/>
    <w:rsid w:val="00D0711B"/>
    <w:rsid w:val="00D07E5E"/>
    <w:rsid w:val="00D113C4"/>
    <w:rsid w:val="00D15D26"/>
    <w:rsid w:val="00D164AE"/>
    <w:rsid w:val="00D2359C"/>
    <w:rsid w:val="00D2440D"/>
    <w:rsid w:val="00D24B48"/>
    <w:rsid w:val="00D312AD"/>
    <w:rsid w:val="00D32A7B"/>
    <w:rsid w:val="00D33436"/>
    <w:rsid w:val="00D353A9"/>
    <w:rsid w:val="00D35D50"/>
    <w:rsid w:val="00D36B6F"/>
    <w:rsid w:val="00D37BEA"/>
    <w:rsid w:val="00D431A0"/>
    <w:rsid w:val="00D439E9"/>
    <w:rsid w:val="00D45A0A"/>
    <w:rsid w:val="00D4617B"/>
    <w:rsid w:val="00D4661D"/>
    <w:rsid w:val="00D535D9"/>
    <w:rsid w:val="00D5363C"/>
    <w:rsid w:val="00D615B3"/>
    <w:rsid w:val="00D619F8"/>
    <w:rsid w:val="00D61AAB"/>
    <w:rsid w:val="00D65047"/>
    <w:rsid w:val="00D660AA"/>
    <w:rsid w:val="00D7180A"/>
    <w:rsid w:val="00D72226"/>
    <w:rsid w:val="00D72609"/>
    <w:rsid w:val="00D72A44"/>
    <w:rsid w:val="00D7419A"/>
    <w:rsid w:val="00D77561"/>
    <w:rsid w:val="00D80231"/>
    <w:rsid w:val="00D84F9A"/>
    <w:rsid w:val="00D86D42"/>
    <w:rsid w:val="00D86F54"/>
    <w:rsid w:val="00D872AC"/>
    <w:rsid w:val="00D90441"/>
    <w:rsid w:val="00D90801"/>
    <w:rsid w:val="00D92767"/>
    <w:rsid w:val="00D92F2F"/>
    <w:rsid w:val="00D95588"/>
    <w:rsid w:val="00D95FF0"/>
    <w:rsid w:val="00DA16B0"/>
    <w:rsid w:val="00DA22CE"/>
    <w:rsid w:val="00DA55E6"/>
    <w:rsid w:val="00DA5FF9"/>
    <w:rsid w:val="00DB0C22"/>
    <w:rsid w:val="00DB50EF"/>
    <w:rsid w:val="00DB65DC"/>
    <w:rsid w:val="00DB7497"/>
    <w:rsid w:val="00DB7597"/>
    <w:rsid w:val="00DC01B6"/>
    <w:rsid w:val="00DC3040"/>
    <w:rsid w:val="00DC756D"/>
    <w:rsid w:val="00DC77F5"/>
    <w:rsid w:val="00DC7824"/>
    <w:rsid w:val="00DC7FA8"/>
    <w:rsid w:val="00DD0E0F"/>
    <w:rsid w:val="00DD3540"/>
    <w:rsid w:val="00DD7F1F"/>
    <w:rsid w:val="00DE1152"/>
    <w:rsid w:val="00DE4DE4"/>
    <w:rsid w:val="00DF1D18"/>
    <w:rsid w:val="00DF212B"/>
    <w:rsid w:val="00DF22AE"/>
    <w:rsid w:val="00E02119"/>
    <w:rsid w:val="00E061D6"/>
    <w:rsid w:val="00E14EA8"/>
    <w:rsid w:val="00E16508"/>
    <w:rsid w:val="00E16523"/>
    <w:rsid w:val="00E16E8E"/>
    <w:rsid w:val="00E20361"/>
    <w:rsid w:val="00E20EE4"/>
    <w:rsid w:val="00E213AA"/>
    <w:rsid w:val="00E22336"/>
    <w:rsid w:val="00E234AD"/>
    <w:rsid w:val="00E238FC"/>
    <w:rsid w:val="00E23F16"/>
    <w:rsid w:val="00E26982"/>
    <w:rsid w:val="00E27711"/>
    <w:rsid w:val="00E317A8"/>
    <w:rsid w:val="00E3188D"/>
    <w:rsid w:val="00E34ECA"/>
    <w:rsid w:val="00E35D83"/>
    <w:rsid w:val="00E3617B"/>
    <w:rsid w:val="00E36CAA"/>
    <w:rsid w:val="00E37AF0"/>
    <w:rsid w:val="00E37CAD"/>
    <w:rsid w:val="00E4055C"/>
    <w:rsid w:val="00E428C9"/>
    <w:rsid w:val="00E42977"/>
    <w:rsid w:val="00E4346B"/>
    <w:rsid w:val="00E43B29"/>
    <w:rsid w:val="00E453B2"/>
    <w:rsid w:val="00E475D7"/>
    <w:rsid w:val="00E51996"/>
    <w:rsid w:val="00E55860"/>
    <w:rsid w:val="00E60AA3"/>
    <w:rsid w:val="00E62ECD"/>
    <w:rsid w:val="00E66B01"/>
    <w:rsid w:val="00E67A8D"/>
    <w:rsid w:val="00E705A6"/>
    <w:rsid w:val="00E735DB"/>
    <w:rsid w:val="00E74359"/>
    <w:rsid w:val="00E745A7"/>
    <w:rsid w:val="00E750DE"/>
    <w:rsid w:val="00E77806"/>
    <w:rsid w:val="00E81BC4"/>
    <w:rsid w:val="00E844E1"/>
    <w:rsid w:val="00E84C5B"/>
    <w:rsid w:val="00E9096C"/>
    <w:rsid w:val="00E91F79"/>
    <w:rsid w:val="00E93107"/>
    <w:rsid w:val="00E9838C"/>
    <w:rsid w:val="00EA1442"/>
    <w:rsid w:val="00EA1C6A"/>
    <w:rsid w:val="00EA6A32"/>
    <w:rsid w:val="00EA7E82"/>
    <w:rsid w:val="00EB14DD"/>
    <w:rsid w:val="00EB2100"/>
    <w:rsid w:val="00EB3CF4"/>
    <w:rsid w:val="00EB73A8"/>
    <w:rsid w:val="00EC02C2"/>
    <w:rsid w:val="00EC11A1"/>
    <w:rsid w:val="00EC228E"/>
    <w:rsid w:val="00EC7AB8"/>
    <w:rsid w:val="00ED2242"/>
    <w:rsid w:val="00ED2693"/>
    <w:rsid w:val="00ED4C9C"/>
    <w:rsid w:val="00ED50E9"/>
    <w:rsid w:val="00ED60C7"/>
    <w:rsid w:val="00ED742F"/>
    <w:rsid w:val="00EE3645"/>
    <w:rsid w:val="00EE3E3A"/>
    <w:rsid w:val="00EE4E15"/>
    <w:rsid w:val="00EF012F"/>
    <w:rsid w:val="00EF158C"/>
    <w:rsid w:val="00EF1E1B"/>
    <w:rsid w:val="00EF1F1A"/>
    <w:rsid w:val="00EF2519"/>
    <w:rsid w:val="00EF4BA3"/>
    <w:rsid w:val="00EF5DAA"/>
    <w:rsid w:val="00EF6794"/>
    <w:rsid w:val="00F02345"/>
    <w:rsid w:val="00F03663"/>
    <w:rsid w:val="00F0596E"/>
    <w:rsid w:val="00F06F8F"/>
    <w:rsid w:val="00F0799D"/>
    <w:rsid w:val="00F07B5F"/>
    <w:rsid w:val="00F10E74"/>
    <w:rsid w:val="00F12C32"/>
    <w:rsid w:val="00F12D21"/>
    <w:rsid w:val="00F1360D"/>
    <w:rsid w:val="00F1395F"/>
    <w:rsid w:val="00F1397C"/>
    <w:rsid w:val="00F169E7"/>
    <w:rsid w:val="00F17DC9"/>
    <w:rsid w:val="00F22910"/>
    <w:rsid w:val="00F229B9"/>
    <w:rsid w:val="00F2576F"/>
    <w:rsid w:val="00F32A5F"/>
    <w:rsid w:val="00F34A83"/>
    <w:rsid w:val="00F40EC0"/>
    <w:rsid w:val="00F41143"/>
    <w:rsid w:val="00F412A6"/>
    <w:rsid w:val="00F43817"/>
    <w:rsid w:val="00F4644B"/>
    <w:rsid w:val="00F47A6B"/>
    <w:rsid w:val="00F50234"/>
    <w:rsid w:val="00F50576"/>
    <w:rsid w:val="00F50B8A"/>
    <w:rsid w:val="00F5104A"/>
    <w:rsid w:val="00F515FD"/>
    <w:rsid w:val="00F51B74"/>
    <w:rsid w:val="00F51C7F"/>
    <w:rsid w:val="00F52D54"/>
    <w:rsid w:val="00F607BC"/>
    <w:rsid w:val="00F60A32"/>
    <w:rsid w:val="00F60C91"/>
    <w:rsid w:val="00F623A5"/>
    <w:rsid w:val="00F637DB"/>
    <w:rsid w:val="00F64462"/>
    <w:rsid w:val="00F74A1E"/>
    <w:rsid w:val="00F7522F"/>
    <w:rsid w:val="00F76790"/>
    <w:rsid w:val="00F8624D"/>
    <w:rsid w:val="00F8688A"/>
    <w:rsid w:val="00F86952"/>
    <w:rsid w:val="00F87E85"/>
    <w:rsid w:val="00F87F49"/>
    <w:rsid w:val="00F90304"/>
    <w:rsid w:val="00F946AE"/>
    <w:rsid w:val="00F96AEC"/>
    <w:rsid w:val="00FA0BF7"/>
    <w:rsid w:val="00FA37CF"/>
    <w:rsid w:val="00FA44C3"/>
    <w:rsid w:val="00FA5602"/>
    <w:rsid w:val="00FA5C25"/>
    <w:rsid w:val="00FA6456"/>
    <w:rsid w:val="00FB2166"/>
    <w:rsid w:val="00FB2356"/>
    <w:rsid w:val="00FB24AD"/>
    <w:rsid w:val="00FB2758"/>
    <w:rsid w:val="00FB4955"/>
    <w:rsid w:val="00FB76C8"/>
    <w:rsid w:val="00FC0ACF"/>
    <w:rsid w:val="00FC2588"/>
    <w:rsid w:val="00FC40F8"/>
    <w:rsid w:val="00FC6A4D"/>
    <w:rsid w:val="00FC7B7C"/>
    <w:rsid w:val="00FD27C9"/>
    <w:rsid w:val="00FD4E1D"/>
    <w:rsid w:val="00FD62EC"/>
    <w:rsid w:val="00FE0B18"/>
    <w:rsid w:val="00FE1045"/>
    <w:rsid w:val="00FE198D"/>
    <w:rsid w:val="00FE40C1"/>
    <w:rsid w:val="00FE4442"/>
    <w:rsid w:val="00FF02E4"/>
    <w:rsid w:val="0220F190"/>
    <w:rsid w:val="041AAD63"/>
    <w:rsid w:val="0455350A"/>
    <w:rsid w:val="0475BAA2"/>
    <w:rsid w:val="0502F6FC"/>
    <w:rsid w:val="06D0CFF2"/>
    <w:rsid w:val="06D1883D"/>
    <w:rsid w:val="0737EFEE"/>
    <w:rsid w:val="077D4C61"/>
    <w:rsid w:val="085EC2B0"/>
    <w:rsid w:val="08F83C48"/>
    <w:rsid w:val="0BA5D382"/>
    <w:rsid w:val="0C1974F1"/>
    <w:rsid w:val="0C1E07B9"/>
    <w:rsid w:val="0D4BBACF"/>
    <w:rsid w:val="0D9C99AF"/>
    <w:rsid w:val="0DFAA6B0"/>
    <w:rsid w:val="0F19F946"/>
    <w:rsid w:val="1034B562"/>
    <w:rsid w:val="112CF52A"/>
    <w:rsid w:val="1168EB8C"/>
    <w:rsid w:val="116C7619"/>
    <w:rsid w:val="12DF8036"/>
    <w:rsid w:val="14196CB5"/>
    <w:rsid w:val="14557B77"/>
    <w:rsid w:val="1467B474"/>
    <w:rsid w:val="15130256"/>
    <w:rsid w:val="16DFB7B6"/>
    <w:rsid w:val="1710DE40"/>
    <w:rsid w:val="18B5F611"/>
    <w:rsid w:val="18D5BA9C"/>
    <w:rsid w:val="18F96875"/>
    <w:rsid w:val="1B01C7D6"/>
    <w:rsid w:val="1CE45455"/>
    <w:rsid w:val="20EE4C93"/>
    <w:rsid w:val="2172777E"/>
    <w:rsid w:val="22781D70"/>
    <w:rsid w:val="234BFB81"/>
    <w:rsid w:val="239A99FE"/>
    <w:rsid w:val="243A6C13"/>
    <w:rsid w:val="24544901"/>
    <w:rsid w:val="24EB7384"/>
    <w:rsid w:val="25BBEF71"/>
    <w:rsid w:val="2B2C1254"/>
    <w:rsid w:val="2C5F5AB5"/>
    <w:rsid w:val="2E75A4B1"/>
    <w:rsid w:val="2EDB6B5E"/>
    <w:rsid w:val="2F3D5224"/>
    <w:rsid w:val="3010476D"/>
    <w:rsid w:val="30108583"/>
    <w:rsid w:val="30541510"/>
    <w:rsid w:val="31443589"/>
    <w:rsid w:val="322523EC"/>
    <w:rsid w:val="32848796"/>
    <w:rsid w:val="32CC93C9"/>
    <w:rsid w:val="336A1BE6"/>
    <w:rsid w:val="343DCD89"/>
    <w:rsid w:val="345CC2DC"/>
    <w:rsid w:val="34B37FC7"/>
    <w:rsid w:val="3591F458"/>
    <w:rsid w:val="370A2D5F"/>
    <w:rsid w:val="373AA6FF"/>
    <w:rsid w:val="391AA8EB"/>
    <w:rsid w:val="393F3CF9"/>
    <w:rsid w:val="395032FE"/>
    <w:rsid w:val="3A4C6BAF"/>
    <w:rsid w:val="3C67FC56"/>
    <w:rsid w:val="3CFD1EA5"/>
    <w:rsid w:val="3DECB627"/>
    <w:rsid w:val="3E955F55"/>
    <w:rsid w:val="3EF334E1"/>
    <w:rsid w:val="3F04B8AA"/>
    <w:rsid w:val="3FA8FDD5"/>
    <w:rsid w:val="407D7D71"/>
    <w:rsid w:val="408A4D49"/>
    <w:rsid w:val="4097DB98"/>
    <w:rsid w:val="40B422EF"/>
    <w:rsid w:val="4113F4EC"/>
    <w:rsid w:val="414027DA"/>
    <w:rsid w:val="434107DD"/>
    <w:rsid w:val="434112C6"/>
    <w:rsid w:val="43C1F8C8"/>
    <w:rsid w:val="447B8193"/>
    <w:rsid w:val="454938E4"/>
    <w:rsid w:val="499F7516"/>
    <w:rsid w:val="4A4A4CDB"/>
    <w:rsid w:val="4AA061D2"/>
    <w:rsid w:val="4BD25AC2"/>
    <w:rsid w:val="4C85998D"/>
    <w:rsid w:val="4D0E252B"/>
    <w:rsid w:val="4D6F9D49"/>
    <w:rsid w:val="4DC561EC"/>
    <w:rsid w:val="4F42E347"/>
    <w:rsid w:val="548CD637"/>
    <w:rsid w:val="55277865"/>
    <w:rsid w:val="56B9E22E"/>
    <w:rsid w:val="578C0C86"/>
    <w:rsid w:val="58471A90"/>
    <w:rsid w:val="58B630BC"/>
    <w:rsid w:val="58EA8A7D"/>
    <w:rsid w:val="5A495143"/>
    <w:rsid w:val="5B0F7E17"/>
    <w:rsid w:val="5B536947"/>
    <w:rsid w:val="5BCFBC3F"/>
    <w:rsid w:val="5BDD0D79"/>
    <w:rsid w:val="5CBD438D"/>
    <w:rsid w:val="5FA79470"/>
    <w:rsid w:val="61A5918C"/>
    <w:rsid w:val="62E557F0"/>
    <w:rsid w:val="642A271A"/>
    <w:rsid w:val="64F3FB5B"/>
    <w:rsid w:val="65258AA2"/>
    <w:rsid w:val="652AE0AF"/>
    <w:rsid w:val="6534B823"/>
    <w:rsid w:val="657D8440"/>
    <w:rsid w:val="65B10569"/>
    <w:rsid w:val="66B1EAC3"/>
    <w:rsid w:val="6705EAD3"/>
    <w:rsid w:val="683F51C8"/>
    <w:rsid w:val="68F1C471"/>
    <w:rsid w:val="69DAB7F2"/>
    <w:rsid w:val="69E66C4A"/>
    <w:rsid w:val="6AE6DCF9"/>
    <w:rsid w:val="6D2486B7"/>
    <w:rsid w:val="6D6E5828"/>
    <w:rsid w:val="6E9DB521"/>
    <w:rsid w:val="708B36E9"/>
    <w:rsid w:val="70D7E767"/>
    <w:rsid w:val="7110B0BA"/>
    <w:rsid w:val="77710259"/>
    <w:rsid w:val="78BA5BF5"/>
    <w:rsid w:val="79337F1C"/>
    <w:rsid w:val="7A0CC2BB"/>
    <w:rsid w:val="7B40122D"/>
    <w:rsid w:val="7BA55285"/>
    <w:rsid w:val="7BD2F1E5"/>
    <w:rsid w:val="7D123B7E"/>
    <w:rsid w:val="7D3B463A"/>
    <w:rsid w:val="7E918EE0"/>
    <w:rsid w:val="7FE48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F820116D-3C79-49F2-B975-DAAC48C7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D1"/>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GridTable1Light-Accent5">
    <w:name w:val="Grid Table 1 Light Accent 5"/>
    <w:basedOn w:val="TableNormal"/>
    <w:uiPriority w:val="46"/>
    <w:rsid w:val="005E337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5E33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1">
    <w:name w:val="Plain Table 1"/>
    <w:basedOn w:val="TableNormal"/>
    <w:uiPriority w:val="41"/>
    <w:rsid w:val="00E519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E6E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311821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31274552">
      <w:bodyDiv w:val="1"/>
      <w:marLeft w:val="0"/>
      <w:marRight w:val="0"/>
      <w:marTop w:val="0"/>
      <w:marBottom w:val="0"/>
      <w:divBdr>
        <w:top w:val="none" w:sz="0" w:space="0" w:color="auto"/>
        <w:left w:val="none" w:sz="0" w:space="0" w:color="auto"/>
        <w:bottom w:val="none" w:sz="0" w:space="0" w:color="auto"/>
        <w:right w:val="none" w:sz="0" w:space="0" w:color="auto"/>
      </w:divBdr>
    </w:div>
    <w:div w:id="54207119">
      <w:bodyDiv w:val="1"/>
      <w:marLeft w:val="0"/>
      <w:marRight w:val="0"/>
      <w:marTop w:val="0"/>
      <w:marBottom w:val="0"/>
      <w:divBdr>
        <w:top w:val="none" w:sz="0" w:space="0" w:color="auto"/>
        <w:left w:val="none" w:sz="0" w:space="0" w:color="auto"/>
        <w:bottom w:val="none" w:sz="0" w:space="0" w:color="auto"/>
        <w:right w:val="none" w:sz="0" w:space="0" w:color="auto"/>
      </w:divBdr>
    </w:div>
    <w:div w:id="58679086">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85199773">
      <w:bodyDiv w:val="1"/>
      <w:marLeft w:val="0"/>
      <w:marRight w:val="0"/>
      <w:marTop w:val="0"/>
      <w:marBottom w:val="0"/>
      <w:divBdr>
        <w:top w:val="none" w:sz="0" w:space="0" w:color="auto"/>
        <w:left w:val="none" w:sz="0" w:space="0" w:color="auto"/>
        <w:bottom w:val="none" w:sz="0" w:space="0" w:color="auto"/>
        <w:right w:val="none" w:sz="0" w:space="0" w:color="auto"/>
      </w:divBdr>
    </w:div>
    <w:div w:id="97531091">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087664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29786718">
      <w:bodyDiv w:val="1"/>
      <w:marLeft w:val="0"/>
      <w:marRight w:val="0"/>
      <w:marTop w:val="0"/>
      <w:marBottom w:val="0"/>
      <w:divBdr>
        <w:top w:val="none" w:sz="0" w:space="0" w:color="auto"/>
        <w:left w:val="none" w:sz="0" w:space="0" w:color="auto"/>
        <w:bottom w:val="none" w:sz="0" w:space="0" w:color="auto"/>
        <w:right w:val="none" w:sz="0" w:space="0" w:color="auto"/>
      </w:divBdr>
    </w:div>
    <w:div w:id="130095265">
      <w:bodyDiv w:val="1"/>
      <w:marLeft w:val="0"/>
      <w:marRight w:val="0"/>
      <w:marTop w:val="0"/>
      <w:marBottom w:val="0"/>
      <w:divBdr>
        <w:top w:val="none" w:sz="0" w:space="0" w:color="auto"/>
        <w:left w:val="none" w:sz="0" w:space="0" w:color="auto"/>
        <w:bottom w:val="none" w:sz="0" w:space="0" w:color="auto"/>
        <w:right w:val="none" w:sz="0" w:space="0" w:color="auto"/>
      </w:divBdr>
    </w:div>
    <w:div w:id="131216762">
      <w:bodyDiv w:val="1"/>
      <w:marLeft w:val="0"/>
      <w:marRight w:val="0"/>
      <w:marTop w:val="0"/>
      <w:marBottom w:val="0"/>
      <w:divBdr>
        <w:top w:val="none" w:sz="0" w:space="0" w:color="auto"/>
        <w:left w:val="none" w:sz="0" w:space="0" w:color="auto"/>
        <w:bottom w:val="none" w:sz="0" w:space="0" w:color="auto"/>
        <w:right w:val="none" w:sz="0" w:space="0" w:color="auto"/>
      </w:divBdr>
    </w:div>
    <w:div w:id="143086558">
      <w:bodyDiv w:val="1"/>
      <w:marLeft w:val="0"/>
      <w:marRight w:val="0"/>
      <w:marTop w:val="0"/>
      <w:marBottom w:val="0"/>
      <w:divBdr>
        <w:top w:val="none" w:sz="0" w:space="0" w:color="auto"/>
        <w:left w:val="none" w:sz="0" w:space="0" w:color="auto"/>
        <w:bottom w:val="none" w:sz="0" w:space="0" w:color="auto"/>
        <w:right w:val="none" w:sz="0" w:space="0" w:color="auto"/>
      </w:divBdr>
    </w:div>
    <w:div w:id="158079327">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189222207">
      <w:bodyDiv w:val="1"/>
      <w:marLeft w:val="0"/>
      <w:marRight w:val="0"/>
      <w:marTop w:val="0"/>
      <w:marBottom w:val="0"/>
      <w:divBdr>
        <w:top w:val="none" w:sz="0" w:space="0" w:color="auto"/>
        <w:left w:val="none" w:sz="0" w:space="0" w:color="auto"/>
        <w:bottom w:val="none" w:sz="0" w:space="0" w:color="auto"/>
        <w:right w:val="none" w:sz="0" w:space="0" w:color="auto"/>
      </w:divBdr>
      <w:divsChild>
        <w:div w:id="38215058">
          <w:marLeft w:val="274"/>
          <w:marRight w:val="0"/>
          <w:marTop w:val="0"/>
          <w:marBottom w:val="0"/>
          <w:divBdr>
            <w:top w:val="none" w:sz="0" w:space="0" w:color="auto"/>
            <w:left w:val="none" w:sz="0" w:space="0" w:color="auto"/>
            <w:bottom w:val="none" w:sz="0" w:space="0" w:color="auto"/>
            <w:right w:val="none" w:sz="0" w:space="0" w:color="auto"/>
          </w:divBdr>
        </w:div>
      </w:divsChild>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2157330">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5618081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1786337">
      <w:bodyDiv w:val="1"/>
      <w:marLeft w:val="0"/>
      <w:marRight w:val="0"/>
      <w:marTop w:val="0"/>
      <w:marBottom w:val="0"/>
      <w:divBdr>
        <w:top w:val="none" w:sz="0" w:space="0" w:color="auto"/>
        <w:left w:val="none" w:sz="0" w:space="0" w:color="auto"/>
        <w:bottom w:val="none" w:sz="0" w:space="0" w:color="auto"/>
        <w:right w:val="none" w:sz="0" w:space="0" w:color="auto"/>
      </w:divBdr>
    </w:div>
    <w:div w:id="324090009">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47219933">
      <w:bodyDiv w:val="1"/>
      <w:marLeft w:val="0"/>
      <w:marRight w:val="0"/>
      <w:marTop w:val="0"/>
      <w:marBottom w:val="0"/>
      <w:divBdr>
        <w:top w:val="none" w:sz="0" w:space="0" w:color="auto"/>
        <w:left w:val="none" w:sz="0" w:space="0" w:color="auto"/>
        <w:bottom w:val="none" w:sz="0" w:space="0" w:color="auto"/>
        <w:right w:val="none" w:sz="0" w:space="0" w:color="auto"/>
      </w:divBdr>
    </w:div>
    <w:div w:id="349183916">
      <w:bodyDiv w:val="1"/>
      <w:marLeft w:val="0"/>
      <w:marRight w:val="0"/>
      <w:marTop w:val="0"/>
      <w:marBottom w:val="0"/>
      <w:divBdr>
        <w:top w:val="none" w:sz="0" w:space="0" w:color="auto"/>
        <w:left w:val="none" w:sz="0" w:space="0" w:color="auto"/>
        <w:bottom w:val="none" w:sz="0" w:space="0" w:color="auto"/>
        <w:right w:val="none" w:sz="0" w:space="0" w:color="auto"/>
      </w:divBdr>
      <w:divsChild>
        <w:div w:id="9112747">
          <w:marLeft w:val="0"/>
          <w:marRight w:val="0"/>
          <w:marTop w:val="0"/>
          <w:marBottom w:val="0"/>
          <w:divBdr>
            <w:top w:val="none" w:sz="0" w:space="0" w:color="auto"/>
            <w:left w:val="none" w:sz="0" w:space="0" w:color="auto"/>
            <w:bottom w:val="none" w:sz="0" w:space="0" w:color="auto"/>
            <w:right w:val="none" w:sz="0" w:space="0" w:color="auto"/>
          </w:divBdr>
        </w:div>
      </w:divsChild>
    </w:div>
    <w:div w:id="36190798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78482019">
      <w:bodyDiv w:val="1"/>
      <w:marLeft w:val="0"/>
      <w:marRight w:val="0"/>
      <w:marTop w:val="0"/>
      <w:marBottom w:val="0"/>
      <w:divBdr>
        <w:top w:val="none" w:sz="0" w:space="0" w:color="auto"/>
        <w:left w:val="none" w:sz="0" w:space="0" w:color="auto"/>
        <w:bottom w:val="none" w:sz="0" w:space="0" w:color="auto"/>
        <w:right w:val="none" w:sz="0" w:space="0" w:color="auto"/>
      </w:divBdr>
    </w:div>
    <w:div w:id="382295973">
      <w:bodyDiv w:val="1"/>
      <w:marLeft w:val="0"/>
      <w:marRight w:val="0"/>
      <w:marTop w:val="0"/>
      <w:marBottom w:val="0"/>
      <w:divBdr>
        <w:top w:val="none" w:sz="0" w:space="0" w:color="auto"/>
        <w:left w:val="none" w:sz="0" w:space="0" w:color="auto"/>
        <w:bottom w:val="none" w:sz="0" w:space="0" w:color="auto"/>
        <w:right w:val="none" w:sz="0" w:space="0" w:color="auto"/>
      </w:divBdr>
    </w:div>
    <w:div w:id="38850417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00294606">
      <w:bodyDiv w:val="1"/>
      <w:marLeft w:val="0"/>
      <w:marRight w:val="0"/>
      <w:marTop w:val="0"/>
      <w:marBottom w:val="0"/>
      <w:divBdr>
        <w:top w:val="none" w:sz="0" w:space="0" w:color="auto"/>
        <w:left w:val="none" w:sz="0" w:space="0" w:color="auto"/>
        <w:bottom w:val="none" w:sz="0" w:space="0" w:color="auto"/>
        <w:right w:val="none" w:sz="0" w:space="0" w:color="auto"/>
      </w:divBdr>
      <w:divsChild>
        <w:div w:id="1836416322">
          <w:marLeft w:val="0"/>
          <w:marRight w:val="0"/>
          <w:marTop w:val="0"/>
          <w:marBottom w:val="0"/>
          <w:divBdr>
            <w:top w:val="none" w:sz="0" w:space="0" w:color="auto"/>
            <w:left w:val="none" w:sz="0" w:space="0" w:color="auto"/>
            <w:bottom w:val="none" w:sz="0" w:space="0" w:color="auto"/>
            <w:right w:val="none" w:sz="0" w:space="0" w:color="auto"/>
          </w:divBdr>
        </w:div>
        <w:div w:id="1900550882">
          <w:marLeft w:val="0"/>
          <w:marRight w:val="0"/>
          <w:marTop w:val="0"/>
          <w:marBottom w:val="0"/>
          <w:divBdr>
            <w:top w:val="none" w:sz="0" w:space="0" w:color="auto"/>
            <w:left w:val="none" w:sz="0" w:space="0" w:color="auto"/>
            <w:bottom w:val="none" w:sz="0" w:space="0" w:color="auto"/>
            <w:right w:val="none" w:sz="0" w:space="0" w:color="auto"/>
          </w:divBdr>
        </w:div>
        <w:div w:id="1572547159">
          <w:marLeft w:val="0"/>
          <w:marRight w:val="0"/>
          <w:marTop w:val="0"/>
          <w:marBottom w:val="0"/>
          <w:divBdr>
            <w:top w:val="none" w:sz="0" w:space="0" w:color="auto"/>
            <w:left w:val="none" w:sz="0" w:space="0" w:color="auto"/>
            <w:bottom w:val="none" w:sz="0" w:space="0" w:color="auto"/>
            <w:right w:val="none" w:sz="0" w:space="0" w:color="auto"/>
          </w:divBdr>
        </w:div>
        <w:div w:id="1714113055">
          <w:marLeft w:val="0"/>
          <w:marRight w:val="0"/>
          <w:marTop w:val="0"/>
          <w:marBottom w:val="0"/>
          <w:divBdr>
            <w:top w:val="none" w:sz="0" w:space="0" w:color="auto"/>
            <w:left w:val="none" w:sz="0" w:space="0" w:color="auto"/>
            <w:bottom w:val="none" w:sz="0" w:space="0" w:color="auto"/>
            <w:right w:val="none" w:sz="0" w:space="0" w:color="auto"/>
          </w:divBdr>
        </w:div>
      </w:divsChild>
    </w:div>
    <w:div w:id="401680515">
      <w:bodyDiv w:val="1"/>
      <w:marLeft w:val="0"/>
      <w:marRight w:val="0"/>
      <w:marTop w:val="0"/>
      <w:marBottom w:val="0"/>
      <w:divBdr>
        <w:top w:val="none" w:sz="0" w:space="0" w:color="auto"/>
        <w:left w:val="none" w:sz="0" w:space="0" w:color="auto"/>
        <w:bottom w:val="none" w:sz="0" w:space="0" w:color="auto"/>
        <w:right w:val="none" w:sz="0" w:space="0" w:color="auto"/>
      </w:divBdr>
    </w:div>
    <w:div w:id="410393890">
      <w:bodyDiv w:val="1"/>
      <w:marLeft w:val="0"/>
      <w:marRight w:val="0"/>
      <w:marTop w:val="0"/>
      <w:marBottom w:val="0"/>
      <w:divBdr>
        <w:top w:val="none" w:sz="0" w:space="0" w:color="auto"/>
        <w:left w:val="none" w:sz="0" w:space="0" w:color="auto"/>
        <w:bottom w:val="none" w:sz="0" w:space="0" w:color="auto"/>
        <w:right w:val="none" w:sz="0" w:space="0" w:color="auto"/>
      </w:divBdr>
    </w:div>
    <w:div w:id="417673383">
      <w:bodyDiv w:val="1"/>
      <w:marLeft w:val="0"/>
      <w:marRight w:val="0"/>
      <w:marTop w:val="0"/>
      <w:marBottom w:val="0"/>
      <w:divBdr>
        <w:top w:val="none" w:sz="0" w:space="0" w:color="auto"/>
        <w:left w:val="none" w:sz="0" w:space="0" w:color="auto"/>
        <w:bottom w:val="none" w:sz="0" w:space="0" w:color="auto"/>
        <w:right w:val="none" w:sz="0" w:space="0" w:color="auto"/>
      </w:divBdr>
    </w:div>
    <w:div w:id="433013635">
      <w:bodyDiv w:val="1"/>
      <w:marLeft w:val="0"/>
      <w:marRight w:val="0"/>
      <w:marTop w:val="0"/>
      <w:marBottom w:val="0"/>
      <w:divBdr>
        <w:top w:val="none" w:sz="0" w:space="0" w:color="auto"/>
        <w:left w:val="none" w:sz="0" w:space="0" w:color="auto"/>
        <w:bottom w:val="none" w:sz="0" w:space="0" w:color="auto"/>
        <w:right w:val="none" w:sz="0" w:space="0" w:color="auto"/>
      </w:divBdr>
    </w:div>
    <w:div w:id="434524382">
      <w:bodyDiv w:val="1"/>
      <w:marLeft w:val="0"/>
      <w:marRight w:val="0"/>
      <w:marTop w:val="0"/>
      <w:marBottom w:val="0"/>
      <w:divBdr>
        <w:top w:val="none" w:sz="0" w:space="0" w:color="auto"/>
        <w:left w:val="none" w:sz="0" w:space="0" w:color="auto"/>
        <w:bottom w:val="none" w:sz="0" w:space="0" w:color="auto"/>
        <w:right w:val="none" w:sz="0" w:space="0" w:color="auto"/>
      </w:divBdr>
    </w:div>
    <w:div w:id="442456702">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54101287">
      <w:bodyDiv w:val="1"/>
      <w:marLeft w:val="0"/>
      <w:marRight w:val="0"/>
      <w:marTop w:val="0"/>
      <w:marBottom w:val="0"/>
      <w:divBdr>
        <w:top w:val="none" w:sz="0" w:space="0" w:color="auto"/>
        <w:left w:val="none" w:sz="0" w:space="0" w:color="auto"/>
        <w:bottom w:val="none" w:sz="0" w:space="0" w:color="auto"/>
        <w:right w:val="none" w:sz="0" w:space="0" w:color="auto"/>
      </w:divBdr>
      <w:divsChild>
        <w:div w:id="2115242628">
          <w:marLeft w:val="274"/>
          <w:marRight w:val="0"/>
          <w:marTop w:val="0"/>
          <w:marBottom w:val="0"/>
          <w:divBdr>
            <w:top w:val="none" w:sz="0" w:space="0" w:color="auto"/>
            <w:left w:val="none" w:sz="0" w:space="0" w:color="auto"/>
            <w:bottom w:val="none" w:sz="0" w:space="0" w:color="auto"/>
            <w:right w:val="none" w:sz="0" w:space="0" w:color="auto"/>
          </w:divBdr>
        </w:div>
        <w:div w:id="547684597">
          <w:marLeft w:val="274"/>
          <w:marRight w:val="0"/>
          <w:marTop w:val="0"/>
          <w:marBottom w:val="0"/>
          <w:divBdr>
            <w:top w:val="none" w:sz="0" w:space="0" w:color="auto"/>
            <w:left w:val="none" w:sz="0" w:space="0" w:color="auto"/>
            <w:bottom w:val="none" w:sz="0" w:space="0" w:color="auto"/>
            <w:right w:val="none" w:sz="0" w:space="0" w:color="auto"/>
          </w:divBdr>
        </w:div>
        <w:div w:id="749355757">
          <w:marLeft w:val="274"/>
          <w:marRight w:val="0"/>
          <w:marTop w:val="0"/>
          <w:marBottom w:val="0"/>
          <w:divBdr>
            <w:top w:val="none" w:sz="0" w:space="0" w:color="auto"/>
            <w:left w:val="none" w:sz="0" w:space="0" w:color="auto"/>
            <w:bottom w:val="none" w:sz="0" w:space="0" w:color="auto"/>
            <w:right w:val="none" w:sz="0" w:space="0" w:color="auto"/>
          </w:divBdr>
        </w:div>
        <w:div w:id="1376276949">
          <w:marLeft w:val="274"/>
          <w:marRight w:val="0"/>
          <w:marTop w:val="0"/>
          <w:marBottom w:val="0"/>
          <w:divBdr>
            <w:top w:val="none" w:sz="0" w:space="0" w:color="auto"/>
            <w:left w:val="none" w:sz="0" w:space="0" w:color="auto"/>
            <w:bottom w:val="none" w:sz="0" w:space="0" w:color="auto"/>
            <w:right w:val="none" w:sz="0" w:space="0" w:color="auto"/>
          </w:divBdr>
        </w:div>
        <w:div w:id="1366369756">
          <w:marLeft w:val="274"/>
          <w:marRight w:val="0"/>
          <w:marTop w:val="0"/>
          <w:marBottom w:val="0"/>
          <w:divBdr>
            <w:top w:val="none" w:sz="0" w:space="0" w:color="auto"/>
            <w:left w:val="none" w:sz="0" w:space="0" w:color="auto"/>
            <w:bottom w:val="none" w:sz="0" w:space="0" w:color="auto"/>
            <w:right w:val="none" w:sz="0" w:space="0" w:color="auto"/>
          </w:divBdr>
        </w:div>
        <w:div w:id="133496876">
          <w:marLeft w:val="274"/>
          <w:marRight w:val="0"/>
          <w:marTop w:val="0"/>
          <w:marBottom w:val="0"/>
          <w:divBdr>
            <w:top w:val="none" w:sz="0" w:space="0" w:color="auto"/>
            <w:left w:val="none" w:sz="0" w:space="0" w:color="auto"/>
            <w:bottom w:val="none" w:sz="0" w:space="0" w:color="auto"/>
            <w:right w:val="none" w:sz="0" w:space="0" w:color="auto"/>
          </w:divBdr>
        </w:div>
      </w:divsChild>
    </w:div>
    <w:div w:id="455680743">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87478727">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18468266">
      <w:bodyDiv w:val="1"/>
      <w:marLeft w:val="0"/>
      <w:marRight w:val="0"/>
      <w:marTop w:val="0"/>
      <w:marBottom w:val="0"/>
      <w:divBdr>
        <w:top w:val="none" w:sz="0" w:space="0" w:color="auto"/>
        <w:left w:val="none" w:sz="0" w:space="0" w:color="auto"/>
        <w:bottom w:val="none" w:sz="0" w:space="0" w:color="auto"/>
        <w:right w:val="none" w:sz="0" w:space="0" w:color="auto"/>
      </w:divBdr>
    </w:div>
    <w:div w:id="534930445">
      <w:bodyDiv w:val="1"/>
      <w:marLeft w:val="0"/>
      <w:marRight w:val="0"/>
      <w:marTop w:val="0"/>
      <w:marBottom w:val="0"/>
      <w:divBdr>
        <w:top w:val="none" w:sz="0" w:space="0" w:color="auto"/>
        <w:left w:val="none" w:sz="0" w:space="0" w:color="auto"/>
        <w:bottom w:val="none" w:sz="0" w:space="0" w:color="auto"/>
        <w:right w:val="none" w:sz="0" w:space="0" w:color="auto"/>
      </w:divBdr>
    </w:div>
    <w:div w:id="536890230">
      <w:bodyDiv w:val="1"/>
      <w:marLeft w:val="0"/>
      <w:marRight w:val="0"/>
      <w:marTop w:val="0"/>
      <w:marBottom w:val="0"/>
      <w:divBdr>
        <w:top w:val="none" w:sz="0" w:space="0" w:color="auto"/>
        <w:left w:val="none" w:sz="0" w:space="0" w:color="auto"/>
        <w:bottom w:val="none" w:sz="0" w:space="0" w:color="auto"/>
        <w:right w:val="none" w:sz="0" w:space="0" w:color="auto"/>
      </w:divBdr>
    </w:div>
    <w:div w:id="537085182">
      <w:bodyDiv w:val="1"/>
      <w:marLeft w:val="0"/>
      <w:marRight w:val="0"/>
      <w:marTop w:val="0"/>
      <w:marBottom w:val="0"/>
      <w:divBdr>
        <w:top w:val="none" w:sz="0" w:space="0" w:color="auto"/>
        <w:left w:val="none" w:sz="0" w:space="0" w:color="auto"/>
        <w:bottom w:val="none" w:sz="0" w:space="0" w:color="auto"/>
        <w:right w:val="none" w:sz="0" w:space="0" w:color="auto"/>
      </w:divBdr>
    </w:div>
    <w:div w:id="548151121">
      <w:bodyDiv w:val="1"/>
      <w:marLeft w:val="0"/>
      <w:marRight w:val="0"/>
      <w:marTop w:val="0"/>
      <w:marBottom w:val="0"/>
      <w:divBdr>
        <w:top w:val="none" w:sz="0" w:space="0" w:color="auto"/>
        <w:left w:val="none" w:sz="0" w:space="0" w:color="auto"/>
        <w:bottom w:val="none" w:sz="0" w:space="0" w:color="auto"/>
        <w:right w:val="none" w:sz="0" w:space="0" w:color="auto"/>
      </w:divBdr>
    </w:div>
    <w:div w:id="577666063">
      <w:bodyDiv w:val="1"/>
      <w:marLeft w:val="0"/>
      <w:marRight w:val="0"/>
      <w:marTop w:val="0"/>
      <w:marBottom w:val="0"/>
      <w:divBdr>
        <w:top w:val="none" w:sz="0" w:space="0" w:color="auto"/>
        <w:left w:val="none" w:sz="0" w:space="0" w:color="auto"/>
        <w:bottom w:val="none" w:sz="0" w:space="0" w:color="auto"/>
        <w:right w:val="none" w:sz="0" w:space="0" w:color="auto"/>
      </w:divBdr>
    </w:div>
    <w:div w:id="592056560">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09439373">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25046241">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0883726">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58078653">
      <w:bodyDiv w:val="1"/>
      <w:marLeft w:val="0"/>
      <w:marRight w:val="0"/>
      <w:marTop w:val="0"/>
      <w:marBottom w:val="0"/>
      <w:divBdr>
        <w:top w:val="none" w:sz="0" w:space="0" w:color="auto"/>
        <w:left w:val="none" w:sz="0" w:space="0" w:color="auto"/>
        <w:bottom w:val="none" w:sz="0" w:space="0" w:color="auto"/>
        <w:right w:val="none" w:sz="0" w:space="0" w:color="auto"/>
      </w:divBdr>
    </w:div>
    <w:div w:id="661397995">
      <w:bodyDiv w:val="1"/>
      <w:marLeft w:val="0"/>
      <w:marRight w:val="0"/>
      <w:marTop w:val="0"/>
      <w:marBottom w:val="0"/>
      <w:divBdr>
        <w:top w:val="none" w:sz="0" w:space="0" w:color="auto"/>
        <w:left w:val="none" w:sz="0" w:space="0" w:color="auto"/>
        <w:bottom w:val="none" w:sz="0" w:space="0" w:color="auto"/>
        <w:right w:val="none" w:sz="0" w:space="0" w:color="auto"/>
      </w:divBdr>
    </w:div>
    <w:div w:id="664170746">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97393811">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32043397">
      <w:bodyDiv w:val="1"/>
      <w:marLeft w:val="0"/>
      <w:marRight w:val="0"/>
      <w:marTop w:val="0"/>
      <w:marBottom w:val="0"/>
      <w:divBdr>
        <w:top w:val="none" w:sz="0" w:space="0" w:color="auto"/>
        <w:left w:val="none" w:sz="0" w:space="0" w:color="auto"/>
        <w:bottom w:val="none" w:sz="0" w:space="0" w:color="auto"/>
        <w:right w:val="none" w:sz="0" w:space="0" w:color="auto"/>
      </w:divBdr>
      <w:divsChild>
        <w:div w:id="543492729">
          <w:marLeft w:val="274"/>
          <w:marRight w:val="0"/>
          <w:marTop w:val="0"/>
          <w:marBottom w:val="0"/>
          <w:divBdr>
            <w:top w:val="none" w:sz="0" w:space="0" w:color="auto"/>
            <w:left w:val="none" w:sz="0" w:space="0" w:color="auto"/>
            <w:bottom w:val="none" w:sz="0" w:space="0" w:color="auto"/>
            <w:right w:val="none" w:sz="0" w:space="0" w:color="auto"/>
          </w:divBdr>
        </w:div>
        <w:div w:id="639848295">
          <w:marLeft w:val="274"/>
          <w:marRight w:val="0"/>
          <w:marTop w:val="0"/>
          <w:marBottom w:val="0"/>
          <w:divBdr>
            <w:top w:val="none" w:sz="0" w:space="0" w:color="auto"/>
            <w:left w:val="none" w:sz="0" w:space="0" w:color="auto"/>
            <w:bottom w:val="none" w:sz="0" w:space="0" w:color="auto"/>
            <w:right w:val="none" w:sz="0" w:space="0" w:color="auto"/>
          </w:divBdr>
        </w:div>
        <w:div w:id="1133989237">
          <w:marLeft w:val="274"/>
          <w:marRight w:val="0"/>
          <w:marTop w:val="0"/>
          <w:marBottom w:val="0"/>
          <w:divBdr>
            <w:top w:val="none" w:sz="0" w:space="0" w:color="auto"/>
            <w:left w:val="none" w:sz="0" w:space="0" w:color="auto"/>
            <w:bottom w:val="none" w:sz="0" w:space="0" w:color="auto"/>
            <w:right w:val="none" w:sz="0" w:space="0" w:color="auto"/>
          </w:divBdr>
        </w:div>
      </w:divsChild>
    </w:div>
    <w:div w:id="742995603">
      <w:bodyDiv w:val="1"/>
      <w:marLeft w:val="0"/>
      <w:marRight w:val="0"/>
      <w:marTop w:val="0"/>
      <w:marBottom w:val="0"/>
      <w:divBdr>
        <w:top w:val="none" w:sz="0" w:space="0" w:color="auto"/>
        <w:left w:val="none" w:sz="0" w:space="0" w:color="auto"/>
        <w:bottom w:val="none" w:sz="0" w:space="0" w:color="auto"/>
        <w:right w:val="none" w:sz="0" w:space="0" w:color="auto"/>
      </w:divBdr>
    </w:div>
    <w:div w:id="747920882">
      <w:bodyDiv w:val="1"/>
      <w:marLeft w:val="0"/>
      <w:marRight w:val="0"/>
      <w:marTop w:val="0"/>
      <w:marBottom w:val="0"/>
      <w:divBdr>
        <w:top w:val="none" w:sz="0" w:space="0" w:color="auto"/>
        <w:left w:val="none" w:sz="0" w:space="0" w:color="auto"/>
        <w:bottom w:val="none" w:sz="0" w:space="0" w:color="auto"/>
        <w:right w:val="none" w:sz="0" w:space="0" w:color="auto"/>
      </w:divBdr>
    </w:div>
    <w:div w:id="763722837">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72826740">
      <w:bodyDiv w:val="1"/>
      <w:marLeft w:val="0"/>
      <w:marRight w:val="0"/>
      <w:marTop w:val="0"/>
      <w:marBottom w:val="0"/>
      <w:divBdr>
        <w:top w:val="none" w:sz="0" w:space="0" w:color="auto"/>
        <w:left w:val="none" w:sz="0" w:space="0" w:color="auto"/>
        <w:bottom w:val="none" w:sz="0" w:space="0" w:color="auto"/>
        <w:right w:val="none" w:sz="0" w:space="0" w:color="auto"/>
      </w:divBdr>
    </w:div>
    <w:div w:id="776097689">
      <w:bodyDiv w:val="1"/>
      <w:marLeft w:val="0"/>
      <w:marRight w:val="0"/>
      <w:marTop w:val="0"/>
      <w:marBottom w:val="0"/>
      <w:divBdr>
        <w:top w:val="none" w:sz="0" w:space="0" w:color="auto"/>
        <w:left w:val="none" w:sz="0" w:space="0" w:color="auto"/>
        <w:bottom w:val="none" w:sz="0" w:space="0" w:color="auto"/>
        <w:right w:val="none" w:sz="0" w:space="0" w:color="auto"/>
      </w:divBdr>
    </w:div>
    <w:div w:id="785924539">
      <w:bodyDiv w:val="1"/>
      <w:marLeft w:val="0"/>
      <w:marRight w:val="0"/>
      <w:marTop w:val="0"/>
      <w:marBottom w:val="0"/>
      <w:divBdr>
        <w:top w:val="none" w:sz="0" w:space="0" w:color="auto"/>
        <w:left w:val="none" w:sz="0" w:space="0" w:color="auto"/>
        <w:bottom w:val="none" w:sz="0" w:space="0" w:color="auto"/>
        <w:right w:val="none" w:sz="0" w:space="0" w:color="auto"/>
      </w:divBdr>
    </w:div>
    <w:div w:id="793063336">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10252606">
      <w:bodyDiv w:val="1"/>
      <w:marLeft w:val="0"/>
      <w:marRight w:val="0"/>
      <w:marTop w:val="0"/>
      <w:marBottom w:val="0"/>
      <w:divBdr>
        <w:top w:val="none" w:sz="0" w:space="0" w:color="auto"/>
        <w:left w:val="none" w:sz="0" w:space="0" w:color="auto"/>
        <w:bottom w:val="none" w:sz="0" w:space="0" w:color="auto"/>
        <w:right w:val="none" w:sz="0" w:space="0" w:color="auto"/>
      </w:divBdr>
      <w:divsChild>
        <w:div w:id="956761067">
          <w:marLeft w:val="274"/>
          <w:marRight w:val="0"/>
          <w:marTop w:val="0"/>
          <w:marBottom w:val="0"/>
          <w:divBdr>
            <w:top w:val="none" w:sz="0" w:space="0" w:color="auto"/>
            <w:left w:val="none" w:sz="0" w:space="0" w:color="auto"/>
            <w:bottom w:val="none" w:sz="0" w:space="0" w:color="auto"/>
            <w:right w:val="none" w:sz="0" w:space="0" w:color="auto"/>
          </w:divBdr>
        </w:div>
        <w:div w:id="1430544628">
          <w:marLeft w:val="274"/>
          <w:marRight w:val="0"/>
          <w:marTop w:val="0"/>
          <w:marBottom w:val="0"/>
          <w:divBdr>
            <w:top w:val="none" w:sz="0" w:space="0" w:color="auto"/>
            <w:left w:val="none" w:sz="0" w:space="0" w:color="auto"/>
            <w:bottom w:val="none" w:sz="0" w:space="0" w:color="auto"/>
            <w:right w:val="none" w:sz="0" w:space="0" w:color="auto"/>
          </w:divBdr>
        </w:div>
        <w:div w:id="1721395517">
          <w:marLeft w:val="274"/>
          <w:marRight w:val="0"/>
          <w:marTop w:val="0"/>
          <w:marBottom w:val="0"/>
          <w:divBdr>
            <w:top w:val="none" w:sz="0" w:space="0" w:color="auto"/>
            <w:left w:val="none" w:sz="0" w:space="0" w:color="auto"/>
            <w:bottom w:val="none" w:sz="0" w:space="0" w:color="auto"/>
            <w:right w:val="none" w:sz="0" w:space="0" w:color="auto"/>
          </w:divBdr>
        </w:div>
        <w:div w:id="1759136581">
          <w:marLeft w:val="274"/>
          <w:marRight w:val="0"/>
          <w:marTop w:val="0"/>
          <w:marBottom w:val="0"/>
          <w:divBdr>
            <w:top w:val="none" w:sz="0" w:space="0" w:color="auto"/>
            <w:left w:val="none" w:sz="0" w:space="0" w:color="auto"/>
            <w:bottom w:val="none" w:sz="0" w:space="0" w:color="auto"/>
            <w:right w:val="none" w:sz="0" w:space="0" w:color="auto"/>
          </w:divBdr>
        </w:div>
      </w:divsChild>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28592425">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45441627">
      <w:bodyDiv w:val="1"/>
      <w:marLeft w:val="0"/>
      <w:marRight w:val="0"/>
      <w:marTop w:val="0"/>
      <w:marBottom w:val="0"/>
      <w:divBdr>
        <w:top w:val="none" w:sz="0" w:space="0" w:color="auto"/>
        <w:left w:val="none" w:sz="0" w:space="0" w:color="auto"/>
        <w:bottom w:val="none" w:sz="0" w:space="0" w:color="auto"/>
        <w:right w:val="none" w:sz="0" w:space="0" w:color="auto"/>
      </w:divBdr>
    </w:div>
    <w:div w:id="852645350">
      <w:bodyDiv w:val="1"/>
      <w:marLeft w:val="0"/>
      <w:marRight w:val="0"/>
      <w:marTop w:val="0"/>
      <w:marBottom w:val="0"/>
      <w:divBdr>
        <w:top w:val="none" w:sz="0" w:space="0" w:color="auto"/>
        <w:left w:val="none" w:sz="0" w:space="0" w:color="auto"/>
        <w:bottom w:val="none" w:sz="0" w:space="0" w:color="auto"/>
        <w:right w:val="none" w:sz="0" w:space="0" w:color="auto"/>
      </w:divBdr>
      <w:divsChild>
        <w:div w:id="1850175474">
          <w:marLeft w:val="274"/>
          <w:marRight w:val="0"/>
          <w:marTop w:val="0"/>
          <w:marBottom w:val="0"/>
          <w:divBdr>
            <w:top w:val="none" w:sz="0" w:space="0" w:color="auto"/>
            <w:left w:val="none" w:sz="0" w:space="0" w:color="auto"/>
            <w:bottom w:val="none" w:sz="0" w:space="0" w:color="auto"/>
            <w:right w:val="none" w:sz="0" w:space="0" w:color="auto"/>
          </w:divBdr>
        </w:div>
      </w:divsChild>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0576555">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895554077">
      <w:bodyDiv w:val="1"/>
      <w:marLeft w:val="0"/>
      <w:marRight w:val="0"/>
      <w:marTop w:val="0"/>
      <w:marBottom w:val="0"/>
      <w:divBdr>
        <w:top w:val="none" w:sz="0" w:space="0" w:color="auto"/>
        <w:left w:val="none" w:sz="0" w:space="0" w:color="auto"/>
        <w:bottom w:val="none" w:sz="0" w:space="0" w:color="auto"/>
        <w:right w:val="none" w:sz="0" w:space="0" w:color="auto"/>
      </w:divBdr>
    </w:div>
    <w:div w:id="896165489">
      <w:bodyDiv w:val="1"/>
      <w:marLeft w:val="0"/>
      <w:marRight w:val="0"/>
      <w:marTop w:val="0"/>
      <w:marBottom w:val="0"/>
      <w:divBdr>
        <w:top w:val="none" w:sz="0" w:space="0" w:color="auto"/>
        <w:left w:val="none" w:sz="0" w:space="0" w:color="auto"/>
        <w:bottom w:val="none" w:sz="0" w:space="0" w:color="auto"/>
        <w:right w:val="none" w:sz="0" w:space="0" w:color="auto"/>
      </w:divBdr>
    </w:div>
    <w:div w:id="920023475">
      <w:bodyDiv w:val="1"/>
      <w:marLeft w:val="0"/>
      <w:marRight w:val="0"/>
      <w:marTop w:val="0"/>
      <w:marBottom w:val="0"/>
      <w:divBdr>
        <w:top w:val="none" w:sz="0" w:space="0" w:color="auto"/>
        <w:left w:val="none" w:sz="0" w:space="0" w:color="auto"/>
        <w:bottom w:val="none" w:sz="0" w:space="0" w:color="auto"/>
        <w:right w:val="none" w:sz="0" w:space="0" w:color="auto"/>
      </w:divBdr>
      <w:divsChild>
        <w:div w:id="647125406">
          <w:marLeft w:val="274"/>
          <w:marRight w:val="0"/>
          <w:marTop w:val="0"/>
          <w:marBottom w:val="0"/>
          <w:divBdr>
            <w:top w:val="none" w:sz="0" w:space="0" w:color="auto"/>
            <w:left w:val="none" w:sz="0" w:space="0" w:color="auto"/>
            <w:bottom w:val="none" w:sz="0" w:space="0" w:color="auto"/>
            <w:right w:val="none" w:sz="0" w:space="0" w:color="auto"/>
          </w:divBdr>
        </w:div>
      </w:divsChild>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53899534">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08949448">
      <w:bodyDiv w:val="1"/>
      <w:marLeft w:val="0"/>
      <w:marRight w:val="0"/>
      <w:marTop w:val="0"/>
      <w:marBottom w:val="0"/>
      <w:divBdr>
        <w:top w:val="none" w:sz="0" w:space="0" w:color="auto"/>
        <w:left w:val="none" w:sz="0" w:space="0" w:color="auto"/>
        <w:bottom w:val="none" w:sz="0" w:space="0" w:color="auto"/>
        <w:right w:val="none" w:sz="0" w:space="0" w:color="auto"/>
      </w:divBdr>
    </w:div>
    <w:div w:id="1011222252">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2172052">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29642155">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46415151">
          <w:marLeft w:val="274"/>
          <w:marRight w:val="0"/>
          <w:marTop w:val="0"/>
          <w:marBottom w:val="0"/>
          <w:divBdr>
            <w:top w:val="none" w:sz="0" w:space="0" w:color="auto"/>
            <w:left w:val="none" w:sz="0" w:space="0" w:color="auto"/>
            <w:bottom w:val="none" w:sz="0" w:space="0" w:color="auto"/>
            <w:right w:val="none" w:sz="0" w:space="0" w:color="auto"/>
          </w:divBdr>
        </w:div>
        <w:div w:id="1341810145">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048532638">
      <w:bodyDiv w:val="1"/>
      <w:marLeft w:val="0"/>
      <w:marRight w:val="0"/>
      <w:marTop w:val="0"/>
      <w:marBottom w:val="0"/>
      <w:divBdr>
        <w:top w:val="none" w:sz="0" w:space="0" w:color="auto"/>
        <w:left w:val="none" w:sz="0" w:space="0" w:color="auto"/>
        <w:bottom w:val="none" w:sz="0" w:space="0" w:color="auto"/>
        <w:right w:val="none" w:sz="0" w:space="0" w:color="auto"/>
      </w:divBdr>
    </w:div>
    <w:div w:id="1069494509">
      <w:bodyDiv w:val="1"/>
      <w:marLeft w:val="0"/>
      <w:marRight w:val="0"/>
      <w:marTop w:val="0"/>
      <w:marBottom w:val="0"/>
      <w:divBdr>
        <w:top w:val="none" w:sz="0" w:space="0" w:color="auto"/>
        <w:left w:val="none" w:sz="0" w:space="0" w:color="auto"/>
        <w:bottom w:val="none" w:sz="0" w:space="0" w:color="auto"/>
        <w:right w:val="none" w:sz="0" w:space="0" w:color="auto"/>
      </w:divBdr>
    </w:div>
    <w:div w:id="1071461473">
      <w:bodyDiv w:val="1"/>
      <w:marLeft w:val="0"/>
      <w:marRight w:val="0"/>
      <w:marTop w:val="0"/>
      <w:marBottom w:val="0"/>
      <w:divBdr>
        <w:top w:val="none" w:sz="0" w:space="0" w:color="auto"/>
        <w:left w:val="none" w:sz="0" w:space="0" w:color="auto"/>
        <w:bottom w:val="none" w:sz="0" w:space="0" w:color="auto"/>
        <w:right w:val="none" w:sz="0" w:space="0" w:color="auto"/>
      </w:divBdr>
    </w:div>
    <w:div w:id="1074821322">
      <w:bodyDiv w:val="1"/>
      <w:marLeft w:val="0"/>
      <w:marRight w:val="0"/>
      <w:marTop w:val="0"/>
      <w:marBottom w:val="0"/>
      <w:divBdr>
        <w:top w:val="none" w:sz="0" w:space="0" w:color="auto"/>
        <w:left w:val="none" w:sz="0" w:space="0" w:color="auto"/>
        <w:bottom w:val="none" w:sz="0" w:space="0" w:color="auto"/>
        <w:right w:val="none" w:sz="0" w:space="0" w:color="auto"/>
      </w:divBdr>
      <w:divsChild>
        <w:div w:id="2036080814">
          <w:marLeft w:val="0"/>
          <w:marRight w:val="0"/>
          <w:marTop w:val="0"/>
          <w:marBottom w:val="0"/>
          <w:divBdr>
            <w:top w:val="none" w:sz="0" w:space="0" w:color="auto"/>
            <w:left w:val="none" w:sz="0" w:space="0" w:color="auto"/>
            <w:bottom w:val="none" w:sz="0" w:space="0" w:color="auto"/>
            <w:right w:val="none" w:sz="0" w:space="0" w:color="auto"/>
          </w:divBdr>
        </w:div>
      </w:divsChild>
    </w:div>
    <w:div w:id="1106391678">
      <w:bodyDiv w:val="1"/>
      <w:marLeft w:val="0"/>
      <w:marRight w:val="0"/>
      <w:marTop w:val="0"/>
      <w:marBottom w:val="0"/>
      <w:divBdr>
        <w:top w:val="none" w:sz="0" w:space="0" w:color="auto"/>
        <w:left w:val="none" w:sz="0" w:space="0" w:color="auto"/>
        <w:bottom w:val="none" w:sz="0" w:space="0" w:color="auto"/>
        <w:right w:val="none" w:sz="0" w:space="0" w:color="auto"/>
      </w:divBdr>
    </w:div>
    <w:div w:id="1112826476">
      <w:bodyDiv w:val="1"/>
      <w:marLeft w:val="0"/>
      <w:marRight w:val="0"/>
      <w:marTop w:val="0"/>
      <w:marBottom w:val="0"/>
      <w:divBdr>
        <w:top w:val="none" w:sz="0" w:space="0" w:color="auto"/>
        <w:left w:val="none" w:sz="0" w:space="0" w:color="auto"/>
        <w:bottom w:val="none" w:sz="0" w:space="0" w:color="auto"/>
        <w:right w:val="none" w:sz="0" w:space="0" w:color="auto"/>
      </w:divBdr>
    </w:div>
    <w:div w:id="1129737113">
      <w:bodyDiv w:val="1"/>
      <w:marLeft w:val="0"/>
      <w:marRight w:val="0"/>
      <w:marTop w:val="0"/>
      <w:marBottom w:val="0"/>
      <w:divBdr>
        <w:top w:val="none" w:sz="0" w:space="0" w:color="auto"/>
        <w:left w:val="none" w:sz="0" w:space="0" w:color="auto"/>
        <w:bottom w:val="none" w:sz="0" w:space="0" w:color="auto"/>
        <w:right w:val="none" w:sz="0" w:space="0" w:color="auto"/>
      </w:divBdr>
    </w:div>
    <w:div w:id="1163937749">
      <w:bodyDiv w:val="1"/>
      <w:marLeft w:val="0"/>
      <w:marRight w:val="0"/>
      <w:marTop w:val="0"/>
      <w:marBottom w:val="0"/>
      <w:divBdr>
        <w:top w:val="none" w:sz="0" w:space="0" w:color="auto"/>
        <w:left w:val="none" w:sz="0" w:space="0" w:color="auto"/>
        <w:bottom w:val="none" w:sz="0" w:space="0" w:color="auto"/>
        <w:right w:val="none" w:sz="0" w:space="0" w:color="auto"/>
      </w:divBdr>
    </w:div>
    <w:div w:id="1164584849">
      <w:bodyDiv w:val="1"/>
      <w:marLeft w:val="0"/>
      <w:marRight w:val="0"/>
      <w:marTop w:val="0"/>
      <w:marBottom w:val="0"/>
      <w:divBdr>
        <w:top w:val="none" w:sz="0" w:space="0" w:color="auto"/>
        <w:left w:val="none" w:sz="0" w:space="0" w:color="auto"/>
        <w:bottom w:val="none" w:sz="0" w:space="0" w:color="auto"/>
        <w:right w:val="none" w:sz="0" w:space="0" w:color="auto"/>
      </w:divBdr>
    </w:div>
    <w:div w:id="1187671146">
      <w:bodyDiv w:val="1"/>
      <w:marLeft w:val="0"/>
      <w:marRight w:val="0"/>
      <w:marTop w:val="0"/>
      <w:marBottom w:val="0"/>
      <w:divBdr>
        <w:top w:val="none" w:sz="0" w:space="0" w:color="auto"/>
        <w:left w:val="none" w:sz="0" w:space="0" w:color="auto"/>
        <w:bottom w:val="none" w:sz="0" w:space="0" w:color="auto"/>
        <w:right w:val="none" w:sz="0" w:space="0" w:color="auto"/>
      </w:divBdr>
    </w:div>
    <w:div w:id="1211453427">
      <w:bodyDiv w:val="1"/>
      <w:marLeft w:val="0"/>
      <w:marRight w:val="0"/>
      <w:marTop w:val="0"/>
      <w:marBottom w:val="0"/>
      <w:divBdr>
        <w:top w:val="none" w:sz="0" w:space="0" w:color="auto"/>
        <w:left w:val="none" w:sz="0" w:space="0" w:color="auto"/>
        <w:bottom w:val="none" w:sz="0" w:space="0" w:color="auto"/>
        <w:right w:val="none" w:sz="0" w:space="0" w:color="auto"/>
      </w:divBdr>
    </w:div>
    <w:div w:id="1230726835">
      <w:bodyDiv w:val="1"/>
      <w:marLeft w:val="0"/>
      <w:marRight w:val="0"/>
      <w:marTop w:val="0"/>
      <w:marBottom w:val="0"/>
      <w:divBdr>
        <w:top w:val="none" w:sz="0" w:space="0" w:color="auto"/>
        <w:left w:val="none" w:sz="0" w:space="0" w:color="auto"/>
        <w:bottom w:val="none" w:sz="0" w:space="0" w:color="auto"/>
        <w:right w:val="none" w:sz="0" w:space="0" w:color="auto"/>
      </w:divBdr>
    </w:div>
    <w:div w:id="1232352893">
      <w:bodyDiv w:val="1"/>
      <w:marLeft w:val="0"/>
      <w:marRight w:val="0"/>
      <w:marTop w:val="0"/>
      <w:marBottom w:val="0"/>
      <w:divBdr>
        <w:top w:val="none" w:sz="0" w:space="0" w:color="auto"/>
        <w:left w:val="none" w:sz="0" w:space="0" w:color="auto"/>
        <w:bottom w:val="none" w:sz="0" w:space="0" w:color="auto"/>
        <w:right w:val="none" w:sz="0" w:space="0" w:color="auto"/>
      </w:divBdr>
    </w:div>
    <w:div w:id="1257907362">
      <w:bodyDiv w:val="1"/>
      <w:marLeft w:val="0"/>
      <w:marRight w:val="0"/>
      <w:marTop w:val="0"/>
      <w:marBottom w:val="0"/>
      <w:divBdr>
        <w:top w:val="none" w:sz="0" w:space="0" w:color="auto"/>
        <w:left w:val="none" w:sz="0" w:space="0" w:color="auto"/>
        <w:bottom w:val="none" w:sz="0" w:space="0" w:color="auto"/>
        <w:right w:val="none" w:sz="0" w:space="0" w:color="auto"/>
      </w:divBdr>
    </w:div>
    <w:div w:id="1260021753">
      <w:bodyDiv w:val="1"/>
      <w:marLeft w:val="0"/>
      <w:marRight w:val="0"/>
      <w:marTop w:val="0"/>
      <w:marBottom w:val="0"/>
      <w:divBdr>
        <w:top w:val="none" w:sz="0" w:space="0" w:color="auto"/>
        <w:left w:val="none" w:sz="0" w:space="0" w:color="auto"/>
        <w:bottom w:val="none" w:sz="0" w:space="0" w:color="auto"/>
        <w:right w:val="none" w:sz="0" w:space="0" w:color="auto"/>
      </w:divBdr>
    </w:div>
    <w:div w:id="1262567591">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66305842">
      <w:bodyDiv w:val="1"/>
      <w:marLeft w:val="0"/>
      <w:marRight w:val="0"/>
      <w:marTop w:val="0"/>
      <w:marBottom w:val="0"/>
      <w:divBdr>
        <w:top w:val="none" w:sz="0" w:space="0" w:color="auto"/>
        <w:left w:val="none" w:sz="0" w:space="0" w:color="auto"/>
        <w:bottom w:val="none" w:sz="0" w:space="0" w:color="auto"/>
        <w:right w:val="none" w:sz="0" w:space="0" w:color="auto"/>
      </w:divBdr>
    </w:div>
    <w:div w:id="1277710013">
      <w:bodyDiv w:val="1"/>
      <w:marLeft w:val="0"/>
      <w:marRight w:val="0"/>
      <w:marTop w:val="0"/>
      <w:marBottom w:val="0"/>
      <w:divBdr>
        <w:top w:val="none" w:sz="0" w:space="0" w:color="auto"/>
        <w:left w:val="none" w:sz="0" w:space="0" w:color="auto"/>
        <w:bottom w:val="none" w:sz="0" w:space="0" w:color="auto"/>
        <w:right w:val="none" w:sz="0" w:space="0" w:color="auto"/>
      </w:divBdr>
    </w:div>
    <w:div w:id="1282805788">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21419972">
      <w:bodyDiv w:val="1"/>
      <w:marLeft w:val="0"/>
      <w:marRight w:val="0"/>
      <w:marTop w:val="0"/>
      <w:marBottom w:val="0"/>
      <w:divBdr>
        <w:top w:val="none" w:sz="0" w:space="0" w:color="auto"/>
        <w:left w:val="none" w:sz="0" w:space="0" w:color="auto"/>
        <w:bottom w:val="none" w:sz="0" w:space="0" w:color="auto"/>
        <w:right w:val="none" w:sz="0" w:space="0" w:color="auto"/>
      </w:divBdr>
    </w:div>
    <w:div w:id="1321538423">
      <w:bodyDiv w:val="1"/>
      <w:marLeft w:val="0"/>
      <w:marRight w:val="0"/>
      <w:marTop w:val="0"/>
      <w:marBottom w:val="0"/>
      <w:divBdr>
        <w:top w:val="none" w:sz="0" w:space="0" w:color="auto"/>
        <w:left w:val="none" w:sz="0" w:space="0" w:color="auto"/>
        <w:bottom w:val="none" w:sz="0" w:space="0" w:color="auto"/>
        <w:right w:val="none" w:sz="0" w:space="0" w:color="auto"/>
      </w:divBdr>
    </w:div>
    <w:div w:id="1360089577">
      <w:bodyDiv w:val="1"/>
      <w:marLeft w:val="0"/>
      <w:marRight w:val="0"/>
      <w:marTop w:val="0"/>
      <w:marBottom w:val="0"/>
      <w:divBdr>
        <w:top w:val="none" w:sz="0" w:space="0" w:color="auto"/>
        <w:left w:val="none" w:sz="0" w:space="0" w:color="auto"/>
        <w:bottom w:val="none" w:sz="0" w:space="0" w:color="auto"/>
        <w:right w:val="none" w:sz="0" w:space="0" w:color="auto"/>
      </w:divBdr>
    </w:div>
    <w:div w:id="1371607910">
      <w:bodyDiv w:val="1"/>
      <w:marLeft w:val="0"/>
      <w:marRight w:val="0"/>
      <w:marTop w:val="0"/>
      <w:marBottom w:val="0"/>
      <w:divBdr>
        <w:top w:val="none" w:sz="0" w:space="0" w:color="auto"/>
        <w:left w:val="none" w:sz="0" w:space="0" w:color="auto"/>
        <w:bottom w:val="none" w:sz="0" w:space="0" w:color="auto"/>
        <w:right w:val="none" w:sz="0" w:space="0" w:color="auto"/>
      </w:divBdr>
    </w:div>
    <w:div w:id="1394498830">
      <w:bodyDiv w:val="1"/>
      <w:marLeft w:val="0"/>
      <w:marRight w:val="0"/>
      <w:marTop w:val="0"/>
      <w:marBottom w:val="0"/>
      <w:divBdr>
        <w:top w:val="none" w:sz="0" w:space="0" w:color="auto"/>
        <w:left w:val="none" w:sz="0" w:space="0" w:color="auto"/>
        <w:bottom w:val="none" w:sz="0" w:space="0" w:color="auto"/>
        <w:right w:val="none" w:sz="0" w:space="0" w:color="auto"/>
      </w:divBdr>
      <w:divsChild>
        <w:div w:id="580992707">
          <w:marLeft w:val="274"/>
          <w:marRight w:val="0"/>
          <w:marTop w:val="0"/>
          <w:marBottom w:val="0"/>
          <w:divBdr>
            <w:top w:val="none" w:sz="0" w:space="0" w:color="auto"/>
            <w:left w:val="none" w:sz="0" w:space="0" w:color="auto"/>
            <w:bottom w:val="none" w:sz="0" w:space="0" w:color="auto"/>
            <w:right w:val="none" w:sz="0" w:space="0" w:color="auto"/>
          </w:divBdr>
        </w:div>
        <w:div w:id="1075978187">
          <w:marLeft w:val="274"/>
          <w:marRight w:val="0"/>
          <w:marTop w:val="0"/>
          <w:marBottom w:val="0"/>
          <w:divBdr>
            <w:top w:val="none" w:sz="0" w:space="0" w:color="auto"/>
            <w:left w:val="none" w:sz="0" w:space="0" w:color="auto"/>
            <w:bottom w:val="none" w:sz="0" w:space="0" w:color="auto"/>
            <w:right w:val="none" w:sz="0" w:space="0" w:color="auto"/>
          </w:divBdr>
        </w:div>
        <w:div w:id="2028871372">
          <w:marLeft w:val="274"/>
          <w:marRight w:val="0"/>
          <w:marTop w:val="0"/>
          <w:marBottom w:val="0"/>
          <w:divBdr>
            <w:top w:val="none" w:sz="0" w:space="0" w:color="auto"/>
            <w:left w:val="none" w:sz="0" w:space="0" w:color="auto"/>
            <w:bottom w:val="none" w:sz="0" w:space="0" w:color="auto"/>
            <w:right w:val="none" w:sz="0" w:space="0" w:color="auto"/>
          </w:divBdr>
        </w:div>
      </w:divsChild>
    </w:div>
    <w:div w:id="1422338589">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81920792">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498839996">
      <w:bodyDiv w:val="1"/>
      <w:marLeft w:val="0"/>
      <w:marRight w:val="0"/>
      <w:marTop w:val="0"/>
      <w:marBottom w:val="0"/>
      <w:divBdr>
        <w:top w:val="none" w:sz="0" w:space="0" w:color="auto"/>
        <w:left w:val="none" w:sz="0" w:space="0" w:color="auto"/>
        <w:bottom w:val="none" w:sz="0" w:space="0" w:color="auto"/>
        <w:right w:val="none" w:sz="0" w:space="0" w:color="auto"/>
      </w:divBdr>
    </w:div>
    <w:div w:id="1502156244">
      <w:bodyDiv w:val="1"/>
      <w:marLeft w:val="0"/>
      <w:marRight w:val="0"/>
      <w:marTop w:val="0"/>
      <w:marBottom w:val="0"/>
      <w:divBdr>
        <w:top w:val="none" w:sz="0" w:space="0" w:color="auto"/>
        <w:left w:val="none" w:sz="0" w:space="0" w:color="auto"/>
        <w:bottom w:val="none" w:sz="0" w:space="0" w:color="auto"/>
        <w:right w:val="none" w:sz="0" w:space="0" w:color="auto"/>
      </w:divBdr>
      <w:divsChild>
        <w:div w:id="217716426">
          <w:marLeft w:val="274"/>
          <w:marRight w:val="0"/>
          <w:marTop w:val="0"/>
          <w:marBottom w:val="0"/>
          <w:divBdr>
            <w:top w:val="none" w:sz="0" w:space="0" w:color="auto"/>
            <w:left w:val="none" w:sz="0" w:space="0" w:color="auto"/>
            <w:bottom w:val="none" w:sz="0" w:space="0" w:color="auto"/>
            <w:right w:val="none" w:sz="0" w:space="0" w:color="auto"/>
          </w:divBdr>
        </w:div>
        <w:div w:id="948318500">
          <w:marLeft w:val="274"/>
          <w:marRight w:val="0"/>
          <w:marTop w:val="0"/>
          <w:marBottom w:val="0"/>
          <w:divBdr>
            <w:top w:val="none" w:sz="0" w:space="0" w:color="auto"/>
            <w:left w:val="none" w:sz="0" w:space="0" w:color="auto"/>
            <w:bottom w:val="none" w:sz="0" w:space="0" w:color="auto"/>
            <w:right w:val="none" w:sz="0" w:space="0" w:color="auto"/>
          </w:divBdr>
        </w:div>
      </w:divsChild>
    </w:div>
    <w:div w:id="1521969664">
      <w:bodyDiv w:val="1"/>
      <w:marLeft w:val="0"/>
      <w:marRight w:val="0"/>
      <w:marTop w:val="0"/>
      <w:marBottom w:val="0"/>
      <w:divBdr>
        <w:top w:val="none" w:sz="0" w:space="0" w:color="auto"/>
        <w:left w:val="none" w:sz="0" w:space="0" w:color="auto"/>
        <w:bottom w:val="none" w:sz="0" w:space="0" w:color="auto"/>
        <w:right w:val="none" w:sz="0" w:space="0" w:color="auto"/>
      </w:divBdr>
    </w:div>
    <w:div w:id="1528979268">
      <w:bodyDiv w:val="1"/>
      <w:marLeft w:val="0"/>
      <w:marRight w:val="0"/>
      <w:marTop w:val="0"/>
      <w:marBottom w:val="0"/>
      <w:divBdr>
        <w:top w:val="none" w:sz="0" w:space="0" w:color="auto"/>
        <w:left w:val="none" w:sz="0" w:space="0" w:color="auto"/>
        <w:bottom w:val="none" w:sz="0" w:space="0" w:color="auto"/>
        <w:right w:val="none" w:sz="0" w:space="0" w:color="auto"/>
      </w:divBdr>
    </w:div>
    <w:div w:id="156159347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68497359">
      <w:bodyDiv w:val="1"/>
      <w:marLeft w:val="0"/>
      <w:marRight w:val="0"/>
      <w:marTop w:val="0"/>
      <w:marBottom w:val="0"/>
      <w:divBdr>
        <w:top w:val="none" w:sz="0" w:space="0" w:color="auto"/>
        <w:left w:val="none" w:sz="0" w:space="0" w:color="auto"/>
        <w:bottom w:val="none" w:sz="0" w:space="0" w:color="auto"/>
        <w:right w:val="none" w:sz="0" w:space="0" w:color="auto"/>
      </w:divBdr>
    </w:div>
    <w:div w:id="1571815644">
      <w:bodyDiv w:val="1"/>
      <w:marLeft w:val="0"/>
      <w:marRight w:val="0"/>
      <w:marTop w:val="0"/>
      <w:marBottom w:val="0"/>
      <w:divBdr>
        <w:top w:val="none" w:sz="0" w:space="0" w:color="auto"/>
        <w:left w:val="none" w:sz="0" w:space="0" w:color="auto"/>
        <w:bottom w:val="none" w:sz="0" w:space="0" w:color="auto"/>
        <w:right w:val="none" w:sz="0" w:space="0" w:color="auto"/>
      </w:divBdr>
    </w:div>
    <w:div w:id="1573538993">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595436859">
      <w:bodyDiv w:val="1"/>
      <w:marLeft w:val="0"/>
      <w:marRight w:val="0"/>
      <w:marTop w:val="0"/>
      <w:marBottom w:val="0"/>
      <w:divBdr>
        <w:top w:val="none" w:sz="0" w:space="0" w:color="auto"/>
        <w:left w:val="none" w:sz="0" w:space="0" w:color="auto"/>
        <w:bottom w:val="none" w:sz="0" w:space="0" w:color="auto"/>
        <w:right w:val="none" w:sz="0" w:space="0" w:color="auto"/>
      </w:divBdr>
    </w:div>
    <w:div w:id="159798056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13442349">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696880412">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7975662">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791850075">
      <w:bodyDiv w:val="1"/>
      <w:marLeft w:val="0"/>
      <w:marRight w:val="0"/>
      <w:marTop w:val="0"/>
      <w:marBottom w:val="0"/>
      <w:divBdr>
        <w:top w:val="none" w:sz="0" w:space="0" w:color="auto"/>
        <w:left w:val="none" w:sz="0" w:space="0" w:color="auto"/>
        <w:bottom w:val="none" w:sz="0" w:space="0" w:color="auto"/>
        <w:right w:val="none" w:sz="0" w:space="0" w:color="auto"/>
      </w:divBdr>
    </w:div>
    <w:div w:id="1829204539">
      <w:bodyDiv w:val="1"/>
      <w:marLeft w:val="0"/>
      <w:marRight w:val="0"/>
      <w:marTop w:val="0"/>
      <w:marBottom w:val="0"/>
      <w:divBdr>
        <w:top w:val="none" w:sz="0" w:space="0" w:color="auto"/>
        <w:left w:val="none" w:sz="0" w:space="0" w:color="auto"/>
        <w:bottom w:val="none" w:sz="0" w:space="0" w:color="auto"/>
        <w:right w:val="none" w:sz="0" w:space="0" w:color="auto"/>
      </w:divBdr>
    </w:div>
    <w:div w:id="1834755298">
      <w:bodyDiv w:val="1"/>
      <w:marLeft w:val="0"/>
      <w:marRight w:val="0"/>
      <w:marTop w:val="0"/>
      <w:marBottom w:val="0"/>
      <w:divBdr>
        <w:top w:val="none" w:sz="0" w:space="0" w:color="auto"/>
        <w:left w:val="none" w:sz="0" w:space="0" w:color="auto"/>
        <w:bottom w:val="none" w:sz="0" w:space="0" w:color="auto"/>
        <w:right w:val="none" w:sz="0" w:space="0" w:color="auto"/>
      </w:divBdr>
    </w:div>
    <w:div w:id="1839422732">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1918743">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899700887">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28229617">
      <w:bodyDiv w:val="1"/>
      <w:marLeft w:val="0"/>
      <w:marRight w:val="0"/>
      <w:marTop w:val="0"/>
      <w:marBottom w:val="0"/>
      <w:divBdr>
        <w:top w:val="none" w:sz="0" w:space="0" w:color="auto"/>
        <w:left w:val="none" w:sz="0" w:space="0" w:color="auto"/>
        <w:bottom w:val="none" w:sz="0" w:space="0" w:color="auto"/>
        <w:right w:val="none" w:sz="0" w:space="0" w:color="auto"/>
      </w:divBdr>
    </w:div>
    <w:div w:id="1930386176">
      <w:bodyDiv w:val="1"/>
      <w:marLeft w:val="0"/>
      <w:marRight w:val="0"/>
      <w:marTop w:val="0"/>
      <w:marBottom w:val="0"/>
      <w:divBdr>
        <w:top w:val="none" w:sz="0" w:space="0" w:color="auto"/>
        <w:left w:val="none" w:sz="0" w:space="0" w:color="auto"/>
        <w:bottom w:val="none" w:sz="0" w:space="0" w:color="auto"/>
        <w:right w:val="none" w:sz="0" w:space="0" w:color="auto"/>
      </w:divBdr>
    </w:div>
    <w:div w:id="194938741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1996373887">
      <w:bodyDiv w:val="1"/>
      <w:marLeft w:val="0"/>
      <w:marRight w:val="0"/>
      <w:marTop w:val="0"/>
      <w:marBottom w:val="0"/>
      <w:divBdr>
        <w:top w:val="none" w:sz="0" w:space="0" w:color="auto"/>
        <w:left w:val="none" w:sz="0" w:space="0" w:color="auto"/>
        <w:bottom w:val="none" w:sz="0" w:space="0" w:color="auto"/>
        <w:right w:val="none" w:sz="0" w:space="0" w:color="auto"/>
      </w:divBdr>
    </w:div>
    <w:div w:id="2006325051">
      <w:bodyDiv w:val="1"/>
      <w:marLeft w:val="0"/>
      <w:marRight w:val="0"/>
      <w:marTop w:val="0"/>
      <w:marBottom w:val="0"/>
      <w:divBdr>
        <w:top w:val="none" w:sz="0" w:space="0" w:color="auto"/>
        <w:left w:val="none" w:sz="0" w:space="0" w:color="auto"/>
        <w:bottom w:val="none" w:sz="0" w:space="0" w:color="auto"/>
        <w:right w:val="none" w:sz="0" w:space="0" w:color="auto"/>
      </w:divBdr>
      <w:divsChild>
        <w:div w:id="845174891">
          <w:marLeft w:val="0"/>
          <w:marRight w:val="0"/>
          <w:marTop w:val="0"/>
          <w:marBottom w:val="0"/>
          <w:divBdr>
            <w:top w:val="none" w:sz="0" w:space="0" w:color="auto"/>
            <w:left w:val="none" w:sz="0" w:space="0" w:color="auto"/>
            <w:bottom w:val="none" w:sz="0" w:space="0" w:color="auto"/>
            <w:right w:val="none" w:sz="0" w:space="0" w:color="auto"/>
          </w:divBdr>
        </w:div>
        <w:div w:id="306400705">
          <w:marLeft w:val="0"/>
          <w:marRight w:val="0"/>
          <w:marTop w:val="0"/>
          <w:marBottom w:val="0"/>
          <w:divBdr>
            <w:top w:val="none" w:sz="0" w:space="0" w:color="auto"/>
            <w:left w:val="none" w:sz="0" w:space="0" w:color="auto"/>
            <w:bottom w:val="none" w:sz="0" w:space="0" w:color="auto"/>
            <w:right w:val="none" w:sz="0" w:space="0" w:color="auto"/>
          </w:divBdr>
        </w:div>
        <w:div w:id="329794844">
          <w:marLeft w:val="0"/>
          <w:marRight w:val="0"/>
          <w:marTop w:val="0"/>
          <w:marBottom w:val="0"/>
          <w:divBdr>
            <w:top w:val="none" w:sz="0" w:space="0" w:color="auto"/>
            <w:left w:val="none" w:sz="0" w:space="0" w:color="auto"/>
            <w:bottom w:val="none" w:sz="0" w:space="0" w:color="auto"/>
            <w:right w:val="none" w:sz="0" w:space="0" w:color="auto"/>
          </w:divBdr>
        </w:div>
        <w:div w:id="1921910911">
          <w:marLeft w:val="0"/>
          <w:marRight w:val="0"/>
          <w:marTop w:val="0"/>
          <w:marBottom w:val="0"/>
          <w:divBdr>
            <w:top w:val="none" w:sz="0" w:space="0" w:color="auto"/>
            <w:left w:val="none" w:sz="0" w:space="0" w:color="auto"/>
            <w:bottom w:val="none" w:sz="0" w:space="0" w:color="auto"/>
            <w:right w:val="none" w:sz="0" w:space="0" w:color="auto"/>
          </w:divBdr>
        </w:div>
      </w:divsChild>
    </w:div>
    <w:div w:id="2009088955">
      <w:bodyDiv w:val="1"/>
      <w:marLeft w:val="0"/>
      <w:marRight w:val="0"/>
      <w:marTop w:val="0"/>
      <w:marBottom w:val="0"/>
      <w:divBdr>
        <w:top w:val="none" w:sz="0" w:space="0" w:color="auto"/>
        <w:left w:val="none" w:sz="0" w:space="0" w:color="auto"/>
        <w:bottom w:val="none" w:sz="0" w:space="0" w:color="auto"/>
        <w:right w:val="none" w:sz="0" w:space="0" w:color="auto"/>
      </w:divBdr>
    </w:div>
    <w:div w:id="2019309993">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42438088">
      <w:bodyDiv w:val="1"/>
      <w:marLeft w:val="0"/>
      <w:marRight w:val="0"/>
      <w:marTop w:val="0"/>
      <w:marBottom w:val="0"/>
      <w:divBdr>
        <w:top w:val="none" w:sz="0" w:space="0" w:color="auto"/>
        <w:left w:val="none" w:sz="0" w:space="0" w:color="auto"/>
        <w:bottom w:val="none" w:sz="0" w:space="0" w:color="auto"/>
        <w:right w:val="none" w:sz="0" w:space="0" w:color="auto"/>
      </w:divBdr>
    </w:div>
    <w:div w:id="2043555134">
      <w:bodyDiv w:val="1"/>
      <w:marLeft w:val="0"/>
      <w:marRight w:val="0"/>
      <w:marTop w:val="0"/>
      <w:marBottom w:val="0"/>
      <w:divBdr>
        <w:top w:val="none" w:sz="0" w:space="0" w:color="auto"/>
        <w:left w:val="none" w:sz="0" w:space="0" w:color="auto"/>
        <w:bottom w:val="none" w:sz="0" w:space="0" w:color="auto"/>
        <w:right w:val="none" w:sz="0" w:space="0" w:color="auto"/>
      </w:divBdr>
    </w:div>
    <w:div w:id="2053729335">
      <w:bodyDiv w:val="1"/>
      <w:marLeft w:val="0"/>
      <w:marRight w:val="0"/>
      <w:marTop w:val="0"/>
      <w:marBottom w:val="0"/>
      <w:divBdr>
        <w:top w:val="none" w:sz="0" w:space="0" w:color="auto"/>
        <w:left w:val="none" w:sz="0" w:space="0" w:color="auto"/>
        <w:bottom w:val="none" w:sz="0" w:space="0" w:color="auto"/>
        <w:right w:val="none" w:sz="0" w:space="0" w:color="auto"/>
      </w:divBdr>
    </w:div>
    <w:div w:id="2057508127">
      <w:bodyDiv w:val="1"/>
      <w:marLeft w:val="0"/>
      <w:marRight w:val="0"/>
      <w:marTop w:val="0"/>
      <w:marBottom w:val="0"/>
      <w:divBdr>
        <w:top w:val="none" w:sz="0" w:space="0" w:color="auto"/>
        <w:left w:val="none" w:sz="0" w:space="0" w:color="auto"/>
        <w:bottom w:val="none" w:sz="0" w:space="0" w:color="auto"/>
        <w:right w:val="none" w:sz="0" w:space="0" w:color="auto"/>
      </w:divBdr>
    </w:div>
    <w:div w:id="2059011334">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 w:id="2100985549">
      <w:bodyDiv w:val="1"/>
      <w:marLeft w:val="0"/>
      <w:marRight w:val="0"/>
      <w:marTop w:val="0"/>
      <w:marBottom w:val="0"/>
      <w:divBdr>
        <w:top w:val="none" w:sz="0" w:space="0" w:color="auto"/>
        <w:left w:val="none" w:sz="0" w:space="0" w:color="auto"/>
        <w:bottom w:val="none" w:sz="0" w:space="0" w:color="auto"/>
        <w:right w:val="none" w:sz="0" w:space="0" w:color="auto"/>
      </w:divBdr>
    </w:div>
    <w:div w:id="2106800146">
      <w:bodyDiv w:val="1"/>
      <w:marLeft w:val="0"/>
      <w:marRight w:val="0"/>
      <w:marTop w:val="0"/>
      <w:marBottom w:val="0"/>
      <w:divBdr>
        <w:top w:val="none" w:sz="0" w:space="0" w:color="auto"/>
        <w:left w:val="none" w:sz="0" w:space="0" w:color="auto"/>
        <w:bottom w:val="none" w:sz="0" w:space="0" w:color="auto"/>
        <w:right w:val="none" w:sz="0" w:space="0" w:color="auto"/>
      </w:divBdr>
    </w:div>
    <w:div w:id="2117748489">
      <w:bodyDiv w:val="1"/>
      <w:marLeft w:val="0"/>
      <w:marRight w:val="0"/>
      <w:marTop w:val="0"/>
      <w:marBottom w:val="0"/>
      <w:divBdr>
        <w:top w:val="none" w:sz="0" w:space="0" w:color="auto"/>
        <w:left w:val="none" w:sz="0" w:space="0" w:color="auto"/>
        <w:bottom w:val="none" w:sz="0" w:space="0" w:color="auto"/>
        <w:right w:val="none" w:sz="0" w:space="0" w:color="auto"/>
      </w:divBdr>
    </w:div>
    <w:div w:id="2123379291">
      <w:bodyDiv w:val="1"/>
      <w:marLeft w:val="0"/>
      <w:marRight w:val="0"/>
      <w:marTop w:val="0"/>
      <w:marBottom w:val="0"/>
      <w:divBdr>
        <w:top w:val="none" w:sz="0" w:space="0" w:color="auto"/>
        <w:left w:val="none" w:sz="0" w:space="0" w:color="auto"/>
        <w:bottom w:val="none" w:sz="0" w:space="0" w:color="auto"/>
        <w:right w:val="none" w:sz="0" w:space="0" w:color="auto"/>
      </w:divBdr>
      <w:divsChild>
        <w:div w:id="981931073">
          <w:marLeft w:val="274"/>
          <w:marRight w:val="0"/>
          <w:marTop w:val="0"/>
          <w:marBottom w:val="0"/>
          <w:divBdr>
            <w:top w:val="none" w:sz="0" w:space="0" w:color="auto"/>
            <w:left w:val="none" w:sz="0" w:space="0" w:color="auto"/>
            <w:bottom w:val="none" w:sz="0" w:space="0" w:color="auto"/>
            <w:right w:val="none" w:sz="0" w:space="0" w:color="auto"/>
          </w:divBdr>
        </w:div>
      </w:divsChild>
    </w:div>
    <w:div w:id="21270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ad541163-cd74-4f1b-bfd4-993ad071712c"/>
    <ds:schemaRef ds:uri="d4a3bdf5-4daf-4fdd-98bb-3d605b58f822"/>
    <ds:schemaRef ds:uri="http://schemas.microsoft.com/sharepoint/v3"/>
  </ds:schemaRefs>
</ds:datastoreItem>
</file>

<file path=customXml/itemProps3.xml><?xml version="1.0" encoding="utf-8"?>
<ds:datastoreItem xmlns:ds="http://schemas.openxmlformats.org/officeDocument/2006/customXml" ds:itemID="{7D18813B-8961-4DA4-B5F6-F9473E347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smorley</dc:creator>
  <cp:keywords/>
  <cp:lastModifiedBy>SENCIER, Sasha (NHS HUMBER AND NORTH YORKSHIRE ICB - 42D)</cp:lastModifiedBy>
  <cp:revision>4</cp:revision>
  <cp:lastPrinted>2017-09-01T14:28:00Z</cp:lastPrinted>
  <dcterms:created xsi:type="dcterms:W3CDTF">2025-03-05T11:56:00Z</dcterms:created>
  <dcterms:modified xsi:type="dcterms:W3CDTF">2025-03-05T12:38:00Z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