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405"/>
        <w:gridCol w:w="6611"/>
      </w:tblGrid>
      <w:tr w:rsidR="00B60FC1" w14:paraId="3F32C22B" w14:textId="77777777" w:rsidTr="7E0A7EF1">
        <w:tc>
          <w:tcPr>
            <w:tcW w:w="2405" w:type="dxa"/>
          </w:tcPr>
          <w:p w14:paraId="2137C5A4" w14:textId="11B48F23" w:rsidR="00B60FC1" w:rsidRDefault="00B60FC1" w:rsidP="00B60FC1">
            <w:r>
              <w:t xml:space="preserve">Intervention </w:t>
            </w:r>
          </w:p>
        </w:tc>
        <w:tc>
          <w:tcPr>
            <w:tcW w:w="6611" w:type="dxa"/>
          </w:tcPr>
          <w:p w14:paraId="73A5EAEF" w14:textId="42458C19" w:rsidR="00B60FC1" w:rsidRPr="00B60FC1" w:rsidRDefault="00B60FC1" w:rsidP="00B60FC1">
            <w:pPr>
              <w:rPr>
                <w:lang w:val="en-US"/>
              </w:rPr>
            </w:pPr>
            <w:r w:rsidRPr="00B60FC1">
              <w:rPr>
                <w:rFonts w:eastAsia="Times New Roman" w:cstheme="minorHAnsi"/>
                <w:b/>
                <w:bCs/>
              </w:rPr>
              <w:t>Surgical correction of Congenital Breast Asymmetry</w:t>
            </w:r>
          </w:p>
        </w:tc>
      </w:tr>
      <w:tr w:rsidR="00B60FC1" w14:paraId="004828E6" w14:textId="77777777" w:rsidTr="7E0A7EF1">
        <w:tc>
          <w:tcPr>
            <w:tcW w:w="2405" w:type="dxa"/>
          </w:tcPr>
          <w:p w14:paraId="194FC277" w14:textId="469D4455" w:rsidR="00B60FC1" w:rsidRDefault="00B60FC1" w:rsidP="00B60FC1">
            <w:r>
              <w:t xml:space="preserve">For the treatment of </w:t>
            </w:r>
          </w:p>
        </w:tc>
        <w:tc>
          <w:tcPr>
            <w:tcW w:w="6611" w:type="dxa"/>
          </w:tcPr>
          <w:p w14:paraId="23E416B7" w14:textId="030A67AD" w:rsidR="00B60FC1" w:rsidRDefault="00B60FC1" w:rsidP="00B60FC1">
            <w:r w:rsidRPr="002B2753">
              <w:rPr>
                <w:rFonts w:cstheme="minorHAnsi"/>
              </w:rPr>
              <w:t>Congenital Breast Asymmetry</w:t>
            </w:r>
          </w:p>
        </w:tc>
      </w:tr>
      <w:tr w:rsidR="00B60FC1" w14:paraId="3D720573" w14:textId="77777777" w:rsidTr="7E0A7EF1">
        <w:tc>
          <w:tcPr>
            <w:tcW w:w="2405" w:type="dxa"/>
          </w:tcPr>
          <w:p w14:paraId="6B55BECB" w14:textId="291589DB" w:rsidR="00B60FC1" w:rsidRDefault="00B60FC1" w:rsidP="00B60FC1">
            <w:r>
              <w:t xml:space="preserve">Commissioning Position </w:t>
            </w:r>
          </w:p>
        </w:tc>
        <w:tc>
          <w:tcPr>
            <w:tcW w:w="6611" w:type="dxa"/>
          </w:tcPr>
          <w:p w14:paraId="4AD68A89" w14:textId="09F708A2" w:rsidR="00B60FC1" w:rsidRPr="002B2753" w:rsidRDefault="00B60FC1" w:rsidP="00B60FC1">
            <w:pPr>
              <w:widowControl w:val="0"/>
              <w:tabs>
                <w:tab w:val="left" w:pos="820"/>
              </w:tabs>
              <w:spacing w:before="120" w:after="200" w:line="276" w:lineRule="auto"/>
              <w:ind w:right="-20"/>
              <w:contextualSpacing/>
              <w:rPr>
                <w:rFonts w:cstheme="minorHAnsi"/>
              </w:rPr>
            </w:pPr>
            <w:r w:rsidRPr="002B2753">
              <w:rPr>
                <w:rFonts w:cstheme="minorHAnsi"/>
              </w:rPr>
              <w:t>This intervention is commissioned when breast asymmetry is the result of a congenital condition, and the following criteria are met:</w:t>
            </w:r>
          </w:p>
          <w:p w14:paraId="238D833C" w14:textId="77777777" w:rsidR="00B60FC1" w:rsidRPr="002B2753" w:rsidRDefault="00B60FC1" w:rsidP="00B60FC1">
            <w:pPr>
              <w:pStyle w:val="TableParagraph"/>
              <w:numPr>
                <w:ilvl w:val="0"/>
                <w:numId w:val="12"/>
              </w:numPr>
              <w:spacing w:before="120" w:after="120" w:line="276" w:lineRule="auto"/>
              <w:ind w:left="453" w:right="388" w:hanging="357"/>
              <w:contextualSpacing/>
              <w:rPr>
                <w:rFonts w:asciiTheme="minorHAnsi" w:hAnsiTheme="minorHAnsi" w:cstheme="minorHAnsi"/>
              </w:rPr>
            </w:pPr>
            <w:r w:rsidRPr="002B2753">
              <w:rPr>
                <w:rFonts w:asciiTheme="minorHAnsi" w:hAnsiTheme="minorHAnsi" w:cstheme="minorHAnsi"/>
              </w:rPr>
              <w:t>18 years of age or older</w:t>
            </w:r>
          </w:p>
          <w:p w14:paraId="06F069FF" w14:textId="77777777" w:rsidR="00B60FC1" w:rsidRPr="002B2753" w:rsidRDefault="00B60FC1" w:rsidP="00B60FC1">
            <w:pPr>
              <w:pStyle w:val="TableParagraph"/>
              <w:spacing w:before="120" w:after="120" w:line="276" w:lineRule="auto"/>
              <w:ind w:left="96" w:right="388"/>
              <w:contextualSpacing/>
              <w:rPr>
                <w:rFonts w:asciiTheme="minorHAnsi" w:hAnsiTheme="minorHAnsi" w:cstheme="minorHAnsi"/>
              </w:rPr>
            </w:pPr>
            <w:r w:rsidRPr="002B2753">
              <w:rPr>
                <w:rFonts w:asciiTheme="minorHAnsi" w:hAnsiTheme="minorHAnsi" w:cstheme="minorHAnsi"/>
              </w:rPr>
              <w:t>AND</w:t>
            </w:r>
          </w:p>
          <w:p w14:paraId="501EFCE7" w14:textId="77777777" w:rsidR="00B60FC1" w:rsidRPr="002B2753" w:rsidRDefault="00B60FC1" w:rsidP="00B60FC1">
            <w:pPr>
              <w:pStyle w:val="TableParagraph"/>
              <w:numPr>
                <w:ilvl w:val="0"/>
                <w:numId w:val="12"/>
              </w:numPr>
              <w:spacing w:before="120" w:after="120" w:line="276" w:lineRule="auto"/>
              <w:ind w:left="453" w:right="388" w:hanging="357"/>
              <w:contextualSpacing/>
              <w:rPr>
                <w:rFonts w:asciiTheme="minorHAnsi" w:hAnsiTheme="minorHAnsi" w:cstheme="minorHAnsi"/>
              </w:rPr>
            </w:pPr>
            <w:r w:rsidRPr="002B2753">
              <w:rPr>
                <w:rFonts w:asciiTheme="minorHAnsi" w:hAnsiTheme="minorHAnsi" w:cstheme="minorHAnsi"/>
              </w:rPr>
              <w:t>BMI is within the range 18-25</w:t>
            </w:r>
          </w:p>
          <w:p w14:paraId="4FD91CA2" w14:textId="77777777" w:rsidR="00B60FC1" w:rsidRPr="002B2753" w:rsidRDefault="00B60FC1" w:rsidP="00B60FC1">
            <w:pPr>
              <w:pStyle w:val="TableParagraph"/>
              <w:spacing w:before="120" w:after="120" w:line="276" w:lineRule="auto"/>
              <w:ind w:left="96" w:right="388"/>
              <w:contextualSpacing/>
              <w:rPr>
                <w:rFonts w:asciiTheme="minorHAnsi" w:hAnsiTheme="minorHAnsi" w:cstheme="minorHAnsi"/>
              </w:rPr>
            </w:pPr>
            <w:r w:rsidRPr="002B2753">
              <w:rPr>
                <w:rFonts w:asciiTheme="minorHAnsi" w:hAnsiTheme="minorHAnsi" w:cstheme="minorHAnsi"/>
              </w:rPr>
              <w:t>AND</w:t>
            </w:r>
          </w:p>
          <w:p w14:paraId="572C5036" w14:textId="77777777" w:rsidR="00B60FC1" w:rsidRPr="002B2753" w:rsidRDefault="00B60FC1" w:rsidP="00B60FC1">
            <w:pPr>
              <w:pStyle w:val="TableParagraph"/>
              <w:numPr>
                <w:ilvl w:val="0"/>
                <w:numId w:val="12"/>
              </w:numPr>
              <w:spacing w:before="120" w:after="120" w:line="276" w:lineRule="auto"/>
              <w:ind w:left="453" w:right="388" w:hanging="357"/>
              <w:contextualSpacing/>
              <w:rPr>
                <w:rFonts w:asciiTheme="minorHAnsi" w:hAnsiTheme="minorHAnsi" w:cstheme="minorHAnsi"/>
              </w:rPr>
            </w:pPr>
            <w:r w:rsidRPr="002B2753">
              <w:rPr>
                <w:rFonts w:asciiTheme="minorHAnsi" w:hAnsiTheme="minorHAnsi" w:cstheme="minorHAnsi"/>
              </w:rPr>
              <w:t>there is a sternal notch to nipple difference between breasts of 4cm or more OR</w:t>
            </w:r>
          </w:p>
          <w:p w14:paraId="5A0E0DE5" w14:textId="77777777" w:rsidR="00B60FC1" w:rsidRPr="002B2753" w:rsidRDefault="00B60FC1" w:rsidP="00B60FC1">
            <w:pPr>
              <w:pStyle w:val="TableParagraph"/>
              <w:numPr>
                <w:ilvl w:val="0"/>
                <w:numId w:val="12"/>
              </w:numPr>
              <w:spacing w:before="120" w:after="120" w:line="276" w:lineRule="auto"/>
              <w:ind w:left="453" w:right="388" w:hanging="357"/>
              <w:contextualSpacing/>
              <w:rPr>
                <w:rFonts w:asciiTheme="minorHAnsi" w:hAnsiTheme="minorHAnsi" w:cstheme="minorHAnsi"/>
              </w:rPr>
            </w:pPr>
            <w:r w:rsidRPr="002B2753">
              <w:rPr>
                <w:rFonts w:asciiTheme="minorHAnsi" w:hAnsiTheme="minorHAnsi" w:cstheme="minorHAnsi"/>
              </w:rPr>
              <w:t>an infra-mammary fold to nipple difference of 30% or more OR</w:t>
            </w:r>
          </w:p>
          <w:p w14:paraId="6837E1B5" w14:textId="77777777" w:rsidR="00B60FC1" w:rsidRPr="002B2753" w:rsidRDefault="00B60FC1" w:rsidP="00B60FC1">
            <w:pPr>
              <w:pStyle w:val="TableParagraph"/>
              <w:numPr>
                <w:ilvl w:val="0"/>
                <w:numId w:val="12"/>
              </w:numPr>
              <w:spacing w:before="120" w:after="120" w:line="276" w:lineRule="auto"/>
              <w:ind w:left="453" w:right="388" w:hanging="357"/>
              <w:contextualSpacing/>
              <w:rPr>
                <w:rFonts w:asciiTheme="minorHAnsi" w:hAnsiTheme="minorHAnsi" w:cstheme="minorHAnsi"/>
              </w:rPr>
            </w:pPr>
            <w:r w:rsidRPr="002B2753">
              <w:rPr>
                <w:rFonts w:asciiTheme="minorHAnsi" w:hAnsiTheme="minorHAnsi" w:cstheme="minorHAnsi"/>
              </w:rPr>
              <w:t>a difference in overall size of breast of at least 250g, as estimated by a specialist* OR</w:t>
            </w:r>
          </w:p>
          <w:p w14:paraId="42DABC96" w14:textId="77777777" w:rsidR="00B60FC1" w:rsidRPr="002B2753" w:rsidRDefault="00B60FC1" w:rsidP="00B60FC1">
            <w:pPr>
              <w:pStyle w:val="TableParagraph"/>
              <w:numPr>
                <w:ilvl w:val="0"/>
                <w:numId w:val="12"/>
              </w:numPr>
              <w:spacing w:before="120" w:after="120" w:line="276" w:lineRule="auto"/>
              <w:ind w:left="453" w:right="388" w:hanging="357"/>
              <w:contextualSpacing/>
              <w:rPr>
                <w:rFonts w:asciiTheme="minorHAnsi" w:hAnsiTheme="minorHAnsi" w:cstheme="minorHAnsi"/>
              </w:rPr>
            </w:pPr>
            <w:r w:rsidRPr="002B2753">
              <w:rPr>
                <w:rFonts w:asciiTheme="minorHAnsi" w:hAnsiTheme="minorHAnsi" w:cstheme="minorHAnsi"/>
              </w:rPr>
              <w:t>a nipple areola diameter difference of 50% or more</w:t>
            </w:r>
          </w:p>
          <w:p w14:paraId="5C81AC8B" w14:textId="77777777" w:rsidR="00B60FC1" w:rsidRPr="002B2753" w:rsidRDefault="00B60FC1" w:rsidP="00B60FC1">
            <w:pPr>
              <w:widowControl w:val="0"/>
              <w:tabs>
                <w:tab w:val="left" w:pos="820"/>
              </w:tabs>
              <w:spacing w:before="120" w:after="200" w:line="276" w:lineRule="auto"/>
              <w:ind w:right="-20"/>
              <w:contextualSpacing/>
              <w:rPr>
                <w:rFonts w:cstheme="minorHAnsi"/>
              </w:rPr>
            </w:pPr>
            <w:r w:rsidRPr="002B2753">
              <w:rPr>
                <w:rFonts w:cstheme="minorHAnsi"/>
              </w:rPr>
              <w:t>*Infra-Red Scanning may be used to obtain measurements to confirm compliance with the above.</w:t>
            </w:r>
          </w:p>
          <w:p w14:paraId="7D0883B5" w14:textId="77777777" w:rsidR="00B60FC1" w:rsidRPr="002B2753" w:rsidRDefault="00B60FC1" w:rsidP="00B60FC1">
            <w:pPr>
              <w:pStyle w:val="Default"/>
              <w:rPr>
                <w:rFonts w:asciiTheme="minorHAnsi" w:hAnsiTheme="minorHAnsi" w:cstheme="minorHAnsi"/>
                <w:sz w:val="22"/>
                <w:szCs w:val="22"/>
              </w:rPr>
            </w:pPr>
            <w:r w:rsidRPr="002B2753">
              <w:rPr>
                <w:rFonts w:asciiTheme="minorHAnsi" w:hAnsiTheme="minorHAnsi" w:cstheme="minorHAnsi"/>
                <w:sz w:val="22"/>
                <w:szCs w:val="22"/>
              </w:rPr>
              <w:t xml:space="preserve">Corrective procedures for inverted nipples are not commissioned. </w:t>
            </w:r>
          </w:p>
          <w:p w14:paraId="4AB1C1F8" w14:textId="77777777" w:rsidR="00B60FC1" w:rsidRPr="002B2753" w:rsidRDefault="00B60FC1" w:rsidP="00B60FC1">
            <w:pPr>
              <w:pStyle w:val="Default"/>
              <w:rPr>
                <w:rFonts w:asciiTheme="minorHAnsi" w:hAnsiTheme="minorHAnsi" w:cstheme="minorHAnsi"/>
                <w:sz w:val="22"/>
                <w:szCs w:val="22"/>
              </w:rPr>
            </w:pPr>
          </w:p>
          <w:p w14:paraId="206B33D1" w14:textId="77777777" w:rsidR="00B60FC1" w:rsidRPr="002B2753" w:rsidRDefault="00B60FC1" w:rsidP="00B60FC1">
            <w:pPr>
              <w:pStyle w:val="Default"/>
              <w:rPr>
                <w:rFonts w:asciiTheme="minorHAnsi" w:hAnsiTheme="minorHAnsi" w:cstheme="minorHAnsi"/>
                <w:sz w:val="22"/>
                <w:szCs w:val="22"/>
              </w:rPr>
            </w:pPr>
            <w:r w:rsidRPr="002B2753">
              <w:rPr>
                <w:rStyle w:val="normaltextrun"/>
                <w:rFonts w:asciiTheme="minorHAnsi" w:hAnsiTheme="minorHAnsi" w:cstheme="minorHAnsi"/>
                <w:sz w:val="22"/>
                <w:szCs w:val="22"/>
                <w:shd w:val="clear" w:color="auto" w:fill="FFFFFF"/>
              </w:rPr>
              <w:t>Treatment is not otherwise commissioned for personal preference on cosmetic grounds.</w:t>
            </w:r>
          </w:p>
          <w:p w14:paraId="4BAFA1E8" w14:textId="77777777" w:rsidR="00B60FC1" w:rsidRPr="002B2753" w:rsidRDefault="00B60FC1" w:rsidP="00B60FC1">
            <w:pPr>
              <w:pStyle w:val="Default"/>
              <w:rPr>
                <w:rFonts w:asciiTheme="minorHAnsi" w:hAnsiTheme="minorHAnsi" w:cstheme="minorHAnsi"/>
                <w:sz w:val="22"/>
                <w:szCs w:val="22"/>
              </w:rPr>
            </w:pPr>
          </w:p>
          <w:p w14:paraId="2BE317FA" w14:textId="77777777" w:rsidR="00B60FC1" w:rsidRPr="002B2753" w:rsidRDefault="00B60FC1" w:rsidP="00B60FC1">
            <w:pPr>
              <w:pStyle w:val="Default"/>
              <w:rPr>
                <w:rFonts w:asciiTheme="minorHAnsi" w:hAnsiTheme="minorHAnsi" w:cstheme="minorHAnsi"/>
                <w:sz w:val="22"/>
                <w:szCs w:val="22"/>
              </w:rPr>
            </w:pPr>
            <w:r w:rsidRPr="002B2753">
              <w:rPr>
                <w:rFonts w:asciiTheme="minorHAnsi" w:hAnsiTheme="minorHAnsi" w:cstheme="minorHAnsi"/>
                <w:sz w:val="22"/>
                <w:szCs w:val="22"/>
              </w:rPr>
              <w:t xml:space="preserve">This recommendation does not cover the following, where separate guidance is available: </w:t>
            </w:r>
          </w:p>
          <w:p w14:paraId="421B8B5E" w14:textId="77777777" w:rsidR="00B60FC1" w:rsidRPr="002B2753" w:rsidRDefault="00B60FC1" w:rsidP="00B60FC1">
            <w:pPr>
              <w:pStyle w:val="Default"/>
              <w:numPr>
                <w:ilvl w:val="0"/>
                <w:numId w:val="13"/>
              </w:numPr>
              <w:ind w:left="402" w:hanging="357"/>
              <w:rPr>
                <w:rFonts w:asciiTheme="minorHAnsi" w:hAnsiTheme="minorHAnsi" w:cstheme="minorHAnsi"/>
                <w:sz w:val="22"/>
                <w:szCs w:val="22"/>
              </w:rPr>
            </w:pPr>
            <w:r w:rsidRPr="002B2753">
              <w:rPr>
                <w:rFonts w:asciiTheme="minorHAnsi" w:hAnsiTheme="minorHAnsi" w:cstheme="minorHAnsi"/>
                <w:sz w:val="22"/>
                <w:szCs w:val="22"/>
              </w:rPr>
              <w:t>Gender reassignment surgery</w:t>
            </w:r>
          </w:p>
          <w:p w14:paraId="35BE5BCF" w14:textId="77777777" w:rsidR="00B60FC1" w:rsidRPr="002B2753" w:rsidRDefault="00B60FC1" w:rsidP="00B60FC1">
            <w:pPr>
              <w:pStyle w:val="Default"/>
              <w:numPr>
                <w:ilvl w:val="0"/>
                <w:numId w:val="13"/>
              </w:numPr>
              <w:ind w:left="402" w:hanging="357"/>
              <w:rPr>
                <w:rFonts w:asciiTheme="minorHAnsi" w:hAnsiTheme="minorHAnsi" w:cstheme="minorHAnsi"/>
                <w:sz w:val="22"/>
                <w:szCs w:val="22"/>
              </w:rPr>
            </w:pPr>
            <w:r w:rsidRPr="002B2753">
              <w:rPr>
                <w:rFonts w:asciiTheme="minorHAnsi" w:hAnsiTheme="minorHAnsi" w:cstheme="minorHAnsi"/>
                <w:sz w:val="22"/>
                <w:szCs w:val="22"/>
              </w:rPr>
              <w:t xml:space="preserve">Surgery for breast cancer. </w:t>
            </w:r>
          </w:p>
          <w:p w14:paraId="53855746" w14:textId="4E568063" w:rsidR="00B60FC1" w:rsidRDefault="00B60FC1" w:rsidP="00B60FC1">
            <w:pPr>
              <w:pStyle w:val="paragraph"/>
              <w:spacing w:before="0" w:beforeAutospacing="0" w:after="0" w:afterAutospacing="0"/>
              <w:textAlignment w:val="baseline"/>
            </w:pPr>
          </w:p>
        </w:tc>
      </w:tr>
      <w:tr w:rsidR="00B60FC1" w14:paraId="2EEB5014" w14:textId="77777777" w:rsidTr="7E0A7EF1">
        <w:tc>
          <w:tcPr>
            <w:tcW w:w="2405" w:type="dxa"/>
          </w:tcPr>
          <w:p w14:paraId="31574E9B" w14:textId="509110BD" w:rsidR="00B60FC1" w:rsidRDefault="00B60FC1" w:rsidP="00B60FC1">
            <w:r>
              <w:t>Summary of Rationale</w:t>
            </w:r>
          </w:p>
          <w:p w14:paraId="61460744" w14:textId="7D87783C" w:rsidR="00B60FC1" w:rsidRDefault="00B60FC1" w:rsidP="00B60FC1"/>
        </w:tc>
        <w:tc>
          <w:tcPr>
            <w:tcW w:w="6611" w:type="dxa"/>
          </w:tcPr>
          <w:p w14:paraId="3899B464" w14:textId="77777777" w:rsidR="00B60FC1" w:rsidRDefault="00B60FC1" w:rsidP="00B60FC1">
            <w:pPr>
              <w:widowControl w:val="0"/>
              <w:tabs>
                <w:tab w:val="left" w:pos="820"/>
              </w:tabs>
              <w:spacing w:before="120"/>
              <w:ind w:right="-20"/>
              <w:contextualSpacing/>
              <w:rPr>
                <w:rFonts w:cstheme="minorHAnsi"/>
              </w:rPr>
            </w:pPr>
            <w:r w:rsidRPr="002B2753">
              <w:rPr>
                <w:rFonts w:cstheme="minorHAnsi"/>
              </w:rPr>
              <w:t xml:space="preserve">Congenital conditions may include (but are not limited to): macromastia, Poland Syndrome, tuberous breast, unilateral or asymmetric hypoplasia, amazia (unilateral/bilateral), congenital </w:t>
            </w:r>
            <w:proofErr w:type="spellStart"/>
            <w:r w:rsidRPr="002B2753">
              <w:rPr>
                <w:rFonts w:cstheme="minorHAnsi"/>
              </w:rPr>
              <w:t>symmastia</w:t>
            </w:r>
            <w:proofErr w:type="spellEnd"/>
            <w:r w:rsidRPr="002B2753">
              <w:rPr>
                <w:rFonts w:cstheme="minorHAnsi"/>
              </w:rPr>
              <w:t xml:space="preserve">. Congenital </w:t>
            </w:r>
            <w:proofErr w:type="spellStart"/>
            <w:r w:rsidRPr="002B2753">
              <w:rPr>
                <w:rFonts w:cstheme="minorHAnsi"/>
              </w:rPr>
              <w:t>symmastia</w:t>
            </w:r>
            <w:proofErr w:type="spellEnd"/>
            <w:r w:rsidRPr="002B2753">
              <w:rPr>
                <w:rFonts w:cstheme="minorHAnsi"/>
              </w:rPr>
              <w:t xml:space="preserve"> is very rare and should be considered for treatment on that basis. </w:t>
            </w:r>
          </w:p>
          <w:p w14:paraId="0491C237" w14:textId="77777777" w:rsidR="00B60FC1" w:rsidRPr="002B2753" w:rsidRDefault="00B60FC1" w:rsidP="00B60FC1">
            <w:pPr>
              <w:pStyle w:val="Default"/>
              <w:spacing w:before="240" w:after="240"/>
              <w:rPr>
                <w:rFonts w:asciiTheme="minorHAnsi" w:hAnsiTheme="minorHAnsi" w:cstheme="minorHAnsi"/>
                <w:sz w:val="22"/>
                <w:szCs w:val="22"/>
              </w:rPr>
            </w:pPr>
            <w:r w:rsidRPr="002B2753">
              <w:rPr>
                <w:rFonts w:asciiTheme="minorHAnsi" w:hAnsiTheme="minorHAnsi" w:cstheme="minorHAnsi"/>
                <w:sz w:val="22"/>
                <w:szCs w:val="22"/>
              </w:rPr>
              <w:t xml:space="preserve">The GIRFT Breast Surgery report identified significant variability in CCGs’ approach to funding surgery for congenital abnormalities. Findings from the GIRFT report emphasise the need for a standard set of criteria that CCGs must consider when reviewing IFRs for corrective surgery for congenital asymmetry. </w:t>
            </w:r>
          </w:p>
          <w:p w14:paraId="64381B98" w14:textId="1509F054" w:rsidR="00B60FC1" w:rsidRPr="002B2753" w:rsidRDefault="00B60FC1" w:rsidP="00B60FC1">
            <w:pPr>
              <w:widowControl w:val="0"/>
              <w:tabs>
                <w:tab w:val="left" w:pos="820"/>
              </w:tabs>
              <w:spacing w:before="120" w:after="200"/>
              <w:ind w:right="-20"/>
              <w:contextualSpacing/>
              <w:rPr>
                <w:rFonts w:cstheme="minorHAnsi"/>
              </w:rPr>
            </w:pPr>
            <w:r w:rsidRPr="002B2753">
              <w:rPr>
                <w:rFonts w:cstheme="minorHAnsi"/>
              </w:rPr>
              <w:t xml:space="preserve">Surgery is not funded on the NHS for cosmetic purposes (personal preferences) alone. However, breast procedures to support recovery from or reduce risk of a medical condition should be considered as being for aesthetic purposes and are likely to have a therapeutic benefit. Evidence from a cohort study considering the outcomes after treatment for congenital breast asymmetry found significant </w:t>
            </w:r>
            <w:r w:rsidRPr="002B2753">
              <w:rPr>
                <w:rFonts w:cstheme="minorHAnsi"/>
              </w:rPr>
              <w:lastRenderedPageBreak/>
              <w:t>postoperative psychological improvements. The study included those with congenital breast asymmetry secondary to: macromastia, Poland Syndrome, tuberous breast, unilateral or asymmetric hypoplasia and amazia. When compared to age matched controls, patients undergoing corrective surgery for breast asymmetry experienced significant postoperative improvements on the Rosenberg Self-Esteem Scale, and in three Short-Form 36v2 domains: Role - Physical, Social Functioning and Mental Health. These improvements were sustained for a minimum of 5 years. Postoperatively, asymmetry participants’ quality of life was comparable to controls and did not vary by age at the time of surgery, asymmetry severity, or diagnosis.</w:t>
            </w:r>
          </w:p>
          <w:p w14:paraId="5691B576" w14:textId="5B0C675B" w:rsidR="00B60FC1" w:rsidRDefault="00B60FC1" w:rsidP="00B60FC1"/>
        </w:tc>
      </w:tr>
      <w:tr w:rsidR="00B60FC1" w14:paraId="45DC12DB" w14:textId="77777777" w:rsidTr="7E0A7EF1">
        <w:tc>
          <w:tcPr>
            <w:tcW w:w="2405" w:type="dxa"/>
          </w:tcPr>
          <w:p w14:paraId="5A47F1A1" w14:textId="4F582E47" w:rsidR="00B60FC1" w:rsidRDefault="00B60FC1" w:rsidP="00B60FC1">
            <w:r>
              <w:lastRenderedPageBreak/>
              <w:t xml:space="preserve">References </w:t>
            </w:r>
          </w:p>
        </w:tc>
        <w:tc>
          <w:tcPr>
            <w:tcW w:w="6611" w:type="dxa"/>
          </w:tcPr>
          <w:p w14:paraId="35A704B9" w14:textId="77777777" w:rsidR="00B60FC1" w:rsidRDefault="0097720C" w:rsidP="00B60FC1">
            <w:pPr>
              <w:pStyle w:val="Default"/>
              <w:rPr>
                <w:rStyle w:val="Hyperlink"/>
                <w:rFonts w:asciiTheme="minorHAnsi" w:hAnsiTheme="minorHAnsi" w:cstheme="minorHAnsi"/>
                <w:sz w:val="22"/>
                <w:szCs w:val="22"/>
              </w:rPr>
            </w:pPr>
            <w:hyperlink r:id="rId10" w:history="1">
              <w:r w:rsidR="00B60FC1" w:rsidRPr="002B2753">
                <w:rPr>
                  <w:rStyle w:val="Hyperlink"/>
                  <w:rFonts w:asciiTheme="minorHAnsi" w:hAnsiTheme="minorHAnsi" w:cstheme="minorHAnsi"/>
                  <w:sz w:val="22"/>
                  <w:szCs w:val="22"/>
                </w:rPr>
                <w:t>Breast enlargement (implants) - NHS (www.nhs.uk)</w:t>
              </w:r>
            </w:hyperlink>
          </w:p>
          <w:p w14:paraId="636D0E16" w14:textId="77777777" w:rsidR="00B60FC1" w:rsidRPr="002B2753" w:rsidRDefault="0097720C" w:rsidP="00B60FC1">
            <w:pPr>
              <w:pStyle w:val="Default"/>
              <w:rPr>
                <w:rFonts w:asciiTheme="minorHAnsi" w:hAnsiTheme="minorHAnsi" w:cstheme="minorHAnsi"/>
                <w:sz w:val="22"/>
                <w:szCs w:val="22"/>
              </w:rPr>
            </w:pPr>
            <w:hyperlink r:id="rId11" w:history="1">
              <w:r w:rsidR="00B60FC1" w:rsidRPr="002B2753">
                <w:rPr>
                  <w:rStyle w:val="Hyperlink"/>
                  <w:rFonts w:asciiTheme="minorHAnsi" w:hAnsiTheme="minorHAnsi" w:cstheme="minorHAnsi"/>
                  <w:sz w:val="22"/>
                  <w:szCs w:val="22"/>
                </w:rPr>
                <w:t>Breast Asymmetry: Classification and Management | Aesthetic Surgery Journal | Oxford Academic (oup.com)</w:t>
              </w:r>
            </w:hyperlink>
            <w:r w:rsidR="00B60FC1" w:rsidRPr="002B2753">
              <w:rPr>
                <w:rFonts w:asciiTheme="minorHAnsi" w:hAnsiTheme="minorHAnsi" w:cstheme="minorHAnsi"/>
                <w:sz w:val="22"/>
                <w:szCs w:val="22"/>
              </w:rPr>
              <w:t xml:space="preserve"> </w:t>
            </w:r>
          </w:p>
          <w:p w14:paraId="69C25CDF" w14:textId="77777777" w:rsidR="00B60FC1" w:rsidRPr="002B2753" w:rsidRDefault="0097720C" w:rsidP="00B60FC1">
            <w:pPr>
              <w:pStyle w:val="Default"/>
              <w:rPr>
                <w:rFonts w:asciiTheme="minorHAnsi" w:hAnsiTheme="minorHAnsi" w:cstheme="minorHAnsi"/>
                <w:sz w:val="22"/>
                <w:szCs w:val="22"/>
              </w:rPr>
            </w:pPr>
            <w:hyperlink r:id="rId12" w:history="1">
              <w:r w:rsidR="00B60FC1" w:rsidRPr="002B2753">
                <w:rPr>
                  <w:rStyle w:val="Hyperlink"/>
                  <w:rFonts w:asciiTheme="minorHAnsi" w:hAnsiTheme="minorHAnsi" w:cstheme="minorHAnsi"/>
                  <w:sz w:val="22"/>
                  <w:szCs w:val="22"/>
                </w:rPr>
                <w:t>Breast surgery report (gettingitrightfirsttime.co.uk)</w:t>
              </w:r>
            </w:hyperlink>
          </w:p>
          <w:p w14:paraId="6071D304" w14:textId="77777777" w:rsidR="00B60FC1" w:rsidRPr="002B2753" w:rsidRDefault="0097720C" w:rsidP="00B60FC1">
            <w:pPr>
              <w:pStyle w:val="Default"/>
              <w:rPr>
                <w:rFonts w:asciiTheme="minorHAnsi" w:hAnsiTheme="minorHAnsi" w:cstheme="minorHAnsi"/>
                <w:sz w:val="22"/>
                <w:szCs w:val="22"/>
              </w:rPr>
            </w:pPr>
            <w:hyperlink r:id="rId13" w:history="1">
              <w:r w:rsidR="00B60FC1" w:rsidRPr="002B2753">
                <w:rPr>
                  <w:rStyle w:val="Hyperlink"/>
                  <w:rFonts w:asciiTheme="minorHAnsi" w:hAnsiTheme="minorHAnsi" w:cstheme="minorHAnsi"/>
                  <w:sz w:val="22"/>
                  <w:szCs w:val="22"/>
                </w:rPr>
                <w:t>The Effect of Surgical Treatment on the Quality of Life of Y... : Plastic and Reconstructive Surgery (lww.com)</w:t>
              </w:r>
            </w:hyperlink>
            <w:r w:rsidR="00B60FC1" w:rsidRPr="002B2753">
              <w:rPr>
                <w:rFonts w:asciiTheme="minorHAnsi" w:hAnsiTheme="minorHAnsi" w:cstheme="minorHAnsi"/>
                <w:sz w:val="22"/>
                <w:szCs w:val="22"/>
              </w:rPr>
              <w:t xml:space="preserve"> </w:t>
            </w:r>
          </w:p>
          <w:p w14:paraId="09B931E6" w14:textId="77777777" w:rsidR="00B60FC1" w:rsidRPr="002B2753" w:rsidRDefault="0097720C" w:rsidP="00B60FC1">
            <w:pPr>
              <w:pStyle w:val="Default"/>
              <w:rPr>
                <w:rFonts w:asciiTheme="minorHAnsi" w:hAnsiTheme="minorHAnsi" w:cstheme="minorHAnsi"/>
                <w:sz w:val="22"/>
                <w:szCs w:val="22"/>
              </w:rPr>
            </w:pPr>
            <w:hyperlink r:id="rId14" w:history="1">
              <w:r w:rsidR="00B60FC1" w:rsidRPr="002B2753">
                <w:rPr>
                  <w:rStyle w:val="Hyperlink"/>
                  <w:rFonts w:asciiTheme="minorHAnsi" w:hAnsiTheme="minorHAnsi" w:cstheme="minorHAnsi"/>
                  <w:sz w:val="22"/>
                  <w:szCs w:val="22"/>
                </w:rPr>
                <w:t>Oncoplastic breast surgery: A guide to good practice (associationofbreastsurgery.org.uk)</w:t>
              </w:r>
            </w:hyperlink>
          </w:p>
          <w:p w14:paraId="150D9A10" w14:textId="20BBF82F" w:rsidR="00B60FC1" w:rsidRPr="0039492D" w:rsidRDefault="0097720C" w:rsidP="00B60FC1">
            <w:pPr>
              <w:rPr>
                <w:rFonts w:ascii="Calibri" w:eastAsia="Calibri" w:hAnsi="Calibri" w:cs="Calibri"/>
              </w:rPr>
            </w:pPr>
            <w:hyperlink r:id="rId15" w:history="1">
              <w:r w:rsidR="00B60FC1" w:rsidRPr="002B2753">
                <w:rPr>
                  <w:rStyle w:val="Hyperlink"/>
                  <w:rFonts w:cstheme="minorHAnsi"/>
                </w:rPr>
                <w:t>NHS-England-Service-Specification-for-Specialised-Gender-Dysphoria-Services-Surgical-v4.pdf</w:t>
              </w:r>
            </w:hyperlink>
          </w:p>
        </w:tc>
      </w:tr>
      <w:tr w:rsidR="00B60FC1" w14:paraId="2F64E887" w14:textId="77777777" w:rsidTr="7E0A7EF1">
        <w:tc>
          <w:tcPr>
            <w:tcW w:w="2405" w:type="dxa"/>
          </w:tcPr>
          <w:p w14:paraId="26CC3A7F" w14:textId="3F59DDFA" w:rsidR="00B60FC1" w:rsidRDefault="00B60FC1" w:rsidP="00B60FC1">
            <w:r>
              <w:t>Effective from</w:t>
            </w:r>
          </w:p>
        </w:tc>
        <w:tc>
          <w:tcPr>
            <w:tcW w:w="6611" w:type="dxa"/>
          </w:tcPr>
          <w:p w14:paraId="03ECD2F0" w14:textId="48125510" w:rsidR="00B60FC1" w:rsidRDefault="00B60FC1" w:rsidP="00B60FC1">
            <w:r>
              <w:t>June 2024</w:t>
            </w:r>
          </w:p>
        </w:tc>
      </w:tr>
      <w:tr w:rsidR="00B60FC1" w14:paraId="2C1E1213" w14:textId="77777777" w:rsidTr="7E0A7EF1">
        <w:tc>
          <w:tcPr>
            <w:tcW w:w="2405" w:type="dxa"/>
          </w:tcPr>
          <w:p w14:paraId="4D394461" w14:textId="4D85EBE7" w:rsidR="00B60FC1" w:rsidRDefault="00B60FC1" w:rsidP="00B60FC1">
            <w:r>
              <w:t xml:space="preserve">Policy Review Date </w:t>
            </w:r>
          </w:p>
        </w:tc>
        <w:tc>
          <w:tcPr>
            <w:tcW w:w="6611" w:type="dxa"/>
          </w:tcPr>
          <w:p w14:paraId="29012611" w14:textId="7D89ECA6" w:rsidR="00B60FC1" w:rsidRDefault="00B60FC1" w:rsidP="00B60FC1">
            <w:r>
              <w:t>June 2027</w:t>
            </w:r>
          </w:p>
        </w:tc>
      </w:tr>
    </w:tbl>
    <w:p w14:paraId="18EDB3DD" w14:textId="77777777" w:rsidR="000E104F" w:rsidRDefault="000E104F"/>
    <w:sectPr w:rsidR="000E104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DA912" w14:textId="77777777" w:rsidR="00E4785E" w:rsidRDefault="00E4785E">
      <w:pPr>
        <w:spacing w:after="0" w:line="240" w:lineRule="auto"/>
      </w:pPr>
      <w:r>
        <w:separator/>
      </w:r>
    </w:p>
  </w:endnote>
  <w:endnote w:type="continuationSeparator" w:id="0">
    <w:p w14:paraId="44EA19BE" w14:textId="77777777" w:rsidR="00E4785E" w:rsidRDefault="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on Nor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7ED32" w14:textId="77777777" w:rsidR="00E4785E" w:rsidRDefault="00E4785E">
      <w:pPr>
        <w:spacing w:after="0" w:line="240" w:lineRule="auto"/>
      </w:pPr>
      <w:r>
        <w:separator/>
      </w:r>
    </w:p>
  </w:footnote>
  <w:footnote w:type="continuationSeparator" w:id="0">
    <w:p w14:paraId="520B581B" w14:textId="77777777" w:rsidR="00E4785E" w:rsidRDefault="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17D"/>
    <w:multiLevelType w:val="hybridMultilevel"/>
    <w:tmpl w:val="DC3A5504"/>
    <w:lvl w:ilvl="0" w:tplc="4F1C3A60">
      <w:numFmt w:val="bullet"/>
      <w:lvlText w:val="-"/>
      <w:lvlJc w:val="left"/>
      <w:pPr>
        <w:ind w:left="408" w:hanging="360"/>
      </w:pPr>
      <w:rPr>
        <w:rFonts w:ascii="Simplon Norm" w:eastAsia="Calibri" w:hAnsi="Simplon Norm" w:cs="Simplon Norm"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5283F"/>
    <w:multiLevelType w:val="hybridMultilevel"/>
    <w:tmpl w:val="6ABE7854"/>
    <w:lvl w:ilvl="0" w:tplc="08090001">
      <w:start w:val="1"/>
      <w:numFmt w:val="bullet"/>
      <w:lvlText w:val=""/>
      <w:lvlJc w:val="left"/>
      <w:pPr>
        <w:ind w:left="824" w:hanging="360"/>
      </w:pPr>
      <w:rPr>
        <w:rFonts w:ascii="Symbol" w:hAnsi="Symbol" w:hint="default"/>
      </w:rPr>
    </w:lvl>
    <w:lvl w:ilvl="1" w:tplc="08090003">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2"/>
  </w:num>
  <w:num w:numId="3" w16cid:durableId="1147431926">
    <w:abstractNumId w:val="0"/>
  </w:num>
  <w:num w:numId="4" w16cid:durableId="890380511">
    <w:abstractNumId w:val="4"/>
  </w:num>
  <w:num w:numId="5" w16cid:durableId="1585725535">
    <w:abstractNumId w:val="11"/>
  </w:num>
  <w:num w:numId="6" w16cid:durableId="1128164145">
    <w:abstractNumId w:val="7"/>
  </w:num>
  <w:num w:numId="7" w16cid:durableId="1607155194">
    <w:abstractNumId w:val="10"/>
  </w:num>
  <w:num w:numId="8" w16cid:durableId="70854915">
    <w:abstractNumId w:val="3"/>
  </w:num>
  <w:num w:numId="9" w16cid:durableId="1686781628">
    <w:abstractNumId w:val="5"/>
  </w:num>
  <w:num w:numId="10" w16cid:durableId="1966278688">
    <w:abstractNumId w:val="6"/>
  </w:num>
  <w:num w:numId="11" w16cid:durableId="864752626">
    <w:abstractNumId w:val="9"/>
  </w:num>
  <w:num w:numId="12" w16cid:durableId="1488667781">
    <w:abstractNumId w:val="8"/>
  </w:num>
  <w:num w:numId="13" w16cid:durableId="47672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C292B"/>
    <w:rsid w:val="005565A7"/>
    <w:rsid w:val="005820AB"/>
    <w:rsid w:val="00591E29"/>
    <w:rsid w:val="005E3ADB"/>
    <w:rsid w:val="005F0F1D"/>
    <w:rsid w:val="00656075"/>
    <w:rsid w:val="00702D52"/>
    <w:rsid w:val="007606C0"/>
    <w:rsid w:val="00784A20"/>
    <w:rsid w:val="007A1D76"/>
    <w:rsid w:val="0080365B"/>
    <w:rsid w:val="0086083A"/>
    <w:rsid w:val="0093C44A"/>
    <w:rsid w:val="00946B0C"/>
    <w:rsid w:val="0097663E"/>
    <w:rsid w:val="0097720C"/>
    <w:rsid w:val="009D48EB"/>
    <w:rsid w:val="00A21761"/>
    <w:rsid w:val="00A719FC"/>
    <w:rsid w:val="00AA38E1"/>
    <w:rsid w:val="00AE39A5"/>
    <w:rsid w:val="00B60FC1"/>
    <w:rsid w:val="00B835D0"/>
    <w:rsid w:val="00B97DAB"/>
    <w:rsid w:val="00BC27F1"/>
    <w:rsid w:val="00C5358B"/>
    <w:rsid w:val="00C55041"/>
    <w:rsid w:val="00D81158"/>
    <w:rsid w:val="00DD4A29"/>
    <w:rsid w:val="00E17065"/>
    <w:rsid w:val="00E23A5B"/>
    <w:rsid w:val="00E4785E"/>
    <w:rsid w:val="00EB3CFA"/>
    <w:rsid w:val="00ED5143"/>
    <w:rsid w:val="00F012EF"/>
    <w:rsid w:val="00F9067A"/>
    <w:rsid w:val="00FF3EE2"/>
    <w:rsid w:val="00FF6EF3"/>
    <w:rsid w:val="01A0723A"/>
    <w:rsid w:val="02B3C44F"/>
    <w:rsid w:val="0B6A0C66"/>
    <w:rsid w:val="0DCB6B24"/>
    <w:rsid w:val="0E2289EC"/>
    <w:rsid w:val="17AECED6"/>
    <w:rsid w:val="1BC662FA"/>
    <w:rsid w:val="1C8B89BA"/>
    <w:rsid w:val="1D7BA3D8"/>
    <w:rsid w:val="1DD6F1EE"/>
    <w:rsid w:val="1F92CEBE"/>
    <w:rsid w:val="229E4C0C"/>
    <w:rsid w:val="236D715C"/>
    <w:rsid w:val="237966E0"/>
    <w:rsid w:val="24D5FB3E"/>
    <w:rsid w:val="2A602EEE"/>
    <w:rsid w:val="2B9E4B41"/>
    <w:rsid w:val="2BF356F9"/>
    <w:rsid w:val="3194BA9C"/>
    <w:rsid w:val="34B68F6F"/>
    <w:rsid w:val="389181A6"/>
    <w:rsid w:val="39BAF3F0"/>
    <w:rsid w:val="3B526FD8"/>
    <w:rsid w:val="3FF48BFB"/>
    <w:rsid w:val="44709B3A"/>
    <w:rsid w:val="44DFFF9E"/>
    <w:rsid w:val="45497F20"/>
    <w:rsid w:val="492132F9"/>
    <w:rsid w:val="4CADA413"/>
    <w:rsid w:val="4D8DD7CD"/>
    <w:rsid w:val="4F9A594B"/>
    <w:rsid w:val="506D4E92"/>
    <w:rsid w:val="509D0A6E"/>
    <w:rsid w:val="56541B87"/>
    <w:rsid w:val="56FDB0F3"/>
    <w:rsid w:val="5889EC3A"/>
    <w:rsid w:val="5EEF045C"/>
    <w:rsid w:val="618E33EE"/>
    <w:rsid w:val="62E581D5"/>
    <w:rsid w:val="6454475A"/>
    <w:rsid w:val="684015C6"/>
    <w:rsid w:val="6B712061"/>
    <w:rsid w:val="72F30E7F"/>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paragraph" w:customStyle="1" w:styleId="TableParagraph">
    <w:name w:val="Table Paragraph"/>
    <w:basedOn w:val="Normal"/>
    <w:uiPriority w:val="1"/>
    <w:qFormat/>
    <w:rsid w:val="00B60FC1"/>
    <w:pPr>
      <w:widowControl w:val="0"/>
      <w:autoSpaceDE w:val="0"/>
      <w:autoSpaceDN w:val="0"/>
      <w:spacing w:after="0" w:line="240" w:lineRule="auto"/>
    </w:pPr>
    <w:rPr>
      <w:rFonts w:ascii="Arial" w:eastAsia="Arial" w:hAnsi="Arial" w:cs="Arial"/>
      <w:kern w:val="0"/>
      <w:lang w:val="en-US"/>
      <w14:ligatures w14:val="none"/>
    </w:rPr>
  </w:style>
  <w:style w:type="paragraph" w:customStyle="1" w:styleId="Default">
    <w:name w:val="Default"/>
    <w:rsid w:val="00B60FC1"/>
    <w:pPr>
      <w:autoSpaceDE w:val="0"/>
      <w:autoSpaceDN w:val="0"/>
      <w:adjustRightInd w:val="0"/>
      <w:spacing w:after="0" w:line="240" w:lineRule="auto"/>
    </w:pPr>
    <w:rPr>
      <w:rFonts w:ascii="Simplon Norm" w:eastAsia="Calibri" w:hAnsi="Simplon Norm" w:cs="Simplon Norm"/>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urnals.lww.com/plasreconsurg/abstract/2020/10000/the_effect_of_surgical_treatment_on_the_quality_of.2.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ttingitrightfirsttime.co.uk/wp-content/uploads/2021/09/BreastSurgeryReport-Jul21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oup.com/asj/article/26/5/596/214444" TargetMode="External"/><Relationship Id="rId5" Type="http://schemas.openxmlformats.org/officeDocument/2006/relationships/styles" Target="styles.xml"/><Relationship Id="rId15" Type="http://schemas.openxmlformats.org/officeDocument/2006/relationships/hyperlink" Target="https://www.england.nhs.uk/wp-content/uploads/2019/07/NHS-England-Service-Specification-for-Specialised-Gender-Dysphoria-Services-Surgical-v4.pdf" TargetMode="External"/><Relationship Id="rId10" Type="http://schemas.openxmlformats.org/officeDocument/2006/relationships/hyperlink" Target="https://www.nhs.uk/conditions/cosmetic-procedures/cosmetic-surgery/breast-enlarge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ociationofbreastsurgery.org.uk/media/359061/abs-oncoplastic-guidelines-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F0FFD39E-0973-4145-97E0-B879CF2D0DC5}"/>
</file>

<file path=customXml/itemProps3.xml><?xml version="1.0" encoding="utf-8"?>
<ds:datastoreItem xmlns:ds="http://schemas.openxmlformats.org/officeDocument/2006/customXml" ds:itemID="{EF5E2BB1-B746-425F-8753-9F82113632BA}">
  <ds:schemaRefs>
    <ds:schemaRef ds:uri="http://schemas.microsoft.com/office/2006/documentManagement/types"/>
    <ds:schemaRef ds:uri="http://www.w3.org/XML/1998/namespace"/>
    <ds:schemaRef ds:uri="http://schemas.microsoft.com/sharepoint/v3"/>
    <ds:schemaRef ds:uri="1365388d-8e0b-4df5-a0a3-cd102b49988e"/>
    <ds:schemaRef ds:uri="http://purl.org/dc/elements/1.1/"/>
    <ds:schemaRef ds:uri="http://schemas.microsoft.com/office/infopath/2007/PartnerControls"/>
    <ds:schemaRef ds:uri="http://schemas.openxmlformats.org/package/2006/metadata/core-properties"/>
    <ds:schemaRef ds:uri="http://purl.org/dc/terms/"/>
    <ds:schemaRef ds:uri="f6a82410-35a1-48d9-a432-e298e5b95e46"/>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Company>NHS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2024-09-09T13:39:00Z</dcterms:created>
  <dcterms:modified xsi:type="dcterms:W3CDTF">2024-09-09T13:39:00Z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