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7175"/>
      </w:tblGrid>
      <w:tr w:rsidR="000F4D44" w:rsidRPr="00F12C98" w14:paraId="3E27236D" w14:textId="77777777" w:rsidTr="008008BC">
        <w:trPr>
          <w:trHeight w:val="345"/>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705DB799"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Intervention  </w:t>
            </w:r>
          </w:p>
        </w:tc>
        <w:tc>
          <w:tcPr>
            <w:tcW w:w="7175" w:type="dxa"/>
            <w:tcBorders>
              <w:top w:val="single" w:sz="6" w:space="0" w:color="auto"/>
              <w:left w:val="single" w:sz="6" w:space="0" w:color="auto"/>
              <w:bottom w:val="single" w:sz="6" w:space="0" w:color="auto"/>
              <w:right w:val="single" w:sz="6" w:space="0" w:color="auto"/>
            </w:tcBorders>
            <w:shd w:val="clear" w:color="auto" w:fill="auto"/>
            <w:hideMark/>
          </w:tcPr>
          <w:p w14:paraId="56596290"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lang w:eastAsia="en-GB"/>
                <w14:ligatures w14:val="none"/>
              </w:rPr>
              <w:t xml:space="preserve">055. </w:t>
            </w:r>
            <w:r w:rsidRPr="00F12C98">
              <w:rPr>
                <w:rFonts w:ascii="Calibri" w:eastAsia="Times New Roman" w:hAnsi="Calibri" w:cs="Calibri"/>
                <w:b/>
                <w:bCs/>
                <w:kern w:val="0"/>
                <w:lang w:eastAsia="en-GB"/>
                <w14:ligatures w14:val="none"/>
              </w:rPr>
              <w:t>Tonsillectomy for Recurrent Tonsillitis</w:t>
            </w:r>
            <w:r w:rsidRPr="00F12C98">
              <w:rPr>
                <w:rFonts w:ascii="Calibri" w:eastAsia="Times New Roman" w:hAnsi="Calibri" w:cs="Calibri"/>
                <w:kern w:val="0"/>
                <w:lang w:eastAsia="en-GB"/>
                <w14:ligatures w14:val="none"/>
              </w:rPr>
              <w:t> </w:t>
            </w:r>
          </w:p>
        </w:tc>
      </w:tr>
      <w:tr w:rsidR="000F4D44" w:rsidRPr="00F12C98" w14:paraId="47F5E63E" w14:textId="77777777" w:rsidTr="008008BC">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7E86E2C3"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For the treatment of  </w:t>
            </w:r>
          </w:p>
        </w:tc>
        <w:tc>
          <w:tcPr>
            <w:tcW w:w="7175" w:type="dxa"/>
            <w:tcBorders>
              <w:top w:val="single" w:sz="6" w:space="0" w:color="auto"/>
              <w:left w:val="single" w:sz="6" w:space="0" w:color="auto"/>
              <w:bottom w:val="single" w:sz="6" w:space="0" w:color="auto"/>
              <w:right w:val="single" w:sz="6" w:space="0" w:color="auto"/>
            </w:tcBorders>
            <w:shd w:val="clear" w:color="auto" w:fill="auto"/>
            <w:hideMark/>
          </w:tcPr>
          <w:p w14:paraId="17B64EB3"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Recurrent sore throats in adults and children. </w:t>
            </w:r>
          </w:p>
        </w:tc>
      </w:tr>
      <w:tr w:rsidR="000F4D44" w:rsidRPr="00F12C98" w14:paraId="7563F946" w14:textId="77777777" w:rsidTr="008008BC">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3F8EC1B9"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Commissioning Position  </w:t>
            </w:r>
          </w:p>
        </w:tc>
        <w:tc>
          <w:tcPr>
            <w:tcW w:w="7175" w:type="dxa"/>
            <w:tcBorders>
              <w:top w:val="single" w:sz="6" w:space="0" w:color="auto"/>
              <w:left w:val="single" w:sz="6" w:space="0" w:color="auto"/>
              <w:bottom w:val="single" w:sz="6" w:space="0" w:color="auto"/>
              <w:right w:val="single" w:sz="6" w:space="0" w:color="auto"/>
            </w:tcBorders>
            <w:shd w:val="clear" w:color="auto" w:fill="auto"/>
            <w:hideMark/>
          </w:tcPr>
          <w:p w14:paraId="62AAB0F2"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This intervention is commissioned if the following criteria are met: </w:t>
            </w:r>
          </w:p>
          <w:p w14:paraId="49530C7B" w14:textId="77777777" w:rsidR="000F4D44" w:rsidRDefault="000F4D44" w:rsidP="000F4D44">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F12C98">
              <w:rPr>
                <w:rFonts w:ascii="Calibri" w:eastAsia="Times New Roman" w:hAnsi="Calibri" w:cs="Calibri"/>
                <w:kern w:val="0"/>
                <w:lang w:eastAsia="en-GB"/>
                <w14:ligatures w14:val="none"/>
              </w:rPr>
              <w:t>sore throats are due to acute tonsillitis AND </w:t>
            </w:r>
          </w:p>
          <w:p w14:paraId="121298FD" w14:textId="77777777" w:rsidR="000F4D44" w:rsidRDefault="000F4D44" w:rsidP="000F4D44">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F12C98">
              <w:rPr>
                <w:rFonts w:ascii="Calibri" w:eastAsia="Times New Roman" w:hAnsi="Calibri" w:cs="Calibri"/>
                <w:kern w:val="0"/>
                <w:lang w:eastAsia="en-GB"/>
                <w14:ligatures w14:val="none"/>
              </w:rPr>
              <w:t>the episodes are disabling and prevent normal functioning AND there have been </w:t>
            </w:r>
          </w:p>
          <w:p w14:paraId="6E83CE44" w14:textId="77777777" w:rsidR="000F4D44" w:rsidRDefault="000F4D44" w:rsidP="000F4D44">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F12C98">
              <w:rPr>
                <w:rFonts w:ascii="Calibri" w:eastAsia="Times New Roman" w:hAnsi="Calibri" w:cs="Calibri"/>
                <w:kern w:val="0"/>
                <w:lang w:eastAsia="en-GB"/>
                <w14:ligatures w14:val="none"/>
              </w:rPr>
              <w:t>seven or more, documented, clinically significant, adequately treated sore throats in the preceding year OR</w:t>
            </w:r>
          </w:p>
          <w:p w14:paraId="518CF4EC" w14:textId="77777777" w:rsidR="000F4D44" w:rsidRDefault="000F4D44" w:rsidP="000F4D44">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F12C98">
              <w:rPr>
                <w:rFonts w:ascii="Calibri" w:eastAsia="Times New Roman" w:hAnsi="Calibri" w:cs="Calibri"/>
                <w:kern w:val="0"/>
                <w:lang w:eastAsia="en-GB"/>
                <w14:ligatures w14:val="none"/>
              </w:rPr>
              <w:t>five or more such episodes in each of the preceding two years OR </w:t>
            </w:r>
          </w:p>
          <w:p w14:paraId="279CE311" w14:textId="77777777" w:rsidR="000F4D44" w:rsidRPr="00F12C98" w:rsidRDefault="000F4D44" w:rsidP="000F4D44">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F12C98">
              <w:rPr>
                <w:rFonts w:ascii="Calibri" w:eastAsia="Times New Roman" w:hAnsi="Calibri" w:cs="Calibri"/>
                <w:kern w:val="0"/>
                <w:lang w:eastAsia="en-GB"/>
                <w14:ligatures w14:val="none"/>
              </w:rPr>
              <w:t>three or more such episodes in each of the preceding three years.                                                                                                                                                                                                              </w:t>
            </w:r>
          </w:p>
          <w:p w14:paraId="48BFDB24" w14:textId="77777777" w:rsidR="000F4D44"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A lower threshold than the above may be appropriate, subject to specialist assessment, if one or more of the following conditions is present, which can make episodes of tonsillitis more damaging to health: </w:t>
            </w:r>
          </w:p>
          <w:p w14:paraId="0346D75D" w14:textId="77777777" w:rsidR="000F4D44" w:rsidRPr="00F12C98" w:rsidRDefault="000F4D44" w:rsidP="000F4D44">
            <w:pPr>
              <w:pStyle w:val="ListParagraph"/>
              <w:numPr>
                <w:ilvl w:val="0"/>
                <w:numId w:val="2"/>
              </w:num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Acute and chronic renal disease resulting from acute bacterial tonsillitis </w:t>
            </w:r>
          </w:p>
          <w:p w14:paraId="4FC0B1BF" w14:textId="77777777" w:rsidR="000F4D44" w:rsidRPr="00F12C98" w:rsidRDefault="000F4D44" w:rsidP="000F4D44">
            <w:pPr>
              <w:pStyle w:val="ListParagraph"/>
              <w:numPr>
                <w:ilvl w:val="0"/>
                <w:numId w:val="2"/>
              </w:num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as part of the treatment of severe guttate psoriasis </w:t>
            </w:r>
          </w:p>
          <w:p w14:paraId="2E6FD79D" w14:textId="77777777" w:rsidR="000F4D44" w:rsidRPr="00F12C98" w:rsidRDefault="000F4D44" w:rsidP="000F4D44">
            <w:pPr>
              <w:pStyle w:val="ListParagraph"/>
              <w:numPr>
                <w:ilvl w:val="0"/>
                <w:numId w:val="2"/>
              </w:num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metabolic disorders where periods of reduced oral intake could be dangerous to health </w:t>
            </w:r>
          </w:p>
          <w:p w14:paraId="13AF69BF" w14:textId="77777777" w:rsidR="000F4D44" w:rsidRPr="00F12C98" w:rsidRDefault="000F4D44" w:rsidP="000F4D44">
            <w:pPr>
              <w:pStyle w:val="ListParagraph"/>
              <w:numPr>
                <w:ilvl w:val="0"/>
                <w:numId w:val="2"/>
              </w:num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PFAPA (Periodic fever, Aphthous stomatitis, Pharyngitis, Cervical adenitis) </w:t>
            </w:r>
          </w:p>
          <w:p w14:paraId="4B787158" w14:textId="77777777" w:rsidR="000F4D44" w:rsidRPr="00F12C98" w:rsidRDefault="000F4D44" w:rsidP="000F4D44">
            <w:pPr>
              <w:pStyle w:val="ListParagraph"/>
              <w:numPr>
                <w:ilvl w:val="0"/>
                <w:numId w:val="2"/>
              </w:num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severe immune deficiency that would make episodes of recurrent tonsillitis dangerous.  </w:t>
            </w:r>
          </w:p>
          <w:p w14:paraId="66A11635"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 </w:t>
            </w:r>
          </w:p>
          <w:p w14:paraId="4CDDD5E8"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This policy does not apply to treatment of Obstructive Sleep apnoea in children or adolescents or due to Recurrent Quinsy, for which tonsillectomy is commissioned. </w:t>
            </w:r>
          </w:p>
        </w:tc>
      </w:tr>
      <w:tr w:rsidR="000F4D44" w:rsidRPr="00F12C98" w14:paraId="2AF5AAE5" w14:textId="77777777" w:rsidTr="008008BC">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175EE406"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Summary of Rationale </w:t>
            </w:r>
          </w:p>
          <w:p w14:paraId="2E5E7BBE"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 </w:t>
            </w:r>
          </w:p>
        </w:tc>
        <w:tc>
          <w:tcPr>
            <w:tcW w:w="7175" w:type="dxa"/>
            <w:tcBorders>
              <w:top w:val="single" w:sz="6" w:space="0" w:color="auto"/>
              <w:left w:val="single" w:sz="6" w:space="0" w:color="auto"/>
              <w:bottom w:val="single" w:sz="6" w:space="0" w:color="auto"/>
              <w:right w:val="single" w:sz="6" w:space="0" w:color="auto"/>
            </w:tcBorders>
            <w:shd w:val="clear" w:color="auto" w:fill="auto"/>
            <w:hideMark/>
          </w:tcPr>
          <w:p w14:paraId="79BDFF63"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Recurrent sore throats are a very common condition that presents a considerable health burden. In most cases they can be treated with conservative measures. In some cases, where there are recurrent, documented episodes of acute tonsillitis that are disabling to normal function, then tonsillectomy may be beneficial.  </w:t>
            </w:r>
          </w:p>
          <w:p w14:paraId="08FB713A"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 </w:t>
            </w:r>
          </w:p>
          <w:p w14:paraId="31338614"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Tonsillectomy surgery carries a small risk of complications, including bleeding, pain and infection, which may require readmission to hospital (3.5%). </w:t>
            </w:r>
          </w:p>
          <w:p w14:paraId="20AB7619"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 </w:t>
            </w:r>
          </w:p>
          <w:p w14:paraId="6CDE65D6"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There is no alternative treatment for recurrent sore throats that is known to be beneficial, however sometimes symptoms improve with a period of observation. </w:t>
            </w:r>
          </w:p>
        </w:tc>
      </w:tr>
      <w:tr w:rsidR="000F4D44" w:rsidRPr="00F12C98" w14:paraId="67B9461C" w14:textId="77777777" w:rsidTr="008008BC">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2DA9D940"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References </w:t>
            </w:r>
          </w:p>
          <w:p w14:paraId="68003FB8"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color w:val="0000FF"/>
                <w:kern w:val="0"/>
                <w:lang w:eastAsia="en-GB"/>
                <w14:ligatures w14:val="none"/>
              </w:rPr>
              <w:t> </w:t>
            </w:r>
          </w:p>
        </w:tc>
        <w:tc>
          <w:tcPr>
            <w:tcW w:w="7175" w:type="dxa"/>
            <w:tcBorders>
              <w:top w:val="single" w:sz="6" w:space="0" w:color="auto"/>
              <w:left w:val="single" w:sz="6" w:space="0" w:color="auto"/>
              <w:bottom w:val="single" w:sz="6" w:space="0" w:color="auto"/>
              <w:right w:val="single" w:sz="6" w:space="0" w:color="auto"/>
            </w:tcBorders>
            <w:shd w:val="clear" w:color="auto" w:fill="auto"/>
            <w:hideMark/>
          </w:tcPr>
          <w:p w14:paraId="6C995D05"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hyperlink r:id="rId7" w:tgtFrame="_blank" w:history="1">
              <w:r w:rsidRPr="00F12C98">
                <w:rPr>
                  <w:rFonts w:ascii="Calibri" w:eastAsia="Times New Roman" w:hAnsi="Calibri" w:cs="Calibri"/>
                  <w:color w:val="0000FF"/>
                  <w:kern w:val="0"/>
                  <w:u w:val="single"/>
                  <w:lang w:eastAsia="en-GB"/>
                  <w14:ligatures w14:val="none"/>
                </w:rPr>
                <w:t>Revised ENT UK Tonsillectomy commissioning guide </w:t>
              </w:r>
            </w:hyperlink>
            <w:r w:rsidRPr="00F12C98">
              <w:rPr>
                <w:rFonts w:ascii="Calibri" w:eastAsia="Times New Roman" w:hAnsi="Calibri" w:cs="Calibri"/>
                <w:color w:val="0000FF"/>
                <w:kern w:val="0"/>
                <w:lang w:eastAsia="en-GB"/>
                <w14:ligatures w14:val="none"/>
              </w:rPr>
              <w:t> </w:t>
            </w:r>
          </w:p>
          <w:p w14:paraId="5292673A"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hyperlink r:id="rId8" w:tgtFrame="_blank" w:history="1">
              <w:r w:rsidRPr="00F12C98">
                <w:rPr>
                  <w:rFonts w:ascii="Calibri" w:eastAsia="Times New Roman" w:hAnsi="Calibri" w:cs="Calibri"/>
                  <w:color w:val="0000FF"/>
                  <w:kern w:val="0"/>
                  <w:u w:val="single"/>
                  <w:lang w:eastAsia="en-GB"/>
                  <w14:ligatures w14:val="none"/>
                </w:rPr>
                <w:t>Tonsillectomy for recurrent tonsillitis - EBI (aomrc.org.uk)</w:t>
              </w:r>
            </w:hyperlink>
            <w:r w:rsidRPr="00F12C98">
              <w:rPr>
                <w:rFonts w:ascii="Calibri" w:eastAsia="Times New Roman" w:hAnsi="Calibri" w:cs="Calibri"/>
                <w:color w:val="0000FF"/>
                <w:kern w:val="0"/>
                <w:lang w:eastAsia="en-GB"/>
                <w14:ligatures w14:val="none"/>
              </w:rPr>
              <w:t> </w:t>
            </w:r>
          </w:p>
          <w:p w14:paraId="558EF0D0"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hyperlink r:id="rId9" w:tgtFrame="_blank" w:history="1">
              <w:r w:rsidRPr="00F12C98">
                <w:rPr>
                  <w:rFonts w:ascii="Calibri" w:eastAsia="Times New Roman" w:hAnsi="Calibri" w:cs="Calibri"/>
                  <w:color w:val="0000FF"/>
                  <w:kern w:val="0"/>
                  <w:u w:val="single"/>
                  <w:lang w:eastAsia="en-GB"/>
                  <w14:ligatures w14:val="none"/>
                </w:rPr>
                <w:t>Management of sore throat and indications for tonsillectomy (sign.ac.uk)</w:t>
              </w:r>
            </w:hyperlink>
            <w:r w:rsidRPr="00F12C98">
              <w:rPr>
                <w:rFonts w:ascii="Calibri" w:eastAsia="Times New Roman" w:hAnsi="Calibri" w:cs="Calibri"/>
                <w:color w:val="0000FF"/>
                <w:kern w:val="0"/>
                <w:lang w:eastAsia="en-GB"/>
                <w14:ligatures w14:val="none"/>
              </w:rPr>
              <w:t> </w:t>
            </w:r>
          </w:p>
        </w:tc>
      </w:tr>
      <w:tr w:rsidR="000F4D44" w:rsidRPr="00F12C98" w14:paraId="45E29BD4" w14:textId="77777777" w:rsidTr="008008BC">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49C38540"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Effective from </w:t>
            </w:r>
          </w:p>
        </w:tc>
        <w:tc>
          <w:tcPr>
            <w:tcW w:w="7175" w:type="dxa"/>
            <w:tcBorders>
              <w:top w:val="single" w:sz="6" w:space="0" w:color="auto"/>
              <w:left w:val="single" w:sz="6" w:space="0" w:color="auto"/>
              <w:bottom w:val="single" w:sz="6" w:space="0" w:color="auto"/>
              <w:right w:val="single" w:sz="6" w:space="0" w:color="auto"/>
            </w:tcBorders>
            <w:shd w:val="clear" w:color="auto" w:fill="auto"/>
            <w:hideMark/>
          </w:tcPr>
          <w:p w14:paraId="6CDBC35C" w14:textId="3CA4ACF3"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 xml:space="preserve">October </w:t>
            </w:r>
            <w:r w:rsidRPr="00F12C98">
              <w:rPr>
                <w:rFonts w:ascii="Calibri" w:eastAsia="Times New Roman" w:hAnsi="Calibri" w:cs="Calibri"/>
                <w:kern w:val="0"/>
                <w:lang w:eastAsia="en-GB"/>
                <w14:ligatures w14:val="none"/>
              </w:rPr>
              <w:t>2024 </w:t>
            </w:r>
          </w:p>
        </w:tc>
      </w:tr>
      <w:tr w:rsidR="000F4D44" w:rsidRPr="00F12C98" w14:paraId="4029BBA4" w14:textId="77777777" w:rsidTr="008008BC">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2180F427" w14:textId="77777777"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Policy Review Date  </w:t>
            </w:r>
          </w:p>
        </w:tc>
        <w:tc>
          <w:tcPr>
            <w:tcW w:w="7175" w:type="dxa"/>
            <w:tcBorders>
              <w:top w:val="single" w:sz="6" w:space="0" w:color="auto"/>
              <w:left w:val="single" w:sz="6" w:space="0" w:color="auto"/>
              <w:bottom w:val="single" w:sz="6" w:space="0" w:color="auto"/>
              <w:right w:val="single" w:sz="6" w:space="0" w:color="auto"/>
            </w:tcBorders>
            <w:shd w:val="clear" w:color="auto" w:fill="auto"/>
            <w:hideMark/>
          </w:tcPr>
          <w:p w14:paraId="6B23315D" w14:textId="2B6D4569" w:rsidR="000F4D44" w:rsidRPr="00F12C98" w:rsidRDefault="000F4D44"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F12C98">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971D7"/>
    <w:multiLevelType w:val="hybridMultilevel"/>
    <w:tmpl w:val="30E8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5F0047"/>
    <w:multiLevelType w:val="hybridMultilevel"/>
    <w:tmpl w:val="84E6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782319">
    <w:abstractNumId w:val="1"/>
  </w:num>
  <w:num w:numId="2" w16cid:durableId="70209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0F4D44"/>
    <w:rsid w:val="001401B0"/>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44"/>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i.aomrc.org.uk/interventions/tonsillectomy-for-recurrent-tonsilliti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ntuk.org/_userfiles/pages/files/guidelines/Revised%20ENT%20UK%20Tonsillectomy%20commissioning%20guide%20edit%20to%20final%20(00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ign.ac.uk/our-guidelines/management-of-sore-throat-and-indications-for-tonsillectomy/"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A6384E55-3892-4446-BC32-51B8C5725DCD}"/>
</file>

<file path=customXml/itemProps2.xml><?xml version="1.0" encoding="utf-8"?>
<ds:datastoreItem xmlns:ds="http://schemas.openxmlformats.org/officeDocument/2006/customXml" ds:itemID="{7BF3B74D-FDED-41D2-B291-ECE910083F5C}"/>
</file>

<file path=customXml/itemProps3.xml><?xml version="1.0" encoding="utf-8"?>
<ds:datastoreItem xmlns:ds="http://schemas.openxmlformats.org/officeDocument/2006/customXml" ds:itemID="{305565BD-92E8-4BEB-AAE0-94407E707762}"/>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2501</Characters>
  <Application>Microsoft Office Word</Application>
  <DocSecurity>0</DocSecurity>
  <Lines>73</Lines>
  <Paragraphs>45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2024-09-06T16:19:00Z</dcterms:created>
  <dcterms:modified xsi:type="dcterms:W3CDTF">2024-09-06T16:19:00Z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