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6740"/>
      </w:tblGrid>
      <w:tr w:rsidR="00F74095" w:rsidRPr="00F74095" w14:paraId="0B8D17E2" w14:textId="77777777" w:rsidTr="00F74095">
        <w:trPr>
          <w:trHeight w:val="36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324E1276"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Intervention  </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78270238"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b/>
                <w:bCs/>
                <w:kern w:val="0"/>
                <w:sz w:val="21"/>
                <w:szCs w:val="21"/>
                <w:lang w:eastAsia="en-GB"/>
                <w14:ligatures w14:val="none"/>
              </w:rPr>
              <w:t>056. Varicose vein interventions</w:t>
            </w:r>
            <w:r w:rsidRPr="00F74095">
              <w:rPr>
                <w:rFonts w:ascii="Calibri" w:eastAsia="Times New Roman" w:hAnsi="Calibri" w:cs="Calibri"/>
                <w:kern w:val="0"/>
                <w:sz w:val="21"/>
                <w:szCs w:val="21"/>
                <w:lang w:eastAsia="en-GB"/>
                <w14:ligatures w14:val="none"/>
              </w:rPr>
              <w:t> </w:t>
            </w:r>
          </w:p>
        </w:tc>
      </w:tr>
      <w:tr w:rsidR="00F74095" w:rsidRPr="00F74095" w14:paraId="44352612" w14:textId="77777777" w:rsidTr="00F74095">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3ED9DE31"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For the treatment of  </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472DD445"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Varicose veins (Dilated superficial veins) </w:t>
            </w:r>
          </w:p>
        </w:tc>
      </w:tr>
      <w:tr w:rsidR="00F74095" w:rsidRPr="00F74095" w14:paraId="7DC6068A" w14:textId="77777777" w:rsidTr="00F74095">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4602538F"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Commissioning Position  </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624C78AD"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These interventions are commissioned if the following criteria have been met: </w:t>
            </w:r>
          </w:p>
          <w:p w14:paraId="2ABE7BFC" w14:textId="77777777" w:rsidR="00F74095" w:rsidRPr="00F74095" w:rsidRDefault="00F74095" w:rsidP="008008BC">
            <w:pPr>
              <w:spacing w:after="0" w:line="240" w:lineRule="auto"/>
              <w:textAlignment w:val="baseline"/>
              <w:rPr>
                <w:rFonts w:ascii="Calibri" w:eastAsia="Times New Roman" w:hAnsi="Calibri" w:cs="Calibri"/>
                <w:kern w:val="0"/>
                <w:sz w:val="21"/>
                <w:szCs w:val="21"/>
                <w:lang w:eastAsia="en-GB"/>
                <w14:ligatures w14:val="none"/>
              </w:rPr>
            </w:pPr>
            <w:r w:rsidRPr="00F74095">
              <w:rPr>
                <w:rFonts w:ascii="Calibri" w:eastAsia="Times New Roman" w:hAnsi="Calibri" w:cs="Calibri"/>
                <w:kern w:val="0"/>
                <w:sz w:val="21"/>
                <w:szCs w:val="21"/>
                <w:lang w:eastAsia="en-GB"/>
                <w14:ligatures w14:val="none"/>
              </w:rPr>
              <w:t>Assessment, using duplex ultrasound, has been undertaken following referral to a vascular service, due to the person having one or more of the following-</w:t>
            </w:r>
          </w:p>
          <w:p w14:paraId="68A7450A" w14:textId="77777777" w:rsidR="00F74095" w:rsidRPr="00F74095" w:rsidRDefault="00F74095" w:rsidP="00F74095">
            <w:pPr>
              <w:pStyle w:val="ListParagraph"/>
              <w:numPr>
                <w:ilvl w:val="0"/>
                <w:numId w:val="4"/>
              </w:num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primary or recurrent varicose veins causing symptoms that have a significant impact on quality of life and interfere with activities of daily living </w:t>
            </w:r>
          </w:p>
          <w:p w14:paraId="7410904F" w14:textId="77777777" w:rsidR="00F74095" w:rsidRPr="00F74095" w:rsidRDefault="00F74095" w:rsidP="00F74095">
            <w:pPr>
              <w:pStyle w:val="ListParagraph"/>
              <w:numPr>
                <w:ilvl w:val="0"/>
                <w:numId w:val="4"/>
              </w:num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lower limb</w:t>
            </w:r>
            <w:r w:rsidRPr="00F74095">
              <w:rPr>
                <w:rFonts w:ascii="Calibri" w:eastAsia="Times New Roman" w:hAnsi="Calibri" w:cs="Calibri"/>
                <w:kern w:val="0"/>
                <w:sz w:val="21"/>
                <w:szCs w:val="21"/>
                <w:lang w:eastAsia="en-GB"/>
                <w14:ligatures w14:val="none"/>
              </w:rPr>
              <w:noBreakHyphen/>
              <w:t xml:space="preserve"> skin changes, such as pigmentation or eczema, thought to be caused by chronic venous insufficiency </w:t>
            </w:r>
          </w:p>
          <w:p w14:paraId="3A7D1452" w14:textId="77777777" w:rsidR="00F74095" w:rsidRPr="00F74095" w:rsidRDefault="00F74095" w:rsidP="00F74095">
            <w:pPr>
              <w:pStyle w:val="ListParagraph"/>
              <w:numPr>
                <w:ilvl w:val="0"/>
                <w:numId w:val="4"/>
              </w:num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recurrent superficial vein thrombophlebitis (characterised by the appearance of hard, painful veins) and suspected venous incompetence </w:t>
            </w:r>
          </w:p>
          <w:p w14:paraId="6B815DBC" w14:textId="77777777" w:rsidR="00F74095" w:rsidRPr="00F74095" w:rsidRDefault="00F74095" w:rsidP="00F74095">
            <w:pPr>
              <w:pStyle w:val="ListParagraph"/>
              <w:numPr>
                <w:ilvl w:val="0"/>
                <w:numId w:val="4"/>
              </w:num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a venous leg ulcer (a break in the skin below the knee that has not healed within 2 weeks) </w:t>
            </w:r>
          </w:p>
          <w:p w14:paraId="5CF5EE3B" w14:textId="77777777" w:rsidR="00F74095" w:rsidRPr="00F74095" w:rsidRDefault="00F74095" w:rsidP="00F74095">
            <w:pPr>
              <w:pStyle w:val="ListParagraph"/>
              <w:numPr>
                <w:ilvl w:val="0"/>
                <w:numId w:val="4"/>
              </w:num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a healed venous leg ulcer. </w:t>
            </w:r>
          </w:p>
          <w:p w14:paraId="61C12DDD"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OR </w:t>
            </w:r>
          </w:p>
          <w:p w14:paraId="4B096EB8"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The patient has been referred to a vascular service following bleeding from varicose veins. </w:t>
            </w:r>
          </w:p>
          <w:p w14:paraId="43E97737"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       </w:t>
            </w:r>
          </w:p>
          <w:p w14:paraId="6E8F41CF"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If duplex ultrasound confirms truncal reflux, the order of preference for intervention (subject to suitability) is:  </w:t>
            </w:r>
          </w:p>
          <w:p w14:paraId="08DC9152" w14:textId="77777777" w:rsidR="00F74095" w:rsidRPr="00F74095" w:rsidRDefault="00F74095" w:rsidP="00F74095">
            <w:pPr>
              <w:numPr>
                <w:ilvl w:val="0"/>
                <w:numId w:val="1"/>
              </w:numPr>
              <w:spacing w:after="0" w:line="240" w:lineRule="auto"/>
              <w:ind w:left="1080" w:firstLine="0"/>
              <w:textAlignment w:val="baseline"/>
              <w:rPr>
                <w:rFonts w:ascii="Calibri" w:eastAsia="Times New Roman" w:hAnsi="Calibri" w:cs="Calibri"/>
                <w:kern w:val="0"/>
                <w:sz w:val="21"/>
                <w:szCs w:val="21"/>
                <w:lang w:eastAsia="en-GB"/>
                <w14:ligatures w14:val="none"/>
              </w:rPr>
            </w:pPr>
            <w:r w:rsidRPr="00F74095">
              <w:rPr>
                <w:rFonts w:ascii="Calibri" w:eastAsia="Times New Roman" w:hAnsi="Calibri" w:cs="Calibri"/>
                <w:kern w:val="0"/>
                <w:sz w:val="21"/>
                <w:szCs w:val="21"/>
                <w:lang w:eastAsia="en-GB"/>
                <w14:ligatures w14:val="none"/>
              </w:rPr>
              <w:t>First choice - endothermal ablation </w:t>
            </w:r>
          </w:p>
          <w:p w14:paraId="10BFB8A7" w14:textId="77777777" w:rsidR="00F74095" w:rsidRPr="00F74095" w:rsidRDefault="00F74095" w:rsidP="00F74095">
            <w:pPr>
              <w:numPr>
                <w:ilvl w:val="0"/>
                <w:numId w:val="2"/>
              </w:numPr>
              <w:spacing w:after="0" w:line="240" w:lineRule="auto"/>
              <w:ind w:left="1080" w:firstLine="0"/>
              <w:textAlignment w:val="baseline"/>
              <w:rPr>
                <w:rFonts w:ascii="Calibri" w:eastAsia="Times New Roman" w:hAnsi="Calibri" w:cs="Calibri"/>
                <w:kern w:val="0"/>
                <w:sz w:val="21"/>
                <w:szCs w:val="21"/>
                <w:lang w:eastAsia="en-GB"/>
                <w14:ligatures w14:val="none"/>
              </w:rPr>
            </w:pPr>
            <w:r w:rsidRPr="00F74095">
              <w:rPr>
                <w:rFonts w:ascii="Calibri" w:eastAsia="Times New Roman" w:hAnsi="Calibri" w:cs="Calibri"/>
                <w:kern w:val="0"/>
                <w:sz w:val="21"/>
                <w:szCs w:val="21"/>
                <w:lang w:eastAsia="en-GB"/>
                <w14:ligatures w14:val="none"/>
              </w:rPr>
              <w:t>Second choice - ultrasound-guided foam sclerotherapy </w:t>
            </w:r>
          </w:p>
          <w:p w14:paraId="261BAB8C" w14:textId="77777777" w:rsidR="00F74095" w:rsidRPr="00F74095" w:rsidRDefault="00F74095" w:rsidP="00F74095">
            <w:pPr>
              <w:numPr>
                <w:ilvl w:val="0"/>
                <w:numId w:val="3"/>
              </w:numPr>
              <w:spacing w:after="0" w:line="240" w:lineRule="auto"/>
              <w:ind w:left="1080" w:firstLine="0"/>
              <w:textAlignment w:val="baseline"/>
              <w:rPr>
                <w:rFonts w:ascii="Calibri" w:eastAsia="Times New Roman" w:hAnsi="Calibri" w:cs="Calibri"/>
                <w:kern w:val="0"/>
                <w:sz w:val="21"/>
                <w:szCs w:val="21"/>
                <w:lang w:eastAsia="en-GB"/>
                <w14:ligatures w14:val="none"/>
              </w:rPr>
            </w:pPr>
            <w:r w:rsidRPr="00F74095">
              <w:rPr>
                <w:rFonts w:ascii="Calibri" w:eastAsia="Times New Roman" w:hAnsi="Calibri" w:cs="Calibri"/>
                <w:kern w:val="0"/>
                <w:sz w:val="21"/>
                <w:szCs w:val="21"/>
                <w:lang w:eastAsia="en-GB"/>
                <w14:ligatures w14:val="none"/>
              </w:rPr>
              <w:t>Third choice - surgery.  </w:t>
            </w:r>
          </w:p>
          <w:p w14:paraId="0E90DB46"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 </w:t>
            </w:r>
          </w:p>
          <w:p w14:paraId="6638D5DB"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Consideration should be given to treating incompetent varicose tributaries at the same time. </w:t>
            </w:r>
          </w:p>
          <w:p w14:paraId="2D713310"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 </w:t>
            </w:r>
          </w:p>
          <w:p w14:paraId="6AC0B3FE"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These interventions are not otherwise commissioned for personal preference on cosmetic grounds or for mild symptoms. </w:t>
            </w:r>
          </w:p>
        </w:tc>
      </w:tr>
      <w:tr w:rsidR="00F74095" w:rsidRPr="00F74095" w14:paraId="294ED041" w14:textId="77777777" w:rsidTr="00F74095">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30F5D239"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Summary of Rationale </w:t>
            </w:r>
          </w:p>
          <w:p w14:paraId="618E925F"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 </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35923329"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Most varicose veins do not cause serious health problems, so treatment is not usually needed on clinical grounds. Asymptomatic ones present as a few isolated, raised palpable veins with no associated pain, discomfort or any skin changes. However, varicose veins can markedly affect patients’ quality of life, and can be associated with complications such as eczema, skin changes, thrombophlebitis, bleeding, leg ulceration, deep vein thrombosis and pulmonary embolism that can be life threatening. </w:t>
            </w:r>
          </w:p>
          <w:p w14:paraId="44C16DE8"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 </w:t>
            </w:r>
          </w:p>
          <w:p w14:paraId="4BA23818"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For truncal ablation there is a treatment hierarchy based on the cost effectiveness and suitability, which is endothermal ablation then ultrasound guided foam, then conventional surgery. These are all cost effective compared to no treatment or the use of compression hosiery. </w:t>
            </w:r>
          </w:p>
        </w:tc>
      </w:tr>
      <w:tr w:rsidR="00F74095" w:rsidRPr="00F74095" w14:paraId="5BCEE8F0" w14:textId="77777777" w:rsidTr="00F74095">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4F9817CB"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References </w:t>
            </w:r>
          </w:p>
          <w:p w14:paraId="18D599D8"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color w:val="0000FF"/>
                <w:kern w:val="0"/>
                <w:sz w:val="21"/>
                <w:szCs w:val="21"/>
                <w:lang w:eastAsia="en-GB"/>
                <w14:ligatures w14:val="none"/>
              </w:rPr>
              <w:t> </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557BB7CD"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hyperlink r:id="rId7" w:tgtFrame="_blank" w:history="1">
              <w:r w:rsidRPr="00F74095">
                <w:rPr>
                  <w:rFonts w:ascii="Calibri" w:eastAsia="Times New Roman" w:hAnsi="Calibri" w:cs="Calibri"/>
                  <w:color w:val="0000FF"/>
                  <w:kern w:val="0"/>
                  <w:sz w:val="21"/>
                  <w:szCs w:val="21"/>
                  <w:u w:val="single"/>
                  <w:lang w:eastAsia="en-GB"/>
                  <w14:ligatures w14:val="none"/>
                </w:rPr>
                <w:t>CG168 Varicose veins: diagnosis and management (NICE)</w:t>
              </w:r>
            </w:hyperlink>
            <w:r w:rsidRPr="00F74095">
              <w:rPr>
                <w:rFonts w:ascii="Calibri" w:eastAsia="Times New Roman" w:hAnsi="Calibri" w:cs="Calibri"/>
                <w:kern w:val="0"/>
                <w:sz w:val="21"/>
                <w:szCs w:val="21"/>
                <w:lang w:eastAsia="en-GB"/>
                <w14:ligatures w14:val="none"/>
              </w:rPr>
              <w:t> </w:t>
            </w:r>
          </w:p>
          <w:p w14:paraId="0647267E"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hyperlink r:id="rId8" w:tgtFrame="_blank" w:history="1">
              <w:r w:rsidRPr="00F74095">
                <w:rPr>
                  <w:rFonts w:ascii="Calibri" w:eastAsia="Times New Roman" w:hAnsi="Calibri" w:cs="Calibri"/>
                  <w:color w:val="0000FF"/>
                  <w:kern w:val="0"/>
                  <w:sz w:val="21"/>
                  <w:szCs w:val="21"/>
                  <w:u w:val="single"/>
                  <w:lang w:eastAsia="en-GB"/>
                  <w14:ligatures w14:val="none"/>
                </w:rPr>
                <w:t>Varicose vein interventions - EBI (aomrc.org.uk)</w:t>
              </w:r>
            </w:hyperlink>
            <w:r w:rsidRPr="00F74095">
              <w:rPr>
                <w:rFonts w:ascii="Calibri" w:eastAsia="Times New Roman" w:hAnsi="Calibri" w:cs="Calibri"/>
                <w:color w:val="0000FF"/>
                <w:kern w:val="0"/>
                <w:sz w:val="21"/>
                <w:szCs w:val="21"/>
                <w:lang w:eastAsia="en-GB"/>
                <w14:ligatures w14:val="none"/>
              </w:rPr>
              <w:t> </w:t>
            </w:r>
          </w:p>
          <w:p w14:paraId="729C5C47"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hyperlink r:id="rId9" w:tgtFrame="_blank" w:history="1">
              <w:r w:rsidRPr="00F74095">
                <w:rPr>
                  <w:rFonts w:ascii="Calibri" w:eastAsia="Times New Roman" w:hAnsi="Calibri" w:cs="Calibri"/>
                  <w:color w:val="0000FF"/>
                  <w:kern w:val="0"/>
                  <w:sz w:val="21"/>
                  <w:szCs w:val="21"/>
                  <w:u w:val="single"/>
                  <w:lang w:eastAsia="en-GB"/>
                  <w14:ligatures w14:val="none"/>
                </w:rPr>
                <w:t>IPG8 Radiofrequency ablation of varicose veins (NICE)</w:t>
              </w:r>
            </w:hyperlink>
            <w:r w:rsidRPr="00F74095">
              <w:rPr>
                <w:rFonts w:ascii="Calibri" w:eastAsia="Times New Roman" w:hAnsi="Calibri" w:cs="Calibri"/>
                <w:color w:val="0000FF"/>
                <w:kern w:val="0"/>
                <w:sz w:val="21"/>
                <w:szCs w:val="21"/>
                <w:lang w:eastAsia="en-GB"/>
                <w14:ligatures w14:val="none"/>
              </w:rPr>
              <w:t> </w:t>
            </w:r>
          </w:p>
          <w:p w14:paraId="738D0BF2"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hyperlink r:id="rId10" w:tgtFrame="_blank" w:history="1">
              <w:r w:rsidRPr="00F74095">
                <w:rPr>
                  <w:rFonts w:ascii="Calibri" w:eastAsia="Times New Roman" w:hAnsi="Calibri" w:cs="Calibri"/>
                  <w:color w:val="0000FF"/>
                  <w:kern w:val="0"/>
                  <w:sz w:val="21"/>
                  <w:szCs w:val="21"/>
                  <w:u w:val="single"/>
                  <w:lang w:eastAsia="en-GB"/>
                  <w14:ligatures w14:val="none"/>
                </w:rPr>
                <w:t>IPG440 Ultrasound-guided foam sclerotherapy for varicose veins (NICE)</w:t>
              </w:r>
            </w:hyperlink>
            <w:r w:rsidRPr="00F74095">
              <w:rPr>
                <w:rFonts w:ascii="Calibri" w:eastAsia="Times New Roman" w:hAnsi="Calibri" w:cs="Calibri"/>
                <w:color w:val="0000FF"/>
                <w:kern w:val="0"/>
                <w:sz w:val="21"/>
                <w:szCs w:val="21"/>
                <w:lang w:eastAsia="en-GB"/>
                <w14:ligatures w14:val="none"/>
              </w:rPr>
              <w:t> </w:t>
            </w:r>
          </w:p>
          <w:p w14:paraId="0510425F"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hyperlink r:id="rId11" w:tgtFrame="_blank" w:history="1">
              <w:r w:rsidRPr="00F74095">
                <w:rPr>
                  <w:rFonts w:ascii="Calibri" w:eastAsia="Times New Roman" w:hAnsi="Calibri" w:cs="Calibri"/>
                  <w:color w:val="0000FF"/>
                  <w:kern w:val="0"/>
                  <w:sz w:val="21"/>
                  <w:szCs w:val="21"/>
                  <w:u w:val="single"/>
                  <w:lang w:eastAsia="en-GB"/>
                  <w14:ligatures w14:val="none"/>
                </w:rPr>
                <w:t xml:space="preserve">IPG52 </w:t>
              </w:r>
              <w:proofErr w:type="spellStart"/>
              <w:r w:rsidRPr="00F74095">
                <w:rPr>
                  <w:rFonts w:ascii="Calibri" w:eastAsia="Times New Roman" w:hAnsi="Calibri" w:cs="Calibri"/>
                  <w:color w:val="0000FF"/>
                  <w:kern w:val="0"/>
                  <w:sz w:val="21"/>
                  <w:szCs w:val="21"/>
                  <w:u w:val="single"/>
                  <w:lang w:eastAsia="en-GB"/>
                  <w14:ligatures w14:val="none"/>
                </w:rPr>
                <w:t>Endovenous</w:t>
              </w:r>
              <w:proofErr w:type="spellEnd"/>
              <w:r w:rsidRPr="00F74095">
                <w:rPr>
                  <w:rFonts w:ascii="Calibri" w:eastAsia="Times New Roman" w:hAnsi="Calibri" w:cs="Calibri"/>
                  <w:color w:val="0000FF"/>
                  <w:kern w:val="0"/>
                  <w:sz w:val="21"/>
                  <w:szCs w:val="21"/>
                  <w:u w:val="single"/>
                  <w:lang w:eastAsia="en-GB"/>
                  <w14:ligatures w14:val="none"/>
                </w:rPr>
                <w:t xml:space="preserve"> laser treatment of the long saphenous vein (NICE)</w:t>
              </w:r>
            </w:hyperlink>
            <w:r w:rsidRPr="00F74095">
              <w:rPr>
                <w:rFonts w:ascii="Calibri" w:eastAsia="Times New Roman" w:hAnsi="Calibri" w:cs="Calibri"/>
                <w:color w:val="0000FF"/>
                <w:kern w:val="0"/>
                <w:sz w:val="21"/>
                <w:szCs w:val="21"/>
                <w:lang w:eastAsia="en-GB"/>
                <w14:ligatures w14:val="none"/>
              </w:rPr>
              <w:t> </w:t>
            </w:r>
          </w:p>
        </w:tc>
      </w:tr>
      <w:tr w:rsidR="00F74095" w:rsidRPr="00F74095" w14:paraId="516012B4" w14:textId="77777777" w:rsidTr="00F74095">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2BCB2265"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Effective from </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2AF3430D" w14:textId="72CD3BCB"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Pr>
                <w:rFonts w:ascii="Calibri" w:eastAsia="Times New Roman" w:hAnsi="Calibri" w:cs="Calibri"/>
                <w:kern w:val="0"/>
                <w:sz w:val="21"/>
                <w:szCs w:val="21"/>
                <w:lang w:eastAsia="en-GB"/>
                <w14:ligatures w14:val="none"/>
              </w:rPr>
              <w:t xml:space="preserve">October </w:t>
            </w:r>
            <w:r w:rsidRPr="00F74095">
              <w:rPr>
                <w:rFonts w:ascii="Calibri" w:eastAsia="Times New Roman" w:hAnsi="Calibri" w:cs="Calibri"/>
                <w:kern w:val="0"/>
                <w:sz w:val="21"/>
                <w:szCs w:val="21"/>
                <w:lang w:eastAsia="en-GB"/>
                <w14:ligatures w14:val="none"/>
              </w:rPr>
              <w:t>2024 </w:t>
            </w:r>
          </w:p>
        </w:tc>
      </w:tr>
      <w:tr w:rsidR="00F74095" w:rsidRPr="00F74095" w14:paraId="3273EFCB" w14:textId="77777777" w:rsidTr="00F74095">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6DBA5A15" w14:textId="77777777"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sidRPr="00F74095">
              <w:rPr>
                <w:rFonts w:ascii="Calibri" w:eastAsia="Times New Roman" w:hAnsi="Calibri" w:cs="Calibri"/>
                <w:kern w:val="0"/>
                <w:sz w:val="21"/>
                <w:szCs w:val="21"/>
                <w:lang w:eastAsia="en-GB"/>
                <w14:ligatures w14:val="none"/>
              </w:rPr>
              <w:t>Policy Review Date  </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211EB78A" w14:textId="6A79603B" w:rsidR="00F74095" w:rsidRPr="00F74095" w:rsidRDefault="00F74095" w:rsidP="008008BC">
            <w:pPr>
              <w:spacing w:after="0" w:line="240" w:lineRule="auto"/>
              <w:textAlignment w:val="baseline"/>
              <w:rPr>
                <w:rFonts w:ascii="Segoe UI" w:eastAsia="Times New Roman" w:hAnsi="Segoe UI" w:cs="Segoe UI"/>
                <w:kern w:val="0"/>
                <w:sz w:val="21"/>
                <w:szCs w:val="21"/>
                <w:lang w:eastAsia="en-GB"/>
                <w14:ligatures w14:val="none"/>
              </w:rPr>
            </w:pPr>
            <w:r>
              <w:rPr>
                <w:rFonts w:ascii="Calibri" w:eastAsia="Times New Roman" w:hAnsi="Calibri" w:cs="Calibri"/>
                <w:kern w:val="0"/>
                <w:sz w:val="21"/>
                <w:szCs w:val="21"/>
                <w:lang w:eastAsia="en-GB"/>
                <w14:ligatures w14:val="none"/>
              </w:rPr>
              <w:t xml:space="preserve">October </w:t>
            </w:r>
            <w:r w:rsidRPr="00F74095">
              <w:rPr>
                <w:rFonts w:ascii="Calibri" w:eastAsia="Times New Roman" w:hAnsi="Calibri" w:cs="Calibri"/>
                <w:kern w:val="0"/>
                <w:sz w:val="21"/>
                <w:szCs w:val="21"/>
                <w:lang w:eastAsia="en-GB"/>
                <w14:ligatures w14:val="none"/>
              </w:rPr>
              <w:t>2027 </w:t>
            </w:r>
          </w:p>
        </w:tc>
      </w:tr>
    </w:tbl>
    <w:p w14:paraId="68709D24" w14:textId="3E54AB2F" w:rsidR="00AD1A91" w:rsidRDefault="00AD1A91"/>
    <w:sectPr w:rsidR="00AD1A9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57A3A"/>
    <w:multiLevelType w:val="multilevel"/>
    <w:tmpl w:val="9D9E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156F5E"/>
    <w:multiLevelType w:val="multilevel"/>
    <w:tmpl w:val="8BCC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110469"/>
    <w:multiLevelType w:val="multilevel"/>
    <w:tmpl w:val="A756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DD2E0A"/>
    <w:multiLevelType w:val="hybridMultilevel"/>
    <w:tmpl w:val="EB9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446862">
    <w:abstractNumId w:val="0"/>
  </w:num>
  <w:num w:numId="2" w16cid:durableId="88814736">
    <w:abstractNumId w:val="2"/>
  </w:num>
  <w:num w:numId="3" w16cid:durableId="594284978">
    <w:abstractNumId w:val="1"/>
  </w:num>
  <w:num w:numId="4" w16cid:durableId="2054962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AD1A91"/>
    <w:rsid w:val="00B87759"/>
    <w:rsid w:val="00F74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095"/>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i.aomrc.org.uk/interventions/varicose-vein-interven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guidance/cg168"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ipg52"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nice.org.uk/guidance/ipg440" TargetMode="External"/><Relationship Id="rId4" Type="http://schemas.openxmlformats.org/officeDocument/2006/relationships/webSettings" Target="webSettings.xml"/><Relationship Id="rId9" Type="http://schemas.openxmlformats.org/officeDocument/2006/relationships/hyperlink" Target="https://www.nice.org.uk/guidance/ipg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85DC6F75-9F7F-431A-B7E2-DD68E447201A}"/>
</file>

<file path=customXml/itemProps2.xml><?xml version="1.0" encoding="utf-8"?>
<ds:datastoreItem xmlns:ds="http://schemas.openxmlformats.org/officeDocument/2006/customXml" ds:itemID="{6048F0A7-1E0D-4911-BE68-FA5A72F1EAC3}"/>
</file>

<file path=customXml/itemProps3.xml><?xml version="1.0" encoding="utf-8"?>
<ds:datastoreItem xmlns:ds="http://schemas.openxmlformats.org/officeDocument/2006/customXml" ds:itemID="{6A46A94A-6290-41CC-94B7-77D7B8238923}"/>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2561</Characters>
  <Application>Microsoft Office Word</Application>
  <DocSecurity>0</DocSecurity>
  <Lines>75</Lines>
  <Paragraphs>46</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2024-09-06T16:20:00Z</dcterms:created>
  <dcterms:modified xsi:type="dcterms:W3CDTF">2024-09-06T16:20:00Z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