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34D1" w14:textId="77777777" w:rsidR="001C4533" w:rsidRPr="006718BA" w:rsidRDefault="001C4533" w:rsidP="00BD6D9E">
      <w:pPr>
        <w:spacing w:after="0"/>
        <w:jc w:val="right"/>
        <w:rPr>
          <w:b/>
          <w:color w:val="auto"/>
          <w:szCs w:val="24"/>
        </w:rPr>
      </w:pPr>
    </w:p>
    <w:p w14:paraId="35C1CB28" w14:textId="7A6B5E86" w:rsidR="00BD6D9E" w:rsidRPr="006718BA" w:rsidRDefault="00BD6D9E" w:rsidP="00BD6D9E">
      <w:pPr>
        <w:spacing w:after="0"/>
        <w:jc w:val="right"/>
        <w:rPr>
          <w:b/>
          <w:color w:val="auto"/>
          <w:szCs w:val="24"/>
        </w:rPr>
      </w:pPr>
      <w:r w:rsidRPr="006718BA">
        <w:rPr>
          <w:noProof/>
          <w:szCs w:val="24"/>
        </w:rPr>
        <w:drawing>
          <wp:inline distT="0" distB="0" distL="0" distR="0" wp14:anchorId="33B07084" wp14:editId="12D957F0">
            <wp:extent cx="1898650" cy="1016568"/>
            <wp:effectExtent l="0" t="0" r="6350" b="0"/>
            <wp:docPr id="1882631493" name="Picture 188263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990" cy="1021033"/>
                    </a:xfrm>
                    <a:prstGeom prst="rect">
                      <a:avLst/>
                    </a:prstGeom>
                  </pic:spPr>
                </pic:pic>
              </a:graphicData>
            </a:graphic>
          </wp:inline>
        </w:drawing>
      </w:r>
    </w:p>
    <w:p w14:paraId="7AFC5E51" w14:textId="487A4B9D" w:rsidR="00BD6D9E" w:rsidRPr="006718BA" w:rsidRDefault="00BD6D9E" w:rsidP="00880E9F">
      <w:pPr>
        <w:spacing w:after="0"/>
        <w:jc w:val="center"/>
        <w:rPr>
          <w:b/>
          <w:color w:val="auto"/>
          <w:szCs w:val="24"/>
        </w:rPr>
      </w:pPr>
    </w:p>
    <w:p w14:paraId="16B3AC18" w14:textId="77777777" w:rsidR="00BD6D9E" w:rsidRPr="006718BA" w:rsidRDefault="00BD6D9E" w:rsidP="00880E9F">
      <w:pPr>
        <w:spacing w:after="0"/>
        <w:jc w:val="center"/>
        <w:rPr>
          <w:b/>
          <w:color w:val="auto"/>
          <w:szCs w:val="24"/>
        </w:rPr>
      </w:pPr>
    </w:p>
    <w:p w14:paraId="31D0B990" w14:textId="77777777" w:rsidR="00BD6D9E" w:rsidRPr="006718BA" w:rsidRDefault="00BD6D9E" w:rsidP="00880E9F">
      <w:pPr>
        <w:spacing w:after="0"/>
        <w:jc w:val="center"/>
        <w:rPr>
          <w:b/>
          <w:color w:val="auto"/>
          <w:szCs w:val="24"/>
        </w:rPr>
      </w:pPr>
    </w:p>
    <w:p w14:paraId="267A1BD8" w14:textId="75A80CE2" w:rsidR="00BD6D9E" w:rsidRPr="006718BA" w:rsidRDefault="00BD6D9E" w:rsidP="00BD6D9E">
      <w:pPr>
        <w:spacing w:after="0"/>
        <w:jc w:val="center"/>
        <w:rPr>
          <w:b/>
          <w:color w:val="auto"/>
          <w:szCs w:val="24"/>
        </w:rPr>
      </w:pPr>
      <w:r w:rsidRPr="006718BA">
        <w:rPr>
          <w:b/>
          <w:color w:val="auto"/>
          <w:szCs w:val="24"/>
        </w:rPr>
        <w:t>Humber and North Yorkshire Integrated Care Board</w:t>
      </w:r>
    </w:p>
    <w:p w14:paraId="2E543986" w14:textId="77777777" w:rsidR="00BD6D9E" w:rsidRPr="006718BA" w:rsidRDefault="00BD6D9E" w:rsidP="00BD6D9E">
      <w:pPr>
        <w:spacing w:after="0"/>
        <w:jc w:val="center"/>
        <w:rPr>
          <w:b/>
          <w:color w:val="auto"/>
          <w:szCs w:val="24"/>
        </w:rPr>
      </w:pPr>
    </w:p>
    <w:p w14:paraId="6CC6AC53" w14:textId="6F49A086" w:rsidR="00BD6D9E" w:rsidRPr="006718BA" w:rsidRDefault="00BD6D9E" w:rsidP="00BD6D9E">
      <w:pPr>
        <w:spacing w:after="0"/>
        <w:jc w:val="center"/>
        <w:rPr>
          <w:b/>
          <w:color w:val="auto"/>
          <w:szCs w:val="24"/>
        </w:rPr>
      </w:pPr>
      <w:r w:rsidRPr="006718BA">
        <w:rPr>
          <w:b/>
          <w:color w:val="auto"/>
          <w:szCs w:val="24"/>
        </w:rPr>
        <w:t xml:space="preserve">Workforce Race Equality Standard (WRES) </w:t>
      </w:r>
    </w:p>
    <w:p w14:paraId="2E357263" w14:textId="77777777" w:rsidR="009F009F" w:rsidRDefault="00BD6D9E" w:rsidP="009F009F">
      <w:pPr>
        <w:spacing w:after="0"/>
        <w:jc w:val="center"/>
        <w:rPr>
          <w:b/>
          <w:color w:val="auto"/>
          <w:szCs w:val="24"/>
        </w:rPr>
      </w:pPr>
      <w:r w:rsidRPr="006718BA">
        <w:rPr>
          <w:b/>
          <w:color w:val="auto"/>
          <w:szCs w:val="24"/>
        </w:rPr>
        <w:t>Workforce Disability Equality Standard (WDES)</w:t>
      </w:r>
    </w:p>
    <w:p w14:paraId="7A4578F9" w14:textId="749C60AB" w:rsidR="007E2053" w:rsidRDefault="007E2053" w:rsidP="009F009F">
      <w:pPr>
        <w:spacing w:after="0"/>
        <w:jc w:val="center"/>
        <w:rPr>
          <w:b/>
          <w:color w:val="auto"/>
          <w:szCs w:val="24"/>
        </w:rPr>
      </w:pPr>
      <w:r w:rsidRPr="006718BA">
        <w:rPr>
          <w:b/>
          <w:color w:val="auto"/>
          <w:szCs w:val="24"/>
        </w:rPr>
        <w:t>Reporting Period - 2023 to 2024</w:t>
      </w:r>
    </w:p>
    <w:p w14:paraId="72B4DE3B" w14:textId="77777777" w:rsidR="009F009F" w:rsidRDefault="009F009F" w:rsidP="007E2053">
      <w:pPr>
        <w:spacing w:after="0"/>
        <w:jc w:val="center"/>
        <w:rPr>
          <w:b/>
          <w:color w:val="auto"/>
          <w:szCs w:val="24"/>
        </w:rPr>
      </w:pPr>
    </w:p>
    <w:p w14:paraId="3AB6B966" w14:textId="77777777" w:rsidR="009F009F" w:rsidRDefault="009F009F" w:rsidP="009F009F">
      <w:pPr>
        <w:spacing w:after="0"/>
        <w:jc w:val="center"/>
        <w:rPr>
          <w:b/>
          <w:color w:val="auto"/>
          <w:szCs w:val="24"/>
        </w:rPr>
      </w:pPr>
      <w:r>
        <w:rPr>
          <w:b/>
          <w:color w:val="auto"/>
          <w:szCs w:val="24"/>
        </w:rPr>
        <w:t>Gender Pay Gap Report</w:t>
      </w:r>
    </w:p>
    <w:p w14:paraId="25B5BBEF" w14:textId="5B5A853F" w:rsidR="009F009F" w:rsidRDefault="009F009F" w:rsidP="009F009F">
      <w:pPr>
        <w:spacing w:after="0"/>
        <w:jc w:val="center"/>
        <w:rPr>
          <w:b/>
          <w:color w:val="auto"/>
          <w:szCs w:val="24"/>
        </w:rPr>
      </w:pPr>
      <w:r w:rsidRPr="006718BA">
        <w:rPr>
          <w:b/>
          <w:color w:val="auto"/>
          <w:szCs w:val="24"/>
        </w:rPr>
        <w:t>Reporting Period - 202</w:t>
      </w:r>
      <w:r>
        <w:rPr>
          <w:b/>
          <w:color w:val="auto"/>
          <w:szCs w:val="24"/>
        </w:rPr>
        <w:t>2</w:t>
      </w:r>
      <w:r w:rsidRPr="006718BA">
        <w:rPr>
          <w:b/>
          <w:color w:val="auto"/>
          <w:szCs w:val="24"/>
        </w:rPr>
        <w:t xml:space="preserve"> to 202</w:t>
      </w:r>
      <w:r>
        <w:rPr>
          <w:b/>
          <w:color w:val="auto"/>
          <w:szCs w:val="24"/>
        </w:rPr>
        <w:t>3</w:t>
      </w:r>
    </w:p>
    <w:p w14:paraId="2C5DCE07" w14:textId="77777777" w:rsidR="009F009F" w:rsidRDefault="009F009F" w:rsidP="007E2053">
      <w:pPr>
        <w:spacing w:after="0"/>
        <w:jc w:val="center"/>
        <w:rPr>
          <w:b/>
          <w:color w:val="auto"/>
          <w:szCs w:val="24"/>
        </w:rPr>
      </w:pPr>
    </w:p>
    <w:p w14:paraId="3B692C10" w14:textId="480D1465" w:rsidR="00F52381" w:rsidRPr="006718BA" w:rsidRDefault="00F52381" w:rsidP="00F52381">
      <w:pPr>
        <w:spacing w:after="0"/>
        <w:rPr>
          <w:b/>
          <w:color w:val="auto"/>
          <w:szCs w:val="24"/>
        </w:rPr>
      </w:pPr>
    </w:p>
    <w:p w14:paraId="7BBBFB63" w14:textId="77777777" w:rsidR="00BD6D9E" w:rsidRPr="006718BA" w:rsidRDefault="00BD6D9E" w:rsidP="00BD6D9E">
      <w:pPr>
        <w:rPr>
          <w:szCs w:val="24"/>
        </w:rPr>
      </w:pPr>
    </w:p>
    <w:p w14:paraId="0A5412E4" w14:textId="1CBC0635" w:rsidR="00953DC4" w:rsidRPr="006718BA" w:rsidRDefault="00F76790" w:rsidP="00803857">
      <w:pPr>
        <w:pStyle w:val="Heading1"/>
        <w:numPr>
          <w:ilvl w:val="0"/>
          <w:numId w:val="0"/>
        </w:numPr>
        <w:rPr>
          <w:rFonts w:cs="Arial"/>
          <w:sz w:val="24"/>
          <w:szCs w:val="24"/>
        </w:rPr>
      </w:pPr>
      <w:r w:rsidRPr="006718BA">
        <w:rPr>
          <w:rFonts w:cs="Arial"/>
          <w:sz w:val="24"/>
          <w:szCs w:val="24"/>
        </w:rPr>
        <w:t>INTRODUCTION</w:t>
      </w:r>
    </w:p>
    <w:p w14:paraId="566566BB" w14:textId="77777777" w:rsidR="00953DC4" w:rsidRPr="006718BA" w:rsidRDefault="00953DC4" w:rsidP="00B81B0E">
      <w:pPr>
        <w:pStyle w:val="Heading4"/>
        <w:numPr>
          <w:ilvl w:val="0"/>
          <w:numId w:val="0"/>
        </w:numPr>
        <w:rPr>
          <w:rFonts w:ascii="Arial" w:hAnsi="Arial" w:cs="Arial"/>
        </w:rPr>
      </w:pPr>
    </w:p>
    <w:p w14:paraId="0B22ECBA" w14:textId="4476B022" w:rsidR="00F1650F" w:rsidRPr="006718BA" w:rsidRDefault="00C75C77" w:rsidP="00B81B0E">
      <w:pPr>
        <w:spacing w:after="0"/>
        <w:rPr>
          <w:rFonts w:eastAsia="Times New Roman"/>
          <w:bCs/>
          <w:color w:val="auto"/>
          <w:szCs w:val="24"/>
        </w:rPr>
      </w:pPr>
      <w:r w:rsidRPr="006718BA">
        <w:rPr>
          <w:rFonts w:eastAsia="Times New Roman"/>
          <w:bCs/>
          <w:color w:val="auto"/>
          <w:szCs w:val="24"/>
        </w:rPr>
        <w:t>T</w:t>
      </w:r>
      <w:r w:rsidR="00F1650F" w:rsidRPr="006718BA">
        <w:rPr>
          <w:rFonts w:eastAsia="Times New Roman"/>
          <w:bCs/>
          <w:color w:val="auto"/>
          <w:szCs w:val="24"/>
        </w:rPr>
        <w:t xml:space="preserve">he Equality Report provides an update </w:t>
      </w:r>
      <w:r w:rsidR="00C9073B" w:rsidRPr="006718BA">
        <w:rPr>
          <w:rFonts w:eastAsia="Times New Roman"/>
          <w:bCs/>
          <w:color w:val="auto"/>
          <w:szCs w:val="24"/>
        </w:rPr>
        <w:t xml:space="preserve">to </w:t>
      </w:r>
      <w:r w:rsidR="00DE2102" w:rsidRPr="006718BA">
        <w:rPr>
          <w:rFonts w:eastAsia="Times New Roman"/>
          <w:bCs/>
          <w:color w:val="auto"/>
          <w:szCs w:val="24"/>
        </w:rPr>
        <w:t xml:space="preserve">Board </w:t>
      </w:r>
      <w:r w:rsidR="00C9073B" w:rsidRPr="006718BA">
        <w:rPr>
          <w:rFonts w:eastAsia="Times New Roman"/>
          <w:bCs/>
          <w:color w:val="auto"/>
          <w:szCs w:val="24"/>
        </w:rPr>
        <w:t xml:space="preserve">Members on the </w:t>
      </w:r>
      <w:r w:rsidR="00D555F9" w:rsidRPr="006718BA">
        <w:rPr>
          <w:rFonts w:eastAsia="Times New Roman"/>
          <w:bCs/>
          <w:color w:val="auto"/>
          <w:szCs w:val="24"/>
        </w:rPr>
        <w:t>ICB</w:t>
      </w:r>
      <w:r w:rsidR="00C9073B" w:rsidRPr="006718BA">
        <w:rPr>
          <w:rFonts w:eastAsia="Times New Roman"/>
          <w:bCs/>
          <w:color w:val="auto"/>
          <w:szCs w:val="24"/>
        </w:rPr>
        <w:t>’s progress with regards to</w:t>
      </w:r>
      <w:r w:rsidR="00F1650F" w:rsidRPr="006718BA">
        <w:rPr>
          <w:rFonts w:eastAsia="Times New Roman"/>
          <w:bCs/>
          <w:color w:val="auto"/>
          <w:szCs w:val="24"/>
        </w:rPr>
        <w:t xml:space="preserve"> the following NHS England equality standards:</w:t>
      </w:r>
    </w:p>
    <w:p w14:paraId="55E05869" w14:textId="77777777" w:rsidR="00C75C77" w:rsidRPr="006718BA" w:rsidRDefault="00C75C77" w:rsidP="00604AF1">
      <w:pPr>
        <w:pStyle w:val="ListParagraph"/>
        <w:spacing w:after="0"/>
        <w:ind w:left="709"/>
        <w:rPr>
          <w:rFonts w:eastAsia="Times New Roman"/>
          <w:bCs/>
          <w:color w:val="auto"/>
          <w:szCs w:val="24"/>
        </w:rPr>
      </w:pPr>
    </w:p>
    <w:p w14:paraId="1AACA0DE" w14:textId="77777777" w:rsidR="00C75C77" w:rsidRPr="006718BA" w:rsidRDefault="00F1650F" w:rsidP="00C056C9">
      <w:pPr>
        <w:pStyle w:val="ListParagraph"/>
        <w:numPr>
          <w:ilvl w:val="0"/>
          <w:numId w:val="3"/>
        </w:numPr>
        <w:spacing w:after="0"/>
        <w:ind w:left="1134"/>
        <w:rPr>
          <w:rFonts w:eastAsia="Times New Roman"/>
          <w:bCs/>
          <w:color w:val="auto"/>
          <w:szCs w:val="24"/>
        </w:rPr>
      </w:pPr>
      <w:r w:rsidRPr="006718BA">
        <w:rPr>
          <w:rFonts w:eastAsia="Times New Roman"/>
          <w:bCs/>
          <w:color w:val="auto"/>
          <w:szCs w:val="24"/>
        </w:rPr>
        <w:t>Workforce Race Equality Standard (WRES</w:t>
      </w:r>
      <w:r w:rsidR="00481EC7" w:rsidRPr="006718BA">
        <w:rPr>
          <w:rFonts w:eastAsia="Times New Roman"/>
          <w:bCs/>
          <w:color w:val="auto"/>
          <w:szCs w:val="24"/>
        </w:rPr>
        <w:t>)</w:t>
      </w:r>
    </w:p>
    <w:p w14:paraId="6BA42DA0" w14:textId="77777777" w:rsidR="00C75C77" w:rsidRPr="006718BA" w:rsidRDefault="00F1650F" w:rsidP="00C056C9">
      <w:pPr>
        <w:pStyle w:val="ListParagraph"/>
        <w:numPr>
          <w:ilvl w:val="0"/>
          <w:numId w:val="3"/>
        </w:numPr>
        <w:spacing w:after="0"/>
        <w:ind w:left="1134"/>
        <w:rPr>
          <w:rFonts w:eastAsia="Times New Roman"/>
          <w:bCs/>
          <w:color w:val="auto"/>
          <w:szCs w:val="24"/>
        </w:rPr>
      </w:pPr>
      <w:r w:rsidRPr="006718BA">
        <w:rPr>
          <w:rFonts w:eastAsia="Times New Roman"/>
          <w:bCs/>
          <w:color w:val="auto"/>
          <w:szCs w:val="24"/>
        </w:rPr>
        <w:t>Workforce Disability Equality Standard (WDES)</w:t>
      </w:r>
    </w:p>
    <w:p w14:paraId="0844B1E9" w14:textId="1AC2D0BE" w:rsidR="00F52381" w:rsidRPr="006718BA" w:rsidRDefault="00F52381" w:rsidP="00C056C9">
      <w:pPr>
        <w:pStyle w:val="ListParagraph"/>
        <w:numPr>
          <w:ilvl w:val="0"/>
          <w:numId w:val="3"/>
        </w:numPr>
        <w:spacing w:after="0"/>
        <w:ind w:left="1134"/>
        <w:rPr>
          <w:rFonts w:eastAsia="Times New Roman"/>
          <w:bCs/>
          <w:color w:val="auto"/>
          <w:szCs w:val="24"/>
        </w:rPr>
      </w:pPr>
      <w:r w:rsidRPr="006718BA">
        <w:rPr>
          <w:rFonts w:eastAsia="Times New Roman"/>
          <w:bCs/>
          <w:color w:val="auto"/>
          <w:szCs w:val="24"/>
        </w:rPr>
        <w:t xml:space="preserve">Gender Pay Gap Report </w:t>
      </w:r>
    </w:p>
    <w:p w14:paraId="0DF7A739" w14:textId="77777777" w:rsidR="00955A3C" w:rsidRPr="006718BA" w:rsidRDefault="00955A3C" w:rsidP="00604AF1">
      <w:pPr>
        <w:spacing w:after="0"/>
        <w:jc w:val="both"/>
        <w:rPr>
          <w:b/>
          <w:bCs/>
          <w:color w:val="auto"/>
          <w:szCs w:val="24"/>
        </w:rPr>
      </w:pPr>
    </w:p>
    <w:p w14:paraId="70D6E79B" w14:textId="51FF65CD" w:rsidR="00955A3C" w:rsidRPr="006718BA" w:rsidRDefault="004C1F76" w:rsidP="00F75B80">
      <w:pPr>
        <w:pStyle w:val="Heading2"/>
        <w:numPr>
          <w:ilvl w:val="0"/>
          <w:numId w:val="0"/>
        </w:numPr>
        <w:ind w:left="576" w:hanging="576"/>
        <w:rPr>
          <w:rFonts w:cs="Arial"/>
          <w:sz w:val="24"/>
          <w:szCs w:val="24"/>
        </w:rPr>
      </w:pPr>
      <w:r w:rsidRPr="006718BA">
        <w:rPr>
          <w:rFonts w:cs="Arial"/>
          <w:sz w:val="24"/>
          <w:szCs w:val="24"/>
        </w:rPr>
        <w:t>1.0</w:t>
      </w:r>
      <w:r w:rsidR="00D555F9" w:rsidRPr="006718BA">
        <w:rPr>
          <w:rFonts w:cs="Arial"/>
          <w:sz w:val="24"/>
          <w:szCs w:val="24"/>
        </w:rPr>
        <w:t xml:space="preserve"> </w:t>
      </w:r>
      <w:r w:rsidR="00955A3C" w:rsidRPr="006718BA">
        <w:rPr>
          <w:rFonts w:cs="Arial"/>
          <w:sz w:val="24"/>
          <w:szCs w:val="24"/>
        </w:rPr>
        <w:t>W</w:t>
      </w:r>
      <w:r w:rsidR="008C144A" w:rsidRPr="006718BA">
        <w:rPr>
          <w:rFonts w:cs="Arial"/>
          <w:sz w:val="24"/>
          <w:szCs w:val="24"/>
        </w:rPr>
        <w:t>ORKFORCE</w:t>
      </w:r>
      <w:r w:rsidR="00350962" w:rsidRPr="006718BA">
        <w:rPr>
          <w:rFonts w:cs="Arial"/>
          <w:sz w:val="24"/>
          <w:szCs w:val="24"/>
        </w:rPr>
        <w:t xml:space="preserve"> R</w:t>
      </w:r>
      <w:r w:rsidR="008C144A" w:rsidRPr="006718BA">
        <w:rPr>
          <w:rFonts w:cs="Arial"/>
          <w:sz w:val="24"/>
          <w:szCs w:val="24"/>
        </w:rPr>
        <w:t>ACE</w:t>
      </w:r>
      <w:r w:rsidR="00350962" w:rsidRPr="006718BA">
        <w:rPr>
          <w:rFonts w:cs="Arial"/>
          <w:sz w:val="24"/>
          <w:szCs w:val="24"/>
        </w:rPr>
        <w:t xml:space="preserve"> E</w:t>
      </w:r>
      <w:r w:rsidR="008C144A" w:rsidRPr="006718BA">
        <w:rPr>
          <w:rFonts w:cs="Arial"/>
          <w:sz w:val="24"/>
          <w:szCs w:val="24"/>
        </w:rPr>
        <w:t>QUALITY</w:t>
      </w:r>
      <w:r w:rsidR="00350962" w:rsidRPr="006718BA">
        <w:rPr>
          <w:rFonts w:cs="Arial"/>
          <w:sz w:val="24"/>
          <w:szCs w:val="24"/>
        </w:rPr>
        <w:t xml:space="preserve"> S</w:t>
      </w:r>
      <w:r w:rsidR="008C144A" w:rsidRPr="006718BA">
        <w:rPr>
          <w:rFonts w:cs="Arial"/>
          <w:sz w:val="24"/>
          <w:szCs w:val="24"/>
        </w:rPr>
        <w:t xml:space="preserve">TANDARD </w:t>
      </w:r>
      <w:r w:rsidR="00350962" w:rsidRPr="006718BA">
        <w:rPr>
          <w:rFonts w:cs="Arial"/>
          <w:sz w:val="24"/>
          <w:szCs w:val="24"/>
        </w:rPr>
        <w:t>(W</w:t>
      </w:r>
      <w:r w:rsidR="00955A3C" w:rsidRPr="006718BA">
        <w:rPr>
          <w:rFonts w:cs="Arial"/>
          <w:sz w:val="24"/>
          <w:szCs w:val="24"/>
        </w:rPr>
        <w:t>RES</w:t>
      </w:r>
      <w:r w:rsidR="00350962" w:rsidRPr="006718BA">
        <w:rPr>
          <w:rFonts w:cs="Arial"/>
          <w:sz w:val="24"/>
          <w:szCs w:val="24"/>
        </w:rPr>
        <w:t>)</w:t>
      </w:r>
      <w:r w:rsidR="00955A3C" w:rsidRPr="006718BA">
        <w:rPr>
          <w:rFonts w:cs="Arial"/>
          <w:sz w:val="24"/>
          <w:szCs w:val="24"/>
        </w:rPr>
        <w:t xml:space="preserve"> and </w:t>
      </w:r>
      <w:r w:rsidR="00350962" w:rsidRPr="006718BA">
        <w:rPr>
          <w:rFonts w:cs="Arial"/>
          <w:sz w:val="24"/>
          <w:szCs w:val="24"/>
        </w:rPr>
        <w:t>W</w:t>
      </w:r>
      <w:r w:rsidR="008C144A" w:rsidRPr="006718BA">
        <w:rPr>
          <w:rFonts w:cs="Arial"/>
          <w:sz w:val="24"/>
          <w:szCs w:val="24"/>
        </w:rPr>
        <w:t>ORKFORCE</w:t>
      </w:r>
      <w:r w:rsidR="00350962" w:rsidRPr="006718BA">
        <w:rPr>
          <w:rFonts w:cs="Arial"/>
          <w:sz w:val="24"/>
          <w:szCs w:val="24"/>
        </w:rPr>
        <w:t xml:space="preserve"> D</w:t>
      </w:r>
      <w:r w:rsidR="008C144A" w:rsidRPr="006718BA">
        <w:rPr>
          <w:rFonts w:cs="Arial"/>
          <w:sz w:val="24"/>
          <w:szCs w:val="24"/>
        </w:rPr>
        <w:t>ISABILITY</w:t>
      </w:r>
      <w:r w:rsidR="00350962" w:rsidRPr="006718BA">
        <w:rPr>
          <w:rFonts w:cs="Arial"/>
          <w:sz w:val="24"/>
          <w:szCs w:val="24"/>
        </w:rPr>
        <w:t xml:space="preserve"> E</w:t>
      </w:r>
      <w:r w:rsidR="008C144A" w:rsidRPr="006718BA">
        <w:rPr>
          <w:rFonts w:cs="Arial"/>
          <w:sz w:val="24"/>
          <w:szCs w:val="24"/>
        </w:rPr>
        <w:t>QUALITY</w:t>
      </w:r>
      <w:r w:rsidR="00350962" w:rsidRPr="006718BA">
        <w:rPr>
          <w:rFonts w:cs="Arial"/>
          <w:sz w:val="24"/>
          <w:szCs w:val="24"/>
        </w:rPr>
        <w:t xml:space="preserve"> S</w:t>
      </w:r>
      <w:r w:rsidR="008C144A" w:rsidRPr="006718BA">
        <w:rPr>
          <w:rFonts w:cs="Arial"/>
          <w:sz w:val="24"/>
          <w:szCs w:val="24"/>
        </w:rPr>
        <w:t xml:space="preserve">TANDARD </w:t>
      </w:r>
      <w:r w:rsidR="00350962" w:rsidRPr="006718BA">
        <w:rPr>
          <w:rFonts w:cs="Arial"/>
          <w:sz w:val="24"/>
          <w:szCs w:val="24"/>
        </w:rPr>
        <w:t>(</w:t>
      </w:r>
      <w:r w:rsidR="00955A3C" w:rsidRPr="006718BA">
        <w:rPr>
          <w:rFonts w:cs="Arial"/>
          <w:sz w:val="24"/>
          <w:szCs w:val="24"/>
        </w:rPr>
        <w:t>WDES</w:t>
      </w:r>
      <w:r w:rsidR="00350962" w:rsidRPr="006718BA">
        <w:rPr>
          <w:rFonts w:cs="Arial"/>
          <w:sz w:val="24"/>
          <w:szCs w:val="24"/>
        </w:rPr>
        <w:t>)</w:t>
      </w:r>
    </w:p>
    <w:p w14:paraId="7F802475" w14:textId="77777777" w:rsidR="00955A3C" w:rsidRPr="006718BA" w:rsidRDefault="00955A3C" w:rsidP="00604AF1">
      <w:pPr>
        <w:spacing w:after="0"/>
        <w:jc w:val="both"/>
        <w:rPr>
          <w:b/>
          <w:bCs/>
          <w:color w:val="auto"/>
          <w:szCs w:val="24"/>
        </w:rPr>
      </w:pPr>
    </w:p>
    <w:p w14:paraId="7203A625" w14:textId="3F94A04B" w:rsidR="00955A3C" w:rsidRPr="006718BA" w:rsidRDefault="00955A3C" w:rsidP="00B81B0E">
      <w:pPr>
        <w:pStyle w:val="BodyTextIndent"/>
        <w:ind w:left="0"/>
        <w:rPr>
          <w:rFonts w:ascii="Arial" w:hAnsi="Arial" w:cs="Arial"/>
        </w:rPr>
      </w:pPr>
      <w:r w:rsidRPr="006718BA">
        <w:rPr>
          <w:rFonts w:ascii="Arial" w:hAnsi="Arial" w:cs="Arial"/>
        </w:rPr>
        <w:t xml:space="preserve">The main </w:t>
      </w:r>
      <w:r w:rsidR="00D4629C" w:rsidRPr="006718BA">
        <w:rPr>
          <w:rFonts w:ascii="Arial" w:hAnsi="Arial" w:cs="Arial"/>
        </w:rPr>
        <w:t xml:space="preserve">objectives </w:t>
      </w:r>
      <w:r w:rsidRPr="006718BA">
        <w:rPr>
          <w:rFonts w:ascii="Arial" w:hAnsi="Arial" w:cs="Arial"/>
        </w:rPr>
        <w:t>of the NHS Workforce Race Equality Standard (WRES) and the Workforce Disability Equality Standard (WDES) are to:</w:t>
      </w:r>
    </w:p>
    <w:p w14:paraId="1109CD35" w14:textId="77777777" w:rsidR="00C75C77" w:rsidRPr="006718BA" w:rsidRDefault="00C75C77" w:rsidP="00604AF1">
      <w:pPr>
        <w:pStyle w:val="BodyTextIndent"/>
        <w:ind w:left="720" w:hanging="720"/>
        <w:rPr>
          <w:rFonts w:ascii="Arial" w:hAnsi="Arial" w:cs="Arial"/>
        </w:rPr>
      </w:pPr>
    </w:p>
    <w:p w14:paraId="40123628" w14:textId="77777777" w:rsidR="00955A3C" w:rsidRPr="006718BA" w:rsidRDefault="00C75C77" w:rsidP="00C056C9">
      <w:pPr>
        <w:pStyle w:val="BodyTextIndent"/>
        <w:numPr>
          <w:ilvl w:val="0"/>
          <w:numId w:val="2"/>
        </w:numPr>
        <w:ind w:left="1134"/>
        <w:rPr>
          <w:rFonts w:ascii="Arial" w:hAnsi="Arial" w:cs="Arial"/>
        </w:rPr>
      </w:pPr>
      <w:r w:rsidRPr="006718BA">
        <w:rPr>
          <w:rFonts w:ascii="Arial" w:hAnsi="Arial" w:cs="Arial"/>
        </w:rPr>
        <w:t>Help local</w:t>
      </w:r>
      <w:r w:rsidR="00955A3C" w:rsidRPr="006718BA">
        <w:rPr>
          <w:rFonts w:ascii="Arial" w:hAnsi="Arial" w:cs="Arial"/>
        </w:rPr>
        <w:t xml:space="preserve"> and national NHS organisations (and other organisations providing NHS services) to review their data against the relevant indicators</w:t>
      </w:r>
      <w:r w:rsidRPr="006718BA">
        <w:rPr>
          <w:rFonts w:ascii="Arial" w:hAnsi="Arial" w:cs="Arial"/>
        </w:rPr>
        <w:t>.</w:t>
      </w:r>
    </w:p>
    <w:p w14:paraId="15B47673" w14:textId="77777777" w:rsidR="00955A3C" w:rsidRPr="006718BA" w:rsidRDefault="00955A3C" w:rsidP="00C056C9">
      <w:pPr>
        <w:pStyle w:val="BodyTextIndent"/>
        <w:numPr>
          <w:ilvl w:val="0"/>
          <w:numId w:val="2"/>
        </w:numPr>
        <w:ind w:left="1134"/>
        <w:rPr>
          <w:rFonts w:ascii="Arial" w:hAnsi="Arial" w:cs="Arial"/>
        </w:rPr>
      </w:pPr>
      <w:r w:rsidRPr="006718BA">
        <w:rPr>
          <w:rFonts w:ascii="Arial" w:hAnsi="Arial" w:cs="Arial"/>
        </w:rPr>
        <w:t>Produce action plans to close the gaps in workplace experience between relevant groups of staff</w:t>
      </w:r>
      <w:r w:rsidR="00C75C77" w:rsidRPr="006718BA">
        <w:rPr>
          <w:rFonts w:ascii="Arial" w:hAnsi="Arial" w:cs="Arial"/>
        </w:rPr>
        <w:t>,</w:t>
      </w:r>
      <w:r w:rsidRPr="006718BA">
        <w:rPr>
          <w:rFonts w:ascii="Arial" w:hAnsi="Arial" w:cs="Arial"/>
        </w:rPr>
        <w:t xml:space="preserve"> and</w:t>
      </w:r>
    </w:p>
    <w:p w14:paraId="4730CC0E" w14:textId="469C845D" w:rsidR="00955A3C" w:rsidRPr="006718BA" w:rsidRDefault="00955A3C" w:rsidP="00C056C9">
      <w:pPr>
        <w:pStyle w:val="BodyTextIndent"/>
        <w:numPr>
          <w:ilvl w:val="0"/>
          <w:numId w:val="2"/>
        </w:numPr>
        <w:ind w:left="1134"/>
        <w:rPr>
          <w:rFonts w:ascii="Arial" w:hAnsi="Arial" w:cs="Arial"/>
        </w:rPr>
      </w:pPr>
      <w:r w:rsidRPr="006718BA">
        <w:rPr>
          <w:rFonts w:ascii="Arial" w:hAnsi="Arial" w:cs="Arial"/>
        </w:rPr>
        <w:t xml:space="preserve">Improve </w:t>
      </w:r>
      <w:r w:rsidR="00C047A7" w:rsidRPr="006718BA">
        <w:rPr>
          <w:rFonts w:ascii="Arial" w:hAnsi="Arial" w:cs="Arial"/>
        </w:rPr>
        <w:t xml:space="preserve">representation of </w:t>
      </w:r>
      <w:r w:rsidRPr="006718BA">
        <w:rPr>
          <w:rFonts w:ascii="Arial" w:hAnsi="Arial" w:cs="Arial"/>
        </w:rPr>
        <w:t>BME</w:t>
      </w:r>
      <w:r w:rsidR="00B57DC7" w:rsidRPr="006718BA">
        <w:rPr>
          <w:rFonts w:ascii="Arial" w:hAnsi="Arial" w:cs="Arial"/>
        </w:rPr>
        <w:t xml:space="preserve"> </w:t>
      </w:r>
      <w:r w:rsidRPr="006718BA">
        <w:rPr>
          <w:rFonts w:ascii="Arial" w:hAnsi="Arial" w:cs="Arial"/>
        </w:rPr>
        <w:t xml:space="preserve">/ Disabled </w:t>
      </w:r>
      <w:r w:rsidR="00C047A7" w:rsidRPr="006718BA">
        <w:rPr>
          <w:rFonts w:ascii="Arial" w:hAnsi="Arial" w:cs="Arial"/>
        </w:rPr>
        <w:t xml:space="preserve">people </w:t>
      </w:r>
      <w:r w:rsidR="00D4629C" w:rsidRPr="006718BA">
        <w:rPr>
          <w:rFonts w:ascii="Arial" w:hAnsi="Arial" w:cs="Arial"/>
        </w:rPr>
        <w:t xml:space="preserve">across all levels of the organisation, including </w:t>
      </w:r>
      <w:r w:rsidRPr="006718BA">
        <w:rPr>
          <w:rFonts w:ascii="Arial" w:hAnsi="Arial" w:cs="Arial"/>
        </w:rPr>
        <w:t xml:space="preserve">Board level </w:t>
      </w:r>
      <w:r w:rsidR="00D4629C" w:rsidRPr="006718BA">
        <w:rPr>
          <w:rFonts w:ascii="Arial" w:hAnsi="Arial" w:cs="Arial"/>
        </w:rPr>
        <w:t>representation</w:t>
      </w:r>
      <w:r w:rsidRPr="006718BA">
        <w:rPr>
          <w:rFonts w:ascii="Arial" w:hAnsi="Arial" w:cs="Arial"/>
        </w:rPr>
        <w:t>.</w:t>
      </w:r>
    </w:p>
    <w:p w14:paraId="2B492BAC" w14:textId="7D8EAEB6" w:rsidR="00953DC4" w:rsidRPr="006718BA" w:rsidRDefault="00953DC4" w:rsidP="00F75B80">
      <w:pPr>
        <w:pStyle w:val="BodyTextIndent"/>
        <w:ind w:left="0"/>
        <w:rPr>
          <w:rFonts w:ascii="Arial" w:hAnsi="Arial" w:cs="Arial"/>
        </w:rPr>
      </w:pPr>
      <w:r w:rsidRPr="006718BA">
        <w:rPr>
          <w:rFonts w:ascii="Arial" w:hAnsi="Arial" w:cs="Arial"/>
        </w:rPr>
        <w:tab/>
      </w:r>
    </w:p>
    <w:p w14:paraId="311D2241" w14:textId="46D9E9DB" w:rsidR="00C75C77" w:rsidRPr="006718BA" w:rsidRDefault="00481EC7" w:rsidP="00B81B0E">
      <w:pPr>
        <w:spacing w:after="0"/>
        <w:rPr>
          <w:rFonts w:eastAsia="Times New Roman"/>
          <w:bCs/>
          <w:color w:val="auto"/>
          <w:szCs w:val="24"/>
        </w:rPr>
      </w:pPr>
      <w:r w:rsidRPr="006718BA">
        <w:rPr>
          <w:rFonts w:eastAsia="Times New Roman"/>
          <w:bCs/>
          <w:color w:val="auto"/>
          <w:szCs w:val="24"/>
        </w:rPr>
        <w:t>The WRES</w:t>
      </w:r>
      <w:r w:rsidR="00F1650F" w:rsidRPr="006718BA">
        <w:rPr>
          <w:rFonts w:eastAsia="Times New Roman"/>
          <w:bCs/>
          <w:color w:val="auto"/>
          <w:szCs w:val="24"/>
        </w:rPr>
        <w:t xml:space="preserve"> </w:t>
      </w:r>
      <w:r w:rsidR="00C466D5" w:rsidRPr="006718BA">
        <w:rPr>
          <w:rFonts w:eastAsia="Times New Roman"/>
          <w:bCs/>
          <w:color w:val="auto"/>
          <w:szCs w:val="24"/>
        </w:rPr>
        <w:t>comprises</w:t>
      </w:r>
      <w:r w:rsidR="00F1650F" w:rsidRPr="006718BA">
        <w:rPr>
          <w:rFonts w:eastAsia="Times New Roman"/>
          <w:bCs/>
          <w:color w:val="auto"/>
          <w:szCs w:val="24"/>
        </w:rPr>
        <w:t xml:space="preserve"> nine indicators and is mandated by NHS</w:t>
      </w:r>
      <w:r w:rsidR="00C75C77" w:rsidRPr="006718BA">
        <w:rPr>
          <w:rFonts w:eastAsia="Times New Roman"/>
          <w:bCs/>
          <w:color w:val="auto"/>
          <w:szCs w:val="24"/>
        </w:rPr>
        <w:t xml:space="preserve"> </w:t>
      </w:r>
      <w:r w:rsidR="00F1650F" w:rsidRPr="006718BA">
        <w:rPr>
          <w:rFonts w:eastAsia="Times New Roman"/>
          <w:bCs/>
          <w:color w:val="auto"/>
          <w:szCs w:val="24"/>
        </w:rPr>
        <w:t>E</w:t>
      </w:r>
      <w:r w:rsidR="00C75C77" w:rsidRPr="006718BA">
        <w:rPr>
          <w:rFonts w:eastAsia="Times New Roman"/>
          <w:bCs/>
          <w:color w:val="auto"/>
          <w:szCs w:val="24"/>
        </w:rPr>
        <w:t>ngland</w:t>
      </w:r>
      <w:r w:rsidR="00F1650F" w:rsidRPr="006718BA">
        <w:rPr>
          <w:rFonts w:eastAsia="Times New Roman"/>
          <w:bCs/>
          <w:color w:val="auto"/>
          <w:szCs w:val="24"/>
        </w:rPr>
        <w:t>.</w:t>
      </w:r>
      <w:r w:rsidR="00C466D5" w:rsidRPr="006718BA">
        <w:rPr>
          <w:rFonts w:eastAsia="Times New Roman"/>
          <w:bCs/>
          <w:color w:val="auto"/>
          <w:szCs w:val="24"/>
        </w:rPr>
        <w:t xml:space="preserve"> The WDES comprises </w:t>
      </w:r>
      <w:r w:rsidR="00F1650F" w:rsidRPr="006718BA">
        <w:rPr>
          <w:rFonts w:eastAsia="Times New Roman"/>
          <w:bCs/>
          <w:color w:val="auto"/>
          <w:szCs w:val="24"/>
        </w:rPr>
        <w:t>10 indicators</w:t>
      </w:r>
      <w:r w:rsidR="00C466D5" w:rsidRPr="006718BA">
        <w:rPr>
          <w:rFonts w:eastAsia="Times New Roman"/>
          <w:bCs/>
          <w:color w:val="auto"/>
          <w:szCs w:val="24"/>
        </w:rPr>
        <w:t xml:space="preserve"> and </w:t>
      </w:r>
      <w:r w:rsidR="00B57DC7" w:rsidRPr="006718BA">
        <w:rPr>
          <w:rFonts w:eastAsia="Times New Roman"/>
          <w:bCs/>
          <w:color w:val="auto"/>
          <w:szCs w:val="24"/>
        </w:rPr>
        <w:t>i</w:t>
      </w:r>
      <w:r w:rsidR="00F1650F" w:rsidRPr="006718BA">
        <w:rPr>
          <w:rFonts w:eastAsia="Times New Roman"/>
          <w:bCs/>
          <w:color w:val="auto"/>
          <w:szCs w:val="24"/>
        </w:rPr>
        <w:t xml:space="preserve">t came into force on 1 April 2019. Mandatory reporting on WDES </w:t>
      </w:r>
      <w:r w:rsidR="00970410" w:rsidRPr="006718BA">
        <w:rPr>
          <w:rFonts w:eastAsia="Times New Roman"/>
          <w:bCs/>
          <w:color w:val="auto"/>
          <w:szCs w:val="24"/>
        </w:rPr>
        <w:t>was</w:t>
      </w:r>
      <w:r w:rsidR="00F1650F" w:rsidRPr="006718BA">
        <w:rPr>
          <w:rFonts w:eastAsia="Times New Roman"/>
          <w:bCs/>
          <w:color w:val="auto"/>
          <w:szCs w:val="24"/>
        </w:rPr>
        <w:t xml:space="preserve"> restricted to NHS Trusts and Foundation Trusts for the first two years of implementati</w:t>
      </w:r>
      <w:r w:rsidR="00C466D5" w:rsidRPr="006718BA">
        <w:rPr>
          <w:rFonts w:eastAsia="Times New Roman"/>
          <w:bCs/>
          <w:color w:val="auto"/>
          <w:szCs w:val="24"/>
        </w:rPr>
        <w:t>on.</w:t>
      </w:r>
      <w:r w:rsidRPr="006718BA">
        <w:rPr>
          <w:rFonts w:eastAsia="Times New Roman"/>
          <w:bCs/>
          <w:color w:val="auto"/>
          <w:szCs w:val="24"/>
        </w:rPr>
        <w:t xml:space="preserve"> </w:t>
      </w:r>
      <w:r w:rsidR="00FB2CFE" w:rsidRPr="006718BA">
        <w:rPr>
          <w:rFonts w:eastAsia="Times New Roman"/>
          <w:bCs/>
          <w:color w:val="auto"/>
          <w:szCs w:val="24"/>
        </w:rPr>
        <w:t xml:space="preserve"> It </w:t>
      </w:r>
      <w:r w:rsidR="00DD67FF" w:rsidRPr="006718BA">
        <w:rPr>
          <w:rFonts w:eastAsia="Times New Roman"/>
          <w:bCs/>
          <w:color w:val="auto"/>
          <w:szCs w:val="24"/>
        </w:rPr>
        <w:t>currently not a requirement for ICBs to report their WRES and WDES data with NHS England</w:t>
      </w:r>
      <w:r w:rsidR="00DB70CD" w:rsidRPr="006718BA">
        <w:rPr>
          <w:rFonts w:eastAsia="Times New Roman"/>
          <w:bCs/>
          <w:color w:val="auto"/>
          <w:szCs w:val="24"/>
        </w:rPr>
        <w:t>.</w:t>
      </w:r>
      <w:r w:rsidR="00DD67FF" w:rsidRPr="006718BA">
        <w:rPr>
          <w:rFonts w:eastAsia="Times New Roman"/>
          <w:bCs/>
          <w:color w:val="auto"/>
          <w:szCs w:val="24"/>
        </w:rPr>
        <w:t xml:space="preserve"> </w:t>
      </w:r>
      <w:r w:rsidR="005A7D31" w:rsidRPr="007E2053">
        <w:rPr>
          <w:rFonts w:eastAsia="Times New Roman"/>
          <w:bCs/>
          <w:color w:val="auto"/>
          <w:szCs w:val="24"/>
        </w:rPr>
        <w:t>However, the NHSE Assurance Team does require us to report this data online.</w:t>
      </w:r>
      <w:r w:rsidR="005A7D31">
        <w:rPr>
          <w:rFonts w:eastAsia="Times New Roman"/>
          <w:bCs/>
          <w:color w:val="auto"/>
          <w:szCs w:val="24"/>
        </w:rPr>
        <w:t xml:space="preserve"> </w:t>
      </w:r>
    </w:p>
    <w:p w14:paraId="45B7D701" w14:textId="77777777" w:rsidR="00604AF1" w:rsidRPr="006718BA" w:rsidRDefault="00604AF1" w:rsidP="00604AF1">
      <w:pPr>
        <w:spacing w:after="0"/>
        <w:ind w:left="720" w:hanging="720"/>
        <w:rPr>
          <w:rFonts w:eastAsia="Times New Roman"/>
          <w:bCs/>
          <w:color w:val="auto"/>
          <w:szCs w:val="24"/>
        </w:rPr>
      </w:pPr>
    </w:p>
    <w:p w14:paraId="38C00E77" w14:textId="6B554C39" w:rsidR="00955A3C" w:rsidRPr="006718BA" w:rsidRDefault="00955A3C" w:rsidP="00604AF1">
      <w:pPr>
        <w:spacing w:after="0"/>
        <w:ind w:left="720" w:hanging="720"/>
        <w:rPr>
          <w:rFonts w:eastAsia="Times New Roman"/>
          <w:bCs/>
          <w:color w:val="auto"/>
          <w:szCs w:val="24"/>
        </w:rPr>
      </w:pPr>
      <w:r w:rsidRPr="006718BA">
        <w:rPr>
          <w:rFonts w:eastAsia="Times New Roman"/>
          <w:bCs/>
          <w:color w:val="auto"/>
          <w:szCs w:val="24"/>
        </w:rPr>
        <w:lastRenderedPageBreak/>
        <w:t>The indicators of both standards</w:t>
      </w:r>
      <w:r w:rsidR="00481EC7" w:rsidRPr="006718BA">
        <w:rPr>
          <w:rFonts w:eastAsia="Times New Roman"/>
          <w:bCs/>
          <w:color w:val="auto"/>
          <w:szCs w:val="24"/>
        </w:rPr>
        <w:t xml:space="preserve"> are </w:t>
      </w:r>
      <w:r w:rsidRPr="006718BA">
        <w:rPr>
          <w:rFonts w:eastAsia="Times New Roman"/>
          <w:bCs/>
          <w:color w:val="auto"/>
          <w:szCs w:val="24"/>
        </w:rPr>
        <w:t>intended</w:t>
      </w:r>
      <w:r w:rsidR="00481EC7" w:rsidRPr="006718BA">
        <w:rPr>
          <w:rFonts w:eastAsia="Times New Roman"/>
          <w:bCs/>
          <w:color w:val="auto"/>
          <w:szCs w:val="24"/>
        </w:rPr>
        <w:t xml:space="preserve"> to highlight</w:t>
      </w:r>
      <w:r w:rsidRPr="006718BA">
        <w:rPr>
          <w:rFonts w:eastAsia="Times New Roman"/>
          <w:bCs/>
          <w:color w:val="auto"/>
          <w:szCs w:val="24"/>
        </w:rPr>
        <w:t xml:space="preserve"> and reflect:</w:t>
      </w:r>
    </w:p>
    <w:p w14:paraId="3AF7C18C" w14:textId="6A5C8534" w:rsidR="00955A3C"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T</w:t>
      </w:r>
      <w:r w:rsidR="00481EC7" w:rsidRPr="006718BA">
        <w:rPr>
          <w:rFonts w:eastAsia="Times New Roman"/>
          <w:bCs/>
          <w:color w:val="auto"/>
          <w:szCs w:val="24"/>
        </w:rPr>
        <w:t xml:space="preserve">he overall representation of BME </w:t>
      </w:r>
      <w:r w:rsidR="00C047A7" w:rsidRPr="006718BA">
        <w:rPr>
          <w:rFonts w:eastAsia="Times New Roman"/>
          <w:bCs/>
          <w:color w:val="auto"/>
          <w:szCs w:val="24"/>
        </w:rPr>
        <w:t xml:space="preserve">and disabled </w:t>
      </w:r>
      <w:r w:rsidR="00481EC7" w:rsidRPr="006718BA">
        <w:rPr>
          <w:rFonts w:eastAsia="Times New Roman"/>
          <w:bCs/>
          <w:color w:val="auto"/>
          <w:szCs w:val="24"/>
        </w:rPr>
        <w:t xml:space="preserve">staff in the </w:t>
      </w:r>
      <w:r w:rsidR="00FB2CFE" w:rsidRPr="006718BA">
        <w:rPr>
          <w:rFonts w:eastAsia="Times New Roman"/>
          <w:bCs/>
          <w:color w:val="auto"/>
          <w:szCs w:val="24"/>
        </w:rPr>
        <w:t>ICB</w:t>
      </w:r>
      <w:r w:rsidR="00481EC7" w:rsidRPr="006718BA">
        <w:rPr>
          <w:rFonts w:eastAsia="Times New Roman"/>
          <w:bCs/>
          <w:color w:val="auto"/>
          <w:szCs w:val="24"/>
        </w:rPr>
        <w:t>, across the pay structure</w:t>
      </w:r>
      <w:r w:rsidR="00C75C77" w:rsidRPr="006718BA">
        <w:rPr>
          <w:rFonts w:eastAsia="Times New Roman"/>
          <w:bCs/>
          <w:color w:val="auto"/>
          <w:szCs w:val="24"/>
        </w:rPr>
        <w:t>.</w:t>
      </w:r>
    </w:p>
    <w:p w14:paraId="4DC8FB4A" w14:textId="12DC0CFA" w:rsidR="00955A3C"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Th</w:t>
      </w:r>
      <w:r w:rsidR="00481EC7" w:rsidRPr="006718BA">
        <w:rPr>
          <w:rFonts w:eastAsia="Times New Roman"/>
          <w:bCs/>
          <w:color w:val="auto"/>
          <w:szCs w:val="24"/>
        </w:rPr>
        <w:t xml:space="preserve">e relative likelihood of BME </w:t>
      </w:r>
      <w:r w:rsidR="00C047A7" w:rsidRPr="006718BA">
        <w:rPr>
          <w:rFonts w:eastAsia="Times New Roman"/>
          <w:bCs/>
          <w:color w:val="auto"/>
          <w:szCs w:val="24"/>
        </w:rPr>
        <w:t xml:space="preserve">and disabled </w:t>
      </w:r>
      <w:r w:rsidR="00481EC7" w:rsidRPr="006718BA">
        <w:rPr>
          <w:rFonts w:eastAsia="Times New Roman"/>
          <w:bCs/>
          <w:color w:val="auto"/>
          <w:szCs w:val="24"/>
        </w:rPr>
        <w:t xml:space="preserve">candidates </w:t>
      </w:r>
      <w:r w:rsidR="00C75C77" w:rsidRPr="006718BA">
        <w:rPr>
          <w:rFonts w:eastAsia="Times New Roman"/>
          <w:bCs/>
          <w:color w:val="auto"/>
          <w:szCs w:val="24"/>
        </w:rPr>
        <w:t>being shortlisted and appointed.</w:t>
      </w:r>
    </w:p>
    <w:p w14:paraId="325D2126" w14:textId="6790409C" w:rsidR="00955A3C" w:rsidRPr="006718BA" w:rsidRDefault="00C047A7" w:rsidP="00C047A7">
      <w:pPr>
        <w:numPr>
          <w:ilvl w:val="0"/>
          <w:numId w:val="1"/>
        </w:numPr>
        <w:spacing w:after="0"/>
        <w:ind w:left="1134"/>
        <w:rPr>
          <w:rFonts w:eastAsia="Times New Roman"/>
          <w:bCs/>
          <w:color w:val="auto"/>
          <w:szCs w:val="24"/>
        </w:rPr>
      </w:pPr>
      <w:r w:rsidRPr="006718BA">
        <w:rPr>
          <w:rFonts w:eastAsia="Times New Roman"/>
          <w:bCs/>
          <w:color w:val="auto"/>
          <w:szCs w:val="24"/>
        </w:rPr>
        <w:t xml:space="preserve">Relative likelihood of </w:t>
      </w:r>
      <w:r w:rsidR="00955A3C" w:rsidRPr="006718BA">
        <w:rPr>
          <w:rFonts w:eastAsia="Times New Roman"/>
          <w:bCs/>
          <w:color w:val="auto"/>
          <w:szCs w:val="24"/>
        </w:rPr>
        <w:t>BME</w:t>
      </w:r>
      <w:r w:rsidRPr="006718BA">
        <w:rPr>
          <w:rFonts w:eastAsia="Times New Roman"/>
          <w:bCs/>
          <w:color w:val="auto"/>
          <w:szCs w:val="24"/>
        </w:rPr>
        <w:t xml:space="preserve"> or disabled</w:t>
      </w:r>
      <w:r w:rsidR="00955A3C" w:rsidRPr="006718BA">
        <w:rPr>
          <w:rFonts w:eastAsia="Times New Roman"/>
          <w:bCs/>
          <w:color w:val="auto"/>
          <w:szCs w:val="24"/>
        </w:rPr>
        <w:t xml:space="preserve"> staff entering the formal disciplinary process</w:t>
      </w:r>
      <w:r w:rsidR="00C75C77" w:rsidRPr="006718BA">
        <w:rPr>
          <w:rFonts w:eastAsia="Times New Roman"/>
          <w:bCs/>
          <w:color w:val="auto"/>
          <w:szCs w:val="24"/>
        </w:rPr>
        <w:t>.</w:t>
      </w:r>
    </w:p>
    <w:p w14:paraId="39CD6B6C" w14:textId="77777777" w:rsidR="00481EC7"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Uptake of non-mandatory training</w:t>
      </w:r>
      <w:r w:rsidR="00C75C77" w:rsidRPr="006718BA">
        <w:rPr>
          <w:rFonts w:eastAsia="Times New Roman"/>
          <w:bCs/>
          <w:color w:val="auto"/>
          <w:szCs w:val="24"/>
        </w:rPr>
        <w:t>.</w:t>
      </w:r>
    </w:p>
    <w:p w14:paraId="189EE60E" w14:textId="77777777" w:rsidR="00955A3C"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Staff experience of bullying and harassment</w:t>
      </w:r>
      <w:r w:rsidR="00C75C77" w:rsidRPr="006718BA">
        <w:rPr>
          <w:rFonts w:eastAsia="Times New Roman"/>
          <w:bCs/>
          <w:color w:val="auto"/>
          <w:szCs w:val="24"/>
        </w:rPr>
        <w:t>.</w:t>
      </w:r>
    </w:p>
    <w:p w14:paraId="22EC5611" w14:textId="021B8CCF" w:rsidR="00955A3C"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Staff experience of whether the organisation provides equal opportunities</w:t>
      </w:r>
      <w:r w:rsidR="00C047A7" w:rsidRPr="006718BA">
        <w:rPr>
          <w:rFonts w:eastAsia="Times New Roman"/>
          <w:bCs/>
          <w:color w:val="auto"/>
          <w:szCs w:val="24"/>
        </w:rPr>
        <w:t xml:space="preserve"> and value their work</w:t>
      </w:r>
      <w:r w:rsidR="00C75C77" w:rsidRPr="006718BA">
        <w:rPr>
          <w:rFonts w:eastAsia="Times New Roman"/>
          <w:bCs/>
          <w:color w:val="auto"/>
          <w:szCs w:val="24"/>
        </w:rPr>
        <w:t>, and</w:t>
      </w:r>
    </w:p>
    <w:p w14:paraId="75F59F9D" w14:textId="0E59372F" w:rsidR="00C047A7" w:rsidRPr="006718BA" w:rsidRDefault="00C047A7" w:rsidP="00604AF1">
      <w:pPr>
        <w:numPr>
          <w:ilvl w:val="0"/>
          <w:numId w:val="1"/>
        </w:numPr>
        <w:spacing w:after="0"/>
        <w:ind w:left="1134"/>
        <w:rPr>
          <w:rFonts w:eastAsia="Times New Roman"/>
          <w:bCs/>
          <w:color w:val="auto"/>
          <w:szCs w:val="24"/>
        </w:rPr>
      </w:pPr>
      <w:r w:rsidRPr="006718BA">
        <w:rPr>
          <w:rFonts w:eastAsia="Times New Roman"/>
          <w:bCs/>
          <w:color w:val="auto"/>
          <w:szCs w:val="24"/>
        </w:rPr>
        <w:t>For the WDES the extent to which disabled staff feel reasonable adjustments are made</w:t>
      </w:r>
    </w:p>
    <w:p w14:paraId="5FAE9FBE" w14:textId="77777777" w:rsidR="00955A3C" w:rsidRPr="006718BA" w:rsidRDefault="00955A3C" w:rsidP="00604AF1">
      <w:pPr>
        <w:numPr>
          <w:ilvl w:val="0"/>
          <w:numId w:val="1"/>
        </w:numPr>
        <w:spacing w:after="0"/>
        <w:ind w:left="1134"/>
        <w:rPr>
          <w:rFonts w:eastAsia="Times New Roman"/>
          <w:bCs/>
          <w:color w:val="auto"/>
          <w:szCs w:val="24"/>
        </w:rPr>
      </w:pPr>
      <w:r w:rsidRPr="006718BA">
        <w:rPr>
          <w:rFonts w:eastAsia="Times New Roman"/>
          <w:bCs/>
          <w:color w:val="auto"/>
          <w:szCs w:val="24"/>
        </w:rPr>
        <w:t>Board representation</w:t>
      </w:r>
      <w:r w:rsidR="00C75C77" w:rsidRPr="006718BA">
        <w:rPr>
          <w:rFonts w:eastAsia="Times New Roman"/>
          <w:bCs/>
          <w:color w:val="auto"/>
          <w:szCs w:val="24"/>
        </w:rPr>
        <w:t>.</w:t>
      </w:r>
    </w:p>
    <w:p w14:paraId="4933267F" w14:textId="77777777" w:rsidR="00604AF1" w:rsidRPr="006718BA" w:rsidRDefault="00604AF1" w:rsidP="00604AF1">
      <w:pPr>
        <w:spacing w:after="0"/>
        <w:ind w:left="720" w:hanging="720"/>
        <w:rPr>
          <w:rFonts w:eastAsia="Times New Roman"/>
          <w:bCs/>
          <w:color w:val="auto"/>
          <w:szCs w:val="24"/>
        </w:rPr>
      </w:pPr>
    </w:p>
    <w:p w14:paraId="4A58B43F" w14:textId="48217D63" w:rsidR="00863EF6" w:rsidRPr="006718BA" w:rsidRDefault="00863EF6" w:rsidP="0010393E">
      <w:pPr>
        <w:spacing w:after="0"/>
        <w:rPr>
          <w:rFonts w:eastAsia="Times New Roman"/>
          <w:bCs/>
          <w:color w:val="auto"/>
          <w:szCs w:val="24"/>
        </w:rPr>
      </w:pPr>
      <w:r w:rsidRPr="006718BA">
        <w:rPr>
          <w:rFonts w:eastAsia="Times New Roman"/>
          <w:bCs/>
          <w:color w:val="auto"/>
          <w:szCs w:val="24"/>
        </w:rPr>
        <w:t xml:space="preserve">Both </w:t>
      </w:r>
      <w:r w:rsidR="00FD7B0B" w:rsidRPr="006718BA">
        <w:rPr>
          <w:rFonts w:eastAsia="Times New Roman"/>
          <w:bCs/>
          <w:color w:val="auto"/>
          <w:szCs w:val="24"/>
        </w:rPr>
        <w:t xml:space="preserve">sets of indicators </w:t>
      </w:r>
      <w:r w:rsidRPr="006718BA">
        <w:rPr>
          <w:rFonts w:eastAsia="Times New Roman"/>
          <w:bCs/>
          <w:color w:val="auto"/>
          <w:szCs w:val="24"/>
        </w:rPr>
        <w:t xml:space="preserve">highlight any differences between the experience and treatment of BME and disabled staff and candidates in the </w:t>
      </w:r>
      <w:r w:rsidR="00D555F9" w:rsidRPr="006718BA">
        <w:rPr>
          <w:rFonts w:eastAsia="Times New Roman"/>
          <w:bCs/>
          <w:color w:val="auto"/>
          <w:szCs w:val="24"/>
        </w:rPr>
        <w:t>ICB</w:t>
      </w:r>
      <w:r w:rsidRPr="006718BA">
        <w:rPr>
          <w:rFonts w:eastAsia="Times New Roman"/>
          <w:bCs/>
          <w:color w:val="auto"/>
          <w:szCs w:val="24"/>
        </w:rPr>
        <w:t>, with a view to closing those gaps through the development and implementation of action plans focused upon continuous improvement over time</w:t>
      </w:r>
      <w:r w:rsidR="00B57DC7" w:rsidRPr="006718BA">
        <w:rPr>
          <w:rFonts w:eastAsia="Times New Roman"/>
          <w:bCs/>
          <w:color w:val="auto"/>
          <w:szCs w:val="24"/>
        </w:rPr>
        <w:t>.</w:t>
      </w:r>
    </w:p>
    <w:p w14:paraId="2AA8B152" w14:textId="77777777" w:rsidR="00E24F65" w:rsidRPr="006718BA" w:rsidRDefault="00E24F65" w:rsidP="0010393E">
      <w:pPr>
        <w:spacing w:after="0"/>
        <w:rPr>
          <w:rFonts w:eastAsia="Times New Roman"/>
          <w:bCs/>
          <w:color w:val="auto"/>
          <w:szCs w:val="24"/>
        </w:rPr>
      </w:pPr>
    </w:p>
    <w:p w14:paraId="672768A5" w14:textId="77777777" w:rsidR="00E24F65" w:rsidRPr="006718BA" w:rsidRDefault="00E24F65" w:rsidP="00E24F65">
      <w:pPr>
        <w:spacing w:after="0"/>
        <w:rPr>
          <w:szCs w:val="24"/>
        </w:rPr>
      </w:pPr>
      <w:r w:rsidRPr="006718BA">
        <w:rPr>
          <w:szCs w:val="24"/>
        </w:rPr>
        <w:t xml:space="preserve">The ICB will need to </w:t>
      </w:r>
      <w:proofErr w:type="gramStart"/>
      <w:r w:rsidRPr="006718BA">
        <w:rPr>
          <w:szCs w:val="24"/>
        </w:rPr>
        <w:t>give consideration to</w:t>
      </w:r>
      <w:proofErr w:type="gramEnd"/>
      <w:r w:rsidRPr="006718BA">
        <w:rPr>
          <w:szCs w:val="24"/>
        </w:rPr>
        <w:t xml:space="preserve"> how such data is published and what conclusions are drawn due to the small numbers of staff which could breach data protection. The number of staff reporting as BME or Disabled on ESR in some instances would be so small (5 or less) that the ICB believes it would be possible to identify individuals as a result of publication, therefore this information would be redacted prior to wider circulation.</w:t>
      </w:r>
    </w:p>
    <w:p w14:paraId="4807B41F" w14:textId="77777777" w:rsidR="00604AF1" w:rsidRPr="006718BA" w:rsidRDefault="00604AF1" w:rsidP="00E24F65">
      <w:pPr>
        <w:spacing w:after="0"/>
        <w:rPr>
          <w:rFonts w:eastAsia="Times New Roman"/>
          <w:bCs/>
          <w:color w:val="auto"/>
          <w:szCs w:val="24"/>
        </w:rPr>
      </w:pPr>
    </w:p>
    <w:p w14:paraId="45739C00" w14:textId="5F93A7BB" w:rsidR="00F52381" w:rsidRPr="006718BA" w:rsidRDefault="00F52381" w:rsidP="00C056C9">
      <w:pPr>
        <w:pStyle w:val="Heading2"/>
        <w:numPr>
          <w:ilvl w:val="0"/>
          <w:numId w:val="16"/>
        </w:numPr>
        <w:rPr>
          <w:rFonts w:eastAsia="Times New Roman" w:cs="Arial"/>
          <w:sz w:val="24"/>
          <w:szCs w:val="24"/>
        </w:rPr>
      </w:pPr>
      <w:r w:rsidRPr="006718BA">
        <w:rPr>
          <w:rFonts w:eastAsia="Times New Roman" w:cs="Arial"/>
          <w:sz w:val="24"/>
          <w:szCs w:val="24"/>
        </w:rPr>
        <w:t>G</w:t>
      </w:r>
      <w:r w:rsidR="008C144A" w:rsidRPr="006718BA">
        <w:rPr>
          <w:rFonts w:eastAsia="Times New Roman" w:cs="Arial"/>
          <w:sz w:val="24"/>
          <w:szCs w:val="24"/>
        </w:rPr>
        <w:t>ENDER</w:t>
      </w:r>
      <w:r w:rsidRPr="006718BA">
        <w:rPr>
          <w:rFonts w:eastAsia="Times New Roman" w:cs="Arial"/>
          <w:sz w:val="24"/>
          <w:szCs w:val="24"/>
        </w:rPr>
        <w:t xml:space="preserve"> P</w:t>
      </w:r>
      <w:r w:rsidR="008C144A" w:rsidRPr="006718BA">
        <w:rPr>
          <w:rFonts w:eastAsia="Times New Roman" w:cs="Arial"/>
          <w:sz w:val="24"/>
          <w:szCs w:val="24"/>
        </w:rPr>
        <w:t>AY</w:t>
      </w:r>
      <w:r w:rsidRPr="006718BA">
        <w:rPr>
          <w:rFonts w:eastAsia="Times New Roman" w:cs="Arial"/>
          <w:sz w:val="24"/>
          <w:szCs w:val="24"/>
        </w:rPr>
        <w:t xml:space="preserve"> G</w:t>
      </w:r>
      <w:r w:rsidR="008C144A" w:rsidRPr="006718BA">
        <w:rPr>
          <w:rFonts w:eastAsia="Times New Roman" w:cs="Arial"/>
          <w:sz w:val="24"/>
          <w:szCs w:val="24"/>
        </w:rPr>
        <w:t>AP</w:t>
      </w:r>
      <w:r w:rsidRPr="006718BA">
        <w:rPr>
          <w:rFonts w:eastAsia="Times New Roman" w:cs="Arial"/>
          <w:sz w:val="24"/>
          <w:szCs w:val="24"/>
        </w:rPr>
        <w:t xml:space="preserve"> </w:t>
      </w:r>
    </w:p>
    <w:p w14:paraId="5570CC72" w14:textId="77777777" w:rsidR="00F52381" w:rsidRPr="006718BA" w:rsidRDefault="00F52381" w:rsidP="0010393E">
      <w:pPr>
        <w:spacing w:after="0"/>
        <w:rPr>
          <w:rFonts w:eastAsia="Times New Roman"/>
          <w:bCs/>
          <w:color w:val="auto"/>
          <w:szCs w:val="24"/>
        </w:rPr>
      </w:pPr>
    </w:p>
    <w:p w14:paraId="64EA0165" w14:textId="17F12272" w:rsidR="00F60C79" w:rsidRPr="006718BA" w:rsidRDefault="00F52381" w:rsidP="0010393E">
      <w:pPr>
        <w:spacing w:after="0"/>
        <w:rPr>
          <w:szCs w:val="24"/>
        </w:rPr>
      </w:pPr>
      <w:r w:rsidRPr="006718BA">
        <w:rPr>
          <w:szCs w:val="24"/>
        </w:rPr>
        <w:t xml:space="preserve">Gender Pay Gap legislation requires all </w:t>
      </w:r>
      <w:r w:rsidR="009F009F">
        <w:rPr>
          <w:szCs w:val="24"/>
        </w:rPr>
        <w:t xml:space="preserve">NHS organisations </w:t>
      </w:r>
      <w:r w:rsidR="007E2053">
        <w:rPr>
          <w:szCs w:val="24"/>
        </w:rPr>
        <w:t xml:space="preserve">with </w:t>
      </w:r>
      <w:r w:rsidRPr="006718BA">
        <w:rPr>
          <w:szCs w:val="24"/>
        </w:rPr>
        <w:t xml:space="preserve">250 or more employees </w:t>
      </w:r>
      <w:r w:rsidR="007E2053">
        <w:rPr>
          <w:szCs w:val="24"/>
        </w:rPr>
        <w:t xml:space="preserve">on </w:t>
      </w:r>
      <w:r w:rsidR="009F009F">
        <w:rPr>
          <w:szCs w:val="24"/>
        </w:rPr>
        <w:t>the '</w:t>
      </w:r>
      <w:proofErr w:type="gramStart"/>
      <w:r w:rsidR="009F009F">
        <w:rPr>
          <w:szCs w:val="24"/>
        </w:rPr>
        <w:t>snap shot</w:t>
      </w:r>
      <w:proofErr w:type="gramEnd"/>
      <w:r w:rsidR="009F009F">
        <w:rPr>
          <w:szCs w:val="24"/>
        </w:rPr>
        <w:t xml:space="preserve"> date' (the </w:t>
      </w:r>
      <w:r w:rsidRPr="006718BA">
        <w:rPr>
          <w:szCs w:val="24"/>
        </w:rPr>
        <w:t>31</w:t>
      </w:r>
      <w:r w:rsidRPr="006718BA">
        <w:rPr>
          <w:szCs w:val="24"/>
          <w:vertAlign w:val="superscript"/>
        </w:rPr>
        <w:t>st</w:t>
      </w:r>
      <w:r w:rsidRPr="006718BA">
        <w:rPr>
          <w:szCs w:val="24"/>
        </w:rPr>
        <w:t xml:space="preserve"> March each year</w:t>
      </w:r>
      <w:r w:rsidR="009F009F">
        <w:rPr>
          <w:szCs w:val="24"/>
        </w:rPr>
        <w:t>) to report and publish gender pay gap information within a year of the snapshot date</w:t>
      </w:r>
      <w:r w:rsidRPr="006718BA">
        <w:rPr>
          <w:szCs w:val="24"/>
        </w:rPr>
        <w:t xml:space="preserve">. This forms part of the organisation's public sector equality duty under the Equality Act 2010. The Equality and Human Rights Commission has the power to enforce any failure to comply with the regulations. </w:t>
      </w:r>
    </w:p>
    <w:p w14:paraId="650B3AFC" w14:textId="77777777" w:rsidR="00E24F65" w:rsidRPr="006718BA" w:rsidRDefault="00E24F65" w:rsidP="00803857">
      <w:pPr>
        <w:spacing w:after="0"/>
        <w:rPr>
          <w:rFonts w:eastAsia="Times New Roman"/>
          <w:bCs/>
          <w:color w:val="auto"/>
          <w:szCs w:val="24"/>
        </w:rPr>
      </w:pPr>
    </w:p>
    <w:p w14:paraId="0613F843" w14:textId="7A4FE385" w:rsidR="00803857" w:rsidRPr="006718BA" w:rsidRDefault="00803857" w:rsidP="00803857">
      <w:pPr>
        <w:spacing w:after="0"/>
        <w:rPr>
          <w:rFonts w:eastAsia="Times New Roman"/>
          <w:bCs/>
          <w:color w:val="auto"/>
          <w:szCs w:val="24"/>
        </w:rPr>
      </w:pPr>
      <w:r w:rsidRPr="006718BA">
        <w:rPr>
          <w:rFonts w:eastAsia="Times New Roman"/>
          <w:bCs/>
          <w:color w:val="auto"/>
          <w:szCs w:val="24"/>
        </w:rPr>
        <w:t xml:space="preserve">An action plan to address issues highlighted by the data gathered for the WRES, WDES and Gender Pay Gap Report is </w:t>
      </w:r>
      <w:proofErr w:type="gramStart"/>
      <w:r w:rsidRPr="006718BA">
        <w:rPr>
          <w:rFonts w:eastAsia="Times New Roman"/>
          <w:bCs/>
          <w:color w:val="auto"/>
          <w:szCs w:val="24"/>
        </w:rPr>
        <w:t>required</w:t>
      </w:r>
      <w:proofErr w:type="gramEnd"/>
      <w:r w:rsidRPr="006718BA">
        <w:rPr>
          <w:rFonts w:eastAsia="Times New Roman"/>
          <w:bCs/>
          <w:color w:val="auto"/>
          <w:szCs w:val="24"/>
        </w:rPr>
        <w:t xml:space="preserve"> and this is given at Appendix 1 as part of the combined Equality and Diversity Action Plan</w:t>
      </w:r>
      <w:r w:rsidR="004C1F76" w:rsidRPr="006718BA">
        <w:rPr>
          <w:rFonts w:eastAsia="Times New Roman"/>
          <w:bCs/>
          <w:color w:val="auto"/>
          <w:szCs w:val="24"/>
        </w:rPr>
        <w:t>.</w:t>
      </w:r>
    </w:p>
    <w:p w14:paraId="77AA9192" w14:textId="77777777" w:rsidR="004C1F76" w:rsidRPr="006718BA" w:rsidRDefault="004C1F76" w:rsidP="00803857">
      <w:pPr>
        <w:spacing w:after="0"/>
        <w:rPr>
          <w:rFonts w:eastAsia="Times New Roman"/>
          <w:bCs/>
          <w:color w:val="auto"/>
          <w:szCs w:val="24"/>
        </w:rPr>
      </w:pPr>
    </w:p>
    <w:p w14:paraId="0F024389" w14:textId="1189AD3E" w:rsidR="00481EC7" w:rsidRPr="006718BA" w:rsidRDefault="00803857" w:rsidP="00803857">
      <w:pPr>
        <w:pStyle w:val="Heading1"/>
        <w:numPr>
          <w:ilvl w:val="0"/>
          <w:numId w:val="0"/>
        </w:numPr>
        <w:rPr>
          <w:rFonts w:cs="Arial"/>
          <w:sz w:val="24"/>
          <w:szCs w:val="24"/>
        </w:rPr>
      </w:pPr>
      <w:r w:rsidRPr="006718BA">
        <w:rPr>
          <w:rFonts w:cs="Arial"/>
          <w:sz w:val="24"/>
          <w:szCs w:val="24"/>
        </w:rPr>
        <w:t xml:space="preserve">4.0 </w:t>
      </w:r>
      <w:r w:rsidR="001422EE" w:rsidRPr="006718BA">
        <w:rPr>
          <w:rFonts w:cs="Arial"/>
          <w:sz w:val="24"/>
          <w:szCs w:val="24"/>
        </w:rPr>
        <w:t xml:space="preserve">WRES </w:t>
      </w:r>
      <w:r w:rsidR="00452587" w:rsidRPr="006718BA">
        <w:rPr>
          <w:rFonts w:cs="Arial"/>
          <w:sz w:val="24"/>
          <w:szCs w:val="24"/>
        </w:rPr>
        <w:t>REPORTING</w:t>
      </w:r>
    </w:p>
    <w:p w14:paraId="64E58B20" w14:textId="77777777" w:rsidR="00C466D5" w:rsidRPr="006718BA" w:rsidRDefault="00C466D5" w:rsidP="00604AF1">
      <w:pPr>
        <w:spacing w:after="0"/>
        <w:ind w:left="720" w:hanging="720"/>
        <w:rPr>
          <w:rFonts w:eastAsia="Times New Roman"/>
          <w:bCs/>
          <w:color w:val="auto"/>
          <w:szCs w:val="24"/>
        </w:rPr>
      </w:pPr>
    </w:p>
    <w:p w14:paraId="3D60506C" w14:textId="648CC484" w:rsidR="007961CF" w:rsidRPr="006718BA" w:rsidRDefault="001422EE" w:rsidP="0010393E">
      <w:pPr>
        <w:spacing w:after="0"/>
        <w:rPr>
          <w:szCs w:val="24"/>
        </w:rPr>
      </w:pPr>
      <w:r w:rsidRPr="006718BA">
        <w:rPr>
          <w:szCs w:val="24"/>
        </w:rPr>
        <w:t xml:space="preserve">There are nine WRES indicators. Four of the indicators focus on workforce data, four are based on data from the national NHS Staff Survey questions and one indicator focuses upon BME representation on Boards. The WRES highlights any differences between the experience and treatment of white staff and BME staff in the </w:t>
      </w:r>
      <w:r w:rsidR="00D555F9" w:rsidRPr="006718BA">
        <w:rPr>
          <w:szCs w:val="24"/>
        </w:rPr>
        <w:t>ICB</w:t>
      </w:r>
      <w:r w:rsidRPr="006718BA">
        <w:rPr>
          <w:szCs w:val="24"/>
        </w:rPr>
        <w:t xml:space="preserve"> with a view to closing those gaps through the development and implementation of action plans focused upon continuous improvement over time.</w:t>
      </w:r>
      <w:r w:rsidR="00F93468" w:rsidRPr="006718BA">
        <w:rPr>
          <w:szCs w:val="24"/>
        </w:rPr>
        <w:t xml:space="preserve">  </w:t>
      </w:r>
    </w:p>
    <w:p w14:paraId="3C98A27E" w14:textId="77777777" w:rsidR="007961CF" w:rsidRPr="006718BA" w:rsidRDefault="007961CF" w:rsidP="0010393E">
      <w:pPr>
        <w:spacing w:after="0"/>
        <w:rPr>
          <w:szCs w:val="24"/>
        </w:rPr>
      </w:pPr>
    </w:p>
    <w:p w14:paraId="4E439B87" w14:textId="12A0F740" w:rsidR="0090591F" w:rsidRDefault="0090591F" w:rsidP="0010393E">
      <w:pPr>
        <w:pStyle w:val="NormalWeb"/>
        <w:spacing w:before="0" w:beforeAutospacing="0" w:after="0" w:afterAutospacing="0"/>
        <w:rPr>
          <w:rFonts w:ascii="Arial" w:hAnsi="Arial" w:cs="Arial"/>
        </w:rPr>
      </w:pPr>
      <w:r w:rsidRPr="006718BA">
        <w:rPr>
          <w:rFonts w:ascii="Arial" w:hAnsi="Arial" w:cs="Arial"/>
        </w:rPr>
        <w:t xml:space="preserve">The WRES defines BME based on ethnic categories defined Office of National Statistics (ONS) and used in the 2011 Census. BME excludes A, B, C and Z in the table below. </w:t>
      </w:r>
      <w:r w:rsidRPr="006718BA">
        <w:rPr>
          <w:rFonts w:ascii="Arial" w:hAnsi="Arial" w:cs="Arial"/>
        </w:rPr>
        <w:lastRenderedPageBreak/>
        <w:t>The category C ‘Any other white background’ contains minority groups including white European.</w:t>
      </w:r>
    </w:p>
    <w:p w14:paraId="1B28FC92" w14:textId="77777777" w:rsidR="006718BA" w:rsidRPr="006718BA" w:rsidRDefault="006718BA" w:rsidP="0010393E">
      <w:pPr>
        <w:pStyle w:val="NormalWeb"/>
        <w:spacing w:before="0" w:beforeAutospacing="0" w:after="0" w:afterAutospacing="0"/>
        <w:rPr>
          <w:rFonts w:ascii="Arial" w:hAnsi="Arial" w:cs="Arial"/>
        </w:rPr>
      </w:pPr>
    </w:p>
    <w:p w14:paraId="12B278B7" w14:textId="77777777" w:rsidR="0090591F" w:rsidRPr="006718BA" w:rsidRDefault="0090591F" w:rsidP="0090591F">
      <w:pPr>
        <w:pStyle w:val="NormalWeb"/>
        <w:spacing w:before="0" w:beforeAutospacing="0" w:after="0" w:afterAutospacing="0"/>
        <w:ind w:left="720" w:hanging="720"/>
        <w:rPr>
          <w:rFonts w:ascii="Arial" w:hAnsi="Arial" w:cs="Arial"/>
        </w:rPr>
      </w:pPr>
    </w:p>
    <w:tbl>
      <w:tblPr>
        <w:tblStyle w:val="TableGrid"/>
        <w:tblW w:w="0" w:type="auto"/>
        <w:jc w:val="center"/>
        <w:tblLook w:val="04A0" w:firstRow="1" w:lastRow="0" w:firstColumn="1" w:lastColumn="0" w:noHBand="0" w:noVBand="1"/>
      </w:tblPr>
      <w:tblGrid>
        <w:gridCol w:w="6629"/>
      </w:tblGrid>
      <w:tr w:rsidR="0090591F" w:rsidRPr="006718BA" w14:paraId="67B7D0EC" w14:textId="77777777" w:rsidTr="00C601B2">
        <w:trPr>
          <w:jc w:val="center"/>
        </w:trPr>
        <w:tc>
          <w:tcPr>
            <w:tcW w:w="6629" w:type="dxa"/>
          </w:tcPr>
          <w:p w14:paraId="63CDC2D2"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A – White -British </w:t>
            </w:r>
          </w:p>
        </w:tc>
      </w:tr>
      <w:tr w:rsidR="0090591F" w:rsidRPr="006718BA" w14:paraId="7A11A8C9" w14:textId="77777777" w:rsidTr="00C601B2">
        <w:trPr>
          <w:jc w:val="center"/>
        </w:trPr>
        <w:tc>
          <w:tcPr>
            <w:tcW w:w="6629" w:type="dxa"/>
          </w:tcPr>
          <w:p w14:paraId="11D6D763"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B – White -Irish </w:t>
            </w:r>
          </w:p>
        </w:tc>
      </w:tr>
      <w:tr w:rsidR="0090591F" w:rsidRPr="006718BA" w14:paraId="15591442" w14:textId="77777777" w:rsidTr="00C601B2">
        <w:trPr>
          <w:jc w:val="center"/>
        </w:trPr>
        <w:tc>
          <w:tcPr>
            <w:tcW w:w="6629" w:type="dxa"/>
          </w:tcPr>
          <w:p w14:paraId="12850D3A"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C – Any other white background </w:t>
            </w:r>
          </w:p>
        </w:tc>
      </w:tr>
      <w:tr w:rsidR="0090591F" w:rsidRPr="006718BA" w14:paraId="40F5D15B" w14:textId="77777777" w:rsidTr="00C601B2">
        <w:trPr>
          <w:jc w:val="center"/>
        </w:trPr>
        <w:tc>
          <w:tcPr>
            <w:tcW w:w="6629" w:type="dxa"/>
          </w:tcPr>
          <w:p w14:paraId="156AE592"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D – Mixed White and Black Caribbean </w:t>
            </w:r>
          </w:p>
        </w:tc>
      </w:tr>
      <w:tr w:rsidR="0090591F" w:rsidRPr="006718BA" w14:paraId="4A90703D" w14:textId="77777777" w:rsidTr="00C601B2">
        <w:trPr>
          <w:jc w:val="center"/>
        </w:trPr>
        <w:tc>
          <w:tcPr>
            <w:tcW w:w="6629" w:type="dxa"/>
          </w:tcPr>
          <w:p w14:paraId="316D5631"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E – Mixed White and Black African </w:t>
            </w:r>
          </w:p>
        </w:tc>
      </w:tr>
      <w:tr w:rsidR="0090591F" w:rsidRPr="006718BA" w14:paraId="753797C3" w14:textId="77777777" w:rsidTr="00C601B2">
        <w:trPr>
          <w:jc w:val="center"/>
        </w:trPr>
        <w:tc>
          <w:tcPr>
            <w:tcW w:w="6629" w:type="dxa"/>
          </w:tcPr>
          <w:p w14:paraId="222EB738"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F – Mixed White and Asian </w:t>
            </w:r>
          </w:p>
        </w:tc>
      </w:tr>
      <w:tr w:rsidR="0090591F" w:rsidRPr="006718BA" w14:paraId="78B12A8A" w14:textId="77777777" w:rsidTr="00C601B2">
        <w:trPr>
          <w:jc w:val="center"/>
        </w:trPr>
        <w:tc>
          <w:tcPr>
            <w:tcW w:w="6629" w:type="dxa"/>
          </w:tcPr>
          <w:p w14:paraId="70C60B6C"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G – Any other mixed background </w:t>
            </w:r>
          </w:p>
        </w:tc>
      </w:tr>
      <w:tr w:rsidR="0090591F" w:rsidRPr="006718BA" w14:paraId="57801071" w14:textId="77777777" w:rsidTr="00C601B2">
        <w:trPr>
          <w:jc w:val="center"/>
        </w:trPr>
        <w:tc>
          <w:tcPr>
            <w:tcW w:w="6629" w:type="dxa"/>
          </w:tcPr>
          <w:p w14:paraId="3FB9D729"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H – Asian or Asian British -Indian </w:t>
            </w:r>
          </w:p>
        </w:tc>
      </w:tr>
      <w:tr w:rsidR="0090591F" w:rsidRPr="006718BA" w14:paraId="1191430B" w14:textId="77777777" w:rsidTr="00C601B2">
        <w:trPr>
          <w:jc w:val="center"/>
        </w:trPr>
        <w:tc>
          <w:tcPr>
            <w:tcW w:w="6629" w:type="dxa"/>
          </w:tcPr>
          <w:p w14:paraId="6703A301"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J – Asian or Asian British -Pakistani </w:t>
            </w:r>
          </w:p>
        </w:tc>
      </w:tr>
      <w:tr w:rsidR="0090591F" w:rsidRPr="006718BA" w14:paraId="19DBA36E" w14:textId="77777777" w:rsidTr="00C601B2">
        <w:trPr>
          <w:jc w:val="center"/>
        </w:trPr>
        <w:tc>
          <w:tcPr>
            <w:tcW w:w="6629" w:type="dxa"/>
          </w:tcPr>
          <w:p w14:paraId="0CC5C322"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K – Asian or Asian British - Bangladeshi </w:t>
            </w:r>
          </w:p>
        </w:tc>
      </w:tr>
      <w:tr w:rsidR="0090591F" w:rsidRPr="006718BA" w14:paraId="5CDD3873" w14:textId="77777777" w:rsidTr="00C601B2">
        <w:trPr>
          <w:jc w:val="center"/>
        </w:trPr>
        <w:tc>
          <w:tcPr>
            <w:tcW w:w="6629" w:type="dxa"/>
          </w:tcPr>
          <w:p w14:paraId="1A196FA8"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L – Any other Asian background </w:t>
            </w:r>
          </w:p>
        </w:tc>
      </w:tr>
      <w:tr w:rsidR="0090591F" w:rsidRPr="006718BA" w14:paraId="74AE44BA" w14:textId="77777777" w:rsidTr="00C601B2">
        <w:trPr>
          <w:jc w:val="center"/>
        </w:trPr>
        <w:tc>
          <w:tcPr>
            <w:tcW w:w="6629" w:type="dxa"/>
          </w:tcPr>
          <w:p w14:paraId="2DCB8B5D"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M – Black or Black British -Caribbean </w:t>
            </w:r>
          </w:p>
        </w:tc>
      </w:tr>
      <w:tr w:rsidR="0090591F" w:rsidRPr="006718BA" w14:paraId="075C3057" w14:textId="77777777" w:rsidTr="00C601B2">
        <w:trPr>
          <w:jc w:val="center"/>
        </w:trPr>
        <w:tc>
          <w:tcPr>
            <w:tcW w:w="6629" w:type="dxa"/>
          </w:tcPr>
          <w:p w14:paraId="5C8F7A85"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N – Black or Black British -African </w:t>
            </w:r>
          </w:p>
        </w:tc>
      </w:tr>
      <w:tr w:rsidR="0090591F" w:rsidRPr="006718BA" w14:paraId="69B70DEA" w14:textId="77777777" w:rsidTr="00C601B2">
        <w:trPr>
          <w:jc w:val="center"/>
        </w:trPr>
        <w:tc>
          <w:tcPr>
            <w:tcW w:w="6629" w:type="dxa"/>
          </w:tcPr>
          <w:p w14:paraId="76B71BEB"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P – Any other Black background </w:t>
            </w:r>
          </w:p>
        </w:tc>
      </w:tr>
      <w:tr w:rsidR="0090591F" w:rsidRPr="006718BA" w14:paraId="7407A672" w14:textId="77777777" w:rsidTr="00C601B2">
        <w:trPr>
          <w:jc w:val="center"/>
        </w:trPr>
        <w:tc>
          <w:tcPr>
            <w:tcW w:w="6629" w:type="dxa"/>
          </w:tcPr>
          <w:p w14:paraId="2E9DBA7A"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R – Chinese </w:t>
            </w:r>
          </w:p>
        </w:tc>
      </w:tr>
      <w:tr w:rsidR="0090591F" w:rsidRPr="006718BA" w14:paraId="03249427" w14:textId="77777777" w:rsidTr="00C601B2">
        <w:trPr>
          <w:jc w:val="center"/>
        </w:trPr>
        <w:tc>
          <w:tcPr>
            <w:tcW w:w="6629" w:type="dxa"/>
          </w:tcPr>
          <w:p w14:paraId="6489523B"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S – Any other ethnic group </w:t>
            </w:r>
          </w:p>
        </w:tc>
      </w:tr>
      <w:tr w:rsidR="0090591F" w:rsidRPr="006718BA" w14:paraId="1707588A" w14:textId="77777777" w:rsidTr="00C601B2">
        <w:trPr>
          <w:jc w:val="center"/>
        </w:trPr>
        <w:tc>
          <w:tcPr>
            <w:tcW w:w="6629" w:type="dxa"/>
          </w:tcPr>
          <w:p w14:paraId="2D54532B" w14:textId="77777777" w:rsidR="0090591F" w:rsidRPr="006718BA" w:rsidRDefault="0090591F" w:rsidP="00C601B2">
            <w:pPr>
              <w:pStyle w:val="NormalWeb"/>
              <w:spacing w:before="0" w:beforeAutospacing="0" w:after="0" w:afterAutospacing="0"/>
              <w:rPr>
                <w:rFonts w:ascii="Arial" w:hAnsi="Arial" w:cs="Arial"/>
              </w:rPr>
            </w:pPr>
            <w:r w:rsidRPr="006718BA">
              <w:rPr>
                <w:rFonts w:ascii="Arial" w:hAnsi="Arial" w:cs="Arial"/>
              </w:rPr>
              <w:t xml:space="preserve">Z – not stated </w:t>
            </w:r>
          </w:p>
        </w:tc>
      </w:tr>
    </w:tbl>
    <w:p w14:paraId="5C8AC8F8" w14:textId="77777777" w:rsidR="00953BDC" w:rsidRPr="006718BA" w:rsidRDefault="00953BDC" w:rsidP="0010393E">
      <w:pPr>
        <w:pStyle w:val="NormalWeb"/>
        <w:spacing w:before="0" w:beforeAutospacing="0" w:after="0" w:afterAutospacing="0"/>
        <w:rPr>
          <w:rFonts w:ascii="Arial" w:hAnsi="Arial" w:cs="Arial"/>
        </w:rPr>
      </w:pPr>
    </w:p>
    <w:p w14:paraId="0D619249" w14:textId="23159576" w:rsidR="00957364" w:rsidRPr="006718BA" w:rsidRDefault="00803857" w:rsidP="00803857">
      <w:pPr>
        <w:pStyle w:val="Heading2"/>
        <w:numPr>
          <w:ilvl w:val="0"/>
          <w:numId w:val="0"/>
        </w:numPr>
        <w:rPr>
          <w:rFonts w:cs="Arial"/>
          <w:sz w:val="24"/>
          <w:szCs w:val="24"/>
        </w:rPr>
      </w:pPr>
      <w:r w:rsidRPr="006718BA">
        <w:rPr>
          <w:rFonts w:cs="Arial"/>
          <w:sz w:val="24"/>
          <w:szCs w:val="24"/>
        </w:rPr>
        <w:t xml:space="preserve">4.1 </w:t>
      </w:r>
      <w:r w:rsidR="00FB2CFE" w:rsidRPr="006718BA">
        <w:rPr>
          <w:rFonts w:cs="Arial"/>
          <w:sz w:val="24"/>
          <w:szCs w:val="24"/>
        </w:rPr>
        <w:t xml:space="preserve">WRES REPORT </w:t>
      </w:r>
      <w:r w:rsidR="00970410" w:rsidRPr="006718BA">
        <w:rPr>
          <w:rFonts w:cs="Arial"/>
          <w:sz w:val="24"/>
          <w:szCs w:val="24"/>
        </w:rPr>
        <w:t xml:space="preserve">IN FULL </w:t>
      </w:r>
    </w:p>
    <w:p w14:paraId="7335AF0B" w14:textId="77777777" w:rsidR="00957364" w:rsidRPr="006718BA" w:rsidRDefault="00957364" w:rsidP="00957364">
      <w:pPr>
        <w:rPr>
          <w:b/>
          <w:szCs w:val="24"/>
        </w:rPr>
      </w:pPr>
      <w:r w:rsidRPr="006718BA">
        <w:rPr>
          <w:b/>
          <w:szCs w:val="24"/>
        </w:rPr>
        <w:t>General</w:t>
      </w:r>
    </w:p>
    <w:tbl>
      <w:tblPr>
        <w:tblStyle w:val="TableGrid"/>
        <w:tblW w:w="0" w:type="auto"/>
        <w:tblLook w:val="04A0" w:firstRow="1" w:lastRow="0" w:firstColumn="1" w:lastColumn="0" w:noHBand="0" w:noVBand="1"/>
      </w:tblPr>
      <w:tblGrid>
        <w:gridCol w:w="4530"/>
        <w:gridCol w:w="4486"/>
      </w:tblGrid>
      <w:tr w:rsidR="00957364" w:rsidRPr="006718BA" w14:paraId="580560A9" w14:textId="77777777" w:rsidTr="00B213EE">
        <w:tc>
          <w:tcPr>
            <w:tcW w:w="9016" w:type="dxa"/>
            <w:gridSpan w:val="2"/>
          </w:tcPr>
          <w:p w14:paraId="4C579BEB" w14:textId="7BCAE8C5" w:rsidR="00957364" w:rsidRPr="006718BA" w:rsidRDefault="00957364" w:rsidP="00B213EE">
            <w:pPr>
              <w:rPr>
                <w:szCs w:val="24"/>
              </w:rPr>
            </w:pPr>
            <w:r w:rsidRPr="006718BA">
              <w:rPr>
                <w:szCs w:val="24"/>
              </w:rPr>
              <w:t xml:space="preserve">Total number of </w:t>
            </w:r>
            <w:proofErr w:type="gramStart"/>
            <w:r w:rsidRPr="006718BA">
              <w:rPr>
                <w:szCs w:val="24"/>
              </w:rPr>
              <w:t>workforce</w:t>
            </w:r>
            <w:proofErr w:type="gramEnd"/>
            <w:r w:rsidRPr="006718BA">
              <w:rPr>
                <w:szCs w:val="24"/>
              </w:rPr>
              <w:t xml:space="preserve"> on 31 March 202</w:t>
            </w:r>
            <w:r w:rsidR="00DD67FF" w:rsidRPr="006718BA">
              <w:rPr>
                <w:szCs w:val="24"/>
              </w:rPr>
              <w:t>4</w:t>
            </w:r>
            <w:r w:rsidRPr="006718BA">
              <w:rPr>
                <w:szCs w:val="24"/>
              </w:rPr>
              <w:t xml:space="preserve"> with Overall workforce: Does not include bank and locum staff, staff in post who are on long-term secondment from an external organisation, or sabbatical, students on placement and staff employed by contractors</w:t>
            </w:r>
          </w:p>
        </w:tc>
      </w:tr>
      <w:tr w:rsidR="00957364" w:rsidRPr="006718BA" w14:paraId="7FF2A0FF" w14:textId="77777777" w:rsidTr="00B213EE">
        <w:tc>
          <w:tcPr>
            <w:tcW w:w="4530" w:type="dxa"/>
          </w:tcPr>
          <w:p w14:paraId="5605709D" w14:textId="1F1D2B0C" w:rsidR="00957364" w:rsidRPr="006718BA" w:rsidRDefault="00957364" w:rsidP="00B213EE">
            <w:pPr>
              <w:rPr>
                <w:szCs w:val="24"/>
              </w:rPr>
            </w:pPr>
            <w:r w:rsidRPr="006718BA">
              <w:rPr>
                <w:szCs w:val="24"/>
              </w:rPr>
              <w:t>Total number staff in the overall workforc</w:t>
            </w:r>
            <w:r w:rsidR="00970410" w:rsidRPr="006718BA">
              <w:rPr>
                <w:szCs w:val="24"/>
              </w:rPr>
              <w:t>e</w:t>
            </w:r>
          </w:p>
        </w:tc>
        <w:tc>
          <w:tcPr>
            <w:tcW w:w="4486" w:type="dxa"/>
          </w:tcPr>
          <w:p w14:paraId="29BE2DE0" w14:textId="73DBE0C7" w:rsidR="00957364" w:rsidRPr="006718BA" w:rsidRDefault="00D62417" w:rsidP="00B213EE">
            <w:pPr>
              <w:rPr>
                <w:szCs w:val="24"/>
              </w:rPr>
            </w:pPr>
            <w:r w:rsidRPr="006718BA">
              <w:rPr>
                <w:szCs w:val="24"/>
              </w:rPr>
              <w:t>840</w:t>
            </w:r>
          </w:p>
        </w:tc>
      </w:tr>
      <w:tr w:rsidR="00957364" w:rsidRPr="006718BA" w14:paraId="3E6FC960" w14:textId="77777777" w:rsidTr="00B213EE">
        <w:tc>
          <w:tcPr>
            <w:tcW w:w="4530" w:type="dxa"/>
          </w:tcPr>
          <w:p w14:paraId="1A174070" w14:textId="41AF19A2" w:rsidR="00957364" w:rsidRPr="006718BA" w:rsidRDefault="00957364" w:rsidP="00B213EE">
            <w:pPr>
              <w:rPr>
                <w:szCs w:val="24"/>
              </w:rPr>
            </w:pPr>
            <w:r w:rsidRPr="006718BA">
              <w:rPr>
                <w:szCs w:val="24"/>
              </w:rPr>
              <w:t>Total number of BME staff</w:t>
            </w:r>
          </w:p>
        </w:tc>
        <w:tc>
          <w:tcPr>
            <w:tcW w:w="4486" w:type="dxa"/>
          </w:tcPr>
          <w:p w14:paraId="090FCE73" w14:textId="40A333D2" w:rsidR="00957364" w:rsidRPr="006718BA" w:rsidRDefault="00957364" w:rsidP="00B213EE">
            <w:pPr>
              <w:rPr>
                <w:szCs w:val="24"/>
              </w:rPr>
            </w:pPr>
            <w:r w:rsidRPr="006718BA">
              <w:rPr>
                <w:szCs w:val="24"/>
              </w:rPr>
              <w:t xml:space="preserve">Number is </w:t>
            </w:r>
            <w:r w:rsidR="00D62417" w:rsidRPr="006718BA">
              <w:rPr>
                <w:szCs w:val="24"/>
              </w:rPr>
              <w:t>24</w:t>
            </w:r>
            <w:r w:rsidR="00C46301" w:rsidRPr="006718BA">
              <w:rPr>
                <w:szCs w:val="24"/>
              </w:rPr>
              <w:t xml:space="preserve"> =2.</w:t>
            </w:r>
            <w:r w:rsidR="00031365" w:rsidRPr="006718BA">
              <w:rPr>
                <w:szCs w:val="24"/>
              </w:rPr>
              <w:t>9</w:t>
            </w:r>
            <w:r w:rsidR="00C46301" w:rsidRPr="006718BA">
              <w:rPr>
                <w:szCs w:val="24"/>
              </w:rPr>
              <w:t>%</w:t>
            </w:r>
          </w:p>
        </w:tc>
      </w:tr>
      <w:tr w:rsidR="00D62417" w:rsidRPr="006718BA" w14:paraId="1CF8B4C8" w14:textId="77777777" w:rsidTr="00B213EE">
        <w:tc>
          <w:tcPr>
            <w:tcW w:w="4530" w:type="dxa"/>
          </w:tcPr>
          <w:p w14:paraId="5D557E10" w14:textId="2287944D" w:rsidR="00D62417" w:rsidRPr="006718BA" w:rsidRDefault="00D62417" w:rsidP="00B213EE">
            <w:pPr>
              <w:rPr>
                <w:szCs w:val="24"/>
              </w:rPr>
            </w:pPr>
            <w:r w:rsidRPr="006718BA">
              <w:rPr>
                <w:szCs w:val="24"/>
              </w:rPr>
              <w:t xml:space="preserve">Total number of White staff </w:t>
            </w:r>
          </w:p>
        </w:tc>
        <w:tc>
          <w:tcPr>
            <w:tcW w:w="4486" w:type="dxa"/>
          </w:tcPr>
          <w:p w14:paraId="33D21191" w14:textId="279601DA" w:rsidR="00D62417" w:rsidRPr="006718BA" w:rsidRDefault="00D62417" w:rsidP="00B213EE">
            <w:pPr>
              <w:rPr>
                <w:szCs w:val="24"/>
              </w:rPr>
            </w:pPr>
            <w:r w:rsidRPr="006718BA">
              <w:rPr>
                <w:szCs w:val="24"/>
              </w:rPr>
              <w:t>Number is 583</w:t>
            </w:r>
            <w:r w:rsidR="00EA27E3" w:rsidRPr="006718BA">
              <w:rPr>
                <w:szCs w:val="24"/>
              </w:rPr>
              <w:t xml:space="preserve"> = 69.4%</w:t>
            </w:r>
          </w:p>
        </w:tc>
      </w:tr>
      <w:tr w:rsidR="00957364" w:rsidRPr="006718BA" w14:paraId="366F1906" w14:textId="77777777" w:rsidTr="00B213EE">
        <w:tc>
          <w:tcPr>
            <w:tcW w:w="4530" w:type="dxa"/>
          </w:tcPr>
          <w:p w14:paraId="618D392C" w14:textId="77777777" w:rsidR="00957364" w:rsidRPr="006718BA" w:rsidRDefault="00957364" w:rsidP="00B213EE">
            <w:pPr>
              <w:rPr>
                <w:szCs w:val="24"/>
              </w:rPr>
            </w:pPr>
            <w:r w:rsidRPr="006718BA">
              <w:rPr>
                <w:szCs w:val="24"/>
              </w:rPr>
              <w:t>% Unknown</w:t>
            </w:r>
          </w:p>
        </w:tc>
        <w:tc>
          <w:tcPr>
            <w:tcW w:w="4486" w:type="dxa"/>
          </w:tcPr>
          <w:p w14:paraId="01D729E6" w14:textId="2ABC89ED" w:rsidR="00957364" w:rsidRPr="006718BA" w:rsidRDefault="00957364" w:rsidP="00B213EE">
            <w:pPr>
              <w:rPr>
                <w:szCs w:val="24"/>
              </w:rPr>
            </w:pPr>
            <w:r w:rsidRPr="006718BA">
              <w:rPr>
                <w:szCs w:val="24"/>
              </w:rPr>
              <w:t xml:space="preserve">Number is </w:t>
            </w:r>
            <w:r w:rsidR="00D62417" w:rsidRPr="006718BA">
              <w:rPr>
                <w:szCs w:val="24"/>
              </w:rPr>
              <w:t>2</w:t>
            </w:r>
            <w:r w:rsidR="00DB70CD" w:rsidRPr="006718BA">
              <w:rPr>
                <w:szCs w:val="24"/>
              </w:rPr>
              <w:t>33</w:t>
            </w:r>
            <w:r w:rsidRPr="006718BA">
              <w:rPr>
                <w:szCs w:val="24"/>
              </w:rPr>
              <w:t xml:space="preserve"> = </w:t>
            </w:r>
            <w:r w:rsidR="00DB70CD" w:rsidRPr="006718BA">
              <w:rPr>
                <w:szCs w:val="24"/>
              </w:rPr>
              <w:t>27.7%</w:t>
            </w:r>
          </w:p>
        </w:tc>
      </w:tr>
      <w:tr w:rsidR="00957364" w:rsidRPr="006718BA" w14:paraId="50AEDC62" w14:textId="77777777" w:rsidTr="00B213EE">
        <w:tc>
          <w:tcPr>
            <w:tcW w:w="4530" w:type="dxa"/>
          </w:tcPr>
          <w:p w14:paraId="5F1FC50F" w14:textId="77777777" w:rsidR="00957364" w:rsidRPr="006718BA" w:rsidRDefault="00957364" w:rsidP="00B213EE">
            <w:pPr>
              <w:rPr>
                <w:szCs w:val="24"/>
              </w:rPr>
            </w:pPr>
            <w:r w:rsidRPr="006718BA">
              <w:rPr>
                <w:szCs w:val="24"/>
              </w:rPr>
              <w:t xml:space="preserve">% of BME Staff in the overall workforce </w:t>
            </w:r>
          </w:p>
        </w:tc>
        <w:tc>
          <w:tcPr>
            <w:tcW w:w="4486" w:type="dxa"/>
          </w:tcPr>
          <w:p w14:paraId="60D7C509" w14:textId="52E7AE11" w:rsidR="00957364" w:rsidRPr="006718BA" w:rsidRDefault="00957364" w:rsidP="00B213EE">
            <w:pPr>
              <w:rPr>
                <w:szCs w:val="24"/>
              </w:rPr>
            </w:pPr>
            <w:r w:rsidRPr="006718BA">
              <w:rPr>
                <w:szCs w:val="24"/>
              </w:rPr>
              <w:t>2.</w:t>
            </w:r>
            <w:r w:rsidR="00D62417" w:rsidRPr="006718BA">
              <w:rPr>
                <w:szCs w:val="24"/>
              </w:rPr>
              <w:t>86</w:t>
            </w:r>
            <w:r w:rsidRPr="006718BA">
              <w:rPr>
                <w:szCs w:val="24"/>
              </w:rPr>
              <w:t>%</w:t>
            </w:r>
          </w:p>
        </w:tc>
      </w:tr>
    </w:tbl>
    <w:p w14:paraId="4B17DF57" w14:textId="77777777" w:rsidR="00EA27E3" w:rsidRPr="006718BA" w:rsidRDefault="00EA27E3" w:rsidP="00957364">
      <w:pPr>
        <w:rPr>
          <w:color w:val="auto"/>
          <w:szCs w:val="24"/>
        </w:rPr>
      </w:pPr>
    </w:p>
    <w:p w14:paraId="0C197691" w14:textId="1E40CE19" w:rsidR="00D62417" w:rsidRPr="006718BA" w:rsidRDefault="00D62417" w:rsidP="00957364">
      <w:pPr>
        <w:rPr>
          <w:color w:val="auto"/>
          <w:szCs w:val="24"/>
        </w:rPr>
      </w:pPr>
      <w:r w:rsidRPr="006718BA">
        <w:rPr>
          <w:color w:val="auto"/>
          <w:szCs w:val="24"/>
        </w:rPr>
        <w:t>When the report was last run for the 2022 to 2023 reporting period, the % of BME staff in the overall workforce was 2.79%, demonstrating that there has been a very marginal increas</w:t>
      </w:r>
      <w:r w:rsidR="00EA27E3" w:rsidRPr="006718BA">
        <w:rPr>
          <w:color w:val="auto"/>
          <w:szCs w:val="24"/>
        </w:rPr>
        <w:t>e</w:t>
      </w:r>
      <w:r w:rsidR="00252DB2" w:rsidRPr="006718BA">
        <w:rPr>
          <w:color w:val="auto"/>
          <w:szCs w:val="24"/>
        </w:rPr>
        <w:t xml:space="preserve">. </w:t>
      </w:r>
    </w:p>
    <w:p w14:paraId="207E5CCC" w14:textId="0E6E3785" w:rsidR="00DE0575" w:rsidRPr="006718BA" w:rsidRDefault="00A013F5" w:rsidP="00957364">
      <w:pPr>
        <w:rPr>
          <w:color w:val="auto"/>
          <w:szCs w:val="24"/>
        </w:rPr>
      </w:pPr>
      <w:r w:rsidRPr="006718BA">
        <w:rPr>
          <w:color w:val="auto"/>
          <w:szCs w:val="24"/>
        </w:rPr>
        <w:t>The first four metrics compare the data for white and BME staff.</w:t>
      </w:r>
    </w:p>
    <w:p w14:paraId="23D7376F" w14:textId="556BB7FE" w:rsidR="00957364" w:rsidRPr="006718BA" w:rsidRDefault="00957364" w:rsidP="00957364">
      <w:pPr>
        <w:rPr>
          <w:b/>
          <w:szCs w:val="24"/>
        </w:rPr>
      </w:pPr>
      <w:r w:rsidRPr="006718BA">
        <w:rPr>
          <w:b/>
          <w:szCs w:val="24"/>
        </w:rPr>
        <w:t>Metric 1</w:t>
      </w:r>
    </w:p>
    <w:tbl>
      <w:tblPr>
        <w:tblStyle w:val="TableGrid"/>
        <w:tblW w:w="0" w:type="auto"/>
        <w:tblLook w:val="04A0" w:firstRow="1" w:lastRow="0" w:firstColumn="1" w:lastColumn="0" w:noHBand="0" w:noVBand="1"/>
      </w:tblPr>
      <w:tblGrid>
        <w:gridCol w:w="8152"/>
        <w:gridCol w:w="1328"/>
      </w:tblGrid>
      <w:tr w:rsidR="00957364" w:rsidRPr="006718BA" w14:paraId="478E4190" w14:textId="77777777" w:rsidTr="00A013F5">
        <w:tc>
          <w:tcPr>
            <w:tcW w:w="8103" w:type="dxa"/>
          </w:tcPr>
          <w:p w14:paraId="3FB809A5" w14:textId="758CF7A2" w:rsidR="00C10C27" w:rsidRPr="006718BA" w:rsidRDefault="00957364" w:rsidP="00B213EE">
            <w:pPr>
              <w:rPr>
                <w:szCs w:val="24"/>
              </w:rPr>
            </w:pPr>
            <w:r w:rsidRPr="006718BA">
              <w:rPr>
                <w:szCs w:val="24"/>
              </w:rPr>
              <w:t xml:space="preserve">Percentage of staff in each of the </w:t>
            </w:r>
            <w:proofErr w:type="spellStart"/>
            <w:r w:rsidRPr="006718BA">
              <w:rPr>
                <w:szCs w:val="24"/>
              </w:rPr>
              <w:t>AfC</w:t>
            </w:r>
            <w:proofErr w:type="spellEnd"/>
            <w:r w:rsidRPr="006718BA">
              <w:rPr>
                <w:szCs w:val="24"/>
              </w:rPr>
              <w:t xml:space="preserve"> Bands 1-9 or Medical and Dental subgroups and VSM (including executive Board members) compared with </w:t>
            </w:r>
            <w:r w:rsidRPr="006718BA">
              <w:rPr>
                <w:szCs w:val="24"/>
              </w:rPr>
              <w:lastRenderedPageBreak/>
              <w:t xml:space="preserve">the percentage of staff in the overall workforce disaggregated </w:t>
            </w:r>
            <w:r w:rsidR="00401E34" w:rsidRPr="006718BA">
              <w:rPr>
                <w:szCs w:val="24"/>
              </w:rPr>
              <w:t xml:space="preserve">where possible </w:t>
            </w:r>
            <w:r w:rsidRPr="006718BA">
              <w:rPr>
                <w:szCs w:val="24"/>
              </w:rPr>
              <w:t xml:space="preserve">by: </w:t>
            </w:r>
          </w:p>
          <w:p w14:paraId="28B0435D" w14:textId="77777777" w:rsidR="00C10C27" w:rsidRPr="006718BA" w:rsidRDefault="00957364" w:rsidP="00B213EE">
            <w:pPr>
              <w:rPr>
                <w:szCs w:val="24"/>
              </w:rPr>
            </w:pPr>
            <w:r w:rsidRPr="006718BA">
              <w:rPr>
                <w:szCs w:val="24"/>
              </w:rPr>
              <w:sym w:font="Symbol" w:char="F0B7"/>
            </w:r>
            <w:r w:rsidRPr="006718BA">
              <w:rPr>
                <w:szCs w:val="24"/>
              </w:rPr>
              <w:t xml:space="preserve"> Non-Clinical staff </w:t>
            </w:r>
          </w:p>
          <w:p w14:paraId="626C7271" w14:textId="77777777" w:rsidR="00957405" w:rsidRPr="006718BA" w:rsidRDefault="00957364" w:rsidP="00B213EE">
            <w:pPr>
              <w:rPr>
                <w:szCs w:val="24"/>
              </w:rPr>
            </w:pPr>
            <w:r w:rsidRPr="006718BA">
              <w:rPr>
                <w:szCs w:val="24"/>
              </w:rPr>
              <w:sym w:font="Symbol" w:char="F0B7"/>
            </w:r>
            <w:r w:rsidRPr="006718BA">
              <w:rPr>
                <w:szCs w:val="24"/>
              </w:rPr>
              <w:t xml:space="preserve"> Clinical staff </w:t>
            </w:r>
            <w:r w:rsidR="00957405" w:rsidRPr="006718BA">
              <w:rPr>
                <w:szCs w:val="24"/>
              </w:rPr>
              <w:t xml:space="preserve">- </w:t>
            </w:r>
            <w:r w:rsidRPr="006718BA">
              <w:rPr>
                <w:szCs w:val="24"/>
              </w:rPr>
              <w:t xml:space="preserve">of which </w:t>
            </w:r>
          </w:p>
          <w:p w14:paraId="1E2E16CD" w14:textId="77777777" w:rsidR="00957405" w:rsidRPr="006718BA" w:rsidRDefault="00957364" w:rsidP="00957405">
            <w:pPr>
              <w:ind w:left="720"/>
              <w:rPr>
                <w:szCs w:val="24"/>
              </w:rPr>
            </w:pPr>
            <w:r w:rsidRPr="006718BA">
              <w:rPr>
                <w:szCs w:val="24"/>
              </w:rPr>
              <w:t xml:space="preserve">- Non-Medical staff </w:t>
            </w:r>
          </w:p>
          <w:p w14:paraId="0B00529B" w14:textId="4393F516" w:rsidR="00957405" w:rsidRPr="006718BA" w:rsidRDefault="00957364" w:rsidP="00957405">
            <w:pPr>
              <w:ind w:left="720"/>
              <w:rPr>
                <w:szCs w:val="24"/>
              </w:rPr>
            </w:pPr>
            <w:r w:rsidRPr="006718BA">
              <w:rPr>
                <w:szCs w:val="24"/>
              </w:rPr>
              <w:t xml:space="preserve">- Medical and Dental staff </w:t>
            </w:r>
          </w:p>
          <w:p w14:paraId="70A1C2DC" w14:textId="322D32BD" w:rsidR="00957364" w:rsidRPr="006718BA" w:rsidRDefault="00957364" w:rsidP="00B213EE">
            <w:pPr>
              <w:rPr>
                <w:szCs w:val="24"/>
              </w:rPr>
            </w:pPr>
            <w:r w:rsidRPr="006718BA">
              <w:rPr>
                <w:szCs w:val="24"/>
              </w:rPr>
              <w:t>Note: Definitions for these categories are based on Electronic Staff Record occupation codes with the exception of Medical and Dental staff, which are based upon grade codes.</w:t>
            </w:r>
          </w:p>
          <w:p w14:paraId="668DEA45" w14:textId="504F77AA" w:rsidR="00957364" w:rsidRPr="006718BA" w:rsidRDefault="00957364" w:rsidP="00B213EE">
            <w:pPr>
              <w:rPr>
                <w:szCs w:val="24"/>
              </w:rPr>
            </w:pPr>
            <w:r w:rsidRPr="006718BA">
              <w:rPr>
                <w:szCs w:val="24"/>
              </w:rPr>
              <w:t>(</w:t>
            </w:r>
            <w:r w:rsidR="00C056C9" w:rsidRPr="006718BA">
              <w:rPr>
                <w:szCs w:val="24"/>
              </w:rPr>
              <w:t xml:space="preserve">This </w:t>
            </w:r>
            <w:r w:rsidRPr="006718BA">
              <w:rPr>
                <w:szCs w:val="24"/>
              </w:rPr>
              <w:t xml:space="preserve">has been calculated for the whole employed workforce, not including bank staff or contractors). </w:t>
            </w:r>
          </w:p>
        </w:tc>
        <w:tc>
          <w:tcPr>
            <w:tcW w:w="1383" w:type="dxa"/>
          </w:tcPr>
          <w:p w14:paraId="6D614483" w14:textId="77777777" w:rsidR="00957364" w:rsidRPr="006718BA" w:rsidRDefault="00957364" w:rsidP="00B213EE">
            <w:pPr>
              <w:rPr>
                <w:szCs w:val="24"/>
              </w:rPr>
            </w:pPr>
          </w:p>
        </w:tc>
      </w:tr>
      <w:tr w:rsidR="00957364" w:rsidRPr="006718BA" w14:paraId="40963E98" w14:textId="77777777" w:rsidTr="00A013F5">
        <w:tc>
          <w:tcPr>
            <w:tcW w:w="9486" w:type="dxa"/>
            <w:gridSpan w:val="2"/>
          </w:tcPr>
          <w:p w14:paraId="55FEB856" w14:textId="77777777" w:rsidR="00957364" w:rsidRPr="006718BA" w:rsidRDefault="00957364" w:rsidP="00B213EE">
            <w:pPr>
              <w:rPr>
                <w:bCs/>
                <w:color w:val="FF0000"/>
                <w:szCs w:val="24"/>
              </w:rPr>
            </w:pPr>
          </w:p>
          <w:tbl>
            <w:tblPr>
              <w:tblW w:w="14620" w:type="dxa"/>
              <w:tblLook w:val="04A0" w:firstRow="1" w:lastRow="0" w:firstColumn="1" w:lastColumn="0" w:noHBand="0" w:noVBand="1"/>
            </w:tblPr>
            <w:tblGrid>
              <w:gridCol w:w="2187"/>
              <w:gridCol w:w="2186"/>
              <w:gridCol w:w="1559"/>
              <w:gridCol w:w="1800"/>
              <w:gridCol w:w="1522"/>
            </w:tblGrid>
            <w:tr w:rsidR="00957364" w:rsidRPr="006718BA" w14:paraId="578A9340" w14:textId="77777777" w:rsidTr="00B213EE">
              <w:trPr>
                <w:trHeight w:val="29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2AA10" w14:textId="77777777" w:rsidR="00957364" w:rsidRPr="006718BA" w:rsidRDefault="00957364" w:rsidP="00970410">
                  <w:pPr>
                    <w:spacing w:after="0"/>
                    <w:rPr>
                      <w:rFonts w:eastAsia="Times New Roman"/>
                      <w:b/>
                      <w:bCs/>
                      <w:color w:val="000000"/>
                      <w:szCs w:val="24"/>
                      <w:lang w:eastAsia="en-GB"/>
                    </w:rPr>
                  </w:pPr>
                  <w:r w:rsidRPr="006718BA">
                    <w:rPr>
                      <w:rFonts w:eastAsia="Times New Roman"/>
                      <w:b/>
                      <w:bCs/>
                      <w:color w:val="000000"/>
                      <w:szCs w:val="24"/>
                      <w:lang w:eastAsia="en-GB"/>
                    </w:rPr>
                    <w:t xml:space="preserve">Pay Band / Pay Grade Code </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14:paraId="2372F417" w14:textId="77777777" w:rsidR="00957364" w:rsidRPr="006718BA" w:rsidRDefault="00957364" w:rsidP="00B213EE">
                  <w:pPr>
                    <w:spacing w:after="0"/>
                    <w:jc w:val="center"/>
                    <w:rPr>
                      <w:rFonts w:eastAsia="Times New Roman"/>
                      <w:b/>
                      <w:bCs/>
                      <w:color w:val="000000"/>
                      <w:szCs w:val="24"/>
                      <w:lang w:eastAsia="en-GB"/>
                    </w:rPr>
                  </w:pPr>
                  <w:r w:rsidRPr="006718BA">
                    <w:rPr>
                      <w:rFonts w:eastAsia="Times New Roman"/>
                      <w:b/>
                      <w:bCs/>
                      <w:color w:val="000000"/>
                      <w:szCs w:val="24"/>
                      <w:lang w:eastAsia="en-GB"/>
                    </w:rPr>
                    <w:t>Pay Grade Code Guidance</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0C0AECC0" w14:textId="77777777" w:rsidR="00957364" w:rsidRPr="006718BA" w:rsidRDefault="00957364" w:rsidP="00B213EE">
                  <w:pPr>
                    <w:spacing w:after="0"/>
                    <w:jc w:val="center"/>
                    <w:rPr>
                      <w:rFonts w:eastAsia="Times New Roman"/>
                      <w:b/>
                      <w:bCs/>
                      <w:color w:val="000000"/>
                      <w:szCs w:val="24"/>
                      <w:lang w:eastAsia="en-GB"/>
                    </w:rPr>
                  </w:pPr>
                  <w:proofErr w:type="spellStart"/>
                  <w:r w:rsidRPr="006718BA">
                    <w:rPr>
                      <w:rFonts w:eastAsia="Times New Roman"/>
                      <w:b/>
                      <w:bCs/>
                      <w:color w:val="000000"/>
                      <w:szCs w:val="24"/>
                      <w:lang w:eastAsia="en-GB"/>
                    </w:rPr>
                    <w:t>No.BME</w:t>
                  </w:r>
                  <w:proofErr w:type="spellEnd"/>
                  <w:r w:rsidRPr="006718BA">
                    <w:rPr>
                      <w:rFonts w:eastAsia="Times New Roman"/>
                      <w:b/>
                      <w:bCs/>
                      <w:color w:val="000000"/>
                      <w:szCs w:val="24"/>
                      <w:lang w:eastAsia="en-GB"/>
                    </w:rPr>
                    <w:t xml:space="preserve"> Per Pay Grade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1A2945CA" w14:textId="77777777" w:rsidR="00957364" w:rsidRPr="006718BA" w:rsidRDefault="00957364" w:rsidP="00B213EE">
                  <w:pPr>
                    <w:spacing w:after="0"/>
                    <w:jc w:val="center"/>
                    <w:rPr>
                      <w:rFonts w:eastAsia="Times New Roman"/>
                      <w:b/>
                      <w:bCs/>
                      <w:color w:val="000000"/>
                      <w:szCs w:val="24"/>
                      <w:lang w:eastAsia="en-GB"/>
                    </w:rPr>
                  </w:pPr>
                  <w:r w:rsidRPr="006718BA">
                    <w:rPr>
                      <w:rFonts w:eastAsia="Times New Roman"/>
                      <w:b/>
                      <w:bCs/>
                      <w:color w:val="000000"/>
                      <w:szCs w:val="24"/>
                      <w:lang w:eastAsia="en-GB"/>
                    </w:rPr>
                    <w:t xml:space="preserve">No staff in banding in total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3C670729" w14:textId="77777777" w:rsidR="00957364" w:rsidRPr="006718BA" w:rsidRDefault="00957364" w:rsidP="00B213EE">
                  <w:pPr>
                    <w:spacing w:after="0"/>
                    <w:jc w:val="center"/>
                    <w:rPr>
                      <w:rFonts w:eastAsia="Times New Roman"/>
                      <w:b/>
                      <w:bCs/>
                      <w:color w:val="000000"/>
                      <w:szCs w:val="24"/>
                      <w:lang w:eastAsia="en-GB"/>
                    </w:rPr>
                  </w:pPr>
                  <w:r w:rsidRPr="006718BA">
                    <w:rPr>
                      <w:rFonts w:eastAsia="Times New Roman"/>
                      <w:b/>
                      <w:bCs/>
                      <w:color w:val="000000"/>
                      <w:szCs w:val="24"/>
                      <w:lang w:eastAsia="en-GB"/>
                    </w:rPr>
                    <w:t>% BME Per Pay Grade</w:t>
                  </w:r>
                </w:p>
              </w:tc>
            </w:tr>
            <w:tr w:rsidR="00957364" w:rsidRPr="006718BA" w14:paraId="2480F91D"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A3FD28B"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1</w:t>
                  </w:r>
                </w:p>
              </w:tc>
              <w:tc>
                <w:tcPr>
                  <w:tcW w:w="3480" w:type="dxa"/>
                  <w:tcBorders>
                    <w:top w:val="nil"/>
                    <w:left w:val="nil"/>
                    <w:bottom w:val="single" w:sz="4" w:space="0" w:color="auto"/>
                    <w:right w:val="single" w:sz="4" w:space="0" w:color="auto"/>
                  </w:tcBorders>
                  <w:shd w:val="clear" w:color="auto" w:fill="auto"/>
                  <w:vAlign w:val="bottom"/>
                  <w:hideMark/>
                </w:tcPr>
                <w:p w14:paraId="7D7D0598"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404C9606" w14:textId="0BF0CCAE" w:rsidR="00957364" w:rsidRPr="006718BA" w:rsidRDefault="00EA27E3" w:rsidP="00CA5993">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55243D1E" w14:textId="3204F9A5" w:rsidR="00957364" w:rsidRPr="006718BA" w:rsidRDefault="00CA5993" w:rsidP="00B213EE">
                  <w:pPr>
                    <w:spacing w:after="0"/>
                    <w:jc w:val="center"/>
                    <w:rPr>
                      <w:rFonts w:eastAsia="Times New Roman"/>
                      <w:color w:val="000000"/>
                      <w:szCs w:val="24"/>
                      <w:lang w:eastAsia="en-GB"/>
                    </w:rPr>
                  </w:pPr>
                  <w:r>
                    <w:rPr>
                      <w:rFonts w:eastAsia="Times New Roman"/>
                      <w:color w:val="000000"/>
                      <w:szCs w:val="24"/>
                      <w:lang w:eastAsia="en-GB"/>
                    </w:rPr>
                    <w:t>&lt;5</w:t>
                  </w:r>
                </w:p>
              </w:tc>
              <w:tc>
                <w:tcPr>
                  <w:tcW w:w="2380" w:type="dxa"/>
                  <w:tcBorders>
                    <w:top w:val="nil"/>
                    <w:left w:val="nil"/>
                    <w:bottom w:val="single" w:sz="4" w:space="0" w:color="auto"/>
                    <w:right w:val="single" w:sz="4" w:space="0" w:color="auto"/>
                  </w:tcBorders>
                  <w:shd w:val="clear" w:color="auto" w:fill="auto"/>
                  <w:noWrap/>
                  <w:vAlign w:val="bottom"/>
                  <w:hideMark/>
                </w:tcPr>
                <w:p w14:paraId="6A49990A" w14:textId="0A1F19C6"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957364" w:rsidRPr="006718BA" w14:paraId="52FD346D"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2E19745"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2</w:t>
                  </w:r>
                </w:p>
              </w:tc>
              <w:tc>
                <w:tcPr>
                  <w:tcW w:w="3480" w:type="dxa"/>
                  <w:tcBorders>
                    <w:top w:val="nil"/>
                    <w:left w:val="nil"/>
                    <w:bottom w:val="single" w:sz="4" w:space="0" w:color="auto"/>
                    <w:right w:val="single" w:sz="4" w:space="0" w:color="auto"/>
                  </w:tcBorders>
                  <w:shd w:val="clear" w:color="auto" w:fill="auto"/>
                  <w:vAlign w:val="bottom"/>
                  <w:hideMark/>
                </w:tcPr>
                <w:p w14:paraId="2374DB5B"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550FE8C2" w14:textId="51961098"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5E613BE2" w14:textId="0034190B" w:rsidR="00957364" w:rsidRPr="006718BA" w:rsidRDefault="00CA5993" w:rsidP="00B213EE">
                  <w:pPr>
                    <w:spacing w:after="0"/>
                    <w:jc w:val="center"/>
                    <w:rPr>
                      <w:rFonts w:eastAsia="Times New Roman"/>
                      <w:color w:val="000000"/>
                      <w:szCs w:val="24"/>
                      <w:lang w:eastAsia="en-GB"/>
                    </w:rPr>
                  </w:pPr>
                  <w:r>
                    <w:rPr>
                      <w:rFonts w:eastAsia="Times New Roman"/>
                      <w:color w:val="000000"/>
                      <w:szCs w:val="24"/>
                      <w:lang w:eastAsia="en-GB"/>
                    </w:rPr>
                    <w:t>&lt;5</w:t>
                  </w:r>
                </w:p>
              </w:tc>
              <w:tc>
                <w:tcPr>
                  <w:tcW w:w="2380" w:type="dxa"/>
                  <w:tcBorders>
                    <w:top w:val="nil"/>
                    <w:left w:val="nil"/>
                    <w:bottom w:val="single" w:sz="4" w:space="0" w:color="auto"/>
                    <w:right w:val="single" w:sz="4" w:space="0" w:color="auto"/>
                  </w:tcBorders>
                  <w:shd w:val="clear" w:color="auto" w:fill="auto"/>
                  <w:noWrap/>
                  <w:vAlign w:val="bottom"/>
                  <w:hideMark/>
                </w:tcPr>
                <w:p w14:paraId="53432C09" w14:textId="241164D9"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25</w:t>
                  </w:r>
                  <w:r w:rsidR="00957364" w:rsidRPr="006718BA">
                    <w:rPr>
                      <w:rFonts w:eastAsia="Times New Roman"/>
                      <w:color w:val="000000"/>
                      <w:szCs w:val="24"/>
                      <w:lang w:eastAsia="en-GB"/>
                    </w:rPr>
                    <w:t>%</w:t>
                  </w:r>
                </w:p>
              </w:tc>
            </w:tr>
            <w:tr w:rsidR="00957364" w:rsidRPr="006718BA" w14:paraId="6920ACF2"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6D12DA9"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3</w:t>
                  </w:r>
                </w:p>
              </w:tc>
              <w:tc>
                <w:tcPr>
                  <w:tcW w:w="3480" w:type="dxa"/>
                  <w:tcBorders>
                    <w:top w:val="nil"/>
                    <w:left w:val="nil"/>
                    <w:bottom w:val="single" w:sz="4" w:space="0" w:color="auto"/>
                    <w:right w:val="single" w:sz="4" w:space="0" w:color="auto"/>
                  </w:tcBorders>
                  <w:shd w:val="clear" w:color="auto" w:fill="auto"/>
                  <w:vAlign w:val="bottom"/>
                  <w:hideMark/>
                </w:tcPr>
                <w:p w14:paraId="31D19419"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502B458B" w14:textId="4585DE2A"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2717C3C2" w14:textId="72A36FD9"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62</w:t>
                  </w:r>
                </w:p>
              </w:tc>
              <w:tc>
                <w:tcPr>
                  <w:tcW w:w="2380" w:type="dxa"/>
                  <w:tcBorders>
                    <w:top w:val="nil"/>
                    <w:left w:val="nil"/>
                    <w:bottom w:val="single" w:sz="4" w:space="0" w:color="auto"/>
                    <w:right w:val="single" w:sz="4" w:space="0" w:color="auto"/>
                  </w:tcBorders>
                  <w:shd w:val="clear" w:color="auto" w:fill="auto"/>
                  <w:noWrap/>
                  <w:vAlign w:val="bottom"/>
                  <w:hideMark/>
                </w:tcPr>
                <w:p w14:paraId="55BDB048" w14:textId="5007D741"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3.2</w:t>
                  </w:r>
                  <w:r w:rsidR="00957364" w:rsidRPr="006718BA">
                    <w:rPr>
                      <w:rFonts w:eastAsia="Times New Roman"/>
                      <w:color w:val="000000"/>
                      <w:szCs w:val="24"/>
                      <w:lang w:eastAsia="en-GB"/>
                    </w:rPr>
                    <w:t>%</w:t>
                  </w:r>
                </w:p>
              </w:tc>
            </w:tr>
            <w:tr w:rsidR="00957364" w:rsidRPr="006718BA" w14:paraId="19B99F96"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597A43F"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4</w:t>
                  </w:r>
                </w:p>
              </w:tc>
              <w:tc>
                <w:tcPr>
                  <w:tcW w:w="3480" w:type="dxa"/>
                  <w:tcBorders>
                    <w:top w:val="nil"/>
                    <w:left w:val="nil"/>
                    <w:bottom w:val="single" w:sz="4" w:space="0" w:color="auto"/>
                    <w:right w:val="single" w:sz="4" w:space="0" w:color="auto"/>
                  </w:tcBorders>
                  <w:shd w:val="clear" w:color="auto" w:fill="auto"/>
                  <w:vAlign w:val="bottom"/>
                  <w:hideMark/>
                </w:tcPr>
                <w:p w14:paraId="4584C0AE"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10E0AB1B" w14:textId="6D1766FE"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1610E0C3" w14:textId="6A957737"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57</w:t>
                  </w:r>
                </w:p>
              </w:tc>
              <w:tc>
                <w:tcPr>
                  <w:tcW w:w="2380" w:type="dxa"/>
                  <w:tcBorders>
                    <w:top w:val="nil"/>
                    <w:left w:val="nil"/>
                    <w:bottom w:val="single" w:sz="4" w:space="0" w:color="auto"/>
                    <w:right w:val="single" w:sz="4" w:space="0" w:color="auto"/>
                  </w:tcBorders>
                  <w:shd w:val="clear" w:color="auto" w:fill="auto"/>
                  <w:noWrap/>
                  <w:vAlign w:val="bottom"/>
                  <w:hideMark/>
                </w:tcPr>
                <w:p w14:paraId="208B43ED" w14:textId="37B56C2D"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1.</w:t>
                  </w:r>
                  <w:r w:rsidR="00031365" w:rsidRPr="006718BA">
                    <w:rPr>
                      <w:rFonts w:eastAsia="Times New Roman"/>
                      <w:color w:val="000000"/>
                      <w:szCs w:val="24"/>
                      <w:lang w:eastAsia="en-GB"/>
                    </w:rPr>
                    <w:t>8</w:t>
                  </w:r>
                  <w:r w:rsidRPr="006718BA">
                    <w:rPr>
                      <w:rFonts w:eastAsia="Times New Roman"/>
                      <w:color w:val="000000"/>
                      <w:szCs w:val="24"/>
                      <w:lang w:eastAsia="en-GB"/>
                    </w:rPr>
                    <w:t>%</w:t>
                  </w:r>
                </w:p>
              </w:tc>
            </w:tr>
            <w:tr w:rsidR="00957364" w:rsidRPr="006718BA" w14:paraId="6BC745E1"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12BF1B9"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5</w:t>
                  </w:r>
                </w:p>
              </w:tc>
              <w:tc>
                <w:tcPr>
                  <w:tcW w:w="3480" w:type="dxa"/>
                  <w:tcBorders>
                    <w:top w:val="nil"/>
                    <w:left w:val="nil"/>
                    <w:bottom w:val="single" w:sz="4" w:space="0" w:color="auto"/>
                    <w:right w:val="single" w:sz="4" w:space="0" w:color="auto"/>
                  </w:tcBorders>
                  <w:shd w:val="clear" w:color="auto" w:fill="auto"/>
                  <w:vAlign w:val="bottom"/>
                  <w:hideMark/>
                </w:tcPr>
                <w:p w14:paraId="0DE4EA7A"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2203FA81" w14:textId="3FA967E8"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0DADDDFA" w14:textId="354DEF2C"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91</w:t>
                  </w:r>
                </w:p>
              </w:tc>
              <w:tc>
                <w:tcPr>
                  <w:tcW w:w="2380" w:type="dxa"/>
                  <w:tcBorders>
                    <w:top w:val="nil"/>
                    <w:left w:val="nil"/>
                    <w:bottom w:val="single" w:sz="4" w:space="0" w:color="auto"/>
                    <w:right w:val="single" w:sz="4" w:space="0" w:color="auto"/>
                  </w:tcBorders>
                  <w:shd w:val="clear" w:color="auto" w:fill="auto"/>
                  <w:noWrap/>
                  <w:vAlign w:val="bottom"/>
                  <w:hideMark/>
                </w:tcPr>
                <w:p w14:paraId="62297701" w14:textId="4603D16A" w:rsidR="00957364" w:rsidRPr="006718BA" w:rsidRDefault="00D62417" w:rsidP="00B213EE">
                  <w:pPr>
                    <w:spacing w:after="0"/>
                    <w:jc w:val="center"/>
                    <w:rPr>
                      <w:rFonts w:eastAsia="Times New Roman"/>
                      <w:color w:val="000000"/>
                      <w:szCs w:val="24"/>
                      <w:lang w:eastAsia="en-GB"/>
                    </w:rPr>
                  </w:pPr>
                  <w:r w:rsidRPr="006718BA">
                    <w:rPr>
                      <w:rFonts w:eastAsia="Times New Roman"/>
                      <w:color w:val="000000"/>
                      <w:szCs w:val="24"/>
                      <w:lang w:eastAsia="en-GB"/>
                    </w:rPr>
                    <w:t>2.2</w:t>
                  </w:r>
                  <w:r w:rsidR="00957364" w:rsidRPr="006718BA">
                    <w:rPr>
                      <w:rFonts w:eastAsia="Times New Roman"/>
                      <w:color w:val="000000"/>
                      <w:szCs w:val="24"/>
                      <w:lang w:eastAsia="en-GB"/>
                    </w:rPr>
                    <w:t>%</w:t>
                  </w:r>
                </w:p>
              </w:tc>
            </w:tr>
            <w:tr w:rsidR="00957364" w:rsidRPr="006718BA" w14:paraId="3081939F"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6D0A918"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6</w:t>
                  </w:r>
                </w:p>
              </w:tc>
              <w:tc>
                <w:tcPr>
                  <w:tcW w:w="3480" w:type="dxa"/>
                  <w:tcBorders>
                    <w:top w:val="nil"/>
                    <w:left w:val="nil"/>
                    <w:bottom w:val="single" w:sz="4" w:space="0" w:color="auto"/>
                    <w:right w:val="single" w:sz="4" w:space="0" w:color="auto"/>
                  </w:tcBorders>
                  <w:shd w:val="clear" w:color="auto" w:fill="auto"/>
                  <w:vAlign w:val="bottom"/>
                  <w:hideMark/>
                </w:tcPr>
                <w:p w14:paraId="1DF3EE57"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320B334F" w14:textId="7DE66D0C"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72BC1DE9" w14:textId="6EBF43F2"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1</w:t>
                  </w:r>
                  <w:r w:rsidR="00AB5986" w:rsidRPr="006718BA">
                    <w:rPr>
                      <w:rFonts w:eastAsia="Times New Roman"/>
                      <w:color w:val="000000"/>
                      <w:szCs w:val="24"/>
                      <w:lang w:eastAsia="en-GB"/>
                    </w:rPr>
                    <w:t>34</w:t>
                  </w:r>
                </w:p>
              </w:tc>
              <w:tc>
                <w:tcPr>
                  <w:tcW w:w="2380" w:type="dxa"/>
                  <w:tcBorders>
                    <w:top w:val="nil"/>
                    <w:left w:val="nil"/>
                    <w:bottom w:val="single" w:sz="4" w:space="0" w:color="auto"/>
                    <w:right w:val="single" w:sz="4" w:space="0" w:color="auto"/>
                  </w:tcBorders>
                  <w:shd w:val="clear" w:color="auto" w:fill="auto"/>
                  <w:noWrap/>
                  <w:vAlign w:val="bottom"/>
                  <w:hideMark/>
                </w:tcPr>
                <w:p w14:paraId="35D46709" w14:textId="1B85ABE6"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1.5</w:t>
                  </w:r>
                  <w:r w:rsidR="00957364" w:rsidRPr="006718BA">
                    <w:rPr>
                      <w:rFonts w:eastAsia="Times New Roman"/>
                      <w:color w:val="000000"/>
                      <w:szCs w:val="24"/>
                      <w:lang w:eastAsia="en-GB"/>
                    </w:rPr>
                    <w:t>%</w:t>
                  </w:r>
                </w:p>
              </w:tc>
            </w:tr>
            <w:tr w:rsidR="00957364" w:rsidRPr="006718BA" w14:paraId="6171738F"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608FBF2"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7</w:t>
                  </w:r>
                </w:p>
              </w:tc>
              <w:tc>
                <w:tcPr>
                  <w:tcW w:w="3480" w:type="dxa"/>
                  <w:tcBorders>
                    <w:top w:val="nil"/>
                    <w:left w:val="nil"/>
                    <w:bottom w:val="single" w:sz="4" w:space="0" w:color="auto"/>
                    <w:right w:val="single" w:sz="4" w:space="0" w:color="auto"/>
                  </w:tcBorders>
                  <w:shd w:val="clear" w:color="auto" w:fill="auto"/>
                  <w:vAlign w:val="bottom"/>
                  <w:hideMark/>
                </w:tcPr>
                <w:p w14:paraId="51B6742A"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5F9355D5" w14:textId="6EB7E1FD" w:rsidR="00957364" w:rsidRPr="006718BA" w:rsidRDefault="00EA27E3" w:rsidP="00CA5993">
                  <w:pPr>
                    <w:spacing w:after="0"/>
                    <w:jc w:val="center"/>
                    <w:rPr>
                      <w:rFonts w:eastAsia="Times New Roman"/>
                      <w:color w:val="000000"/>
                      <w:szCs w:val="24"/>
                      <w:lang w:eastAsia="en-GB"/>
                    </w:rPr>
                  </w:pPr>
                  <w:r w:rsidRPr="006718BA">
                    <w:rPr>
                      <w:rFonts w:eastAsia="Times New Roman"/>
                      <w:color w:val="000000"/>
                      <w:szCs w:val="24"/>
                      <w:lang w:eastAsia="en-GB"/>
                    </w:rPr>
                    <w:t>7</w:t>
                  </w:r>
                </w:p>
              </w:tc>
              <w:tc>
                <w:tcPr>
                  <w:tcW w:w="2840" w:type="dxa"/>
                  <w:tcBorders>
                    <w:top w:val="nil"/>
                    <w:left w:val="nil"/>
                    <w:bottom w:val="single" w:sz="4" w:space="0" w:color="auto"/>
                    <w:right w:val="single" w:sz="4" w:space="0" w:color="auto"/>
                  </w:tcBorders>
                  <w:shd w:val="clear" w:color="auto" w:fill="auto"/>
                  <w:noWrap/>
                  <w:vAlign w:val="bottom"/>
                  <w:hideMark/>
                </w:tcPr>
                <w:p w14:paraId="3250BFC5" w14:textId="1F65A025"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1</w:t>
                  </w:r>
                  <w:r w:rsidR="00AB5986" w:rsidRPr="006718BA">
                    <w:rPr>
                      <w:rFonts w:eastAsia="Times New Roman"/>
                      <w:color w:val="000000"/>
                      <w:szCs w:val="24"/>
                      <w:lang w:eastAsia="en-GB"/>
                    </w:rPr>
                    <w:t>44</w:t>
                  </w:r>
                </w:p>
              </w:tc>
              <w:tc>
                <w:tcPr>
                  <w:tcW w:w="2380" w:type="dxa"/>
                  <w:tcBorders>
                    <w:top w:val="nil"/>
                    <w:left w:val="nil"/>
                    <w:bottom w:val="single" w:sz="4" w:space="0" w:color="auto"/>
                    <w:right w:val="single" w:sz="4" w:space="0" w:color="auto"/>
                  </w:tcBorders>
                  <w:shd w:val="clear" w:color="auto" w:fill="auto"/>
                  <w:noWrap/>
                  <w:vAlign w:val="bottom"/>
                  <w:hideMark/>
                </w:tcPr>
                <w:p w14:paraId="5ED9B7EA" w14:textId="7C94B94E" w:rsidR="00957364" w:rsidRPr="006718BA" w:rsidRDefault="00EA27E3" w:rsidP="00B213EE">
                  <w:pPr>
                    <w:spacing w:after="0"/>
                    <w:jc w:val="center"/>
                    <w:rPr>
                      <w:rFonts w:eastAsia="Times New Roman"/>
                      <w:color w:val="000000"/>
                      <w:szCs w:val="24"/>
                      <w:lang w:eastAsia="en-GB"/>
                    </w:rPr>
                  </w:pPr>
                  <w:r w:rsidRPr="006718BA">
                    <w:rPr>
                      <w:rFonts w:eastAsia="Times New Roman"/>
                      <w:color w:val="000000"/>
                      <w:szCs w:val="24"/>
                      <w:lang w:eastAsia="en-GB"/>
                    </w:rPr>
                    <w:t>4.</w:t>
                  </w:r>
                  <w:r w:rsidR="00031365" w:rsidRPr="006718BA">
                    <w:rPr>
                      <w:rFonts w:eastAsia="Times New Roman"/>
                      <w:color w:val="000000"/>
                      <w:szCs w:val="24"/>
                      <w:lang w:eastAsia="en-GB"/>
                    </w:rPr>
                    <w:t>9</w:t>
                  </w:r>
                  <w:r w:rsidRPr="006718BA">
                    <w:rPr>
                      <w:rFonts w:eastAsia="Times New Roman"/>
                      <w:color w:val="000000"/>
                      <w:szCs w:val="24"/>
                      <w:lang w:eastAsia="en-GB"/>
                    </w:rPr>
                    <w:t>%</w:t>
                  </w:r>
                </w:p>
              </w:tc>
            </w:tr>
            <w:tr w:rsidR="00957364" w:rsidRPr="006718BA" w14:paraId="2438A6B4"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86B0FD6"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8a</w:t>
                  </w:r>
                </w:p>
              </w:tc>
              <w:tc>
                <w:tcPr>
                  <w:tcW w:w="3480" w:type="dxa"/>
                  <w:tcBorders>
                    <w:top w:val="nil"/>
                    <w:left w:val="nil"/>
                    <w:bottom w:val="single" w:sz="4" w:space="0" w:color="auto"/>
                    <w:right w:val="single" w:sz="4" w:space="0" w:color="auto"/>
                  </w:tcBorders>
                  <w:shd w:val="clear" w:color="auto" w:fill="auto"/>
                  <w:vAlign w:val="bottom"/>
                  <w:hideMark/>
                </w:tcPr>
                <w:p w14:paraId="1E4B6B3F"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4E5E15F2" w14:textId="3919738E" w:rsidR="00957364" w:rsidRPr="006718BA" w:rsidRDefault="00AB5986" w:rsidP="00CA5993">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0A7CB863" w14:textId="2072D818" w:rsidR="00957364" w:rsidRPr="006718BA" w:rsidRDefault="00AB5986" w:rsidP="00BA1EE7">
                  <w:pPr>
                    <w:spacing w:after="0"/>
                    <w:jc w:val="center"/>
                    <w:rPr>
                      <w:rFonts w:eastAsia="Times New Roman"/>
                      <w:color w:val="000000"/>
                      <w:szCs w:val="24"/>
                      <w:lang w:eastAsia="en-GB"/>
                    </w:rPr>
                  </w:pPr>
                  <w:r w:rsidRPr="006718BA">
                    <w:rPr>
                      <w:rFonts w:eastAsia="Times New Roman"/>
                      <w:color w:val="000000"/>
                      <w:szCs w:val="24"/>
                      <w:lang w:eastAsia="en-GB"/>
                    </w:rPr>
                    <w:t>111</w:t>
                  </w:r>
                </w:p>
              </w:tc>
              <w:tc>
                <w:tcPr>
                  <w:tcW w:w="2380" w:type="dxa"/>
                  <w:tcBorders>
                    <w:top w:val="nil"/>
                    <w:left w:val="nil"/>
                    <w:bottom w:val="single" w:sz="4" w:space="0" w:color="auto"/>
                    <w:right w:val="single" w:sz="4" w:space="0" w:color="auto"/>
                  </w:tcBorders>
                  <w:shd w:val="clear" w:color="auto" w:fill="auto"/>
                  <w:noWrap/>
                  <w:vAlign w:val="bottom"/>
                  <w:hideMark/>
                </w:tcPr>
                <w:p w14:paraId="6DBA6EC6" w14:textId="70D8CB76"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0</w:t>
                  </w:r>
                  <w:r w:rsidR="00957364" w:rsidRPr="006718BA">
                    <w:rPr>
                      <w:rFonts w:eastAsia="Times New Roman"/>
                      <w:color w:val="000000"/>
                      <w:szCs w:val="24"/>
                      <w:lang w:eastAsia="en-GB"/>
                    </w:rPr>
                    <w:t>%</w:t>
                  </w:r>
                </w:p>
              </w:tc>
            </w:tr>
            <w:tr w:rsidR="00957364" w:rsidRPr="006718BA" w14:paraId="4EF8B0E1"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C601C23"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8b</w:t>
                  </w:r>
                </w:p>
              </w:tc>
              <w:tc>
                <w:tcPr>
                  <w:tcW w:w="3480" w:type="dxa"/>
                  <w:tcBorders>
                    <w:top w:val="nil"/>
                    <w:left w:val="nil"/>
                    <w:bottom w:val="single" w:sz="4" w:space="0" w:color="auto"/>
                    <w:right w:val="single" w:sz="4" w:space="0" w:color="auto"/>
                  </w:tcBorders>
                  <w:shd w:val="clear" w:color="auto" w:fill="auto"/>
                  <w:vAlign w:val="bottom"/>
                  <w:hideMark/>
                </w:tcPr>
                <w:p w14:paraId="7E242EE5"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4D2812A2" w14:textId="7E117ADC"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155FAC0B" w14:textId="4802574B"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66</w:t>
                  </w:r>
                </w:p>
              </w:tc>
              <w:tc>
                <w:tcPr>
                  <w:tcW w:w="2380" w:type="dxa"/>
                  <w:tcBorders>
                    <w:top w:val="nil"/>
                    <w:left w:val="nil"/>
                    <w:bottom w:val="single" w:sz="4" w:space="0" w:color="auto"/>
                    <w:right w:val="single" w:sz="4" w:space="0" w:color="auto"/>
                  </w:tcBorders>
                  <w:shd w:val="clear" w:color="auto" w:fill="auto"/>
                  <w:noWrap/>
                  <w:vAlign w:val="bottom"/>
                  <w:hideMark/>
                </w:tcPr>
                <w:p w14:paraId="1257D7A6" w14:textId="7095D9C6"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1.</w:t>
                  </w:r>
                  <w:r w:rsidR="00AB5986" w:rsidRPr="006718BA">
                    <w:rPr>
                      <w:rFonts w:eastAsia="Times New Roman"/>
                      <w:color w:val="000000"/>
                      <w:szCs w:val="24"/>
                      <w:lang w:eastAsia="en-GB"/>
                    </w:rPr>
                    <w:t>5</w:t>
                  </w:r>
                  <w:r w:rsidRPr="006718BA">
                    <w:rPr>
                      <w:rFonts w:eastAsia="Times New Roman"/>
                      <w:color w:val="000000"/>
                      <w:szCs w:val="24"/>
                      <w:lang w:eastAsia="en-GB"/>
                    </w:rPr>
                    <w:t>%</w:t>
                  </w:r>
                </w:p>
              </w:tc>
            </w:tr>
            <w:tr w:rsidR="00957364" w:rsidRPr="006718BA" w14:paraId="144E7DFA"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5A67CB5"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8c</w:t>
                  </w:r>
                </w:p>
              </w:tc>
              <w:tc>
                <w:tcPr>
                  <w:tcW w:w="3480" w:type="dxa"/>
                  <w:tcBorders>
                    <w:top w:val="nil"/>
                    <w:left w:val="nil"/>
                    <w:bottom w:val="single" w:sz="4" w:space="0" w:color="auto"/>
                    <w:right w:val="single" w:sz="4" w:space="0" w:color="auto"/>
                  </w:tcBorders>
                  <w:shd w:val="clear" w:color="auto" w:fill="auto"/>
                  <w:vAlign w:val="bottom"/>
                  <w:hideMark/>
                </w:tcPr>
                <w:p w14:paraId="4F0B04D8"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74C5AB2E" w14:textId="55FBF337"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5E45064F" w14:textId="38B49E34"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52</w:t>
                  </w:r>
                </w:p>
              </w:tc>
              <w:tc>
                <w:tcPr>
                  <w:tcW w:w="2380" w:type="dxa"/>
                  <w:tcBorders>
                    <w:top w:val="nil"/>
                    <w:left w:val="nil"/>
                    <w:bottom w:val="single" w:sz="4" w:space="0" w:color="auto"/>
                    <w:right w:val="single" w:sz="4" w:space="0" w:color="auto"/>
                  </w:tcBorders>
                  <w:shd w:val="clear" w:color="auto" w:fill="auto"/>
                  <w:noWrap/>
                  <w:vAlign w:val="bottom"/>
                  <w:hideMark/>
                </w:tcPr>
                <w:p w14:paraId="190FF59E" w14:textId="3FD06542"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1.9</w:t>
                  </w:r>
                  <w:r w:rsidR="00957364" w:rsidRPr="006718BA">
                    <w:rPr>
                      <w:rFonts w:eastAsia="Times New Roman"/>
                      <w:color w:val="000000"/>
                      <w:szCs w:val="24"/>
                      <w:lang w:eastAsia="en-GB"/>
                    </w:rPr>
                    <w:t>%</w:t>
                  </w:r>
                </w:p>
              </w:tc>
            </w:tr>
            <w:tr w:rsidR="00957364" w:rsidRPr="006718BA" w14:paraId="7BCBD0C8"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2438F8D"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8d</w:t>
                  </w:r>
                </w:p>
              </w:tc>
              <w:tc>
                <w:tcPr>
                  <w:tcW w:w="3480" w:type="dxa"/>
                  <w:tcBorders>
                    <w:top w:val="nil"/>
                    <w:left w:val="nil"/>
                    <w:bottom w:val="single" w:sz="4" w:space="0" w:color="auto"/>
                    <w:right w:val="single" w:sz="4" w:space="0" w:color="auto"/>
                  </w:tcBorders>
                  <w:shd w:val="clear" w:color="auto" w:fill="auto"/>
                  <w:vAlign w:val="bottom"/>
                  <w:hideMark/>
                </w:tcPr>
                <w:p w14:paraId="14E6E2C0"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7895A102" w14:textId="77777777" w:rsidR="00957364" w:rsidRPr="006718BA" w:rsidRDefault="00957364" w:rsidP="00CA5993">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1F4ED1F3" w14:textId="3FDE777B"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42</w:t>
                  </w:r>
                </w:p>
              </w:tc>
              <w:tc>
                <w:tcPr>
                  <w:tcW w:w="2380" w:type="dxa"/>
                  <w:tcBorders>
                    <w:top w:val="nil"/>
                    <w:left w:val="nil"/>
                    <w:bottom w:val="single" w:sz="4" w:space="0" w:color="auto"/>
                    <w:right w:val="single" w:sz="4" w:space="0" w:color="auto"/>
                  </w:tcBorders>
                  <w:shd w:val="clear" w:color="auto" w:fill="auto"/>
                  <w:noWrap/>
                  <w:vAlign w:val="bottom"/>
                  <w:hideMark/>
                </w:tcPr>
                <w:p w14:paraId="2DD91372" w14:textId="580F5723"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957364" w:rsidRPr="006718BA" w14:paraId="6A4AD0AF"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51576BA"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9</w:t>
                  </w:r>
                </w:p>
              </w:tc>
              <w:tc>
                <w:tcPr>
                  <w:tcW w:w="3480" w:type="dxa"/>
                  <w:tcBorders>
                    <w:top w:val="nil"/>
                    <w:left w:val="nil"/>
                    <w:bottom w:val="single" w:sz="4" w:space="0" w:color="auto"/>
                    <w:right w:val="single" w:sz="4" w:space="0" w:color="auto"/>
                  </w:tcBorders>
                  <w:shd w:val="clear" w:color="auto" w:fill="auto"/>
                  <w:vAlign w:val="bottom"/>
                  <w:hideMark/>
                </w:tcPr>
                <w:p w14:paraId="337890F7"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335E33F1" w14:textId="77777777" w:rsidR="00957364" w:rsidRPr="006718BA" w:rsidRDefault="00957364" w:rsidP="00CA5993">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3FFB60B8" w14:textId="549A7BF4"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8</w:t>
                  </w:r>
                </w:p>
              </w:tc>
              <w:tc>
                <w:tcPr>
                  <w:tcW w:w="2380" w:type="dxa"/>
                  <w:tcBorders>
                    <w:top w:val="nil"/>
                    <w:left w:val="nil"/>
                    <w:bottom w:val="single" w:sz="4" w:space="0" w:color="auto"/>
                    <w:right w:val="single" w:sz="4" w:space="0" w:color="auto"/>
                  </w:tcBorders>
                  <w:shd w:val="clear" w:color="auto" w:fill="auto"/>
                  <w:noWrap/>
                  <w:vAlign w:val="bottom"/>
                  <w:hideMark/>
                </w:tcPr>
                <w:p w14:paraId="29BA4737" w14:textId="6FB9C97D"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957364" w:rsidRPr="006718BA" w14:paraId="3AEA2960"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334C342"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Medical and consultant</w:t>
                  </w:r>
                </w:p>
              </w:tc>
              <w:tc>
                <w:tcPr>
                  <w:tcW w:w="3480" w:type="dxa"/>
                  <w:tcBorders>
                    <w:top w:val="nil"/>
                    <w:left w:val="nil"/>
                    <w:bottom w:val="single" w:sz="4" w:space="0" w:color="auto"/>
                    <w:right w:val="single" w:sz="4" w:space="0" w:color="auto"/>
                  </w:tcBorders>
                  <w:shd w:val="clear" w:color="auto" w:fill="auto"/>
                  <w:vAlign w:val="bottom"/>
                  <w:hideMark/>
                </w:tcPr>
                <w:p w14:paraId="2A339438" w14:textId="548C0879" w:rsidR="00957364"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 xml:space="preserve">None </w:t>
                  </w:r>
                  <w:r w:rsidR="00957364"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17C9E8A3" w14:textId="77777777" w:rsidR="00957364" w:rsidRPr="006718BA" w:rsidRDefault="00957364" w:rsidP="00CA5993">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37EE62D9" w14:textId="45922A6A"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380" w:type="dxa"/>
                  <w:tcBorders>
                    <w:top w:val="nil"/>
                    <w:left w:val="nil"/>
                    <w:bottom w:val="single" w:sz="4" w:space="0" w:color="auto"/>
                    <w:right w:val="single" w:sz="4" w:space="0" w:color="auto"/>
                  </w:tcBorders>
                  <w:shd w:val="clear" w:color="auto" w:fill="auto"/>
                  <w:noWrap/>
                  <w:vAlign w:val="bottom"/>
                  <w:hideMark/>
                </w:tcPr>
                <w:p w14:paraId="4F52EA0F" w14:textId="09D97082"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957364" w:rsidRPr="006718BA" w14:paraId="2B8AEF83"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4421F3E"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VSM</w:t>
                  </w:r>
                </w:p>
              </w:tc>
              <w:tc>
                <w:tcPr>
                  <w:tcW w:w="3480" w:type="dxa"/>
                  <w:tcBorders>
                    <w:top w:val="nil"/>
                    <w:left w:val="nil"/>
                    <w:bottom w:val="single" w:sz="4" w:space="0" w:color="auto"/>
                    <w:right w:val="single" w:sz="4" w:space="0" w:color="auto"/>
                  </w:tcBorders>
                  <w:shd w:val="clear" w:color="auto" w:fill="auto"/>
                  <w:vAlign w:val="bottom"/>
                  <w:hideMark/>
                </w:tcPr>
                <w:p w14:paraId="37B55F6C"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w:t>
                  </w:r>
                </w:p>
              </w:tc>
              <w:tc>
                <w:tcPr>
                  <w:tcW w:w="2440" w:type="dxa"/>
                  <w:tcBorders>
                    <w:top w:val="nil"/>
                    <w:left w:val="nil"/>
                    <w:bottom w:val="single" w:sz="4" w:space="0" w:color="auto"/>
                    <w:right w:val="single" w:sz="4" w:space="0" w:color="auto"/>
                  </w:tcBorders>
                  <w:shd w:val="clear" w:color="auto" w:fill="auto"/>
                  <w:noWrap/>
                  <w:vAlign w:val="bottom"/>
                  <w:hideMark/>
                </w:tcPr>
                <w:p w14:paraId="441A7A2A" w14:textId="1B657CF6"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46CD857C" w14:textId="1371F821"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25</w:t>
                  </w:r>
                </w:p>
              </w:tc>
              <w:tc>
                <w:tcPr>
                  <w:tcW w:w="2380" w:type="dxa"/>
                  <w:tcBorders>
                    <w:top w:val="nil"/>
                    <w:left w:val="nil"/>
                    <w:bottom w:val="single" w:sz="4" w:space="0" w:color="auto"/>
                    <w:right w:val="single" w:sz="4" w:space="0" w:color="auto"/>
                  </w:tcBorders>
                  <w:shd w:val="clear" w:color="auto" w:fill="auto"/>
                  <w:noWrap/>
                  <w:vAlign w:val="bottom"/>
                  <w:hideMark/>
                </w:tcPr>
                <w:p w14:paraId="5586B2EC" w14:textId="03AFA0D5" w:rsidR="00957364" w:rsidRPr="006718BA" w:rsidRDefault="00AB5986" w:rsidP="00B213EE">
                  <w:pPr>
                    <w:spacing w:after="0"/>
                    <w:jc w:val="center"/>
                    <w:rPr>
                      <w:rFonts w:eastAsia="Times New Roman"/>
                      <w:color w:val="000000"/>
                      <w:szCs w:val="24"/>
                      <w:lang w:eastAsia="en-GB"/>
                    </w:rPr>
                  </w:pPr>
                  <w:r w:rsidRPr="006718BA">
                    <w:rPr>
                      <w:rFonts w:eastAsia="Times New Roman"/>
                      <w:color w:val="000000"/>
                      <w:szCs w:val="24"/>
                      <w:lang w:eastAsia="en-GB"/>
                    </w:rPr>
                    <w:t>4</w:t>
                  </w:r>
                  <w:r w:rsidR="00957364" w:rsidRPr="006718BA">
                    <w:rPr>
                      <w:rFonts w:eastAsia="Times New Roman"/>
                      <w:color w:val="000000"/>
                      <w:szCs w:val="24"/>
                      <w:lang w:eastAsia="en-GB"/>
                    </w:rPr>
                    <w:t>%</w:t>
                  </w:r>
                </w:p>
              </w:tc>
            </w:tr>
            <w:tr w:rsidR="00957364" w:rsidRPr="006718BA" w14:paraId="061D1C55"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C133E06"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MQ00</w:t>
                  </w:r>
                </w:p>
              </w:tc>
              <w:tc>
                <w:tcPr>
                  <w:tcW w:w="3480" w:type="dxa"/>
                  <w:tcBorders>
                    <w:top w:val="nil"/>
                    <w:left w:val="nil"/>
                    <w:bottom w:val="single" w:sz="4" w:space="0" w:color="auto"/>
                    <w:right w:val="single" w:sz="4" w:space="0" w:color="auto"/>
                  </w:tcBorders>
                  <w:shd w:val="clear" w:color="auto" w:fill="auto"/>
                  <w:vAlign w:val="bottom"/>
                  <w:hideMark/>
                </w:tcPr>
                <w:p w14:paraId="593F1FF4" w14:textId="77777777" w:rsidR="00957364" w:rsidRPr="006718BA" w:rsidRDefault="00957364" w:rsidP="00B213EE">
                  <w:pPr>
                    <w:spacing w:after="0"/>
                    <w:rPr>
                      <w:rFonts w:eastAsia="Times New Roman"/>
                      <w:color w:val="000000"/>
                      <w:szCs w:val="24"/>
                      <w:lang w:eastAsia="en-GB"/>
                    </w:rPr>
                  </w:pPr>
                  <w:r w:rsidRPr="006718BA">
                    <w:rPr>
                      <w:rFonts w:eastAsia="Times New Roman"/>
                      <w:color w:val="000000"/>
                      <w:szCs w:val="24"/>
                      <w:lang w:eastAsia="en-GB"/>
                    </w:rPr>
                    <w:t xml:space="preserve">Clinical roles only </w:t>
                  </w:r>
                </w:p>
              </w:tc>
              <w:tc>
                <w:tcPr>
                  <w:tcW w:w="2440" w:type="dxa"/>
                  <w:tcBorders>
                    <w:top w:val="nil"/>
                    <w:left w:val="nil"/>
                    <w:bottom w:val="single" w:sz="4" w:space="0" w:color="auto"/>
                    <w:right w:val="single" w:sz="4" w:space="0" w:color="auto"/>
                  </w:tcBorders>
                  <w:shd w:val="clear" w:color="auto" w:fill="auto"/>
                  <w:noWrap/>
                  <w:vAlign w:val="bottom"/>
                  <w:hideMark/>
                </w:tcPr>
                <w:p w14:paraId="65B9C12F" w14:textId="2DC31573" w:rsidR="00957364"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hideMark/>
                </w:tcPr>
                <w:p w14:paraId="22351758" w14:textId="1504182B" w:rsidR="00957364"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12</w:t>
                  </w:r>
                </w:p>
              </w:tc>
              <w:tc>
                <w:tcPr>
                  <w:tcW w:w="2380" w:type="dxa"/>
                  <w:tcBorders>
                    <w:top w:val="nil"/>
                    <w:left w:val="nil"/>
                    <w:bottom w:val="single" w:sz="4" w:space="0" w:color="auto"/>
                    <w:right w:val="single" w:sz="4" w:space="0" w:color="auto"/>
                  </w:tcBorders>
                  <w:shd w:val="clear" w:color="auto" w:fill="auto"/>
                  <w:noWrap/>
                  <w:vAlign w:val="bottom"/>
                  <w:hideMark/>
                </w:tcPr>
                <w:p w14:paraId="69CD5AB1" w14:textId="248A2FBA" w:rsidR="00957364"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16.</w:t>
                  </w:r>
                  <w:r w:rsidR="00031365" w:rsidRPr="006718BA">
                    <w:rPr>
                      <w:rFonts w:eastAsia="Times New Roman"/>
                      <w:color w:val="000000"/>
                      <w:szCs w:val="24"/>
                      <w:lang w:eastAsia="en-GB"/>
                    </w:rPr>
                    <w:t>7</w:t>
                  </w:r>
                  <w:r w:rsidR="00957364" w:rsidRPr="006718BA">
                    <w:rPr>
                      <w:rFonts w:eastAsia="Times New Roman"/>
                      <w:color w:val="000000"/>
                      <w:szCs w:val="24"/>
                      <w:lang w:eastAsia="en-GB"/>
                    </w:rPr>
                    <w:t>%</w:t>
                  </w:r>
                </w:p>
              </w:tc>
            </w:tr>
            <w:tr w:rsidR="008D031A" w:rsidRPr="006718BA" w14:paraId="4FB007F2" w14:textId="77777777" w:rsidTr="00B213EE">
              <w:trPr>
                <w:trHeight w:val="290"/>
              </w:trPr>
              <w:tc>
                <w:tcPr>
                  <w:tcW w:w="3480" w:type="dxa"/>
                  <w:tcBorders>
                    <w:top w:val="nil"/>
                    <w:left w:val="single" w:sz="4" w:space="0" w:color="auto"/>
                    <w:bottom w:val="single" w:sz="4" w:space="0" w:color="auto"/>
                    <w:right w:val="single" w:sz="4" w:space="0" w:color="auto"/>
                  </w:tcBorders>
                  <w:shd w:val="clear" w:color="auto" w:fill="auto"/>
                  <w:noWrap/>
                  <w:vAlign w:val="bottom"/>
                </w:tcPr>
                <w:p w14:paraId="0817347A" w14:textId="621C4E21"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MQ00</w:t>
                  </w:r>
                </w:p>
              </w:tc>
              <w:tc>
                <w:tcPr>
                  <w:tcW w:w="3480" w:type="dxa"/>
                  <w:tcBorders>
                    <w:top w:val="nil"/>
                    <w:left w:val="nil"/>
                    <w:bottom w:val="single" w:sz="4" w:space="0" w:color="auto"/>
                    <w:right w:val="single" w:sz="4" w:space="0" w:color="auto"/>
                  </w:tcBorders>
                  <w:shd w:val="clear" w:color="auto" w:fill="auto"/>
                  <w:vAlign w:val="bottom"/>
                </w:tcPr>
                <w:p w14:paraId="7D44DC0C" w14:textId="4C66561A" w:rsidR="008D031A" w:rsidRPr="006718BA" w:rsidRDefault="008D031A" w:rsidP="00B213EE">
                  <w:pPr>
                    <w:spacing w:after="0"/>
                    <w:rPr>
                      <w:rFonts w:eastAsia="Times New Roman"/>
                      <w:color w:val="000000"/>
                      <w:szCs w:val="24"/>
                      <w:lang w:eastAsia="en-GB"/>
                    </w:rPr>
                  </w:pPr>
                  <w:r w:rsidRPr="006718BA">
                    <w:rPr>
                      <w:rFonts w:eastAsia="Times New Roman"/>
                      <w:color w:val="000000"/>
                      <w:szCs w:val="24"/>
                      <w:lang w:eastAsia="en-GB"/>
                    </w:rPr>
                    <w:t>Non</w:t>
                  </w:r>
                  <w:r w:rsidR="00365D94" w:rsidRPr="006718BA">
                    <w:rPr>
                      <w:rFonts w:eastAsia="Times New Roman"/>
                      <w:color w:val="000000"/>
                      <w:szCs w:val="24"/>
                      <w:lang w:eastAsia="en-GB"/>
                    </w:rPr>
                    <w:t xml:space="preserve"> -</w:t>
                  </w:r>
                  <w:r w:rsidRPr="006718BA">
                    <w:rPr>
                      <w:rFonts w:eastAsia="Times New Roman"/>
                      <w:color w:val="000000"/>
                      <w:szCs w:val="24"/>
                      <w:lang w:eastAsia="en-GB"/>
                    </w:rPr>
                    <w:t xml:space="preserve"> clinical roles </w:t>
                  </w:r>
                </w:p>
              </w:tc>
              <w:tc>
                <w:tcPr>
                  <w:tcW w:w="2440" w:type="dxa"/>
                  <w:tcBorders>
                    <w:top w:val="nil"/>
                    <w:left w:val="nil"/>
                    <w:bottom w:val="single" w:sz="4" w:space="0" w:color="auto"/>
                    <w:right w:val="single" w:sz="4" w:space="0" w:color="auto"/>
                  </w:tcBorders>
                  <w:shd w:val="clear" w:color="auto" w:fill="auto"/>
                  <w:noWrap/>
                  <w:vAlign w:val="bottom"/>
                </w:tcPr>
                <w:p w14:paraId="55BAAD3F" w14:textId="31B9B6B8" w:rsidR="008D031A" w:rsidRPr="006718BA" w:rsidRDefault="00CA5993" w:rsidP="00CA5993">
                  <w:pPr>
                    <w:spacing w:after="0"/>
                    <w:jc w:val="center"/>
                    <w:rPr>
                      <w:rFonts w:eastAsia="Times New Roman"/>
                      <w:color w:val="000000"/>
                      <w:szCs w:val="24"/>
                      <w:lang w:eastAsia="en-GB"/>
                    </w:rPr>
                  </w:pPr>
                  <w:r>
                    <w:rPr>
                      <w:rFonts w:eastAsia="Times New Roman"/>
                      <w:color w:val="000000"/>
                      <w:szCs w:val="24"/>
                      <w:lang w:eastAsia="en-GB"/>
                    </w:rPr>
                    <w:t>&lt;5</w:t>
                  </w:r>
                </w:p>
              </w:tc>
              <w:tc>
                <w:tcPr>
                  <w:tcW w:w="2840" w:type="dxa"/>
                  <w:tcBorders>
                    <w:top w:val="nil"/>
                    <w:left w:val="nil"/>
                    <w:bottom w:val="single" w:sz="4" w:space="0" w:color="auto"/>
                    <w:right w:val="single" w:sz="4" w:space="0" w:color="auto"/>
                  </w:tcBorders>
                  <w:shd w:val="clear" w:color="auto" w:fill="auto"/>
                  <w:noWrap/>
                  <w:vAlign w:val="bottom"/>
                </w:tcPr>
                <w:p w14:paraId="75953182" w14:textId="45AC896D"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11</w:t>
                  </w:r>
                </w:p>
              </w:tc>
              <w:tc>
                <w:tcPr>
                  <w:tcW w:w="2380" w:type="dxa"/>
                  <w:tcBorders>
                    <w:top w:val="nil"/>
                    <w:left w:val="nil"/>
                    <w:bottom w:val="single" w:sz="4" w:space="0" w:color="auto"/>
                    <w:right w:val="single" w:sz="4" w:space="0" w:color="auto"/>
                  </w:tcBorders>
                  <w:shd w:val="clear" w:color="auto" w:fill="auto"/>
                  <w:noWrap/>
                  <w:vAlign w:val="bottom"/>
                </w:tcPr>
                <w:p w14:paraId="77995071" w14:textId="6D044E03"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9.</w:t>
                  </w:r>
                  <w:r w:rsidR="00031365" w:rsidRPr="006718BA">
                    <w:rPr>
                      <w:rFonts w:eastAsia="Times New Roman"/>
                      <w:color w:val="000000"/>
                      <w:szCs w:val="24"/>
                      <w:lang w:eastAsia="en-GB"/>
                    </w:rPr>
                    <w:t>1</w:t>
                  </w:r>
                  <w:r w:rsidRPr="006718BA">
                    <w:rPr>
                      <w:rFonts w:eastAsia="Times New Roman"/>
                      <w:color w:val="000000"/>
                      <w:szCs w:val="24"/>
                      <w:lang w:eastAsia="en-GB"/>
                    </w:rPr>
                    <w:t>%</w:t>
                  </w:r>
                </w:p>
              </w:tc>
            </w:tr>
            <w:tr w:rsidR="00957364" w:rsidRPr="006718BA" w14:paraId="632122C4" w14:textId="77777777" w:rsidTr="00B213EE">
              <w:trPr>
                <w:trHeight w:val="87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5D4AF2A" w14:textId="01B8D438"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 xml:space="preserve">SQ00 </w:t>
                  </w:r>
                </w:p>
              </w:tc>
              <w:tc>
                <w:tcPr>
                  <w:tcW w:w="3480" w:type="dxa"/>
                  <w:tcBorders>
                    <w:top w:val="nil"/>
                    <w:left w:val="nil"/>
                    <w:bottom w:val="single" w:sz="4" w:space="0" w:color="auto"/>
                    <w:right w:val="single" w:sz="4" w:space="0" w:color="auto"/>
                  </w:tcBorders>
                  <w:shd w:val="clear" w:color="auto" w:fill="auto"/>
                  <w:vAlign w:val="bottom"/>
                  <w:hideMark/>
                </w:tcPr>
                <w:p w14:paraId="6B50A044" w14:textId="79053CD4" w:rsidR="00957364" w:rsidRPr="006718BA" w:rsidRDefault="008D031A" w:rsidP="00B213EE">
                  <w:pPr>
                    <w:spacing w:after="0"/>
                    <w:rPr>
                      <w:rFonts w:eastAsia="Times New Roman"/>
                      <w:color w:val="000000"/>
                      <w:szCs w:val="24"/>
                      <w:lang w:eastAsia="en-GB"/>
                    </w:rPr>
                  </w:pPr>
                  <w:r w:rsidRPr="006718BA">
                    <w:rPr>
                      <w:rFonts w:eastAsia="Times New Roman"/>
                      <w:color w:val="000000"/>
                      <w:szCs w:val="24"/>
                      <w:lang w:eastAsia="en-GB"/>
                    </w:rPr>
                    <w:t xml:space="preserve">Clinical roles only </w:t>
                  </w:r>
                </w:p>
              </w:tc>
              <w:tc>
                <w:tcPr>
                  <w:tcW w:w="2440" w:type="dxa"/>
                  <w:tcBorders>
                    <w:top w:val="nil"/>
                    <w:left w:val="nil"/>
                    <w:bottom w:val="single" w:sz="4" w:space="0" w:color="auto"/>
                    <w:right w:val="single" w:sz="4" w:space="0" w:color="auto"/>
                  </w:tcBorders>
                  <w:shd w:val="clear" w:color="auto" w:fill="auto"/>
                  <w:noWrap/>
                  <w:vAlign w:val="bottom"/>
                  <w:hideMark/>
                </w:tcPr>
                <w:p w14:paraId="0F2151E2"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0C4F0446" w14:textId="1149BF37" w:rsidR="00957364" w:rsidRPr="006718BA" w:rsidRDefault="00CA5993" w:rsidP="00365D94">
                  <w:pPr>
                    <w:spacing w:after="0"/>
                    <w:jc w:val="center"/>
                    <w:rPr>
                      <w:rFonts w:eastAsia="Times New Roman"/>
                      <w:color w:val="000000"/>
                      <w:szCs w:val="24"/>
                      <w:lang w:eastAsia="en-GB"/>
                    </w:rPr>
                  </w:pPr>
                  <w:r>
                    <w:rPr>
                      <w:rFonts w:eastAsia="Times New Roman"/>
                      <w:color w:val="000000"/>
                      <w:szCs w:val="24"/>
                      <w:lang w:eastAsia="en-GB"/>
                    </w:rPr>
                    <w:t>&lt;5</w:t>
                  </w:r>
                </w:p>
              </w:tc>
              <w:tc>
                <w:tcPr>
                  <w:tcW w:w="2380" w:type="dxa"/>
                  <w:tcBorders>
                    <w:top w:val="nil"/>
                    <w:left w:val="nil"/>
                    <w:bottom w:val="single" w:sz="4" w:space="0" w:color="auto"/>
                    <w:right w:val="single" w:sz="4" w:space="0" w:color="auto"/>
                  </w:tcBorders>
                  <w:shd w:val="clear" w:color="auto" w:fill="auto"/>
                  <w:noWrap/>
                  <w:vAlign w:val="bottom"/>
                  <w:hideMark/>
                </w:tcPr>
                <w:p w14:paraId="4E63BB9C" w14:textId="0FBB4E1D"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8D031A" w:rsidRPr="006718BA" w14:paraId="41050CD9" w14:textId="77777777" w:rsidTr="00B213EE">
              <w:trPr>
                <w:trHeight w:val="870"/>
              </w:trPr>
              <w:tc>
                <w:tcPr>
                  <w:tcW w:w="3480" w:type="dxa"/>
                  <w:tcBorders>
                    <w:top w:val="nil"/>
                    <w:left w:val="single" w:sz="4" w:space="0" w:color="auto"/>
                    <w:bottom w:val="single" w:sz="4" w:space="0" w:color="auto"/>
                    <w:right w:val="single" w:sz="4" w:space="0" w:color="auto"/>
                  </w:tcBorders>
                  <w:shd w:val="clear" w:color="auto" w:fill="auto"/>
                  <w:noWrap/>
                  <w:vAlign w:val="bottom"/>
                </w:tcPr>
                <w:p w14:paraId="1522550E" w14:textId="2AE782D3"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 xml:space="preserve">SQ00 </w:t>
                  </w:r>
                </w:p>
              </w:tc>
              <w:tc>
                <w:tcPr>
                  <w:tcW w:w="3480" w:type="dxa"/>
                  <w:tcBorders>
                    <w:top w:val="nil"/>
                    <w:left w:val="nil"/>
                    <w:bottom w:val="single" w:sz="4" w:space="0" w:color="auto"/>
                    <w:right w:val="single" w:sz="4" w:space="0" w:color="auto"/>
                  </w:tcBorders>
                  <w:shd w:val="clear" w:color="auto" w:fill="auto"/>
                  <w:vAlign w:val="bottom"/>
                </w:tcPr>
                <w:p w14:paraId="6125C0E4" w14:textId="1E2584CD" w:rsidR="008D031A" w:rsidRPr="006718BA" w:rsidRDefault="008D031A" w:rsidP="00B213EE">
                  <w:pPr>
                    <w:spacing w:after="0"/>
                    <w:rPr>
                      <w:rFonts w:eastAsia="Times New Roman"/>
                      <w:color w:val="000000"/>
                      <w:szCs w:val="24"/>
                      <w:lang w:eastAsia="en-GB"/>
                    </w:rPr>
                  </w:pPr>
                  <w:r w:rsidRPr="006718BA">
                    <w:rPr>
                      <w:rFonts w:eastAsia="Times New Roman"/>
                      <w:color w:val="000000"/>
                      <w:szCs w:val="24"/>
                      <w:lang w:eastAsia="en-GB"/>
                    </w:rPr>
                    <w:t>Non</w:t>
                  </w:r>
                  <w:r w:rsidR="00365D94" w:rsidRPr="006718BA">
                    <w:rPr>
                      <w:rFonts w:eastAsia="Times New Roman"/>
                      <w:color w:val="000000"/>
                      <w:szCs w:val="24"/>
                      <w:lang w:eastAsia="en-GB"/>
                    </w:rPr>
                    <w:t xml:space="preserve"> -</w:t>
                  </w:r>
                  <w:r w:rsidRPr="006718BA">
                    <w:rPr>
                      <w:rFonts w:eastAsia="Times New Roman"/>
                      <w:color w:val="000000"/>
                      <w:szCs w:val="24"/>
                      <w:lang w:eastAsia="en-GB"/>
                    </w:rPr>
                    <w:t xml:space="preserve"> clinical roles only </w:t>
                  </w:r>
                </w:p>
              </w:tc>
              <w:tc>
                <w:tcPr>
                  <w:tcW w:w="2440" w:type="dxa"/>
                  <w:tcBorders>
                    <w:top w:val="nil"/>
                    <w:left w:val="nil"/>
                    <w:bottom w:val="single" w:sz="4" w:space="0" w:color="auto"/>
                    <w:right w:val="single" w:sz="4" w:space="0" w:color="auto"/>
                  </w:tcBorders>
                  <w:shd w:val="clear" w:color="auto" w:fill="auto"/>
                  <w:noWrap/>
                  <w:vAlign w:val="bottom"/>
                </w:tcPr>
                <w:p w14:paraId="0065DD9F" w14:textId="206469D7" w:rsidR="008D031A" w:rsidRPr="006718BA" w:rsidRDefault="00365D9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tcPr>
                <w:p w14:paraId="5EF3DABA" w14:textId="1B5A79ED"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15</w:t>
                  </w:r>
                </w:p>
              </w:tc>
              <w:tc>
                <w:tcPr>
                  <w:tcW w:w="2380" w:type="dxa"/>
                  <w:tcBorders>
                    <w:top w:val="nil"/>
                    <w:left w:val="nil"/>
                    <w:bottom w:val="single" w:sz="4" w:space="0" w:color="auto"/>
                    <w:right w:val="single" w:sz="4" w:space="0" w:color="auto"/>
                  </w:tcBorders>
                  <w:shd w:val="clear" w:color="auto" w:fill="auto"/>
                  <w:noWrap/>
                  <w:vAlign w:val="bottom"/>
                </w:tcPr>
                <w:p w14:paraId="4C1AF3BA" w14:textId="5787EB5D" w:rsidR="008D031A"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r w:rsidR="00957364" w:rsidRPr="006718BA" w14:paraId="7B8DF822" w14:textId="77777777" w:rsidTr="00B213EE">
              <w:trPr>
                <w:trHeight w:val="58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93FA3E8"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WQ00</w:t>
                  </w:r>
                </w:p>
              </w:tc>
              <w:tc>
                <w:tcPr>
                  <w:tcW w:w="3480" w:type="dxa"/>
                  <w:tcBorders>
                    <w:top w:val="nil"/>
                    <w:left w:val="nil"/>
                    <w:bottom w:val="single" w:sz="4" w:space="0" w:color="auto"/>
                    <w:right w:val="single" w:sz="4" w:space="0" w:color="auto"/>
                  </w:tcBorders>
                  <w:shd w:val="clear" w:color="auto" w:fill="auto"/>
                  <w:vAlign w:val="bottom"/>
                  <w:hideMark/>
                </w:tcPr>
                <w:p w14:paraId="697FA191" w14:textId="43FF3A1C" w:rsidR="00957364" w:rsidRPr="006718BA" w:rsidRDefault="008D031A" w:rsidP="00B213EE">
                  <w:pPr>
                    <w:spacing w:after="0"/>
                    <w:rPr>
                      <w:rFonts w:eastAsia="Times New Roman"/>
                      <w:color w:val="000000"/>
                      <w:szCs w:val="24"/>
                      <w:lang w:eastAsia="en-GB"/>
                    </w:rPr>
                  </w:pPr>
                  <w:r w:rsidRPr="006718BA">
                    <w:rPr>
                      <w:rFonts w:eastAsia="Times New Roman"/>
                      <w:color w:val="000000"/>
                      <w:szCs w:val="24"/>
                      <w:lang w:eastAsia="en-GB"/>
                    </w:rPr>
                    <w:t xml:space="preserve">None </w:t>
                  </w:r>
                  <w:r w:rsidR="00957364" w:rsidRPr="006718BA">
                    <w:rPr>
                      <w:rFonts w:eastAsia="Times New Roman"/>
                      <w:color w:val="000000"/>
                      <w:szCs w:val="24"/>
                      <w:lang w:eastAsia="en-GB"/>
                    </w:rPr>
                    <w:t xml:space="preserve"> </w:t>
                  </w:r>
                </w:p>
              </w:tc>
              <w:tc>
                <w:tcPr>
                  <w:tcW w:w="2440" w:type="dxa"/>
                  <w:tcBorders>
                    <w:top w:val="nil"/>
                    <w:left w:val="nil"/>
                    <w:bottom w:val="single" w:sz="4" w:space="0" w:color="auto"/>
                    <w:right w:val="single" w:sz="4" w:space="0" w:color="auto"/>
                  </w:tcBorders>
                  <w:shd w:val="clear" w:color="auto" w:fill="auto"/>
                  <w:noWrap/>
                  <w:vAlign w:val="bottom"/>
                  <w:hideMark/>
                </w:tcPr>
                <w:p w14:paraId="606630E8" w14:textId="77777777"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840" w:type="dxa"/>
                  <w:tcBorders>
                    <w:top w:val="nil"/>
                    <w:left w:val="nil"/>
                    <w:bottom w:val="single" w:sz="4" w:space="0" w:color="auto"/>
                    <w:right w:val="single" w:sz="4" w:space="0" w:color="auto"/>
                  </w:tcBorders>
                  <w:shd w:val="clear" w:color="auto" w:fill="auto"/>
                  <w:noWrap/>
                  <w:vAlign w:val="bottom"/>
                  <w:hideMark/>
                </w:tcPr>
                <w:p w14:paraId="4B6F3070" w14:textId="3165292D" w:rsidR="00957364" w:rsidRPr="006718BA" w:rsidRDefault="008D031A"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c>
                <w:tcPr>
                  <w:tcW w:w="2380" w:type="dxa"/>
                  <w:tcBorders>
                    <w:top w:val="nil"/>
                    <w:left w:val="nil"/>
                    <w:bottom w:val="single" w:sz="4" w:space="0" w:color="auto"/>
                    <w:right w:val="single" w:sz="4" w:space="0" w:color="auto"/>
                  </w:tcBorders>
                  <w:shd w:val="clear" w:color="auto" w:fill="auto"/>
                  <w:noWrap/>
                  <w:vAlign w:val="bottom"/>
                  <w:hideMark/>
                </w:tcPr>
                <w:p w14:paraId="03A211B5" w14:textId="461FE515" w:rsidR="00957364" w:rsidRPr="006718BA" w:rsidRDefault="00957364" w:rsidP="00B213EE">
                  <w:pPr>
                    <w:spacing w:after="0"/>
                    <w:jc w:val="center"/>
                    <w:rPr>
                      <w:rFonts w:eastAsia="Times New Roman"/>
                      <w:color w:val="000000"/>
                      <w:szCs w:val="24"/>
                      <w:lang w:eastAsia="en-GB"/>
                    </w:rPr>
                  </w:pPr>
                  <w:r w:rsidRPr="006718BA">
                    <w:rPr>
                      <w:rFonts w:eastAsia="Times New Roman"/>
                      <w:color w:val="000000"/>
                      <w:szCs w:val="24"/>
                      <w:lang w:eastAsia="en-GB"/>
                    </w:rPr>
                    <w:t>0%</w:t>
                  </w:r>
                </w:p>
              </w:tc>
            </w:tr>
          </w:tbl>
          <w:p w14:paraId="7BCE9E27" w14:textId="77777777" w:rsidR="00957364" w:rsidRPr="006718BA" w:rsidRDefault="00957364" w:rsidP="00B213EE">
            <w:pPr>
              <w:rPr>
                <w:color w:val="FF0000"/>
                <w:szCs w:val="24"/>
              </w:rPr>
            </w:pPr>
          </w:p>
        </w:tc>
      </w:tr>
    </w:tbl>
    <w:p w14:paraId="5EEC33F2" w14:textId="77777777" w:rsidR="00957364" w:rsidRPr="006718BA" w:rsidRDefault="00957364" w:rsidP="00957364">
      <w:pPr>
        <w:jc w:val="center"/>
        <w:rPr>
          <w:b/>
          <w:szCs w:val="24"/>
        </w:rPr>
      </w:pPr>
    </w:p>
    <w:p w14:paraId="2691A5E1" w14:textId="77777777" w:rsidR="00957364" w:rsidRPr="006718BA" w:rsidRDefault="00957364" w:rsidP="00957364">
      <w:pPr>
        <w:rPr>
          <w:szCs w:val="24"/>
        </w:rPr>
      </w:pPr>
      <w:r w:rsidRPr="006718BA">
        <w:rPr>
          <w:szCs w:val="24"/>
        </w:rPr>
        <w:t xml:space="preserve">Note: Definitions for these categories are based on Electronic Staff Record occupation codes with the exception of medical and dental staff, which are based upon grade codes. </w:t>
      </w:r>
    </w:p>
    <w:p w14:paraId="0D3A84F4" w14:textId="77777777" w:rsidR="006718BA" w:rsidRDefault="006718BA" w:rsidP="00957364">
      <w:pPr>
        <w:rPr>
          <w:b/>
          <w:szCs w:val="24"/>
        </w:rPr>
      </w:pPr>
    </w:p>
    <w:p w14:paraId="5CB43CBE" w14:textId="77777777" w:rsidR="006718BA" w:rsidRDefault="006718BA" w:rsidP="00957364">
      <w:pPr>
        <w:rPr>
          <w:b/>
          <w:szCs w:val="24"/>
        </w:rPr>
      </w:pPr>
    </w:p>
    <w:p w14:paraId="3D75E48E" w14:textId="77777777" w:rsidR="006718BA" w:rsidRDefault="006718BA" w:rsidP="00957364">
      <w:pPr>
        <w:rPr>
          <w:b/>
          <w:szCs w:val="24"/>
        </w:rPr>
      </w:pPr>
    </w:p>
    <w:p w14:paraId="3C956FD9" w14:textId="098B3B7D" w:rsidR="00957364" w:rsidRPr="006718BA" w:rsidRDefault="00957364" w:rsidP="00957364">
      <w:pPr>
        <w:rPr>
          <w:b/>
          <w:szCs w:val="24"/>
        </w:rPr>
      </w:pPr>
      <w:r w:rsidRPr="006718BA">
        <w:rPr>
          <w:b/>
          <w:szCs w:val="24"/>
        </w:rPr>
        <w:t>Metric 2</w:t>
      </w:r>
    </w:p>
    <w:p w14:paraId="4BF099C5" w14:textId="6799F5F0" w:rsidR="00957364" w:rsidRPr="006718BA" w:rsidRDefault="00957364" w:rsidP="00957364">
      <w:pPr>
        <w:rPr>
          <w:b/>
          <w:szCs w:val="24"/>
        </w:rPr>
      </w:pPr>
      <w:r w:rsidRPr="006718BA">
        <w:rPr>
          <w:b/>
          <w:szCs w:val="24"/>
        </w:rPr>
        <w:t>Total application 1</w:t>
      </w:r>
      <w:r w:rsidRPr="006718BA">
        <w:rPr>
          <w:b/>
          <w:szCs w:val="24"/>
          <w:vertAlign w:val="superscript"/>
        </w:rPr>
        <w:t>st</w:t>
      </w:r>
      <w:r w:rsidRPr="006718BA">
        <w:rPr>
          <w:b/>
          <w:szCs w:val="24"/>
        </w:rPr>
        <w:t xml:space="preserve"> </w:t>
      </w:r>
      <w:r w:rsidR="002B3DF7" w:rsidRPr="006718BA">
        <w:rPr>
          <w:b/>
          <w:szCs w:val="24"/>
        </w:rPr>
        <w:t>April</w:t>
      </w:r>
      <w:r w:rsidRPr="006718BA">
        <w:rPr>
          <w:b/>
          <w:szCs w:val="24"/>
        </w:rPr>
        <w:t xml:space="preserve"> 202</w:t>
      </w:r>
      <w:r w:rsidR="008D031A" w:rsidRPr="006718BA">
        <w:rPr>
          <w:b/>
          <w:szCs w:val="24"/>
        </w:rPr>
        <w:t>3</w:t>
      </w:r>
      <w:r w:rsidRPr="006718BA">
        <w:rPr>
          <w:b/>
          <w:szCs w:val="24"/>
        </w:rPr>
        <w:t xml:space="preserve"> to 31</w:t>
      </w:r>
      <w:r w:rsidRPr="006718BA">
        <w:rPr>
          <w:b/>
          <w:szCs w:val="24"/>
          <w:vertAlign w:val="superscript"/>
        </w:rPr>
        <w:t>st</w:t>
      </w:r>
      <w:r w:rsidRPr="006718BA">
        <w:rPr>
          <w:b/>
          <w:szCs w:val="24"/>
        </w:rPr>
        <w:t xml:space="preserve"> March 2</w:t>
      </w:r>
      <w:r w:rsidR="008D031A" w:rsidRPr="006718BA">
        <w:rPr>
          <w:b/>
          <w:szCs w:val="24"/>
        </w:rPr>
        <w:t>4</w:t>
      </w:r>
      <w:r w:rsidRPr="006718BA">
        <w:rPr>
          <w:b/>
          <w:szCs w:val="24"/>
        </w:rPr>
        <w:t xml:space="preserve"> </w:t>
      </w:r>
    </w:p>
    <w:tbl>
      <w:tblPr>
        <w:tblStyle w:val="TableGrid"/>
        <w:tblW w:w="0" w:type="auto"/>
        <w:tblLook w:val="04A0" w:firstRow="1" w:lastRow="0" w:firstColumn="1" w:lastColumn="0" w:noHBand="0" w:noVBand="1"/>
      </w:tblPr>
      <w:tblGrid>
        <w:gridCol w:w="5051"/>
        <w:gridCol w:w="1873"/>
        <w:gridCol w:w="2092"/>
      </w:tblGrid>
      <w:tr w:rsidR="00957364" w:rsidRPr="006718BA" w14:paraId="415B2347" w14:textId="77777777" w:rsidTr="00B213EE">
        <w:tc>
          <w:tcPr>
            <w:tcW w:w="9016" w:type="dxa"/>
            <w:gridSpan w:val="3"/>
          </w:tcPr>
          <w:p w14:paraId="6847EE69" w14:textId="77777777" w:rsidR="00957364" w:rsidRPr="006718BA" w:rsidRDefault="00957364" w:rsidP="00B213EE">
            <w:pPr>
              <w:rPr>
                <w:szCs w:val="24"/>
              </w:rPr>
            </w:pPr>
            <w:r w:rsidRPr="006718BA">
              <w:rPr>
                <w:szCs w:val="24"/>
              </w:rPr>
              <w:t xml:space="preserve">Relative likelihood of staff being appointed from shortlisting across all </w:t>
            </w:r>
            <w:proofErr w:type="gramStart"/>
            <w:r w:rsidRPr="006718BA">
              <w:rPr>
                <w:szCs w:val="24"/>
              </w:rPr>
              <w:t>posts</w:t>
            </w:r>
            <w:proofErr w:type="gramEnd"/>
            <w:r w:rsidRPr="006718BA">
              <w:rPr>
                <w:szCs w:val="24"/>
              </w:rPr>
              <w:t xml:space="preserve"> </w:t>
            </w:r>
          </w:p>
          <w:p w14:paraId="2A9215CD" w14:textId="2C1223F0" w:rsidR="00957364" w:rsidRPr="006718BA" w:rsidRDefault="00B263D3" w:rsidP="00B213EE">
            <w:pPr>
              <w:rPr>
                <w:szCs w:val="24"/>
              </w:rPr>
            </w:pPr>
            <w:r w:rsidRPr="006718BA">
              <w:rPr>
                <w:i/>
                <w:iCs/>
                <w:szCs w:val="24"/>
              </w:rPr>
              <w:t>As the data of NHS jobs shortlist to appointment made was not available on ESR, this metric was calculated to the point of conditional offer being made on NHS Jobs.</w:t>
            </w:r>
          </w:p>
        </w:tc>
      </w:tr>
      <w:tr w:rsidR="00957364" w:rsidRPr="006718BA" w14:paraId="34FA5A0C" w14:textId="77777777" w:rsidTr="00B213EE">
        <w:tc>
          <w:tcPr>
            <w:tcW w:w="5051" w:type="dxa"/>
          </w:tcPr>
          <w:p w14:paraId="60653169" w14:textId="77777777" w:rsidR="00957364" w:rsidRPr="006718BA" w:rsidRDefault="00957364" w:rsidP="00B213EE">
            <w:pPr>
              <w:rPr>
                <w:b/>
                <w:szCs w:val="24"/>
              </w:rPr>
            </w:pPr>
          </w:p>
        </w:tc>
        <w:tc>
          <w:tcPr>
            <w:tcW w:w="1873" w:type="dxa"/>
          </w:tcPr>
          <w:p w14:paraId="25256216" w14:textId="77777777" w:rsidR="00957364" w:rsidRPr="006718BA" w:rsidRDefault="00957364" w:rsidP="00B213EE">
            <w:pPr>
              <w:rPr>
                <w:b/>
                <w:szCs w:val="24"/>
              </w:rPr>
            </w:pPr>
            <w:r w:rsidRPr="006718BA">
              <w:rPr>
                <w:b/>
                <w:szCs w:val="24"/>
              </w:rPr>
              <w:t>No. BME</w:t>
            </w:r>
          </w:p>
        </w:tc>
        <w:tc>
          <w:tcPr>
            <w:tcW w:w="2092" w:type="dxa"/>
            <w:shd w:val="clear" w:color="auto" w:fill="auto"/>
          </w:tcPr>
          <w:p w14:paraId="2630B0C6" w14:textId="77777777" w:rsidR="00957364" w:rsidRPr="006718BA" w:rsidRDefault="00957364" w:rsidP="00B213EE">
            <w:pPr>
              <w:rPr>
                <w:b/>
                <w:szCs w:val="24"/>
              </w:rPr>
            </w:pPr>
            <w:r w:rsidRPr="006718BA">
              <w:rPr>
                <w:b/>
                <w:szCs w:val="24"/>
              </w:rPr>
              <w:t>No. white staff</w:t>
            </w:r>
          </w:p>
        </w:tc>
      </w:tr>
      <w:tr w:rsidR="00957364" w:rsidRPr="006718BA" w14:paraId="24D97101" w14:textId="77777777" w:rsidTr="00B213EE">
        <w:tc>
          <w:tcPr>
            <w:tcW w:w="5051" w:type="dxa"/>
          </w:tcPr>
          <w:p w14:paraId="035D4818" w14:textId="77777777" w:rsidR="00957364" w:rsidRPr="006718BA" w:rsidRDefault="00957364" w:rsidP="00B213EE">
            <w:pPr>
              <w:rPr>
                <w:szCs w:val="24"/>
              </w:rPr>
            </w:pPr>
            <w:r w:rsidRPr="006718BA">
              <w:rPr>
                <w:szCs w:val="24"/>
              </w:rPr>
              <w:t>Shortlisted</w:t>
            </w:r>
          </w:p>
        </w:tc>
        <w:tc>
          <w:tcPr>
            <w:tcW w:w="1873" w:type="dxa"/>
          </w:tcPr>
          <w:p w14:paraId="2CA36A01" w14:textId="187CD7E0" w:rsidR="00957364" w:rsidRPr="006718BA" w:rsidRDefault="007C42B9" w:rsidP="00B213EE">
            <w:pPr>
              <w:rPr>
                <w:szCs w:val="24"/>
              </w:rPr>
            </w:pPr>
            <w:r w:rsidRPr="006718BA">
              <w:rPr>
                <w:szCs w:val="24"/>
              </w:rPr>
              <w:t>173</w:t>
            </w:r>
          </w:p>
        </w:tc>
        <w:tc>
          <w:tcPr>
            <w:tcW w:w="2092" w:type="dxa"/>
            <w:shd w:val="clear" w:color="auto" w:fill="auto"/>
          </w:tcPr>
          <w:p w14:paraId="1426856D" w14:textId="08725E22" w:rsidR="00957364" w:rsidRPr="006718BA" w:rsidRDefault="007C42B9" w:rsidP="00B213EE">
            <w:pPr>
              <w:rPr>
                <w:szCs w:val="24"/>
              </w:rPr>
            </w:pPr>
            <w:r w:rsidRPr="006718BA">
              <w:rPr>
                <w:szCs w:val="24"/>
              </w:rPr>
              <w:t>566</w:t>
            </w:r>
          </w:p>
        </w:tc>
      </w:tr>
      <w:tr w:rsidR="00957364" w:rsidRPr="006718BA" w14:paraId="2925EC20" w14:textId="77777777" w:rsidTr="00B213EE">
        <w:tc>
          <w:tcPr>
            <w:tcW w:w="5051" w:type="dxa"/>
          </w:tcPr>
          <w:p w14:paraId="44D0F500" w14:textId="09E4F0C1" w:rsidR="00957364" w:rsidRPr="006718BA" w:rsidRDefault="00365D94" w:rsidP="00B213EE">
            <w:pPr>
              <w:rPr>
                <w:szCs w:val="24"/>
              </w:rPr>
            </w:pPr>
            <w:r w:rsidRPr="006718BA">
              <w:rPr>
                <w:szCs w:val="24"/>
              </w:rPr>
              <w:t>Condi</w:t>
            </w:r>
            <w:r w:rsidR="00B263D3" w:rsidRPr="006718BA">
              <w:rPr>
                <w:szCs w:val="24"/>
              </w:rPr>
              <w:t>t</w:t>
            </w:r>
            <w:r w:rsidRPr="006718BA">
              <w:rPr>
                <w:szCs w:val="24"/>
              </w:rPr>
              <w:t>ional Offer Made</w:t>
            </w:r>
            <w:r w:rsidR="00C86B0B" w:rsidRPr="006718BA">
              <w:rPr>
                <w:szCs w:val="24"/>
              </w:rPr>
              <w:t xml:space="preserve">  </w:t>
            </w:r>
          </w:p>
        </w:tc>
        <w:tc>
          <w:tcPr>
            <w:tcW w:w="1873" w:type="dxa"/>
          </w:tcPr>
          <w:p w14:paraId="1F53DF56" w14:textId="078C94CE" w:rsidR="00957364" w:rsidRPr="006718BA" w:rsidRDefault="00957364" w:rsidP="00B213EE">
            <w:pPr>
              <w:rPr>
                <w:szCs w:val="24"/>
              </w:rPr>
            </w:pPr>
            <w:r w:rsidRPr="006718BA">
              <w:rPr>
                <w:szCs w:val="24"/>
              </w:rPr>
              <w:t>4</w:t>
            </w:r>
            <w:r w:rsidR="007C42B9" w:rsidRPr="006718BA">
              <w:rPr>
                <w:szCs w:val="24"/>
              </w:rPr>
              <w:t>9</w:t>
            </w:r>
          </w:p>
        </w:tc>
        <w:tc>
          <w:tcPr>
            <w:tcW w:w="2092" w:type="dxa"/>
            <w:shd w:val="clear" w:color="auto" w:fill="auto"/>
          </w:tcPr>
          <w:p w14:paraId="6FABB404" w14:textId="32CE696E" w:rsidR="00957364" w:rsidRPr="006718BA" w:rsidRDefault="007C42B9" w:rsidP="00B213EE">
            <w:pPr>
              <w:rPr>
                <w:szCs w:val="24"/>
              </w:rPr>
            </w:pPr>
            <w:r w:rsidRPr="006718BA">
              <w:rPr>
                <w:szCs w:val="24"/>
              </w:rPr>
              <w:t>245</w:t>
            </w:r>
          </w:p>
        </w:tc>
      </w:tr>
      <w:tr w:rsidR="00957364" w:rsidRPr="006718BA" w14:paraId="3EAE70CA" w14:textId="77777777" w:rsidTr="00B213EE">
        <w:tc>
          <w:tcPr>
            <w:tcW w:w="5051" w:type="dxa"/>
          </w:tcPr>
          <w:p w14:paraId="2EE0460B" w14:textId="77777777" w:rsidR="00957364" w:rsidRPr="006718BA" w:rsidRDefault="00957364" w:rsidP="00B213EE">
            <w:pPr>
              <w:rPr>
                <w:szCs w:val="24"/>
              </w:rPr>
            </w:pPr>
            <w:r w:rsidRPr="006718BA">
              <w:rPr>
                <w:szCs w:val="24"/>
              </w:rPr>
              <w:t>Relative likelihood</w:t>
            </w:r>
          </w:p>
        </w:tc>
        <w:tc>
          <w:tcPr>
            <w:tcW w:w="1873" w:type="dxa"/>
          </w:tcPr>
          <w:p w14:paraId="6CEBD33C" w14:textId="481E3632" w:rsidR="00957364" w:rsidRPr="006718BA" w:rsidRDefault="008448E1" w:rsidP="00B213EE">
            <w:pPr>
              <w:rPr>
                <w:szCs w:val="24"/>
              </w:rPr>
            </w:pPr>
            <w:r w:rsidRPr="006718BA">
              <w:rPr>
                <w:szCs w:val="24"/>
              </w:rPr>
              <w:t>0.28</w:t>
            </w:r>
          </w:p>
        </w:tc>
        <w:tc>
          <w:tcPr>
            <w:tcW w:w="2092" w:type="dxa"/>
            <w:shd w:val="clear" w:color="auto" w:fill="auto"/>
          </w:tcPr>
          <w:p w14:paraId="2E138A53" w14:textId="4A11EC30" w:rsidR="00957364" w:rsidRPr="006718BA" w:rsidRDefault="008448E1" w:rsidP="00B213EE">
            <w:pPr>
              <w:rPr>
                <w:szCs w:val="24"/>
              </w:rPr>
            </w:pPr>
            <w:r w:rsidRPr="006718BA">
              <w:rPr>
                <w:szCs w:val="24"/>
              </w:rPr>
              <w:t>0.43</w:t>
            </w:r>
          </w:p>
        </w:tc>
      </w:tr>
      <w:tr w:rsidR="008448E1" w:rsidRPr="006718BA" w14:paraId="6C9E564E" w14:textId="77777777" w:rsidTr="00B213EE">
        <w:tc>
          <w:tcPr>
            <w:tcW w:w="9016" w:type="dxa"/>
            <w:gridSpan w:val="3"/>
          </w:tcPr>
          <w:p w14:paraId="4529B8AB" w14:textId="2C5F0AC0" w:rsidR="008448E1" w:rsidRPr="006718BA" w:rsidRDefault="008448E1" w:rsidP="008448E1">
            <w:pPr>
              <w:rPr>
                <w:szCs w:val="24"/>
              </w:rPr>
            </w:pPr>
            <w:r w:rsidRPr="006718BA">
              <w:rPr>
                <w:szCs w:val="24"/>
              </w:rPr>
              <w:t xml:space="preserve">Relative likelihood of white staff being conditionally offered a role from shortlisted staff compared to BME staff (0.43/0.28) is 1.54 times more. </w:t>
            </w:r>
          </w:p>
        </w:tc>
      </w:tr>
    </w:tbl>
    <w:p w14:paraId="23B4FF12" w14:textId="6FF3BA63" w:rsidR="00A013F5" w:rsidRPr="006718BA" w:rsidRDefault="00957364" w:rsidP="00957364">
      <w:pPr>
        <w:rPr>
          <w:szCs w:val="24"/>
        </w:rPr>
      </w:pPr>
      <w:r w:rsidRPr="006718BA">
        <w:rPr>
          <w:szCs w:val="24"/>
        </w:rPr>
        <w:t xml:space="preserve">Note: This refers to both external and internal posts. </w:t>
      </w:r>
    </w:p>
    <w:p w14:paraId="7A593129" w14:textId="660C93E1" w:rsidR="00957364" w:rsidRPr="006718BA" w:rsidRDefault="00957364" w:rsidP="00957364">
      <w:pPr>
        <w:rPr>
          <w:b/>
          <w:szCs w:val="24"/>
        </w:rPr>
      </w:pPr>
      <w:r w:rsidRPr="006718BA">
        <w:rPr>
          <w:b/>
          <w:szCs w:val="24"/>
        </w:rPr>
        <w:t>Metric 3</w:t>
      </w:r>
    </w:p>
    <w:tbl>
      <w:tblPr>
        <w:tblStyle w:val="TableGrid"/>
        <w:tblW w:w="0" w:type="auto"/>
        <w:tblLook w:val="04A0" w:firstRow="1" w:lastRow="0" w:firstColumn="1" w:lastColumn="0" w:noHBand="0" w:noVBand="1"/>
      </w:tblPr>
      <w:tblGrid>
        <w:gridCol w:w="4302"/>
        <w:gridCol w:w="1642"/>
        <w:gridCol w:w="1841"/>
        <w:gridCol w:w="1695"/>
      </w:tblGrid>
      <w:tr w:rsidR="008448E1" w:rsidRPr="006718BA" w14:paraId="45F225E1" w14:textId="5F5FF7E6" w:rsidTr="007F5679">
        <w:tc>
          <w:tcPr>
            <w:tcW w:w="9486" w:type="dxa"/>
            <w:gridSpan w:val="4"/>
          </w:tcPr>
          <w:p w14:paraId="7FB617DB" w14:textId="7DA40CA0" w:rsidR="008448E1" w:rsidRPr="006718BA" w:rsidRDefault="008448E1" w:rsidP="00B213EE">
            <w:pPr>
              <w:rPr>
                <w:szCs w:val="24"/>
              </w:rPr>
            </w:pPr>
            <w:r w:rsidRPr="006718BA">
              <w:rPr>
                <w:szCs w:val="24"/>
              </w:rPr>
              <w:t>Relative likelihood of staff entering the formal disciplinary process, as measured by entry into a formal disciplinary investigation.</w:t>
            </w:r>
          </w:p>
        </w:tc>
      </w:tr>
      <w:tr w:rsidR="008448E1" w:rsidRPr="006718BA" w14:paraId="55A1584E" w14:textId="07BE1C95" w:rsidTr="00EA27E3">
        <w:tc>
          <w:tcPr>
            <w:tcW w:w="4305" w:type="dxa"/>
          </w:tcPr>
          <w:p w14:paraId="75A4086B" w14:textId="77777777" w:rsidR="008448E1" w:rsidRPr="006718BA" w:rsidRDefault="008448E1" w:rsidP="00B213EE">
            <w:pPr>
              <w:rPr>
                <w:b/>
                <w:szCs w:val="24"/>
              </w:rPr>
            </w:pPr>
          </w:p>
        </w:tc>
        <w:tc>
          <w:tcPr>
            <w:tcW w:w="1643" w:type="dxa"/>
          </w:tcPr>
          <w:p w14:paraId="30E3EF5A" w14:textId="77777777" w:rsidR="008448E1" w:rsidRPr="006718BA" w:rsidRDefault="008448E1" w:rsidP="00B213EE">
            <w:pPr>
              <w:rPr>
                <w:b/>
                <w:szCs w:val="24"/>
              </w:rPr>
            </w:pPr>
            <w:r w:rsidRPr="006718BA">
              <w:rPr>
                <w:b/>
                <w:szCs w:val="24"/>
              </w:rPr>
              <w:t>No. BME</w:t>
            </w:r>
          </w:p>
        </w:tc>
        <w:tc>
          <w:tcPr>
            <w:tcW w:w="1842" w:type="dxa"/>
          </w:tcPr>
          <w:p w14:paraId="33621A8D" w14:textId="77777777" w:rsidR="008448E1" w:rsidRPr="006718BA" w:rsidRDefault="008448E1" w:rsidP="00B213EE">
            <w:pPr>
              <w:rPr>
                <w:b/>
                <w:szCs w:val="24"/>
              </w:rPr>
            </w:pPr>
            <w:r w:rsidRPr="006718BA">
              <w:rPr>
                <w:b/>
                <w:szCs w:val="24"/>
              </w:rPr>
              <w:t xml:space="preserve">No. White </w:t>
            </w:r>
          </w:p>
        </w:tc>
        <w:tc>
          <w:tcPr>
            <w:tcW w:w="1696" w:type="dxa"/>
          </w:tcPr>
          <w:p w14:paraId="235B2286" w14:textId="4C8EE15A" w:rsidR="008448E1" w:rsidRPr="006718BA" w:rsidRDefault="008448E1" w:rsidP="00B213EE">
            <w:pPr>
              <w:rPr>
                <w:b/>
                <w:szCs w:val="24"/>
              </w:rPr>
            </w:pPr>
            <w:r w:rsidRPr="006718BA">
              <w:rPr>
                <w:b/>
                <w:szCs w:val="24"/>
              </w:rPr>
              <w:t>No. Not Known</w:t>
            </w:r>
          </w:p>
        </w:tc>
      </w:tr>
      <w:tr w:rsidR="008448E1" w:rsidRPr="006718BA" w14:paraId="1B8140FC" w14:textId="7A483077" w:rsidTr="00EA27E3">
        <w:tc>
          <w:tcPr>
            <w:tcW w:w="4305" w:type="dxa"/>
          </w:tcPr>
          <w:p w14:paraId="406C21C3" w14:textId="445CAAD2" w:rsidR="008448E1" w:rsidRPr="006718BA" w:rsidRDefault="008448E1" w:rsidP="00B213EE">
            <w:pPr>
              <w:rPr>
                <w:b/>
                <w:szCs w:val="24"/>
              </w:rPr>
            </w:pPr>
            <w:r w:rsidRPr="006718BA">
              <w:rPr>
                <w:b/>
                <w:szCs w:val="24"/>
              </w:rPr>
              <w:t xml:space="preserve">Overall Number of Staff in the Workforce </w:t>
            </w:r>
          </w:p>
        </w:tc>
        <w:tc>
          <w:tcPr>
            <w:tcW w:w="1643" w:type="dxa"/>
          </w:tcPr>
          <w:p w14:paraId="0F581FCB" w14:textId="0AE34D79" w:rsidR="008448E1" w:rsidRPr="006718BA" w:rsidRDefault="008448E1" w:rsidP="00B213EE">
            <w:pPr>
              <w:rPr>
                <w:b/>
                <w:szCs w:val="24"/>
              </w:rPr>
            </w:pPr>
            <w:r w:rsidRPr="006718BA">
              <w:rPr>
                <w:b/>
                <w:szCs w:val="24"/>
              </w:rPr>
              <w:t>24</w:t>
            </w:r>
          </w:p>
        </w:tc>
        <w:tc>
          <w:tcPr>
            <w:tcW w:w="1842" w:type="dxa"/>
          </w:tcPr>
          <w:p w14:paraId="42C85C14" w14:textId="7E520BC1" w:rsidR="008448E1" w:rsidRPr="006718BA" w:rsidRDefault="008448E1" w:rsidP="00B213EE">
            <w:pPr>
              <w:rPr>
                <w:b/>
                <w:szCs w:val="24"/>
              </w:rPr>
            </w:pPr>
            <w:r w:rsidRPr="006718BA">
              <w:rPr>
                <w:b/>
                <w:szCs w:val="24"/>
              </w:rPr>
              <w:t>583</w:t>
            </w:r>
          </w:p>
        </w:tc>
        <w:tc>
          <w:tcPr>
            <w:tcW w:w="1696" w:type="dxa"/>
          </w:tcPr>
          <w:p w14:paraId="3E783181" w14:textId="04246C4B" w:rsidR="008448E1" w:rsidRPr="006718BA" w:rsidRDefault="008448E1" w:rsidP="00B213EE">
            <w:pPr>
              <w:rPr>
                <w:b/>
                <w:szCs w:val="24"/>
              </w:rPr>
            </w:pPr>
            <w:r w:rsidRPr="006718BA">
              <w:rPr>
                <w:b/>
                <w:szCs w:val="24"/>
              </w:rPr>
              <w:t>227</w:t>
            </w:r>
          </w:p>
        </w:tc>
      </w:tr>
      <w:tr w:rsidR="008448E1" w:rsidRPr="006718BA" w14:paraId="79F6BF8C" w14:textId="240FE779" w:rsidTr="00EA27E3">
        <w:tc>
          <w:tcPr>
            <w:tcW w:w="4305" w:type="dxa"/>
          </w:tcPr>
          <w:p w14:paraId="29C5944F" w14:textId="77777777" w:rsidR="008448E1" w:rsidRPr="006718BA" w:rsidRDefault="008448E1" w:rsidP="00B213EE">
            <w:pPr>
              <w:rPr>
                <w:szCs w:val="24"/>
              </w:rPr>
            </w:pPr>
            <w:r w:rsidRPr="006718BA">
              <w:rPr>
                <w:szCs w:val="24"/>
              </w:rPr>
              <w:t>Number of staff entering capability procedure</w:t>
            </w:r>
          </w:p>
        </w:tc>
        <w:tc>
          <w:tcPr>
            <w:tcW w:w="1643" w:type="dxa"/>
          </w:tcPr>
          <w:p w14:paraId="1BD76ABA" w14:textId="77777777" w:rsidR="008448E1" w:rsidRPr="006718BA" w:rsidRDefault="008448E1" w:rsidP="00B213EE">
            <w:pPr>
              <w:rPr>
                <w:szCs w:val="24"/>
              </w:rPr>
            </w:pPr>
            <w:r w:rsidRPr="006718BA">
              <w:rPr>
                <w:szCs w:val="24"/>
              </w:rPr>
              <w:t>0</w:t>
            </w:r>
          </w:p>
        </w:tc>
        <w:tc>
          <w:tcPr>
            <w:tcW w:w="1842" w:type="dxa"/>
          </w:tcPr>
          <w:p w14:paraId="322614BF" w14:textId="77777777" w:rsidR="008448E1" w:rsidRPr="006718BA" w:rsidRDefault="008448E1" w:rsidP="00B213EE">
            <w:pPr>
              <w:rPr>
                <w:szCs w:val="24"/>
              </w:rPr>
            </w:pPr>
            <w:r w:rsidRPr="006718BA">
              <w:rPr>
                <w:szCs w:val="24"/>
              </w:rPr>
              <w:t>0</w:t>
            </w:r>
          </w:p>
        </w:tc>
        <w:tc>
          <w:tcPr>
            <w:tcW w:w="1696" w:type="dxa"/>
          </w:tcPr>
          <w:p w14:paraId="112FDCFC" w14:textId="6ECEB0FB" w:rsidR="008448E1" w:rsidRPr="006718BA" w:rsidRDefault="00031365" w:rsidP="00B213EE">
            <w:pPr>
              <w:rPr>
                <w:szCs w:val="24"/>
              </w:rPr>
            </w:pPr>
            <w:r w:rsidRPr="006718BA">
              <w:rPr>
                <w:szCs w:val="24"/>
              </w:rPr>
              <w:t>0.008</w:t>
            </w:r>
            <w:r w:rsidR="007E2053">
              <w:rPr>
                <w:szCs w:val="24"/>
              </w:rPr>
              <w:t>%</w:t>
            </w:r>
          </w:p>
        </w:tc>
      </w:tr>
      <w:tr w:rsidR="005F097A" w:rsidRPr="006718BA" w14:paraId="68E79F60" w14:textId="743D62B8" w:rsidTr="00293D8D">
        <w:tc>
          <w:tcPr>
            <w:tcW w:w="4305" w:type="dxa"/>
          </w:tcPr>
          <w:p w14:paraId="0A1F47BD" w14:textId="77777777" w:rsidR="005F097A" w:rsidRPr="006718BA" w:rsidRDefault="005F097A" w:rsidP="00B213EE">
            <w:pPr>
              <w:rPr>
                <w:szCs w:val="24"/>
              </w:rPr>
            </w:pPr>
            <w:r w:rsidRPr="006718BA">
              <w:rPr>
                <w:szCs w:val="24"/>
              </w:rPr>
              <w:t>Relative likelihood</w:t>
            </w:r>
          </w:p>
        </w:tc>
        <w:tc>
          <w:tcPr>
            <w:tcW w:w="3485" w:type="dxa"/>
            <w:gridSpan w:val="2"/>
          </w:tcPr>
          <w:p w14:paraId="10E2D3E5" w14:textId="4ADF8569" w:rsidR="005F097A" w:rsidRPr="006718BA" w:rsidRDefault="005F097A" w:rsidP="00FE23B0">
            <w:pPr>
              <w:jc w:val="center"/>
              <w:rPr>
                <w:bCs/>
                <w:szCs w:val="24"/>
              </w:rPr>
            </w:pPr>
            <w:r w:rsidRPr="006718BA">
              <w:rPr>
                <w:bCs/>
                <w:szCs w:val="24"/>
              </w:rPr>
              <w:t>0</w:t>
            </w:r>
          </w:p>
        </w:tc>
        <w:tc>
          <w:tcPr>
            <w:tcW w:w="1696" w:type="dxa"/>
          </w:tcPr>
          <w:p w14:paraId="72012F5E" w14:textId="77777777" w:rsidR="005F097A" w:rsidRPr="006718BA" w:rsidRDefault="005F097A" w:rsidP="00B213EE">
            <w:pPr>
              <w:rPr>
                <w:bCs/>
                <w:szCs w:val="24"/>
              </w:rPr>
            </w:pPr>
          </w:p>
        </w:tc>
      </w:tr>
    </w:tbl>
    <w:p w14:paraId="03F0BF12" w14:textId="71AA2389" w:rsidR="00957364" w:rsidRPr="006718BA" w:rsidRDefault="00957364" w:rsidP="00957364">
      <w:pPr>
        <w:rPr>
          <w:szCs w:val="24"/>
        </w:rPr>
      </w:pPr>
      <w:r w:rsidRPr="006718BA">
        <w:rPr>
          <w:szCs w:val="24"/>
        </w:rPr>
        <w:t xml:space="preserve">Note:  Data should be taken at year end. </w:t>
      </w:r>
    </w:p>
    <w:p w14:paraId="45DECCB0" w14:textId="77777777" w:rsidR="00957364" w:rsidRPr="006718BA" w:rsidRDefault="00957364" w:rsidP="00957364">
      <w:pPr>
        <w:rPr>
          <w:b/>
          <w:bCs/>
          <w:szCs w:val="24"/>
        </w:rPr>
      </w:pPr>
      <w:r w:rsidRPr="006718BA">
        <w:rPr>
          <w:b/>
          <w:bCs/>
          <w:szCs w:val="24"/>
        </w:rPr>
        <w:t xml:space="preserve">Metric 4 </w:t>
      </w:r>
    </w:p>
    <w:tbl>
      <w:tblPr>
        <w:tblStyle w:val="TableGrid"/>
        <w:tblW w:w="0" w:type="auto"/>
        <w:tblLook w:val="04A0" w:firstRow="1" w:lastRow="0" w:firstColumn="1" w:lastColumn="0" w:noHBand="0" w:noVBand="1"/>
      </w:tblPr>
      <w:tblGrid>
        <w:gridCol w:w="4176"/>
        <w:gridCol w:w="1678"/>
        <w:gridCol w:w="1877"/>
        <w:gridCol w:w="1749"/>
      </w:tblGrid>
      <w:tr w:rsidR="00DE0575" w:rsidRPr="006718BA" w14:paraId="4079A29D" w14:textId="76025374" w:rsidTr="00243E63">
        <w:tc>
          <w:tcPr>
            <w:tcW w:w="9480" w:type="dxa"/>
            <w:gridSpan w:val="4"/>
          </w:tcPr>
          <w:p w14:paraId="2FF2387C" w14:textId="77777777" w:rsidR="00DE0575" w:rsidRPr="006718BA" w:rsidRDefault="00DE0575" w:rsidP="005F097A">
            <w:pPr>
              <w:rPr>
                <w:szCs w:val="24"/>
              </w:rPr>
            </w:pPr>
            <w:bookmarkStart w:id="0" w:name="_Hlk148339447"/>
            <w:r w:rsidRPr="006718BA">
              <w:rPr>
                <w:szCs w:val="24"/>
              </w:rPr>
              <w:t xml:space="preserve">Relative likelihood of staff accessing non – mandatory training and CPD </w:t>
            </w:r>
          </w:p>
          <w:p w14:paraId="52487410" w14:textId="7A6DBC65" w:rsidR="00DE0575" w:rsidRPr="006718BA" w:rsidRDefault="00DE0575" w:rsidP="005F097A">
            <w:pPr>
              <w:rPr>
                <w:szCs w:val="24"/>
              </w:rPr>
            </w:pPr>
            <w:r w:rsidRPr="006718BA">
              <w:rPr>
                <w:i/>
                <w:iCs/>
                <w:szCs w:val="24"/>
              </w:rPr>
              <w:t>This has been calculated as the % BME and % White accessing CPD of overall known approved / accessed non mandatory training and CPD rather than relative likelihood. This is due to incomplete data to be able to calculate relative likelihood.</w:t>
            </w:r>
            <w:bookmarkEnd w:id="0"/>
          </w:p>
        </w:tc>
      </w:tr>
      <w:tr w:rsidR="00DE0575" w:rsidRPr="006718BA" w14:paraId="593EFFF7" w14:textId="40996B72" w:rsidTr="00DE0575">
        <w:tc>
          <w:tcPr>
            <w:tcW w:w="4176" w:type="dxa"/>
          </w:tcPr>
          <w:p w14:paraId="1560400C" w14:textId="77777777" w:rsidR="00DE0575" w:rsidRPr="006718BA" w:rsidRDefault="00DE0575" w:rsidP="00B213EE">
            <w:pPr>
              <w:rPr>
                <w:b/>
                <w:szCs w:val="24"/>
              </w:rPr>
            </w:pPr>
          </w:p>
        </w:tc>
        <w:tc>
          <w:tcPr>
            <w:tcW w:w="1678" w:type="dxa"/>
          </w:tcPr>
          <w:p w14:paraId="2885CC20" w14:textId="77777777" w:rsidR="00DE0575" w:rsidRPr="006718BA" w:rsidRDefault="00DE0575" w:rsidP="00B213EE">
            <w:pPr>
              <w:rPr>
                <w:b/>
                <w:szCs w:val="24"/>
              </w:rPr>
            </w:pPr>
            <w:r w:rsidRPr="006718BA">
              <w:rPr>
                <w:b/>
                <w:szCs w:val="24"/>
              </w:rPr>
              <w:t>No. BME</w:t>
            </w:r>
          </w:p>
        </w:tc>
        <w:tc>
          <w:tcPr>
            <w:tcW w:w="1877" w:type="dxa"/>
          </w:tcPr>
          <w:p w14:paraId="2FF4B135" w14:textId="77777777" w:rsidR="00DE0575" w:rsidRPr="006718BA" w:rsidRDefault="00DE0575" w:rsidP="00B213EE">
            <w:pPr>
              <w:rPr>
                <w:b/>
                <w:szCs w:val="24"/>
              </w:rPr>
            </w:pPr>
            <w:r w:rsidRPr="006718BA">
              <w:rPr>
                <w:b/>
                <w:szCs w:val="24"/>
              </w:rPr>
              <w:t xml:space="preserve">No. White </w:t>
            </w:r>
          </w:p>
        </w:tc>
        <w:tc>
          <w:tcPr>
            <w:tcW w:w="1749" w:type="dxa"/>
          </w:tcPr>
          <w:p w14:paraId="58BBC1E4" w14:textId="2BFDCF80" w:rsidR="00DE0575" w:rsidRPr="006718BA" w:rsidRDefault="00DE0575" w:rsidP="00B213EE">
            <w:pPr>
              <w:rPr>
                <w:b/>
                <w:szCs w:val="24"/>
              </w:rPr>
            </w:pPr>
            <w:r w:rsidRPr="006718BA">
              <w:rPr>
                <w:b/>
                <w:szCs w:val="24"/>
              </w:rPr>
              <w:t xml:space="preserve">Not known </w:t>
            </w:r>
          </w:p>
        </w:tc>
      </w:tr>
      <w:tr w:rsidR="00DE0575" w:rsidRPr="006718BA" w14:paraId="5839BD79" w14:textId="360A1AA0" w:rsidTr="00DE0575">
        <w:tc>
          <w:tcPr>
            <w:tcW w:w="4176" w:type="dxa"/>
          </w:tcPr>
          <w:p w14:paraId="60EE8C08" w14:textId="77777777" w:rsidR="00DE0575" w:rsidRPr="006718BA" w:rsidRDefault="00DE0575" w:rsidP="005F097A">
            <w:pPr>
              <w:rPr>
                <w:szCs w:val="24"/>
              </w:rPr>
            </w:pPr>
          </w:p>
        </w:tc>
        <w:tc>
          <w:tcPr>
            <w:tcW w:w="1678" w:type="dxa"/>
          </w:tcPr>
          <w:p w14:paraId="3A7EFEED" w14:textId="76FFDA3C" w:rsidR="00DE0575" w:rsidRPr="006718BA" w:rsidRDefault="00DE0575" w:rsidP="005F097A">
            <w:pPr>
              <w:rPr>
                <w:szCs w:val="24"/>
              </w:rPr>
            </w:pPr>
            <w:r w:rsidRPr="006718BA">
              <w:rPr>
                <w:szCs w:val="24"/>
              </w:rPr>
              <w:t xml:space="preserve">2.5% </w:t>
            </w:r>
          </w:p>
        </w:tc>
        <w:tc>
          <w:tcPr>
            <w:tcW w:w="1877" w:type="dxa"/>
          </w:tcPr>
          <w:p w14:paraId="350692C7" w14:textId="5AD36FC7" w:rsidR="00DE0575" w:rsidRPr="006718BA" w:rsidRDefault="00DE0575" w:rsidP="005F097A">
            <w:pPr>
              <w:rPr>
                <w:szCs w:val="24"/>
              </w:rPr>
            </w:pPr>
            <w:r w:rsidRPr="006718BA">
              <w:rPr>
                <w:szCs w:val="24"/>
              </w:rPr>
              <w:t xml:space="preserve">72.% </w:t>
            </w:r>
          </w:p>
        </w:tc>
        <w:tc>
          <w:tcPr>
            <w:tcW w:w="1749" w:type="dxa"/>
          </w:tcPr>
          <w:p w14:paraId="3CAC3AF3" w14:textId="0A688260" w:rsidR="00DE0575" w:rsidRPr="006718BA" w:rsidRDefault="00DE0575" w:rsidP="005F097A">
            <w:pPr>
              <w:rPr>
                <w:szCs w:val="24"/>
              </w:rPr>
            </w:pPr>
            <w:r w:rsidRPr="006718BA">
              <w:rPr>
                <w:szCs w:val="24"/>
              </w:rPr>
              <w:t>25.5</w:t>
            </w:r>
            <w:r w:rsidR="007E2053">
              <w:rPr>
                <w:szCs w:val="24"/>
              </w:rPr>
              <w:t>%</w:t>
            </w:r>
          </w:p>
        </w:tc>
      </w:tr>
    </w:tbl>
    <w:p w14:paraId="331C10C3" w14:textId="77777777" w:rsidR="00C46301" w:rsidRDefault="00C46301" w:rsidP="00957364">
      <w:pPr>
        <w:rPr>
          <w:b/>
          <w:szCs w:val="24"/>
        </w:rPr>
      </w:pPr>
    </w:p>
    <w:p w14:paraId="6E082B5F" w14:textId="77777777" w:rsidR="006718BA" w:rsidRDefault="006718BA" w:rsidP="00957364">
      <w:pPr>
        <w:rPr>
          <w:b/>
          <w:szCs w:val="24"/>
        </w:rPr>
      </w:pPr>
    </w:p>
    <w:p w14:paraId="7DA569AD" w14:textId="77777777" w:rsidR="006718BA" w:rsidRPr="006718BA" w:rsidRDefault="006718BA" w:rsidP="00957364">
      <w:pPr>
        <w:rPr>
          <w:b/>
          <w:szCs w:val="24"/>
        </w:rPr>
      </w:pPr>
    </w:p>
    <w:p w14:paraId="5F99D4A2" w14:textId="7E15C704" w:rsidR="00957364" w:rsidRPr="006718BA" w:rsidRDefault="00957364" w:rsidP="00957364">
      <w:pPr>
        <w:rPr>
          <w:b/>
          <w:szCs w:val="24"/>
        </w:rPr>
      </w:pPr>
      <w:r w:rsidRPr="006718BA">
        <w:rPr>
          <w:b/>
          <w:szCs w:val="24"/>
        </w:rPr>
        <w:t>Staff</w:t>
      </w:r>
      <w:r w:rsidR="00C46301" w:rsidRPr="006718BA">
        <w:rPr>
          <w:b/>
          <w:szCs w:val="24"/>
        </w:rPr>
        <w:t xml:space="preserve"> </w:t>
      </w:r>
      <w:r w:rsidRPr="006718BA">
        <w:rPr>
          <w:b/>
          <w:szCs w:val="24"/>
        </w:rPr>
        <w:t>Survey Results</w:t>
      </w:r>
    </w:p>
    <w:p w14:paraId="2B7F2ECF" w14:textId="77777777" w:rsidR="00957364" w:rsidRPr="006718BA" w:rsidRDefault="00957364" w:rsidP="00957364">
      <w:pPr>
        <w:rPr>
          <w:b/>
          <w:szCs w:val="24"/>
        </w:rPr>
      </w:pPr>
      <w:r w:rsidRPr="006718BA">
        <w:rPr>
          <w:b/>
          <w:szCs w:val="24"/>
        </w:rPr>
        <w:t>General</w:t>
      </w:r>
    </w:p>
    <w:tbl>
      <w:tblPr>
        <w:tblStyle w:val="TableGrid"/>
        <w:tblW w:w="0" w:type="auto"/>
        <w:tblLook w:val="04A0" w:firstRow="1" w:lastRow="0" w:firstColumn="1" w:lastColumn="0" w:noHBand="0" w:noVBand="1"/>
      </w:tblPr>
      <w:tblGrid>
        <w:gridCol w:w="7054"/>
        <w:gridCol w:w="2188"/>
      </w:tblGrid>
      <w:tr w:rsidR="00957364" w:rsidRPr="006718BA" w14:paraId="4B74866E" w14:textId="77777777" w:rsidTr="00B213EE">
        <w:tc>
          <w:tcPr>
            <w:tcW w:w="7054" w:type="dxa"/>
          </w:tcPr>
          <w:p w14:paraId="49337A83" w14:textId="2C0958E5" w:rsidR="00957364" w:rsidRPr="006718BA" w:rsidRDefault="00957364" w:rsidP="00B213EE">
            <w:pPr>
              <w:rPr>
                <w:b/>
                <w:szCs w:val="24"/>
              </w:rPr>
            </w:pPr>
            <w:r w:rsidRPr="006718BA">
              <w:rPr>
                <w:szCs w:val="24"/>
              </w:rPr>
              <w:t>Total number and % of responses to the NHS Staff Survey in your organisation</w:t>
            </w:r>
            <w:r w:rsidR="00C46301" w:rsidRPr="006718BA">
              <w:rPr>
                <w:szCs w:val="24"/>
              </w:rPr>
              <w:t xml:space="preserve"> </w:t>
            </w:r>
            <w:r w:rsidR="00C46301" w:rsidRPr="006718BA">
              <w:rPr>
                <w:i/>
                <w:iCs/>
                <w:szCs w:val="24"/>
              </w:rPr>
              <w:t>A pulse survey was undertaken, with a total of 87 respondents.</w:t>
            </w:r>
            <w:r w:rsidR="00C46301" w:rsidRPr="006718BA">
              <w:rPr>
                <w:szCs w:val="24"/>
              </w:rPr>
              <w:t xml:space="preserve"> </w:t>
            </w:r>
          </w:p>
        </w:tc>
        <w:tc>
          <w:tcPr>
            <w:tcW w:w="2188" w:type="dxa"/>
          </w:tcPr>
          <w:p w14:paraId="56EFE016" w14:textId="6139AC1C" w:rsidR="00957364" w:rsidRPr="006718BA" w:rsidRDefault="005F097A" w:rsidP="005F097A">
            <w:pPr>
              <w:rPr>
                <w:szCs w:val="24"/>
              </w:rPr>
            </w:pPr>
            <w:r w:rsidRPr="006718BA">
              <w:rPr>
                <w:szCs w:val="24"/>
              </w:rPr>
              <w:t>10.</w:t>
            </w:r>
            <w:r w:rsidR="00DE0575" w:rsidRPr="006718BA">
              <w:rPr>
                <w:szCs w:val="24"/>
              </w:rPr>
              <w:t>4</w:t>
            </w:r>
            <w:r w:rsidRPr="006718BA">
              <w:rPr>
                <w:szCs w:val="24"/>
              </w:rPr>
              <w:t>%</w:t>
            </w:r>
          </w:p>
        </w:tc>
      </w:tr>
      <w:tr w:rsidR="00957364" w:rsidRPr="006718BA" w14:paraId="3CF3C262" w14:textId="77777777" w:rsidTr="00B213EE">
        <w:tc>
          <w:tcPr>
            <w:tcW w:w="7054" w:type="dxa"/>
          </w:tcPr>
          <w:p w14:paraId="50560D04" w14:textId="5E2AEC2B" w:rsidR="00957364" w:rsidRPr="006718BA" w:rsidRDefault="00957364" w:rsidP="00B213EE">
            <w:pPr>
              <w:rPr>
                <w:b/>
                <w:szCs w:val="24"/>
              </w:rPr>
            </w:pPr>
            <w:r w:rsidRPr="006718BA">
              <w:rPr>
                <w:szCs w:val="24"/>
              </w:rPr>
              <w:t>Total number and % of BME</w:t>
            </w:r>
            <w:r w:rsidR="009C1DDE" w:rsidRPr="006718BA">
              <w:rPr>
                <w:szCs w:val="24"/>
              </w:rPr>
              <w:t xml:space="preserve"> </w:t>
            </w:r>
            <w:r w:rsidRPr="006718BA">
              <w:rPr>
                <w:szCs w:val="24"/>
              </w:rPr>
              <w:t xml:space="preserve">staff responses to the NHS </w:t>
            </w:r>
            <w:proofErr w:type="gramStart"/>
            <w:r w:rsidRPr="006718BA">
              <w:rPr>
                <w:szCs w:val="24"/>
              </w:rPr>
              <w:t>Staff</w:t>
            </w:r>
            <w:r w:rsidR="00C46301" w:rsidRPr="006718BA">
              <w:rPr>
                <w:szCs w:val="24"/>
              </w:rPr>
              <w:t xml:space="preserve"> </w:t>
            </w:r>
            <w:r w:rsidRPr="006718BA">
              <w:rPr>
                <w:szCs w:val="24"/>
              </w:rPr>
              <w:t xml:space="preserve"> Survey</w:t>
            </w:r>
            <w:proofErr w:type="gramEnd"/>
            <w:r w:rsidRPr="006718BA">
              <w:rPr>
                <w:szCs w:val="24"/>
              </w:rPr>
              <w:t xml:space="preserve"> in your organisation</w:t>
            </w:r>
          </w:p>
        </w:tc>
        <w:tc>
          <w:tcPr>
            <w:tcW w:w="2188" w:type="dxa"/>
          </w:tcPr>
          <w:p w14:paraId="103E313E" w14:textId="23DA662B" w:rsidR="00957364" w:rsidRPr="006718BA" w:rsidRDefault="005F097A" w:rsidP="005F097A">
            <w:pPr>
              <w:rPr>
                <w:b/>
                <w:szCs w:val="24"/>
              </w:rPr>
            </w:pPr>
            <w:r w:rsidRPr="006718BA">
              <w:rPr>
                <w:szCs w:val="24"/>
              </w:rPr>
              <w:t>8.</w:t>
            </w:r>
            <w:r w:rsidR="00DE0575" w:rsidRPr="006718BA">
              <w:rPr>
                <w:szCs w:val="24"/>
              </w:rPr>
              <w:t>1</w:t>
            </w:r>
            <w:r w:rsidRPr="006718BA">
              <w:rPr>
                <w:szCs w:val="24"/>
              </w:rPr>
              <w:t>%</w:t>
            </w:r>
          </w:p>
        </w:tc>
      </w:tr>
    </w:tbl>
    <w:p w14:paraId="67E9A4B7" w14:textId="77777777" w:rsidR="00583B4F" w:rsidRPr="006718BA" w:rsidRDefault="00583B4F" w:rsidP="00957364">
      <w:pPr>
        <w:rPr>
          <w:b/>
          <w:szCs w:val="24"/>
        </w:rPr>
      </w:pPr>
    </w:p>
    <w:p w14:paraId="197C5E73" w14:textId="77777777" w:rsidR="00957364" w:rsidRPr="006718BA" w:rsidRDefault="00957364" w:rsidP="00957364">
      <w:pPr>
        <w:rPr>
          <w:b/>
          <w:szCs w:val="24"/>
        </w:rPr>
      </w:pPr>
      <w:r w:rsidRPr="006718BA">
        <w:rPr>
          <w:b/>
          <w:szCs w:val="24"/>
        </w:rPr>
        <w:t>Metric 5-8 Staff Survey Q13</w:t>
      </w:r>
      <w:proofErr w:type="gramStart"/>
      <w:r w:rsidRPr="006718BA">
        <w:rPr>
          <w:b/>
          <w:szCs w:val="24"/>
        </w:rPr>
        <w:t>a,b</w:t>
      </w:r>
      <w:proofErr w:type="gramEnd"/>
      <w:r w:rsidRPr="006718BA">
        <w:rPr>
          <w:b/>
          <w:szCs w:val="24"/>
        </w:rPr>
        <w:t xml:space="preserve"> and c, Q14 and Q15 b</w:t>
      </w:r>
    </w:p>
    <w:p w14:paraId="53402B6E" w14:textId="0960EE41" w:rsidR="00957364" w:rsidRPr="006718BA" w:rsidRDefault="005F097A" w:rsidP="00957364">
      <w:pPr>
        <w:rPr>
          <w:b/>
          <w:szCs w:val="24"/>
        </w:rPr>
      </w:pPr>
      <w:r w:rsidRPr="006718BA">
        <w:rPr>
          <w:szCs w:val="24"/>
        </w:rPr>
        <w:t xml:space="preserve">A pulse survey was undertaken, with a total of 87 respondents, 7 of whom where BAME and 80 were white. This equates to 8.05% of respondents being BAME. </w:t>
      </w:r>
    </w:p>
    <w:tbl>
      <w:tblPr>
        <w:tblStyle w:val="TableGrid"/>
        <w:tblW w:w="0" w:type="auto"/>
        <w:tblLook w:val="04A0" w:firstRow="1" w:lastRow="0" w:firstColumn="1" w:lastColumn="0" w:noHBand="0" w:noVBand="1"/>
      </w:tblPr>
      <w:tblGrid>
        <w:gridCol w:w="5028"/>
        <w:gridCol w:w="1893"/>
        <w:gridCol w:w="2095"/>
      </w:tblGrid>
      <w:tr w:rsidR="00957364" w:rsidRPr="006718BA" w14:paraId="051D1977" w14:textId="77777777" w:rsidTr="00B213EE">
        <w:tc>
          <w:tcPr>
            <w:tcW w:w="5028" w:type="dxa"/>
          </w:tcPr>
          <w:p w14:paraId="5FCF0A01" w14:textId="77777777" w:rsidR="00957364" w:rsidRPr="006718BA" w:rsidRDefault="00957364" w:rsidP="00B213EE">
            <w:pPr>
              <w:rPr>
                <w:b/>
                <w:szCs w:val="24"/>
              </w:rPr>
            </w:pPr>
            <w:r w:rsidRPr="006718BA">
              <w:rPr>
                <w:b/>
                <w:bCs/>
                <w:szCs w:val="24"/>
              </w:rPr>
              <w:t>WRES 5 (13a)</w:t>
            </w:r>
            <w:r w:rsidRPr="006718BA">
              <w:rPr>
                <w:szCs w:val="24"/>
              </w:rPr>
              <w:t xml:space="preserve"> Percentage of BME staff compared to white staff experiencing harassment, bullying or abuse from patients, relatives or the public in last 12 months </w:t>
            </w:r>
          </w:p>
        </w:tc>
        <w:tc>
          <w:tcPr>
            <w:tcW w:w="1893" w:type="dxa"/>
          </w:tcPr>
          <w:p w14:paraId="24BFA98C" w14:textId="77777777" w:rsidR="00957364" w:rsidRPr="006718BA" w:rsidRDefault="00957364" w:rsidP="00B213EE">
            <w:pPr>
              <w:rPr>
                <w:b/>
                <w:szCs w:val="24"/>
              </w:rPr>
            </w:pPr>
            <w:r w:rsidRPr="006718BA">
              <w:rPr>
                <w:b/>
                <w:szCs w:val="24"/>
              </w:rPr>
              <w:t>% BME</w:t>
            </w:r>
          </w:p>
          <w:p w14:paraId="67D829E3" w14:textId="4BBBD8AD" w:rsidR="00957364" w:rsidRPr="006718BA" w:rsidRDefault="005F097A" w:rsidP="00B213EE">
            <w:pPr>
              <w:rPr>
                <w:b/>
                <w:szCs w:val="24"/>
              </w:rPr>
            </w:pPr>
            <w:r w:rsidRPr="006718BA">
              <w:rPr>
                <w:szCs w:val="24"/>
              </w:rPr>
              <w:t xml:space="preserve">14.2%  </w:t>
            </w:r>
          </w:p>
        </w:tc>
        <w:tc>
          <w:tcPr>
            <w:tcW w:w="2095" w:type="dxa"/>
          </w:tcPr>
          <w:p w14:paraId="6ACBD4FC" w14:textId="77777777" w:rsidR="00957364" w:rsidRPr="006718BA" w:rsidRDefault="00957364" w:rsidP="00B213EE">
            <w:pPr>
              <w:rPr>
                <w:b/>
                <w:szCs w:val="24"/>
              </w:rPr>
            </w:pPr>
            <w:r w:rsidRPr="006718BA">
              <w:rPr>
                <w:b/>
                <w:szCs w:val="24"/>
              </w:rPr>
              <w:t>% white</w:t>
            </w:r>
          </w:p>
          <w:p w14:paraId="28B6BA7D" w14:textId="665E53A5" w:rsidR="00957364" w:rsidRPr="006718BA" w:rsidRDefault="005F097A" w:rsidP="00B213EE">
            <w:pPr>
              <w:rPr>
                <w:b/>
                <w:szCs w:val="24"/>
              </w:rPr>
            </w:pPr>
            <w:r w:rsidRPr="006718BA">
              <w:rPr>
                <w:szCs w:val="24"/>
              </w:rPr>
              <w:t>16.</w:t>
            </w:r>
            <w:r w:rsidR="00DE0575" w:rsidRPr="006718BA">
              <w:rPr>
                <w:szCs w:val="24"/>
              </w:rPr>
              <w:t>3</w:t>
            </w:r>
            <w:r w:rsidRPr="006718BA">
              <w:rPr>
                <w:szCs w:val="24"/>
              </w:rPr>
              <w:t>%</w:t>
            </w:r>
          </w:p>
        </w:tc>
      </w:tr>
      <w:tr w:rsidR="00957364" w:rsidRPr="006718BA" w14:paraId="4C514E0D" w14:textId="77777777" w:rsidTr="00B213EE">
        <w:tc>
          <w:tcPr>
            <w:tcW w:w="5028" w:type="dxa"/>
          </w:tcPr>
          <w:p w14:paraId="4866ABB8" w14:textId="77777777" w:rsidR="00957364" w:rsidRPr="006718BA" w:rsidRDefault="00957364" w:rsidP="00B213EE">
            <w:pPr>
              <w:rPr>
                <w:szCs w:val="24"/>
              </w:rPr>
            </w:pPr>
            <w:r w:rsidRPr="006718BA">
              <w:rPr>
                <w:b/>
                <w:bCs/>
                <w:szCs w:val="24"/>
              </w:rPr>
              <w:t>WRES 6 (13 b/c)</w:t>
            </w:r>
            <w:r w:rsidRPr="006718BA">
              <w:rPr>
                <w:szCs w:val="24"/>
              </w:rPr>
              <w:t xml:space="preserve"> Percentage of BME staff compared to white staff experiencing harassment, bullying or abuse from staff in the last 12 months </w:t>
            </w:r>
          </w:p>
        </w:tc>
        <w:tc>
          <w:tcPr>
            <w:tcW w:w="1893" w:type="dxa"/>
          </w:tcPr>
          <w:p w14:paraId="25D6823E" w14:textId="007448BB" w:rsidR="00957364" w:rsidRPr="006718BA" w:rsidRDefault="005F097A" w:rsidP="00B213EE">
            <w:pPr>
              <w:rPr>
                <w:szCs w:val="24"/>
              </w:rPr>
            </w:pPr>
            <w:r w:rsidRPr="006718BA">
              <w:rPr>
                <w:szCs w:val="24"/>
              </w:rPr>
              <w:t>4</w:t>
            </w:r>
            <w:r w:rsidR="00DE0575" w:rsidRPr="006718BA">
              <w:rPr>
                <w:szCs w:val="24"/>
              </w:rPr>
              <w:t>3</w:t>
            </w:r>
            <w:r w:rsidRPr="006718BA">
              <w:rPr>
                <w:szCs w:val="24"/>
              </w:rPr>
              <w:t>.</w:t>
            </w:r>
            <w:r w:rsidR="00DE0575" w:rsidRPr="006718BA">
              <w:rPr>
                <w:szCs w:val="24"/>
              </w:rPr>
              <w:t>0</w:t>
            </w:r>
            <w:r w:rsidRPr="006718BA">
              <w:rPr>
                <w:szCs w:val="24"/>
              </w:rPr>
              <w:t xml:space="preserve">% </w:t>
            </w:r>
          </w:p>
        </w:tc>
        <w:tc>
          <w:tcPr>
            <w:tcW w:w="2095" w:type="dxa"/>
          </w:tcPr>
          <w:p w14:paraId="314F5A8B" w14:textId="4E6DFBB6" w:rsidR="00957364" w:rsidRPr="006718BA" w:rsidRDefault="005F097A" w:rsidP="00B213EE">
            <w:pPr>
              <w:rPr>
                <w:szCs w:val="24"/>
              </w:rPr>
            </w:pPr>
            <w:r w:rsidRPr="006718BA">
              <w:rPr>
                <w:szCs w:val="24"/>
              </w:rPr>
              <w:t>19.</w:t>
            </w:r>
            <w:r w:rsidR="00DE0575" w:rsidRPr="006718BA">
              <w:rPr>
                <w:szCs w:val="24"/>
              </w:rPr>
              <w:t>4</w:t>
            </w:r>
            <w:r w:rsidRPr="006718BA">
              <w:rPr>
                <w:szCs w:val="24"/>
              </w:rPr>
              <w:t>%</w:t>
            </w:r>
          </w:p>
        </w:tc>
      </w:tr>
      <w:tr w:rsidR="00957364" w:rsidRPr="006718BA" w14:paraId="20F948E0" w14:textId="77777777" w:rsidTr="00B213EE">
        <w:tc>
          <w:tcPr>
            <w:tcW w:w="5028" w:type="dxa"/>
          </w:tcPr>
          <w:p w14:paraId="662C3478" w14:textId="77777777" w:rsidR="00957364" w:rsidRPr="006718BA" w:rsidRDefault="00957364" w:rsidP="00B213EE">
            <w:pPr>
              <w:rPr>
                <w:szCs w:val="24"/>
              </w:rPr>
            </w:pPr>
            <w:r w:rsidRPr="006718BA">
              <w:rPr>
                <w:b/>
                <w:bCs/>
                <w:szCs w:val="24"/>
              </w:rPr>
              <w:t>WRES 7 (Q14)</w:t>
            </w:r>
            <w:r w:rsidRPr="006718BA">
              <w:rPr>
                <w:szCs w:val="24"/>
              </w:rPr>
              <w:t xml:space="preserve"> Percentage believing that trust provides equal opportunities for career progression or promotion.</w:t>
            </w:r>
          </w:p>
        </w:tc>
        <w:tc>
          <w:tcPr>
            <w:tcW w:w="1893" w:type="dxa"/>
          </w:tcPr>
          <w:p w14:paraId="48E5C113" w14:textId="0816E649" w:rsidR="00957364" w:rsidRPr="006718BA" w:rsidRDefault="005F097A" w:rsidP="00B213EE">
            <w:pPr>
              <w:rPr>
                <w:szCs w:val="24"/>
              </w:rPr>
            </w:pPr>
            <w:r w:rsidRPr="006718BA">
              <w:rPr>
                <w:szCs w:val="24"/>
              </w:rPr>
              <w:t>14.</w:t>
            </w:r>
            <w:r w:rsidR="00DE0575" w:rsidRPr="006718BA">
              <w:rPr>
                <w:szCs w:val="24"/>
              </w:rPr>
              <w:t>3</w:t>
            </w:r>
            <w:r w:rsidRPr="006718BA">
              <w:rPr>
                <w:szCs w:val="24"/>
              </w:rPr>
              <w:t>%</w:t>
            </w:r>
          </w:p>
        </w:tc>
        <w:tc>
          <w:tcPr>
            <w:tcW w:w="2095" w:type="dxa"/>
          </w:tcPr>
          <w:p w14:paraId="312CDBCE" w14:textId="6C5E4404" w:rsidR="00957364" w:rsidRPr="006718BA" w:rsidRDefault="005F097A" w:rsidP="00B213EE">
            <w:pPr>
              <w:rPr>
                <w:szCs w:val="24"/>
              </w:rPr>
            </w:pPr>
            <w:r w:rsidRPr="006718BA">
              <w:rPr>
                <w:szCs w:val="24"/>
              </w:rPr>
              <w:t>2</w:t>
            </w:r>
            <w:r w:rsidR="00DE0575" w:rsidRPr="006718BA">
              <w:rPr>
                <w:szCs w:val="24"/>
              </w:rPr>
              <w:t>3</w:t>
            </w:r>
            <w:r w:rsidRPr="006718BA">
              <w:rPr>
                <w:szCs w:val="24"/>
              </w:rPr>
              <w:t>.</w:t>
            </w:r>
            <w:r w:rsidR="00DE0575" w:rsidRPr="006718BA">
              <w:rPr>
                <w:szCs w:val="24"/>
              </w:rPr>
              <w:t>0</w:t>
            </w:r>
            <w:r w:rsidRPr="006718BA">
              <w:rPr>
                <w:szCs w:val="24"/>
              </w:rPr>
              <w:t>%</w:t>
            </w:r>
          </w:p>
        </w:tc>
      </w:tr>
      <w:tr w:rsidR="00957364" w:rsidRPr="006718BA" w14:paraId="45DBE3D8" w14:textId="77777777" w:rsidTr="00B213EE">
        <w:tc>
          <w:tcPr>
            <w:tcW w:w="5028" w:type="dxa"/>
          </w:tcPr>
          <w:p w14:paraId="166D8774" w14:textId="77777777" w:rsidR="00957364" w:rsidRPr="006718BA" w:rsidRDefault="00957364" w:rsidP="00B213EE">
            <w:pPr>
              <w:rPr>
                <w:szCs w:val="24"/>
              </w:rPr>
            </w:pPr>
            <w:r w:rsidRPr="006718BA">
              <w:rPr>
                <w:b/>
                <w:bCs/>
                <w:szCs w:val="24"/>
              </w:rPr>
              <w:t>WRES 8 (Q15b)</w:t>
            </w:r>
            <w:r w:rsidRPr="006718BA">
              <w:rPr>
                <w:szCs w:val="24"/>
              </w:rPr>
              <w:t xml:space="preserve"> In the last 12 months have you personally experienced discrimination at work from any of the following? (b) Manager/team leader or other colleagues</w:t>
            </w:r>
          </w:p>
        </w:tc>
        <w:tc>
          <w:tcPr>
            <w:tcW w:w="1893" w:type="dxa"/>
          </w:tcPr>
          <w:p w14:paraId="02F22AF6" w14:textId="718D2269" w:rsidR="00957364" w:rsidRPr="006718BA" w:rsidRDefault="005F097A" w:rsidP="00B213EE">
            <w:pPr>
              <w:rPr>
                <w:szCs w:val="24"/>
              </w:rPr>
            </w:pPr>
            <w:r w:rsidRPr="006718BA">
              <w:rPr>
                <w:szCs w:val="24"/>
              </w:rPr>
              <w:t xml:space="preserve">14.3% </w:t>
            </w:r>
          </w:p>
        </w:tc>
        <w:tc>
          <w:tcPr>
            <w:tcW w:w="2095" w:type="dxa"/>
          </w:tcPr>
          <w:p w14:paraId="1F66CD3A" w14:textId="7764318E" w:rsidR="00957364" w:rsidRPr="006718BA" w:rsidRDefault="005F097A" w:rsidP="00B213EE">
            <w:pPr>
              <w:rPr>
                <w:szCs w:val="24"/>
              </w:rPr>
            </w:pPr>
            <w:r w:rsidRPr="006718BA">
              <w:rPr>
                <w:szCs w:val="24"/>
              </w:rPr>
              <w:t>11.</w:t>
            </w:r>
            <w:r w:rsidR="00DE0575" w:rsidRPr="006718BA">
              <w:rPr>
                <w:szCs w:val="24"/>
              </w:rPr>
              <w:t>3</w:t>
            </w:r>
            <w:r w:rsidRPr="006718BA">
              <w:rPr>
                <w:szCs w:val="24"/>
              </w:rPr>
              <w:t>%</w:t>
            </w:r>
          </w:p>
        </w:tc>
      </w:tr>
    </w:tbl>
    <w:p w14:paraId="1FC0A1AC" w14:textId="77777777" w:rsidR="00957364" w:rsidRPr="006718BA" w:rsidRDefault="00957364" w:rsidP="00957364">
      <w:pPr>
        <w:rPr>
          <w:szCs w:val="24"/>
        </w:rPr>
      </w:pPr>
    </w:p>
    <w:p w14:paraId="3C0712E9" w14:textId="77777777" w:rsidR="00957364" w:rsidRPr="006718BA" w:rsidRDefault="00957364" w:rsidP="00957364">
      <w:pPr>
        <w:rPr>
          <w:b/>
          <w:szCs w:val="24"/>
        </w:rPr>
      </w:pPr>
      <w:r w:rsidRPr="006718BA">
        <w:rPr>
          <w:b/>
          <w:szCs w:val="24"/>
        </w:rPr>
        <w:t xml:space="preserve">Metric 9 ICB Board </w:t>
      </w:r>
    </w:p>
    <w:tbl>
      <w:tblPr>
        <w:tblStyle w:val="TableGrid"/>
        <w:tblW w:w="0" w:type="auto"/>
        <w:tblLook w:val="04A0" w:firstRow="1" w:lastRow="0" w:firstColumn="1" w:lastColumn="0" w:noHBand="0" w:noVBand="1"/>
      </w:tblPr>
      <w:tblGrid>
        <w:gridCol w:w="3452"/>
        <w:gridCol w:w="1993"/>
        <w:gridCol w:w="3571"/>
      </w:tblGrid>
      <w:tr w:rsidR="00957364" w:rsidRPr="006718BA" w14:paraId="57C25B3D" w14:textId="77777777" w:rsidTr="00B213EE">
        <w:tc>
          <w:tcPr>
            <w:tcW w:w="9016" w:type="dxa"/>
            <w:gridSpan w:val="3"/>
          </w:tcPr>
          <w:p w14:paraId="766D3CCC" w14:textId="77777777" w:rsidR="00957364" w:rsidRPr="006718BA" w:rsidRDefault="00957364" w:rsidP="00B213EE">
            <w:pPr>
              <w:rPr>
                <w:szCs w:val="24"/>
              </w:rPr>
            </w:pPr>
            <w:r w:rsidRPr="006718BA">
              <w:rPr>
                <w:szCs w:val="24"/>
              </w:rPr>
              <w:t>- Compare the difference for white and BME staff: Percentage difference between (</w:t>
            </w:r>
            <w:proofErr w:type="spellStart"/>
            <w:r w:rsidRPr="006718BA">
              <w:rPr>
                <w:szCs w:val="24"/>
              </w:rPr>
              <w:t>i</w:t>
            </w:r>
            <w:proofErr w:type="spellEnd"/>
            <w:r w:rsidRPr="006718BA">
              <w:rPr>
                <w:szCs w:val="24"/>
              </w:rPr>
              <w:t>) the organisations’ Board voting membership and its overall workforce and (ii) the organisations’ Board executive membership and its overall workforce</w:t>
            </w:r>
          </w:p>
        </w:tc>
      </w:tr>
      <w:tr w:rsidR="00957364" w:rsidRPr="006718BA" w14:paraId="018073EA" w14:textId="77777777" w:rsidTr="00B213EE">
        <w:tc>
          <w:tcPr>
            <w:tcW w:w="9016" w:type="dxa"/>
            <w:gridSpan w:val="3"/>
          </w:tcPr>
          <w:p w14:paraId="56331A2F" w14:textId="77777777" w:rsidR="00957364" w:rsidRPr="006718BA" w:rsidDel="00AE6DA6" w:rsidRDefault="00957364" w:rsidP="00B213EE">
            <w:pPr>
              <w:rPr>
                <w:szCs w:val="24"/>
              </w:rPr>
            </w:pPr>
          </w:p>
        </w:tc>
      </w:tr>
      <w:tr w:rsidR="00957364" w:rsidRPr="006718BA" w14:paraId="4630C9C0" w14:textId="77777777" w:rsidTr="00B213EE">
        <w:tc>
          <w:tcPr>
            <w:tcW w:w="3452" w:type="dxa"/>
          </w:tcPr>
          <w:p w14:paraId="37EB8EA2" w14:textId="77777777" w:rsidR="00957364" w:rsidRPr="006718BA" w:rsidRDefault="00957364" w:rsidP="00B213EE">
            <w:pPr>
              <w:rPr>
                <w:b/>
                <w:szCs w:val="24"/>
              </w:rPr>
            </w:pPr>
            <w:r w:rsidRPr="006718BA">
              <w:rPr>
                <w:szCs w:val="24"/>
              </w:rPr>
              <w:t>% BME in Overall Workforce=</w:t>
            </w:r>
          </w:p>
        </w:tc>
        <w:tc>
          <w:tcPr>
            <w:tcW w:w="1993" w:type="dxa"/>
          </w:tcPr>
          <w:p w14:paraId="62CBA049" w14:textId="399B4ADE" w:rsidR="00957364" w:rsidRPr="006718BA" w:rsidRDefault="005F097A" w:rsidP="00C056C9">
            <w:pPr>
              <w:pStyle w:val="ListParagraph"/>
              <w:numPr>
                <w:ilvl w:val="0"/>
                <w:numId w:val="8"/>
              </w:numPr>
              <w:spacing w:after="0"/>
              <w:rPr>
                <w:b/>
                <w:szCs w:val="24"/>
              </w:rPr>
            </w:pPr>
            <w:r w:rsidRPr="006718BA">
              <w:rPr>
                <w:b/>
                <w:szCs w:val="24"/>
              </w:rPr>
              <w:t>2.</w:t>
            </w:r>
            <w:r w:rsidR="006718BA">
              <w:rPr>
                <w:b/>
                <w:szCs w:val="24"/>
              </w:rPr>
              <w:t>9</w:t>
            </w:r>
            <w:r w:rsidRPr="006718BA">
              <w:rPr>
                <w:b/>
                <w:szCs w:val="24"/>
              </w:rPr>
              <w:t>%</w:t>
            </w:r>
          </w:p>
        </w:tc>
        <w:tc>
          <w:tcPr>
            <w:tcW w:w="3571" w:type="dxa"/>
          </w:tcPr>
          <w:p w14:paraId="38D1081B" w14:textId="77777777" w:rsidR="00957364" w:rsidRPr="006718BA" w:rsidRDefault="00957364" w:rsidP="00B213EE">
            <w:pPr>
              <w:rPr>
                <w:b/>
                <w:szCs w:val="24"/>
              </w:rPr>
            </w:pPr>
          </w:p>
        </w:tc>
      </w:tr>
      <w:tr w:rsidR="00957364" w:rsidRPr="006718BA" w14:paraId="4FFE3E08" w14:textId="77777777" w:rsidTr="00B213EE">
        <w:trPr>
          <w:trHeight w:val="231"/>
        </w:trPr>
        <w:tc>
          <w:tcPr>
            <w:tcW w:w="3452" w:type="dxa"/>
          </w:tcPr>
          <w:p w14:paraId="58B8B1B3" w14:textId="26CD0077" w:rsidR="00957364" w:rsidRPr="006718BA" w:rsidRDefault="00957364" w:rsidP="00B213EE">
            <w:pPr>
              <w:rPr>
                <w:szCs w:val="24"/>
              </w:rPr>
            </w:pPr>
            <w:r w:rsidRPr="006718BA">
              <w:rPr>
                <w:szCs w:val="24"/>
              </w:rPr>
              <w:lastRenderedPageBreak/>
              <w:t>% BME voting membership of the Board =</w:t>
            </w:r>
          </w:p>
        </w:tc>
        <w:tc>
          <w:tcPr>
            <w:tcW w:w="1993" w:type="dxa"/>
          </w:tcPr>
          <w:p w14:paraId="40860FE5" w14:textId="42F08D57" w:rsidR="00957364" w:rsidRPr="006718BA" w:rsidRDefault="00957364" w:rsidP="00B213EE">
            <w:pPr>
              <w:rPr>
                <w:b/>
                <w:bCs/>
                <w:szCs w:val="24"/>
              </w:rPr>
            </w:pPr>
            <w:r w:rsidRPr="006718BA">
              <w:rPr>
                <w:b/>
                <w:bCs/>
                <w:szCs w:val="24"/>
              </w:rPr>
              <w:t xml:space="preserve">b) </w:t>
            </w:r>
            <w:r w:rsidR="006718BA">
              <w:rPr>
                <w:b/>
                <w:bCs/>
                <w:szCs w:val="24"/>
              </w:rPr>
              <w:t xml:space="preserve"> </w:t>
            </w:r>
            <w:r w:rsidRPr="006718BA">
              <w:rPr>
                <w:b/>
                <w:bCs/>
                <w:szCs w:val="24"/>
              </w:rPr>
              <w:t>0</w:t>
            </w:r>
          </w:p>
        </w:tc>
        <w:tc>
          <w:tcPr>
            <w:tcW w:w="3571" w:type="dxa"/>
          </w:tcPr>
          <w:p w14:paraId="721CA54C" w14:textId="21979CA4" w:rsidR="00957364" w:rsidRPr="006718BA" w:rsidRDefault="00957364" w:rsidP="006718BA">
            <w:pPr>
              <w:rPr>
                <w:szCs w:val="24"/>
              </w:rPr>
            </w:pPr>
            <w:r w:rsidRPr="006718BA">
              <w:rPr>
                <w:szCs w:val="24"/>
              </w:rPr>
              <w:t xml:space="preserve">% difference between a) and b) = - </w:t>
            </w:r>
            <w:r w:rsidR="005F097A" w:rsidRPr="006718BA">
              <w:rPr>
                <w:szCs w:val="24"/>
              </w:rPr>
              <w:t>2.</w:t>
            </w:r>
            <w:r w:rsidR="00DE0575" w:rsidRPr="006718BA">
              <w:rPr>
                <w:szCs w:val="24"/>
              </w:rPr>
              <w:t>9</w:t>
            </w:r>
            <w:r w:rsidR="005F097A" w:rsidRPr="006718BA">
              <w:rPr>
                <w:szCs w:val="24"/>
              </w:rPr>
              <w:t>%</w:t>
            </w:r>
          </w:p>
        </w:tc>
      </w:tr>
      <w:tr w:rsidR="00957364" w:rsidRPr="006718BA" w14:paraId="6963CC89" w14:textId="77777777" w:rsidTr="00B213EE">
        <w:trPr>
          <w:trHeight w:val="231"/>
        </w:trPr>
        <w:tc>
          <w:tcPr>
            <w:tcW w:w="3452" w:type="dxa"/>
          </w:tcPr>
          <w:p w14:paraId="679EA89F" w14:textId="77777777" w:rsidR="00957364" w:rsidRPr="006718BA" w:rsidRDefault="00957364" w:rsidP="00B213EE">
            <w:pPr>
              <w:rPr>
                <w:szCs w:val="24"/>
              </w:rPr>
            </w:pPr>
            <w:r w:rsidRPr="006718BA">
              <w:rPr>
                <w:szCs w:val="24"/>
              </w:rPr>
              <w:t>% BME Executive and non- exec membership of the Board =</w:t>
            </w:r>
          </w:p>
        </w:tc>
        <w:tc>
          <w:tcPr>
            <w:tcW w:w="1993" w:type="dxa"/>
          </w:tcPr>
          <w:p w14:paraId="4CB7D54C" w14:textId="7C7F83CF" w:rsidR="00957364" w:rsidRPr="006718BA" w:rsidRDefault="00957364" w:rsidP="006718BA">
            <w:pPr>
              <w:pStyle w:val="ListParagraph"/>
              <w:numPr>
                <w:ilvl w:val="0"/>
                <w:numId w:val="17"/>
              </w:numPr>
              <w:rPr>
                <w:b/>
                <w:bCs/>
                <w:szCs w:val="24"/>
              </w:rPr>
            </w:pPr>
            <w:r w:rsidRPr="006718BA">
              <w:rPr>
                <w:b/>
                <w:bCs/>
                <w:szCs w:val="24"/>
              </w:rPr>
              <w:t>0</w:t>
            </w:r>
          </w:p>
        </w:tc>
        <w:tc>
          <w:tcPr>
            <w:tcW w:w="3571" w:type="dxa"/>
          </w:tcPr>
          <w:p w14:paraId="437E8FEA" w14:textId="76D13ADB" w:rsidR="00957364" w:rsidRPr="006718BA" w:rsidRDefault="00957364" w:rsidP="00B213EE">
            <w:pPr>
              <w:rPr>
                <w:szCs w:val="24"/>
              </w:rPr>
            </w:pPr>
            <w:r w:rsidRPr="006718BA">
              <w:rPr>
                <w:szCs w:val="24"/>
              </w:rPr>
              <w:t>% difference between a) and c) = -</w:t>
            </w:r>
            <w:r w:rsidR="005F097A" w:rsidRPr="006718BA">
              <w:rPr>
                <w:szCs w:val="24"/>
              </w:rPr>
              <w:t>2.</w:t>
            </w:r>
            <w:r w:rsidR="00DE0575" w:rsidRPr="006718BA">
              <w:rPr>
                <w:szCs w:val="24"/>
              </w:rPr>
              <w:t>9</w:t>
            </w:r>
            <w:r w:rsidR="005F097A" w:rsidRPr="006718BA">
              <w:rPr>
                <w:szCs w:val="24"/>
              </w:rPr>
              <w:t>%</w:t>
            </w:r>
          </w:p>
        </w:tc>
      </w:tr>
    </w:tbl>
    <w:p w14:paraId="6B258200" w14:textId="07AC809A" w:rsidR="00957364" w:rsidRPr="006718BA" w:rsidRDefault="00E60EF3" w:rsidP="00135B92">
      <w:pPr>
        <w:pStyle w:val="BodyTextIndent"/>
        <w:spacing w:before="120" w:after="120"/>
        <w:ind w:left="0"/>
        <w:rPr>
          <w:rFonts w:ascii="Arial" w:hAnsi="Arial" w:cs="Arial"/>
          <w:lang w:eastAsia="en-GB"/>
        </w:rPr>
      </w:pPr>
      <w:r w:rsidRPr="006718BA">
        <w:rPr>
          <w:rFonts w:ascii="Arial" w:hAnsi="Arial" w:cs="Arial"/>
          <w:bCs/>
        </w:rPr>
        <w:t>Of the voting membership, 5 are on honorary contracts and 2 do not have assignments registered on ESR, so would not be included in this calculation as they are not employees. Of those within the scope to be included as they do have an employment contract and are voting members (8 in total) 4 have not disclosed their ethnicity.</w:t>
      </w:r>
    </w:p>
    <w:p w14:paraId="1CFC3A00" w14:textId="25E03D16" w:rsidR="00362E57" w:rsidRPr="006718BA" w:rsidRDefault="00362E57" w:rsidP="00C056C9">
      <w:pPr>
        <w:pStyle w:val="Heading1"/>
        <w:numPr>
          <w:ilvl w:val="0"/>
          <w:numId w:val="13"/>
        </w:numPr>
        <w:rPr>
          <w:rFonts w:eastAsia="Times New Roman" w:cs="Arial"/>
          <w:sz w:val="24"/>
          <w:szCs w:val="24"/>
          <w:lang w:eastAsia="en-GB"/>
        </w:rPr>
      </w:pPr>
      <w:r w:rsidRPr="006718BA">
        <w:rPr>
          <w:rFonts w:eastAsia="Times New Roman" w:cs="Arial"/>
          <w:sz w:val="24"/>
          <w:szCs w:val="24"/>
          <w:lang w:eastAsia="en-GB"/>
        </w:rPr>
        <w:t>WDES</w:t>
      </w:r>
      <w:r w:rsidR="00FB2CFE" w:rsidRPr="006718BA">
        <w:rPr>
          <w:rFonts w:eastAsia="Times New Roman" w:cs="Arial"/>
          <w:sz w:val="24"/>
          <w:szCs w:val="24"/>
          <w:lang w:eastAsia="en-GB"/>
        </w:rPr>
        <w:t xml:space="preserve"> REPORTING </w:t>
      </w:r>
    </w:p>
    <w:p w14:paraId="2EF57139" w14:textId="77777777" w:rsidR="000E184D" w:rsidRPr="006718BA" w:rsidRDefault="000E184D" w:rsidP="008C016A">
      <w:pPr>
        <w:pStyle w:val="BodyTextIndent"/>
        <w:ind w:left="0"/>
        <w:rPr>
          <w:rFonts w:ascii="Arial" w:hAnsi="Arial" w:cs="Arial"/>
        </w:rPr>
      </w:pPr>
    </w:p>
    <w:p w14:paraId="2F95931E" w14:textId="4A34C179" w:rsidR="00AE7626" w:rsidRPr="006718BA" w:rsidRDefault="00362E57" w:rsidP="00AE7626">
      <w:pPr>
        <w:pStyle w:val="BodyTextIndent"/>
        <w:ind w:left="0"/>
        <w:rPr>
          <w:rFonts w:ascii="Arial" w:hAnsi="Arial" w:cs="Arial"/>
        </w:rPr>
      </w:pPr>
      <w:r w:rsidRPr="006718BA">
        <w:rPr>
          <w:rFonts w:ascii="Arial" w:hAnsi="Arial" w:cs="Arial"/>
        </w:rPr>
        <w:t xml:space="preserve">There are ten WDES </w:t>
      </w:r>
      <w:r w:rsidR="00AE7626" w:rsidRPr="006718BA">
        <w:rPr>
          <w:rFonts w:ascii="Arial" w:hAnsi="Arial" w:cs="Arial"/>
        </w:rPr>
        <w:t>metrics focusing o</w:t>
      </w:r>
      <w:r w:rsidR="006C46DB" w:rsidRPr="006718BA">
        <w:rPr>
          <w:rFonts w:ascii="Arial" w:hAnsi="Arial" w:cs="Arial"/>
        </w:rPr>
        <w:t>n</w:t>
      </w:r>
      <w:r w:rsidR="00AE7626" w:rsidRPr="006718BA">
        <w:rPr>
          <w:rFonts w:ascii="Arial" w:hAnsi="Arial" w:cs="Arial"/>
        </w:rPr>
        <w:t>:</w:t>
      </w:r>
    </w:p>
    <w:p w14:paraId="1839ACB5" w14:textId="77777777" w:rsidR="00AE7626" w:rsidRPr="006718BA" w:rsidRDefault="00AE7626" w:rsidP="00C056C9">
      <w:pPr>
        <w:pStyle w:val="BodyTextIndent"/>
        <w:numPr>
          <w:ilvl w:val="0"/>
          <w:numId w:val="6"/>
        </w:numPr>
        <w:rPr>
          <w:rFonts w:ascii="Arial" w:hAnsi="Arial" w:cs="Arial"/>
        </w:rPr>
      </w:pPr>
      <w:r w:rsidRPr="006718BA">
        <w:rPr>
          <w:rFonts w:ascii="Arial" w:hAnsi="Arial" w:cs="Arial"/>
        </w:rPr>
        <w:t xml:space="preserve">Workforce data: representation across pay bands, likelihood of appointment from short-listing and likelihood of entering formal capability </w:t>
      </w:r>
      <w:proofErr w:type="gramStart"/>
      <w:r w:rsidRPr="006718BA">
        <w:rPr>
          <w:rFonts w:ascii="Arial" w:hAnsi="Arial" w:cs="Arial"/>
        </w:rPr>
        <w:t>procedures</w:t>
      </w:r>
      <w:proofErr w:type="gramEnd"/>
    </w:p>
    <w:p w14:paraId="77A3682D" w14:textId="686D06C7" w:rsidR="00AE7626" w:rsidRPr="006718BA" w:rsidRDefault="00AE7626" w:rsidP="00C056C9">
      <w:pPr>
        <w:pStyle w:val="BodyTextIndent"/>
        <w:numPr>
          <w:ilvl w:val="0"/>
          <w:numId w:val="7"/>
        </w:numPr>
        <w:rPr>
          <w:rFonts w:ascii="Arial" w:hAnsi="Arial" w:cs="Arial"/>
        </w:rPr>
      </w:pPr>
      <w:r w:rsidRPr="006718BA">
        <w:rPr>
          <w:rFonts w:ascii="Arial" w:hAnsi="Arial" w:cs="Arial"/>
        </w:rPr>
        <w:t xml:space="preserve">Five are based on questions from the national NHS Staff Survey, these map to    </w:t>
      </w:r>
      <w:r w:rsidR="001A0239" w:rsidRPr="006718BA">
        <w:rPr>
          <w:rFonts w:ascii="Arial" w:hAnsi="Arial" w:cs="Arial"/>
        </w:rPr>
        <w:t xml:space="preserve">  </w:t>
      </w:r>
      <w:r w:rsidRPr="006718BA">
        <w:rPr>
          <w:rFonts w:ascii="Arial" w:hAnsi="Arial" w:cs="Arial"/>
        </w:rPr>
        <w:t xml:space="preserve">WRES indicator plus the </w:t>
      </w:r>
      <w:proofErr w:type="gramStart"/>
      <w:r w:rsidRPr="006718BA">
        <w:rPr>
          <w:rFonts w:ascii="Arial" w:hAnsi="Arial" w:cs="Arial"/>
        </w:rPr>
        <w:t>following</w:t>
      </w:r>
      <w:proofErr w:type="gramEnd"/>
    </w:p>
    <w:p w14:paraId="52E0910A" w14:textId="77777777" w:rsidR="00AE7626" w:rsidRPr="006718BA" w:rsidRDefault="00AE7626" w:rsidP="00C056C9">
      <w:pPr>
        <w:pStyle w:val="BodyTextIndent"/>
        <w:numPr>
          <w:ilvl w:val="1"/>
          <w:numId w:val="7"/>
        </w:numPr>
        <w:rPr>
          <w:rFonts w:ascii="Arial" w:hAnsi="Arial" w:cs="Arial"/>
        </w:rPr>
      </w:pPr>
      <w:r w:rsidRPr="006718BA">
        <w:rPr>
          <w:rFonts w:ascii="Arial" w:hAnsi="Arial" w:cs="Arial"/>
        </w:rPr>
        <w:t xml:space="preserve">Percentage of Disabled staff compared to non-disabled staff saying that they have felt pressure from their manager to come to work, despite not feeling well enough to perform their duties. </w:t>
      </w:r>
    </w:p>
    <w:p w14:paraId="0C290EDE" w14:textId="77777777" w:rsidR="00AE7626" w:rsidRPr="006718BA" w:rsidRDefault="00AE7626" w:rsidP="00C056C9">
      <w:pPr>
        <w:pStyle w:val="ListParagraph"/>
        <w:numPr>
          <w:ilvl w:val="1"/>
          <w:numId w:val="7"/>
        </w:numPr>
        <w:rPr>
          <w:szCs w:val="24"/>
        </w:rPr>
      </w:pPr>
      <w:r w:rsidRPr="006718BA">
        <w:rPr>
          <w:szCs w:val="24"/>
        </w:rPr>
        <w:t>Percentage of Disabled staff compared to non-disabled staff saying that they are satisfied with the extent to which their organisation values their work.</w:t>
      </w:r>
    </w:p>
    <w:p w14:paraId="1E2C1326" w14:textId="77777777" w:rsidR="00AE7626" w:rsidRPr="006718BA" w:rsidRDefault="00AE7626" w:rsidP="00C056C9">
      <w:pPr>
        <w:pStyle w:val="ListParagraph"/>
        <w:numPr>
          <w:ilvl w:val="1"/>
          <w:numId w:val="7"/>
        </w:numPr>
        <w:rPr>
          <w:szCs w:val="24"/>
        </w:rPr>
      </w:pPr>
      <w:r w:rsidRPr="006718BA">
        <w:rPr>
          <w:szCs w:val="24"/>
        </w:rPr>
        <w:t xml:space="preserve">Percentage of Disabled staff saying that their employer has made adequate adjustment(s) to enable them to carry out their work. </w:t>
      </w:r>
    </w:p>
    <w:p w14:paraId="1BE74AA2" w14:textId="77777777" w:rsidR="00AE7626" w:rsidRPr="006718BA" w:rsidRDefault="00AE7626" w:rsidP="00C056C9">
      <w:pPr>
        <w:pStyle w:val="ListParagraph"/>
        <w:numPr>
          <w:ilvl w:val="1"/>
          <w:numId w:val="7"/>
        </w:numPr>
        <w:rPr>
          <w:szCs w:val="24"/>
        </w:rPr>
      </w:pPr>
      <w:r w:rsidRPr="006718BA">
        <w:rPr>
          <w:szCs w:val="24"/>
        </w:rPr>
        <w:t xml:space="preserve">Percentage of Disabled staff saying that their employer has made </w:t>
      </w:r>
      <w:proofErr w:type="gramStart"/>
      <w:r w:rsidRPr="006718BA">
        <w:rPr>
          <w:szCs w:val="24"/>
        </w:rPr>
        <w:t>adequate</w:t>
      </w:r>
      <w:proofErr w:type="gramEnd"/>
    </w:p>
    <w:p w14:paraId="1326FAAD" w14:textId="77777777" w:rsidR="00AE7626" w:rsidRPr="006718BA" w:rsidRDefault="00AE7626" w:rsidP="00C056C9">
      <w:pPr>
        <w:pStyle w:val="ListParagraph"/>
        <w:numPr>
          <w:ilvl w:val="1"/>
          <w:numId w:val="7"/>
        </w:numPr>
        <w:rPr>
          <w:szCs w:val="24"/>
        </w:rPr>
      </w:pPr>
      <w:r w:rsidRPr="006718BA">
        <w:rPr>
          <w:szCs w:val="24"/>
        </w:rPr>
        <w:t>adjustment(s) to enable them to carry out their work.</w:t>
      </w:r>
    </w:p>
    <w:p w14:paraId="596B7FCF" w14:textId="77777777" w:rsidR="00AE7626" w:rsidRPr="006718BA" w:rsidRDefault="00AE7626" w:rsidP="00C056C9">
      <w:pPr>
        <w:pStyle w:val="ListParagraph"/>
        <w:numPr>
          <w:ilvl w:val="1"/>
          <w:numId w:val="7"/>
        </w:numPr>
        <w:rPr>
          <w:szCs w:val="24"/>
        </w:rPr>
      </w:pPr>
      <w:r w:rsidRPr="006718BA">
        <w:rPr>
          <w:szCs w:val="24"/>
        </w:rPr>
        <w:t>The staff engagement score for Disabled staff, compared to non-disabled staff.</w:t>
      </w:r>
    </w:p>
    <w:p w14:paraId="0DCA3EB1" w14:textId="77777777" w:rsidR="009C1DDE" w:rsidRPr="006718BA" w:rsidRDefault="00AE7626" w:rsidP="00C056C9">
      <w:pPr>
        <w:pStyle w:val="ListParagraph"/>
        <w:numPr>
          <w:ilvl w:val="1"/>
          <w:numId w:val="7"/>
        </w:numPr>
        <w:rPr>
          <w:szCs w:val="24"/>
        </w:rPr>
      </w:pPr>
      <w:r w:rsidRPr="006718BA">
        <w:rPr>
          <w:szCs w:val="24"/>
        </w:rPr>
        <w:t xml:space="preserve">Whether disabled staff feel the organisation has taken action to facilitate the voices of Disabled staff in your organisation to be heard? </w:t>
      </w:r>
    </w:p>
    <w:p w14:paraId="53080B5C" w14:textId="32309B80" w:rsidR="00AE7626" w:rsidRPr="006718BA" w:rsidRDefault="00AE7626" w:rsidP="00C056C9">
      <w:pPr>
        <w:pStyle w:val="ListParagraph"/>
        <w:numPr>
          <w:ilvl w:val="1"/>
          <w:numId w:val="7"/>
        </w:numPr>
        <w:rPr>
          <w:szCs w:val="24"/>
        </w:rPr>
      </w:pPr>
      <w:r w:rsidRPr="006718BA">
        <w:rPr>
          <w:szCs w:val="24"/>
        </w:rPr>
        <w:t>Disability representation on boards</w:t>
      </w:r>
    </w:p>
    <w:p w14:paraId="10372931" w14:textId="0188145B" w:rsidR="00FB2CFE" w:rsidRPr="006718BA" w:rsidRDefault="00C46301" w:rsidP="00FB2CFE">
      <w:pPr>
        <w:pStyle w:val="Heading2"/>
        <w:numPr>
          <w:ilvl w:val="0"/>
          <w:numId w:val="0"/>
        </w:numPr>
        <w:ind w:left="576" w:hanging="576"/>
        <w:rPr>
          <w:rFonts w:cs="Arial"/>
          <w:sz w:val="24"/>
          <w:szCs w:val="24"/>
        </w:rPr>
      </w:pPr>
      <w:r w:rsidRPr="006718BA">
        <w:rPr>
          <w:rFonts w:cs="Arial"/>
          <w:sz w:val="24"/>
          <w:szCs w:val="24"/>
        </w:rPr>
        <w:t>5</w:t>
      </w:r>
      <w:r w:rsidR="00FB2CFE" w:rsidRPr="006718BA">
        <w:rPr>
          <w:rFonts w:cs="Arial"/>
          <w:sz w:val="24"/>
          <w:szCs w:val="24"/>
        </w:rPr>
        <w:t>.1 W</w:t>
      </w:r>
      <w:r w:rsidR="00F40061" w:rsidRPr="006718BA">
        <w:rPr>
          <w:rFonts w:cs="Arial"/>
          <w:sz w:val="24"/>
          <w:szCs w:val="24"/>
        </w:rPr>
        <w:t>D</w:t>
      </w:r>
      <w:r w:rsidR="00FB2CFE" w:rsidRPr="006718BA">
        <w:rPr>
          <w:rFonts w:cs="Arial"/>
          <w:sz w:val="24"/>
          <w:szCs w:val="24"/>
        </w:rPr>
        <w:t xml:space="preserve">ES REPORT IN FULL </w:t>
      </w:r>
    </w:p>
    <w:p w14:paraId="513A03E7" w14:textId="77777777" w:rsidR="009B2AB8" w:rsidRPr="006718BA" w:rsidRDefault="009B2AB8" w:rsidP="009B2AB8">
      <w:pPr>
        <w:rPr>
          <w:b/>
          <w:szCs w:val="24"/>
        </w:rPr>
      </w:pPr>
      <w:r w:rsidRPr="006718BA">
        <w:rPr>
          <w:b/>
          <w:szCs w:val="24"/>
        </w:rPr>
        <w:t>General</w:t>
      </w:r>
    </w:p>
    <w:tbl>
      <w:tblPr>
        <w:tblStyle w:val="TableGrid"/>
        <w:tblW w:w="0" w:type="auto"/>
        <w:tblLook w:val="04A0" w:firstRow="1" w:lastRow="0" w:firstColumn="1" w:lastColumn="0" w:noHBand="0" w:noVBand="1"/>
      </w:tblPr>
      <w:tblGrid>
        <w:gridCol w:w="4621"/>
        <w:gridCol w:w="4621"/>
      </w:tblGrid>
      <w:tr w:rsidR="009B2AB8" w:rsidRPr="006718BA" w14:paraId="619377E0" w14:textId="77777777" w:rsidTr="00B213EE">
        <w:tc>
          <w:tcPr>
            <w:tcW w:w="9242" w:type="dxa"/>
            <w:gridSpan w:val="2"/>
          </w:tcPr>
          <w:p w14:paraId="6275F060" w14:textId="5E4679CE" w:rsidR="009B2AB8" w:rsidRPr="006718BA" w:rsidRDefault="009B2AB8" w:rsidP="00B213EE">
            <w:pPr>
              <w:rPr>
                <w:szCs w:val="24"/>
              </w:rPr>
            </w:pPr>
            <w:r w:rsidRPr="006718BA">
              <w:rPr>
                <w:szCs w:val="24"/>
              </w:rPr>
              <w:t>Total number of staff employed within the organisation on 31 March 202</w:t>
            </w:r>
            <w:r w:rsidR="00E60EF3" w:rsidRPr="006718BA">
              <w:rPr>
                <w:szCs w:val="24"/>
              </w:rPr>
              <w:t>4</w:t>
            </w:r>
            <w:r w:rsidRPr="006718BA">
              <w:rPr>
                <w:szCs w:val="24"/>
              </w:rPr>
              <w:t xml:space="preserve"> with Overall percentage of staff in the following groups:</w:t>
            </w:r>
          </w:p>
        </w:tc>
      </w:tr>
      <w:tr w:rsidR="009B2AB8" w:rsidRPr="006718BA" w14:paraId="1070CAD3" w14:textId="77777777" w:rsidTr="00B213EE">
        <w:tc>
          <w:tcPr>
            <w:tcW w:w="4621" w:type="dxa"/>
          </w:tcPr>
          <w:p w14:paraId="285CA545" w14:textId="22D3C0D4" w:rsidR="009B2AB8" w:rsidRPr="006718BA" w:rsidRDefault="009B2AB8" w:rsidP="00B213EE">
            <w:pPr>
              <w:rPr>
                <w:szCs w:val="24"/>
              </w:rPr>
            </w:pPr>
            <w:r w:rsidRPr="006718BA">
              <w:rPr>
                <w:szCs w:val="24"/>
              </w:rPr>
              <w:t>Total number staff</w:t>
            </w:r>
          </w:p>
        </w:tc>
        <w:tc>
          <w:tcPr>
            <w:tcW w:w="4621" w:type="dxa"/>
          </w:tcPr>
          <w:p w14:paraId="053D018A" w14:textId="50BBC98C" w:rsidR="009B2AB8" w:rsidRPr="006718BA" w:rsidRDefault="00E60EF3" w:rsidP="00B213EE">
            <w:pPr>
              <w:jc w:val="center"/>
              <w:rPr>
                <w:szCs w:val="24"/>
              </w:rPr>
            </w:pPr>
            <w:r w:rsidRPr="006718BA">
              <w:rPr>
                <w:szCs w:val="24"/>
              </w:rPr>
              <w:t>840</w:t>
            </w:r>
          </w:p>
        </w:tc>
      </w:tr>
      <w:tr w:rsidR="009B2AB8" w:rsidRPr="006718BA" w14:paraId="4175E5B3" w14:textId="77777777" w:rsidTr="00B213EE">
        <w:tc>
          <w:tcPr>
            <w:tcW w:w="4621" w:type="dxa"/>
          </w:tcPr>
          <w:p w14:paraId="5221C343" w14:textId="77777777" w:rsidR="009B2AB8" w:rsidRPr="006718BA" w:rsidRDefault="009B2AB8" w:rsidP="00B213EE">
            <w:pPr>
              <w:rPr>
                <w:szCs w:val="24"/>
              </w:rPr>
            </w:pPr>
            <w:r w:rsidRPr="006718BA">
              <w:rPr>
                <w:szCs w:val="24"/>
              </w:rPr>
              <w:t>% Disabled staff</w:t>
            </w:r>
          </w:p>
        </w:tc>
        <w:tc>
          <w:tcPr>
            <w:tcW w:w="4621" w:type="dxa"/>
          </w:tcPr>
          <w:p w14:paraId="744CCD89" w14:textId="230C3D03" w:rsidR="009B2AB8" w:rsidRPr="006718BA" w:rsidRDefault="00E60EF3" w:rsidP="00B213EE">
            <w:pPr>
              <w:jc w:val="center"/>
              <w:rPr>
                <w:szCs w:val="24"/>
              </w:rPr>
            </w:pPr>
            <w:r w:rsidRPr="006718BA">
              <w:rPr>
                <w:szCs w:val="24"/>
              </w:rPr>
              <w:t xml:space="preserve"> 4.6</w:t>
            </w:r>
            <w:r w:rsidR="009B2AB8" w:rsidRPr="006718BA">
              <w:rPr>
                <w:szCs w:val="24"/>
              </w:rPr>
              <w:t>%</w:t>
            </w:r>
          </w:p>
        </w:tc>
      </w:tr>
      <w:tr w:rsidR="009B2AB8" w:rsidRPr="006718BA" w14:paraId="053D288D" w14:textId="77777777" w:rsidTr="00B213EE">
        <w:tc>
          <w:tcPr>
            <w:tcW w:w="4621" w:type="dxa"/>
          </w:tcPr>
          <w:p w14:paraId="62F9D147" w14:textId="77777777" w:rsidR="009B2AB8" w:rsidRPr="006718BA" w:rsidRDefault="009B2AB8" w:rsidP="00B213EE">
            <w:pPr>
              <w:rPr>
                <w:szCs w:val="24"/>
              </w:rPr>
            </w:pPr>
            <w:r w:rsidRPr="006718BA">
              <w:rPr>
                <w:szCs w:val="24"/>
              </w:rPr>
              <w:t>% Non-disabled staff</w:t>
            </w:r>
          </w:p>
        </w:tc>
        <w:tc>
          <w:tcPr>
            <w:tcW w:w="4621" w:type="dxa"/>
          </w:tcPr>
          <w:p w14:paraId="24DE750D" w14:textId="7B0777B3" w:rsidR="009B2AB8" w:rsidRPr="006718BA" w:rsidRDefault="00E60EF3" w:rsidP="00B213EE">
            <w:pPr>
              <w:jc w:val="center"/>
              <w:rPr>
                <w:szCs w:val="24"/>
              </w:rPr>
            </w:pPr>
            <w:r w:rsidRPr="006718BA">
              <w:rPr>
                <w:szCs w:val="24"/>
              </w:rPr>
              <w:t xml:space="preserve"> 59</w:t>
            </w:r>
            <w:r w:rsidR="009B2AB8" w:rsidRPr="006718BA">
              <w:rPr>
                <w:szCs w:val="24"/>
              </w:rPr>
              <w:t>%</w:t>
            </w:r>
          </w:p>
        </w:tc>
      </w:tr>
      <w:tr w:rsidR="009B2AB8" w:rsidRPr="006718BA" w14:paraId="25657B3F" w14:textId="77777777" w:rsidTr="00B213EE">
        <w:tc>
          <w:tcPr>
            <w:tcW w:w="4621" w:type="dxa"/>
          </w:tcPr>
          <w:p w14:paraId="16495EE0" w14:textId="77777777" w:rsidR="009B2AB8" w:rsidRPr="006718BA" w:rsidRDefault="009B2AB8" w:rsidP="00B213EE">
            <w:pPr>
              <w:rPr>
                <w:szCs w:val="24"/>
              </w:rPr>
            </w:pPr>
            <w:r w:rsidRPr="006718BA">
              <w:rPr>
                <w:szCs w:val="24"/>
              </w:rPr>
              <w:t>% Unknown/Null</w:t>
            </w:r>
          </w:p>
        </w:tc>
        <w:tc>
          <w:tcPr>
            <w:tcW w:w="4621" w:type="dxa"/>
          </w:tcPr>
          <w:p w14:paraId="17C96CF4" w14:textId="21E65966" w:rsidR="009B2AB8" w:rsidRPr="006718BA" w:rsidRDefault="00BE6BE4" w:rsidP="00B213EE">
            <w:pPr>
              <w:jc w:val="center"/>
              <w:rPr>
                <w:szCs w:val="24"/>
              </w:rPr>
            </w:pPr>
            <w:r w:rsidRPr="006718BA">
              <w:rPr>
                <w:szCs w:val="24"/>
              </w:rPr>
              <w:t>36.1%</w:t>
            </w:r>
          </w:p>
        </w:tc>
      </w:tr>
      <w:tr w:rsidR="009B2AB8" w:rsidRPr="006718BA" w14:paraId="0799CF03" w14:textId="77777777" w:rsidTr="00B213EE">
        <w:tc>
          <w:tcPr>
            <w:tcW w:w="4621" w:type="dxa"/>
          </w:tcPr>
          <w:p w14:paraId="4135F8FA" w14:textId="77777777" w:rsidR="009B2AB8" w:rsidRPr="006718BA" w:rsidRDefault="009B2AB8" w:rsidP="00B213EE">
            <w:pPr>
              <w:rPr>
                <w:szCs w:val="24"/>
              </w:rPr>
            </w:pPr>
            <w:r w:rsidRPr="006718BA">
              <w:rPr>
                <w:szCs w:val="24"/>
              </w:rPr>
              <w:t>% Other</w:t>
            </w:r>
          </w:p>
        </w:tc>
        <w:tc>
          <w:tcPr>
            <w:tcW w:w="4621" w:type="dxa"/>
          </w:tcPr>
          <w:p w14:paraId="4E9D6789" w14:textId="7246A933" w:rsidR="009B2AB8" w:rsidRPr="006718BA" w:rsidRDefault="00BE6BE4" w:rsidP="00B213EE">
            <w:pPr>
              <w:jc w:val="center"/>
              <w:rPr>
                <w:szCs w:val="24"/>
              </w:rPr>
            </w:pPr>
            <w:r w:rsidRPr="006718BA">
              <w:rPr>
                <w:szCs w:val="24"/>
              </w:rPr>
              <w:t>0</w:t>
            </w:r>
          </w:p>
        </w:tc>
      </w:tr>
      <w:tr w:rsidR="009B2AB8" w:rsidRPr="006718BA" w14:paraId="0BD209DE" w14:textId="77777777" w:rsidTr="00B213EE">
        <w:tc>
          <w:tcPr>
            <w:tcW w:w="4621" w:type="dxa"/>
          </w:tcPr>
          <w:p w14:paraId="56D69BDC" w14:textId="30994528" w:rsidR="009B2AB8" w:rsidRPr="006718BA" w:rsidRDefault="009B2AB8" w:rsidP="00B213EE">
            <w:pPr>
              <w:rPr>
                <w:szCs w:val="24"/>
              </w:rPr>
            </w:pPr>
            <w:r w:rsidRPr="006718BA">
              <w:rPr>
                <w:szCs w:val="24"/>
              </w:rPr>
              <w:t xml:space="preserve">% Prefer not to say </w:t>
            </w:r>
          </w:p>
        </w:tc>
        <w:tc>
          <w:tcPr>
            <w:tcW w:w="4621" w:type="dxa"/>
          </w:tcPr>
          <w:p w14:paraId="02262124" w14:textId="1D005D39" w:rsidR="009B2AB8" w:rsidRPr="006718BA" w:rsidRDefault="00BE6BE4" w:rsidP="00B213EE">
            <w:pPr>
              <w:jc w:val="center"/>
              <w:rPr>
                <w:szCs w:val="24"/>
              </w:rPr>
            </w:pPr>
            <w:r w:rsidRPr="006718BA">
              <w:rPr>
                <w:szCs w:val="24"/>
              </w:rPr>
              <w:t>0.83</w:t>
            </w:r>
            <w:r w:rsidR="009B2AB8" w:rsidRPr="006718BA">
              <w:rPr>
                <w:szCs w:val="24"/>
              </w:rPr>
              <w:t>%</w:t>
            </w:r>
          </w:p>
        </w:tc>
      </w:tr>
    </w:tbl>
    <w:p w14:paraId="5FBADF6A" w14:textId="77777777" w:rsidR="009B2AB8" w:rsidRPr="006718BA" w:rsidRDefault="009B2AB8" w:rsidP="009B2AB8">
      <w:pPr>
        <w:rPr>
          <w:b/>
          <w:szCs w:val="24"/>
        </w:rPr>
      </w:pPr>
      <w:r w:rsidRPr="006718BA">
        <w:rPr>
          <w:b/>
          <w:szCs w:val="24"/>
        </w:rPr>
        <w:t>Metric 1</w:t>
      </w:r>
    </w:p>
    <w:tbl>
      <w:tblPr>
        <w:tblStyle w:val="TableGrid"/>
        <w:tblW w:w="0" w:type="auto"/>
        <w:tblLook w:val="04A0" w:firstRow="1" w:lastRow="0" w:firstColumn="1" w:lastColumn="0" w:noHBand="0" w:noVBand="1"/>
      </w:tblPr>
      <w:tblGrid>
        <w:gridCol w:w="3311"/>
        <w:gridCol w:w="1589"/>
        <w:gridCol w:w="1558"/>
        <w:gridCol w:w="2751"/>
      </w:tblGrid>
      <w:tr w:rsidR="009C1DDE" w:rsidRPr="006718BA" w14:paraId="5B7D3BDE" w14:textId="77777777" w:rsidTr="009C1DDE">
        <w:tc>
          <w:tcPr>
            <w:tcW w:w="6458" w:type="dxa"/>
            <w:gridSpan w:val="3"/>
          </w:tcPr>
          <w:p w14:paraId="3CE95735" w14:textId="135D7076" w:rsidR="009C1DDE" w:rsidRPr="006718BA" w:rsidRDefault="009C1DDE" w:rsidP="00B213EE">
            <w:pPr>
              <w:rPr>
                <w:szCs w:val="24"/>
              </w:rPr>
            </w:pPr>
            <w:r w:rsidRPr="006718BA">
              <w:rPr>
                <w:szCs w:val="24"/>
              </w:rPr>
              <w:lastRenderedPageBreak/>
              <w:t xml:space="preserve">Percentage of staff in </w:t>
            </w:r>
            <w:proofErr w:type="spellStart"/>
            <w:r w:rsidRPr="006718BA">
              <w:rPr>
                <w:szCs w:val="24"/>
              </w:rPr>
              <w:t>AfC</w:t>
            </w:r>
            <w:proofErr w:type="spellEnd"/>
            <w:r w:rsidRPr="006718BA">
              <w:rPr>
                <w:szCs w:val="24"/>
              </w:rPr>
              <w:t xml:space="preserve"> </w:t>
            </w:r>
            <w:proofErr w:type="spellStart"/>
            <w:r w:rsidRPr="006718BA">
              <w:rPr>
                <w:szCs w:val="24"/>
              </w:rPr>
              <w:t>paybands</w:t>
            </w:r>
            <w:proofErr w:type="spellEnd"/>
            <w:r w:rsidRPr="006718BA">
              <w:rPr>
                <w:szCs w:val="24"/>
              </w:rPr>
              <w:t xml:space="preserve"> or medical and dental subgroups and very senior managers (including Executive Board members but not including </w:t>
            </w:r>
            <w:proofErr w:type="spellStart"/>
            <w:proofErr w:type="gramStart"/>
            <w:r w:rsidRPr="006718BA">
              <w:rPr>
                <w:szCs w:val="24"/>
              </w:rPr>
              <w:t>Non Executive</w:t>
            </w:r>
            <w:proofErr w:type="spellEnd"/>
            <w:proofErr w:type="gramEnd"/>
            <w:r w:rsidRPr="006718BA">
              <w:rPr>
                <w:szCs w:val="24"/>
              </w:rPr>
              <w:t xml:space="preserve"> Board members) compared with the percentage of staff in the overall workforce. Organisations should undertake this calculation separately for non-clinical and for clinical staff.</w:t>
            </w:r>
          </w:p>
        </w:tc>
        <w:tc>
          <w:tcPr>
            <w:tcW w:w="2751" w:type="dxa"/>
          </w:tcPr>
          <w:p w14:paraId="5EC36D96" w14:textId="481DAA02" w:rsidR="009C1DDE" w:rsidRPr="006718BA" w:rsidRDefault="009C1DDE" w:rsidP="00B213EE">
            <w:pPr>
              <w:rPr>
                <w:szCs w:val="24"/>
              </w:rPr>
            </w:pPr>
          </w:p>
        </w:tc>
      </w:tr>
      <w:tr w:rsidR="009C1DDE" w:rsidRPr="006718BA" w14:paraId="3E46EEB4" w14:textId="77777777" w:rsidTr="009C1DDE">
        <w:tc>
          <w:tcPr>
            <w:tcW w:w="3311" w:type="dxa"/>
          </w:tcPr>
          <w:p w14:paraId="6E6E9008" w14:textId="77777777" w:rsidR="009C1DDE" w:rsidRPr="006718BA" w:rsidRDefault="009C1DDE" w:rsidP="00B213EE">
            <w:pPr>
              <w:rPr>
                <w:b/>
                <w:szCs w:val="24"/>
              </w:rPr>
            </w:pPr>
          </w:p>
        </w:tc>
        <w:tc>
          <w:tcPr>
            <w:tcW w:w="1589" w:type="dxa"/>
          </w:tcPr>
          <w:p w14:paraId="229881B0" w14:textId="77777777" w:rsidR="009C1DDE" w:rsidRPr="006718BA" w:rsidRDefault="009C1DDE" w:rsidP="00B213EE">
            <w:pPr>
              <w:rPr>
                <w:b/>
                <w:szCs w:val="24"/>
              </w:rPr>
            </w:pPr>
            <w:r w:rsidRPr="006718BA">
              <w:rPr>
                <w:b/>
                <w:szCs w:val="24"/>
              </w:rPr>
              <w:t>% disabled</w:t>
            </w:r>
          </w:p>
        </w:tc>
        <w:tc>
          <w:tcPr>
            <w:tcW w:w="1558" w:type="dxa"/>
          </w:tcPr>
          <w:p w14:paraId="4FB3FD4D" w14:textId="77777777" w:rsidR="009C1DDE" w:rsidRPr="007E2053" w:rsidRDefault="009C1DDE" w:rsidP="00B213EE">
            <w:pPr>
              <w:rPr>
                <w:b/>
                <w:color w:val="auto"/>
                <w:szCs w:val="24"/>
              </w:rPr>
            </w:pPr>
            <w:r w:rsidRPr="007E2053">
              <w:rPr>
                <w:b/>
                <w:color w:val="auto"/>
                <w:szCs w:val="24"/>
              </w:rPr>
              <w:t>% non-disabled</w:t>
            </w:r>
          </w:p>
        </w:tc>
        <w:tc>
          <w:tcPr>
            <w:tcW w:w="2751" w:type="dxa"/>
          </w:tcPr>
          <w:p w14:paraId="47094DEF" w14:textId="77777777" w:rsidR="009C1DDE" w:rsidRPr="007E2053" w:rsidRDefault="009C1DDE" w:rsidP="00B213EE">
            <w:pPr>
              <w:rPr>
                <w:b/>
                <w:color w:val="auto"/>
                <w:szCs w:val="24"/>
              </w:rPr>
            </w:pPr>
            <w:r w:rsidRPr="007E2053">
              <w:rPr>
                <w:b/>
                <w:color w:val="auto"/>
                <w:szCs w:val="24"/>
              </w:rPr>
              <w:t>Not declared</w:t>
            </w:r>
          </w:p>
          <w:p w14:paraId="4AFFB74B" w14:textId="77777777" w:rsidR="009C1DDE" w:rsidRPr="007E2053" w:rsidRDefault="009C1DDE" w:rsidP="00B213EE">
            <w:pPr>
              <w:rPr>
                <w:b/>
                <w:color w:val="auto"/>
                <w:szCs w:val="24"/>
                <w:highlight w:val="yellow"/>
              </w:rPr>
            </w:pPr>
          </w:p>
        </w:tc>
      </w:tr>
      <w:tr w:rsidR="009C1DDE" w:rsidRPr="006718BA" w14:paraId="3615515F" w14:textId="77777777" w:rsidTr="009C1DDE">
        <w:tc>
          <w:tcPr>
            <w:tcW w:w="3311" w:type="dxa"/>
          </w:tcPr>
          <w:p w14:paraId="4240530C" w14:textId="77777777" w:rsidR="009C1DDE" w:rsidRPr="006718BA" w:rsidRDefault="009C1DDE" w:rsidP="00B213EE">
            <w:pPr>
              <w:rPr>
                <w:b/>
                <w:szCs w:val="24"/>
              </w:rPr>
            </w:pPr>
            <w:r w:rsidRPr="006718BA">
              <w:rPr>
                <w:szCs w:val="24"/>
              </w:rPr>
              <w:t xml:space="preserve">Cluster 1: </w:t>
            </w:r>
            <w:proofErr w:type="spellStart"/>
            <w:r w:rsidRPr="006718BA">
              <w:rPr>
                <w:szCs w:val="24"/>
              </w:rPr>
              <w:t>AfC</w:t>
            </w:r>
            <w:proofErr w:type="spellEnd"/>
            <w:r w:rsidRPr="006718BA">
              <w:rPr>
                <w:szCs w:val="24"/>
              </w:rPr>
              <w:t xml:space="preserve"> Band 1, 2, 3 and 4  </w:t>
            </w:r>
          </w:p>
        </w:tc>
        <w:tc>
          <w:tcPr>
            <w:tcW w:w="1589" w:type="dxa"/>
          </w:tcPr>
          <w:p w14:paraId="38BEBD2A" w14:textId="7C4BC7BF" w:rsidR="009C1DDE" w:rsidRPr="006718BA" w:rsidRDefault="00BE6BE4" w:rsidP="00B213EE">
            <w:pPr>
              <w:rPr>
                <w:bCs/>
                <w:szCs w:val="24"/>
              </w:rPr>
            </w:pPr>
            <w:r w:rsidRPr="006718BA">
              <w:rPr>
                <w:bCs/>
                <w:szCs w:val="24"/>
              </w:rPr>
              <w:t>5.6%</w:t>
            </w:r>
          </w:p>
        </w:tc>
        <w:tc>
          <w:tcPr>
            <w:tcW w:w="1558" w:type="dxa"/>
          </w:tcPr>
          <w:p w14:paraId="086BCAE1" w14:textId="023AD6BD" w:rsidR="009C1DDE" w:rsidRPr="007E2053" w:rsidRDefault="00BE6BE4" w:rsidP="00B213EE">
            <w:pPr>
              <w:rPr>
                <w:bCs/>
                <w:color w:val="auto"/>
                <w:szCs w:val="24"/>
              </w:rPr>
            </w:pPr>
            <w:r w:rsidRPr="007E2053">
              <w:rPr>
                <w:bCs/>
                <w:color w:val="auto"/>
                <w:szCs w:val="24"/>
              </w:rPr>
              <w:t>68%</w:t>
            </w:r>
          </w:p>
        </w:tc>
        <w:tc>
          <w:tcPr>
            <w:tcW w:w="2751" w:type="dxa"/>
          </w:tcPr>
          <w:p w14:paraId="2A52CC51" w14:textId="264CB6F3" w:rsidR="009C1DDE" w:rsidRPr="007E2053" w:rsidRDefault="00BE6BE4" w:rsidP="00B213EE">
            <w:pPr>
              <w:rPr>
                <w:bCs/>
                <w:color w:val="auto"/>
                <w:szCs w:val="24"/>
              </w:rPr>
            </w:pPr>
            <w:r w:rsidRPr="007E2053">
              <w:rPr>
                <w:bCs/>
                <w:color w:val="auto"/>
                <w:szCs w:val="24"/>
              </w:rPr>
              <w:t>26.4%</w:t>
            </w:r>
          </w:p>
        </w:tc>
      </w:tr>
      <w:tr w:rsidR="009C1DDE" w:rsidRPr="006718BA" w14:paraId="6D0AC23A" w14:textId="77777777" w:rsidTr="009C1DDE">
        <w:tc>
          <w:tcPr>
            <w:tcW w:w="3311" w:type="dxa"/>
          </w:tcPr>
          <w:p w14:paraId="6ADF733D" w14:textId="77777777" w:rsidR="009C1DDE" w:rsidRPr="006718BA" w:rsidRDefault="009C1DDE" w:rsidP="00B213EE">
            <w:pPr>
              <w:rPr>
                <w:b/>
                <w:szCs w:val="24"/>
              </w:rPr>
            </w:pPr>
            <w:r w:rsidRPr="006718BA">
              <w:rPr>
                <w:szCs w:val="24"/>
              </w:rPr>
              <w:t xml:space="preserve">Cluster 2: </w:t>
            </w:r>
            <w:proofErr w:type="spellStart"/>
            <w:r w:rsidRPr="006718BA">
              <w:rPr>
                <w:szCs w:val="24"/>
              </w:rPr>
              <w:t>AfC</w:t>
            </w:r>
            <w:proofErr w:type="spellEnd"/>
            <w:r w:rsidRPr="006718BA">
              <w:rPr>
                <w:szCs w:val="24"/>
              </w:rPr>
              <w:t xml:space="preserve"> Band 5, 6 and </w:t>
            </w:r>
            <w:r w:rsidRPr="006718BA">
              <w:rPr>
                <w:bCs/>
                <w:szCs w:val="24"/>
              </w:rPr>
              <w:t xml:space="preserve">7   </w:t>
            </w:r>
          </w:p>
        </w:tc>
        <w:tc>
          <w:tcPr>
            <w:tcW w:w="1589" w:type="dxa"/>
          </w:tcPr>
          <w:p w14:paraId="1954E12D" w14:textId="68135B26" w:rsidR="009C1DDE" w:rsidRPr="006718BA" w:rsidRDefault="00BE6BE4" w:rsidP="00B213EE">
            <w:pPr>
              <w:rPr>
                <w:bCs/>
                <w:szCs w:val="24"/>
              </w:rPr>
            </w:pPr>
            <w:r w:rsidRPr="006718BA">
              <w:rPr>
                <w:bCs/>
                <w:szCs w:val="24"/>
              </w:rPr>
              <w:t>3.52%</w:t>
            </w:r>
          </w:p>
        </w:tc>
        <w:tc>
          <w:tcPr>
            <w:tcW w:w="1558" w:type="dxa"/>
          </w:tcPr>
          <w:p w14:paraId="684F321E" w14:textId="499CAD9A" w:rsidR="009C1DDE" w:rsidRPr="007E2053" w:rsidRDefault="00BE6BE4" w:rsidP="00B213EE">
            <w:pPr>
              <w:rPr>
                <w:bCs/>
                <w:color w:val="auto"/>
                <w:szCs w:val="24"/>
              </w:rPr>
            </w:pPr>
            <w:r w:rsidRPr="007E2053">
              <w:rPr>
                <w:bCs/>
                <w:color w:val="auto"/>
                <w:szCs w:val="24"/>
              </w:rPr>
              <w:t>57%</w:t>
            </w:r>
          </w:p>
          <w:p w14:paraId="4142A0A2" w14:textId="77777777" w:rsidR="009C1DDE" w:rsidRPr="007E2053" w:rsidRDefault="009C1DDE" w:rsidP="00B213EE">
            <w:pPr>
              <w:rPr>
                <w:bCs/>
                <w:color w:val="auto"/>
                <w:szCs w:val="24"/>
              </w:rPr>
            </w:pPr>
          </w:p>
        </w:tc>
        <w:tc>
          <w:tcPr>
            <w:tcW w:w="2751" w:type="dxa"/>
          </w:tcPr>
          <w:p w14:paraId="34194ABB" w14:textId="1ABCBCE5" w:rsidR="009C1DDE" w:rsidRPr="007E2053" w:rsidRDefault="00BE6BE4" w:rsidP="00B213EE">
            <w:pPr>
              <w:rPr>
                <w:bCs/>
                <w:color w:val="auto"/>
                <w:szCs w:val="24"/>
              </w:rPr>
            </w:pPr>
            <w:r w:rsidRPr="007E2053">
              <w:rPr>
                <w:bCs/>
                <w:color w:val="auto"/>
                <w:szCs w:val="24"/>
              </w:rPr>
              <w:t>39.5%</w:t>
            </w:r>
          </w:p>
          <w:p w14:paraId="4954C6A5" w14:textId="77777777" w:rsidR="009C1DDE" w:rsidRPr="007E2053" w:rsidRDefault="009C1DDE" w:rsidP="00B213EE">
            <w:pPr>
              <w:rPr>
                <w:bCs/>
                <w:color w:val="auto"/>
                <w:szCs w:val="24"/>
              </w:rPr>
            </w:pPr>
          </w:p>
        </w:tc>
      </w:tr>
      <w:tr w:rsidR="009C1DDE" w:rsidRPr="006718BA" w14:paraId="1DE4E22E" w14:textId="77777777" w:rsidTr="009C1DDE">
        <w:tc>
          <w:tcPr>
            <w:tcW w:w="3311" w:type="dxa"/>
          </w:tcPr>
          <w:p w14:paraId="50CA11A5" w14:textId="77777777" w:rsidR="009C1DDE" w:rsidRPr="006718BA" w:rsidRDefault="009C1DDE" w:rsidP="00B213EE">
            <w:pPr>
              <w:rPr>
                <w:b/>
                <w:szCs w:val="24"/>
              </w:rPr>
            </w:pPr>
            <w:r w:rsidRPr="006718BA">
              <w:rPr>
                <w:szCs w:val="24"/>
              </w:rPr>
              <w:t xml:space="preserve">Cluster 3: </w:t>
            </w:r>
            <w:proofErr w:type="spellStart"/>
            <w:r w:rsidRPr="006718BA">
              <w:rPr>
                <w:szCs w:val="24"/>
              </w:rPr>
              <w:t>AfC</w:t>
            </w:r>
            <w:proofErr w:type="spellEnd"/>
            <w:r w:rsidRPr="006718BA">
              <w:rPr>
                <w:szCs w:val="24"/>
              </w:rPr>
              <w:t xml:space="preserve"> Band 8a and 8b</w:t>
            </w:r>
          </w:p>
        </w:tc>
        <w:tc>
          <w:tcPr>
            <w:tcW w:w="1589" w:type="dxa"/>
          </w:tcPr>
          <w:p w14:paraId="7313DA67" w14:textId="55A76FC3" w:rsidR="009C1DDE" w:rsidRPr="006718BA" w:rsidRDefault="00BE6BE4" w:rsidP="00B213EE">
            <w:pPr>
              <w:rPr>
                <w:bCs/>
                <w:szCs w:val="24"/>
              </w:rPr>
            </w:pPr>
            <w:r w:rsidRPr="006718BA">
              <w:rPr>
                <w:bCs/>
                <w:szCs w:val="24"/>
              </w:rPr>
              <w:t>6.24%</w:t>
            </w:r>
          </w:p>
        </w:tc>
        <w:tc>
          <w:tcPr>
            <w:tcW w:w="1558" w:type="dxa"/>
          </w:tcPr>
          <w:p w14:paraId="5BAE9E19" w14:textId="13776C20" w:rsidR="009C1DDE" w:rsidRPr="007E2053" w:rsidRDefault="00BE6BE4" w:rsidP="00B213EE">
            <w:pPr>
              <w:rPr>
                <w:bCs/>
                <w:color w:val="auto"/>
                <w:szCs w:val="24"/>
              </w:rPr>
            </w:pPr>
            <w:r w:rsidRPr="007E2053">
              <w:rPr>
                <w:bCs/>
                <w:color w:val="auto"/>
                <w:szCs w:val="24"/>
              </w:rPr>
              <w:t>58.8%</w:t>
            </w:r>
          </w:p>
        </w:tc>
        <w:tc>
          <w:tcPr>
            <w:tcW w:w="2751" w:type="dxa"/>
          </w:tcPr>
          <w:p w14:paraId="54F40883" w14:textId="677BCAC2" w:rsidR="009C1DDE" w:rsidRPr="007E2053" w:rsidRDefault="00BE6BE4" w:rsidP="00B213EE">
            <w:pPr>
              <w:rPr>
                <w:bCs/>
                <w:color w:val="auto"/>
                <w:szCs w:val="24"/>
              </w:rPr>
            </w:pPr>
            <w:r w:rsidRPr="007E2053">
              <w:rPr>
                <w:bCs/>
                <w:color w:val="auto"/>
                <w:szCs w:val="24"/>
              </w:rPr>
              <w:t>35%</w:t>
            </w:r>
          </w:p>
        </w:tc>
      </w:tr>
      <w:tr w:rsidR="009C1DDE" w:rsidRPr="006718BA" w14:paraId="0EA6D711" w14:textId="77777777" w:rsidTr="009C1DDE">
        <w:tc>
          <w:tcPr>
            <w:tcW w:w="3311" w:type="dxa"/>
          </w:tcPr>
          <w:p w14:paraId="70C5B029" w14:textId="77777777" w:rsidR="009C1DDE" w:rsidRPr="006718BA" w:rsidRDefault="009C1DDE" w:rsidP="00B213EE">
            <w:pPr>
              <w:rPr>
                <w:b/>
                <w:szCs w:val="24"/>
              </w:rPr>
            </w:pPr>
            <w:r w:rsidRPr="006718BA">
              <w:rPr>
                <w:szCs w:val="24"/>
              </w:rPr>
              <w:t xml:space="preserve">Cluster 4: </w:t>
            </w:r>
            <w:proofErr w:type="spellStart"/>
            <w:r w:rsidRPr="006718BA">
              <w:rPr>
                <w:szCs w:val="24"/>
              </w:rPr>
              <w:t>AfC</w:t>
            </w:r>
            <w:proofErr w:type="spellEnd"/>
            <w:r w:rsidRPr="006718BA">
              <w:rPr>
                <w:szCs w:val="24"/>
              </w:rPr>
              <w:t xml:space="preserve"> Band 8c, 8d, 9 and VSM (including Executive Board members)</w:t>
            </w:r>
          </w:p>
        </w:tc>
        <w:tc>
          <w:tcPr>
            <w:tcW w:w="1589" w:type="dxa"/>
          </w:tcPr>
          <w:p w14:paraId="6B041099" w14:textId="10FF1971" w:rsidR="009C1DDE" w:rsidRPr="006718BA" w:rsidRDefault="00BE6BE4" w:rsidP="00B213EE">
            <w:pPr>
              <w:rPr>
                <w:bCs/>
                <w:szCs w:val="24"/>
              </w:rPr>
            </w:pPr>
            <w:r w:rsidRPr="006718BA">
              <w:rPr>
                <w:bCs/>
                <w:szCs w:val="24"/>
              </w:rPr>
              <w:t>5.48%</w:t>
            </w:r>
          </w:p>
        </w:tc>
        <w:tc>
          <w:tcPr>
            <w:tcW w:w="1558" w:type="dxa"/>
          </w:tcPr>
          <w:p w14:paraId="15FDB997" w14:textId="257FAD7D" w:rsidR="009C1DDE" w:rsidRPr="007E2053" w:rsidRDefault="00BE6BE4" w:rsidP="00B213EE">
            <w:pPr>
              <w:rPr>
                <w:bCs/>
                <w:color w:val="auto"/>
                <w:szCs w:val="24"/>
              </w:rPr>
            </w:pPr>
            <w:r w:rsidRPr="007E2053">
              <w:rPr>
                <w:bCs/>
                <w:color w:val="auto"/>
                <w:szCs w:val="24"/>
              </w:rPr>
              <w:t>58.22%</w:t>
            </w:r>
          </w:p>
        </w:tc>
        <w:tc>
          <w:tcPr>
            <w:tcW w:w="2751" w:type="dxa"/>
          </w:tcPr>
          <w:p w14:paraId="41C5A102" w14:textId="2E2F590C" w:rsidR="009C1DDE" w:rsidRPr="007E2053" w:rsidRDefault="00BE6BE4" w:rsidP="00B213EE">
            <w:pPr>
              <w:rPr>
                <w:bCs/>
                <w:color w:val="auto"/>
                <w:szCs w:val="24"/>
              </w:rPr>
            </w:pPr>
            <w:r w:rsidRPr="007E2053">
              <w:rPr>
                <w:bCs/>
                <w:color w:val="auto"/>
                <w:szCs w:val="24"/>
              </w:rPr>
              <w:t>36.3%</w:t>
            </w:r>
          </w:p>
        </w:tc>
      </w:tr>
      <w:tr w:rsidR="009C1DDE" w:rsidRPr="006718BA" w14:paraId="135E8300" w14:textId="77777777" w:rsidTr="009C1DDE">
        <w:tc>
          <w:tcPr>
            <w:tcW w:w="3311" w:type="dxa"/>
          </w:tcPr>
          <w:p w14:paraId="31955256" w14:textId="77777777" w:rsidR="009C1DDE" w:rsidRPr="006718BA" w:rsidRDefault="009C1DDE" w:rsidP="00B213EE">
            <w:pPr>
              <w:rPr>
                <w:b/>
                <w:szCs w:val="24"/>
              </w:rPr>
            </w:pPr>
            <w:r w:rsidRPr="006718BA">
              <w:rPr>
                <w:szCs w:val="24"/>
              </w:rPr>
              <w:t>Cluster 5: Medical and Dental staff, Consultants</w:t>
            </w:r>
          </w:p>
        </w:tc>
        <w:tc>
          <w:tcPr>
            <w:tcW w:w="1589" w:type="dxa"/>
          </w:tcPr>
          <w:p w14:paraId="488478B2" w14:textId="6977E385" w:rsidR="009C1DDE" w:rsidRPr="006718BA" w:rsidRDefault="00BE6BE4" w:rsidP="00B213EE">
            <w:pPr>
              <w:rPr>
                <w:bCs/>
                <w:szCs w:val="24"/>
              </w:rPr>
            </w:pPr>
            <w:r w:rsidRPr="006718BA">
              <w:rPr>
                <w:bCs/>
                <w:szCs w:val="24"/>
              </w:rPr>
              <w:t>Nil</w:t>
            </w:r>
          </w:p>
        </w:tc>
        <w:tc>
          <w:tcPr>
            <w:tcW w:w="1558" w:type="dxa"/>
          </w:tcPr>
          <w:p w14:paraId="1D171B22" w14:textId="37604E11" w:rsidR="009C1DDE" w:rsidRPr="007E2053" w:rsidRDefault="00BE6BE4" w:rsidP="00B213EE">
            <w:pPr>
              <w:rPr>
                <w:bCs/>
                <w:color w:val="auto"/>
                <w:szCs w:val="24"/>
              </w:rPr>
            </w:pPr>
            <w:r w:rsidRPr="007E2053">
              <w:rPr>
                <w:bCs/>
                <w:color w:val="auto"/>
                <w:szCs w:val="24"/>
              </w:rPr>
              <w:t xml:space="preserve">Nil </w:t>
            </w:r>
          </w:p>
        </w:tc>
        <w:tc>
          <w:tcPr>
            <w:tcW w:w="2751" w:type="dxa"/>
          </w:tcPr>
          <w:p w14:paraId="1A78B25B" w14:textId="049FB979" w:rsidR="009C1DDE" w:rsidRPr="007E2053" w:rsidRDefault="00BE6BE4" w:rsidP="00B213EE">
            <w:pPr>
              <w:rPr>
                <w:bCs/>
                <w:color w:val="auto"/>
                <w:szCs w:val="24"/>
              </w:rPr>
            </w:pPr>
            <w:r w:rsidRPr="007E2053">
              <w:rPr>
                <w:bCs/>
                <w:color w:val="auto"/>
                <w:szCs w:val="24"/>
              </w:rPr>
              <w:t>Nil</w:t>
            </w:r>
          </w:p>
        </w:tc>
      </w:tr>
      <w:tr w:rsidR="009C1DDE" w:rsidRPr="006718BA" w14:paraId="382CE045" w14:textId="77777777" w:rsidTr="009C1DDE">
        <w:tc>
          <w:tcPr>
            <w:tcW w:w="3311" w:type="dxa"/>
          </w:tcPr>
          <w:p w14:paraId="2BD44169" w14:textId="77777777" w:rsidR="009C1DDE" w:rsidRPr="006718BA" w:rsidRDefault="009C1DDE" w:rsidP="00B213EE">
            <w:pPr>
              <w:rPr>
                <w:szCs w:val="24"/>
              </w:rPr>
            </w:pPr>
            <w:r w:rsidRPr="006718BA">
              <w:rPr>
                <w:szCs w:val="24"/>
              </w:rPr>
              <w:t xml:space="preserve">Cluster 6: Medical and Dental staff, </w:t>
            </w:r>
            <w:proofErr w:type="gramStart"/>
            <w:r w:rsidRPr="006718BA">
              <w:rPr>
                <w:szCs w:val="24"/>
              </w:rPr>
              <w:t>Non-consultant</w:t>
            </w:r>
            <w:proofErr w:type="gramEnd"/>
            <w:r w:rsidRPr="006718BA">
              <w:rPr>
                <w:szCs w:val="24"/>
              </w:rPr>
              <w:t xml:space="preserve"> career grade</w:t>
            </w:r>
          </w:p>
        </w:tc>
        <w:tc>
          <w:tcPr>
            <w:tcW w:w="1589" w:type="dxa"/>
          </w:tcPr>
          <w:p w14:paraId="08DE2BA5" w14:textId="7E9AFB85" w:rsidR="009C1DDE" w:rsidRPr="006718BA" w:rsidRDefault="00BE6BE4" w:rsidP="00B213EE">
            <w:pPr>
              <w:rPr>
                <w:bCs/>
                <w:szCs w:val="24"/>
              </w:rPr>
            </w:pPr>
            <w:r w:rsidRPr="006718BA">
              <w:rPr>
                <w:bCs/>
                <w:szCs w:val="24"/>
              </w:rPr>
              <w:t xml:space="preserve">0 </w:t>
            </w:r>
          </w:p>
        </w:tc>
        <w:tc>
          <w:tcPr>
            <w:tcW w:w="1558" w:type="dxa"/>
          </w:tcPr>
          <w:p w14:paraId="4E3D0BE4" w14:textId="1AB00FBC" w:rsidR="009C1DDE" w:rsidRPr="007E2053" w:rsidRDefault="00BE6BE4" w:rsidP="00B213EE">
            <w:pPr>
              <w:rPr>
                <w:bCs/>
                <w:color w:val="auto"/>
                <w:szCs w:val="24"/>
              </w:rPr>
            </w:pPr>
            <w:r w:rsidRPr="007E2053">
              <w:rPr>
                <w:bCs/>
                <w:color w:val="auto"/>
                <w:szCs w:val="24"/>
              </w:rPr>
              <w:t>30.43%</w:t>
            </w:r>
          </w:p>
        </w:tc>
        <w:tc>
          <w:tcPr>
            <w:tcW w:w="2751" w:type="dxa"/>
          </w:tcPr>
          <w:p w14:paraId="16FE1773" w14:textId="6F5860DB" w:rsidR="009C1DDE" w:rsidRPr="007E2053" w:rsidRDefault="00BE6BE4" w:rsidP="00B213EE">
            <w:pPr>
              <w:rPr>
                <w:bCs/>
                <w:color w:val="auto"/>
                <w:szCs w:val="24"/>
              </w:rPr>
            </w:pPr>
            <w:r w:rsidRPr="007E2053">
              <w:rPr>
                <w:bCs/>
                <w:color w:val="auto"/>
                <w:szCs w:val="24"/>
              </w:rPr>
              <w:t>69.57%</w:t>
            </w:r>
          </w:p>
        </w:tc>
      </w:tr>
      <w:tr w:rsidR="009C1DDE" w:rsidRPr="006718BA" w14:paraId="52235598" w14:textId="77777777" w:rsidTr="009C1DDE">
        <w:tc>
          <w:tcPr>
            <w:tcW w:w="3311" w:type="dxa"/>
          </w:tcPr>
          <w:p w14:paraId="2CA49B79" w14:textId="77777777" w:rsidR="009C1DDE" w:rsidRPr="006718BA" w:rsidRDefault="009C1DDE" w:rsidP="00B213EE">
            <w:pPr>
              <w:rPr>
                <w:szCs w:val="24"/>
              </w:rPr>
            </w:pPr>
            <w:r w:rsidRPr="006718BA">
              <w:rPr>
                <w:szCs w:val="24"/>
              </w:rPr>
              <w:t>Cluster 7: Medical and Dental staff, Medical and dental trainee grades</w:t>
            </w:r>
          </w:p>
        </w:tc>
        <w:tc>
          <w:tcPr>
            <w:tcW w:w="1589" w:type="dxa"/>
          </w:tcPr>
          <w:p w14:paraId="41ED33B8" w14:textId="2C88AF4A" w:rsidR="009C1DDE" w:rsidRPr="006718BA" w:rsidRDefault="00BE6BE4" w:rsidP="00B213EE">
            <w:pPr>
              <w:rPr>
                <w:bCs/>
                <w:szCs w:val="24"/>
              </w:rPr>
            </w:pPr>
            <w:r w:rsidRPr="006718BA">
              <w:rPr>
                <w:bCs/>
                <w:szCs w:val="24"/>
              </w:rPr>
              <w:t>Nil</w:t>
            </w:r>
          </w:p>
        </w:tc>
        <w:tc>
          <w:tcPr>
            <w:tcW w:w="1558" w:type="dxa"/>
          </w:tcPr>
          <w:p w14:paraId="43E5ED9D" w14:textId="12B97BEF" w:rsidR="009C1DDE" w:rsidRPr="007E2053" w:rsidRDefault="00BE6BE4" w:rsidP="00B213EE">
            <w:pPr>
              <w:rPr>
                <w:bCs/>
                <w:color w:val="auto"/>
                <w:szCs w:val="24"/>
              </w:rPr>
            </w:pPr>
            <w:r w:rsidRPr="007E2053">
              <w:rPr>
                <w:bCs/>
                <w:color w:val="auto"/>
                <w:szCs w:val="24"/>
              </w:rPr>
              <w:t xml:space="preserve">Nil </w:t>
            </w:r>
          </w:p>
        </w:tc>
        <w:tc>
          <w:tcPr>
            <w:tcW w:w="2751" w:type="dxa"/>
          </w:tcPr>
          <w:p w14:paraId="66D97CB8" w14:textId="70D42F53" w:rsidR="009C1DDE" w:rsidRPr="007E2053" w:rsidRDefault="00BE6BE4" w:rsidP="00B213EE">
            <w:pPr>
              <w:rPr>
                <w:bCs/>
                <w:color w:val="auto"/>
                <w:szCs w:val="24"/>
              </w:rPr>
            </w:pPr>
            <w:r w:rsidRPr="007E2053">
              <w:rPr>
                <w:bCs/>
                <w:color w:val="auto"/>
                <w:szCs w:val="24"/>
              </w:rPr>
              <w:t>Nil</w:t>
            </w:r>
          </w:p>
        </w:tc>
      </w:tr>
    </w:tbl>
    <w:p w14:paraId="4ADCEA28" w14:textId="77777777" w:rsidR="009B2AB8" w:rsidRPr="006718BA" w:rsidRDefault="009B2AB8" w:rsidP="009B2AB8">
      <w:pPr>
        <w:rPr>
          <w:szCs w:val="24"/>
        </w:rPr>
      </w:pPr>
      <w:r w:rsidRPr="006718BA">
        <w:rPr>
          <w:szCs w:val="24"/>
        </w:rPr>
        <w:t xml:space="preserve">Note: Definitions for these categories are based on Electronic Staff Record occupation codes with the exception of medical and dental staff, which are based upon grade codes. </w:t>
      </w:r>
    </w:p>
    <w:p w14:paraId="2BBDA74F" w14:textId="77777777" w:rsidR="009B2AB8" w:rsidRPr="006718BA" w:rsidRDefault="009B2AB8" w:rsidP="009B2AB8">
      <w:pPr>
        <w:rPr>
          <w:b/>
          <w:szCs w:val="24"/>
        </w:rPr>
      </w:pPr>
      <w:r w:rsidRPr="006718BA">
        <w:rPr>
          <w:b/>
          <w:szCs w:val="24"/>
        </w:rPr>
        <w:t>Metric 2</w:t>
      </w:r>
    </w:p>
    <w:p w14:paraId="25C85A57" w14:textId="754FFEE4" w:rsidR="009B2AB8" w:rsidRPr="006718BA" w:rsidRDefault="009B2AB8" w:rsidP="009B2AB8">
      <w:pPr>
        <w:rPr>
          <w:b/>
          <w:szCs w:val="24"/>
        </w:rPr>
      </w:pPr>
      <w:r w:rsidRPr="006718BA">
        <w:rPr>
          <w:b/>
          <w:szCs w:val="24"/>
        </w:rPr>
        <w:t>Total application 1</w:t>
      </w:r>
      <w:r w:rsidRPr="006718BA">
        <w:rPr>
          <w:b/>
          <w:szCs w:val="24"/>
          <w:vertAlign w:val="superscript"/>
        </w:rPr>
        <w:t>st</w:t>
      </w:r>
      <w:r w:rsidRPr="006718BA">
        <w:rPr>
          <w:b/>
          <w:szCs w:val="24"/>
        </w:rPr>
        <w:t xml:space="preserve"> </w:t>
      </w:r>
      <w:r w:rsidR="00BE6BE4" w:rsidRPr="006718BA">
        <w:rPr>
          <w:b/>
          <w:szCs w:val="24"/>
        </w:rPr>
        <w:t>April</w:t>
      </w:r>
      <w:r w:rsidRPr="006718BA">
        <w:rPr>
          <w:b/>
          <w:szCs w:val="24"/>
        </w:rPr>
        <w:t xml:space="preserve"> 202</w:t>
      </w:r>
      <w:r w:rsidR="00BE6BE4" w:rsidRPr="006718BA">
        <w:rPr>
          <w:b/>
          <w:szCs w:val="24"/>
        </w:rPr>
        <w:t>3</w:t>
      </w:r>
      <w:r w:rsidRPr="006718BA">
        <w:rPr>
          <w:b/>
          <w:szCs w:val="24"/>
        </w:rPr>
        <w:t xml:space="preserve"> to 31</w:t>
      </w:r>
      <w:r w:rsidRPr="006718BA">
        <w:rPr>
          <w:b/>
          <w:szCs w:val="24"/>
          <w:vertAlign w:val="superscript"/>
        </w:rPr>
        <w:t>st</w:t>
      </w:r>
      <w:r w:rsidRPr="006718BA">
        <w:rPr>
          <w:b/>
          <w:szCs w:val="24"/>
        </w:rPr>
        <w:t xml:space="preserve"> March 2</w:t>
      </w:r>
      <w:r w:rsidR="00BE6BE4" w:rsidRPr="006718BA">
        <w:rPr>
          <w:b/>
          <w:szCs w:val="24"/>
        </w:rPr>
        <w:t>4</w:t>
      </w:r>
      <w:r w:rsidRPr="006718BA">
        <w:rPr>
          <w:b/>
          <w:szCs w:val="24"/>
        </w:rPr>
        <w:t xml:space="preserve"> 793</w:t>
      </w:r>
    </w:p>
    <w:tbl>
      <w:tblPr>
        <w:tblStyle w:val="TableGrid"/>
        <w:tblW w:w="0" w:type="auto"/>
        <w:tblLook w:val="04A0" w:firstRow="1" w:lastRow="0" w:firstColumn="1" w:lastColumn="0" w:noHBand="0" w:noVBand="1"/>
      </w:tblPr>
      <w:tblGrid>
        <w:gridCol w:w="5150"/>
        <w:gridCol w:w="1904"/>
        <w:gridCol w:w="2126"/>
      </w:tblGrid>
      <w:tr w:rsidR="009B2AB8" w:rsidRPr="006718BA" w14:paraId="5093D20D" w14:textId="77777777" w:rsidTr="00B213EE">
        <w:tc>
          <w:tcPr>
            <w:tcW w:w="9180" w:type="dxa"/>
            <w:gridSpan w:val="3"/>
          </w:tcPr>
          <w:p w14:paraId="7E6EE45E" w14:textId="77777777" w:rsidR="009B2AB8" w:rsidRPr="006718BA" w:rsidRDefault="009B2AB8" w:rsidP="00B213EE">
            <w:pPr>
              <w:rPr>
                <w:szCs w:val="24"/>
              </w:rPr>
            </w:pPr>
            <w:r w:rsidRPr="006718BA">
              <w:rPr>
                <w:szCs w:val="24"/>
              </w:rPr>
              <w:t xml:space="preserve">Relative likelihood of Disabled staff compared to non-disabled staff being appointed from shortlisting across all posts. </w:t>
            </w:r>
          </w:p>
          <w:p w14:paraId="0548AFFB" w14:textId="33AE204A" w:rsidR="005F601B" w:rsidRPr="006718BA" w:rsidRDefault="005F601B" w:rsidP="00B213EE">
            <w:pPr>
              <w:rPr>
                <w:szCs w:val="24"/>
              </w:rPr>
            </w:pPr>
            <w:r w:rsidRPr="006718BA">
              <w:rPr>
                <w:i/>
                <w:iCs/>
                <w:szCs w:val="24"/>
              </w:rPr>
              <w:t>As the data of NHS jobs shortlist to appointment made was not available on ESR, this metric was calculated to the point of conditional offer being made on NHS Jobs.</w:t>
            </w:r>
          </w:p>
        </w:tc>
      </w:tr>
      <w:tr w:rsidR="009B2AB8" w:rsidRPr="006718BA" w14:paraId="75A476F4" w14:textId="77777777" w:rsidTr="00B213EE">
        <w:tc>
          <w:tcPr>
            <w:tcW w:w="5150" w:type="dxa"/>
          </w:tcPr>
          <w:p w14:paraId="51EE1A75" w14:textId="77777777" w:rsidR="009B2AB8" w:rsidRPr="006718BA" w:rsidRDefault="009B2AB8" w:rsidP="00B213EE">
            <w:pPr>
              <w:rPr>
                <w:b/>
                <w:szCs w:val="24"/>
              </w:rPr>
            </w:pPr>
          </w:p>
        </w:tc>
        <w:tc>
          <w:tcPr>
            <w:tcW w:w="1904" w:type="dxa"/>
            <w:shd w:val="clear" w:color="auto" w:fill="auto"/>
          </w:tcPr>
          <w:p w14:paraId="3679DD43" w14:textId="77777777" w:rsidR="009B2AB8" w:rsidRPr="006718BA" w:rsidRDefault="009B2AB8" w:rsidP="006E264B">
            <w:pPr>
              <w:rPr>
                <w:b/>
                <w:szCs w:val="24"/>
              </w:rPr>
            </w:pPr>
            <w:r w:rsidRPr="006718BA">
              <w:rPr>
                <w:b/>
                <w:szCs w:val="24"/>
              </w:rPr>
              <w:t>No. disabled</w:t>
            </w:r>
          </w:p>
        </w:tc>
        <w:tc>
          <w:tcPr>
            <w:tcW w:w="2126" w:type="dxa"/>
            <w:shd w:val="clear" w:color="auto" w:fill="auto"/>
          </w:tcPr>
          <w:p w14:paraId="7C2A163F" w14:textId="77777777" w:rsidR="009B2AB8" w:rsidRPr="006718BA" w:rsidRDefault="009B2AB8" w:rsidP="006E264B">
            <w:pPr>
              <w:rPr>
                <w:b/>
                <w:szCs w:val="24"/>
              </w:rPr>
            </w:pPr>
            <w:r w:rsidRPr="006718BA">
              <w:rPr>
                <w:b/>
                <w:szCs w:val="24"/>
              </w:rPr>
              <w:t>No. non-disabled</w:t>
            </w:r>
          </w:p>
        </w:tc>
      </w:tr>
      <w:tr w:rsidR="009B2AB8" w:rsidRPr="006718BA" w14:paraId="10E4011D" w14:textId="77777777" w:rsidTr="00B213EE">
        <w:tc>
          <w:tcPr>
            <w:tcW w:w="5150" w:type="dxa"/>
          </w:tcPr>
          <w:p w14:paraId="41746973" w14:textId="77777777" w:rsidR="009B2AB8" w:rsidRPr="006718BA" w:rsidRDefault="009B2AB8" w:rsidP="00B213EE">
            <w:pPr>
              <w:rPr>
                <w:szCs w:val="24"/>
              </w:rPr>
            </w:pPr>
            <w:r w:rsidRPr="006718BA">
              <w:rPr>
                <w:szCs w:val="24"/>
              </w:rPr>
              <w:t>Shortlisted</w:t>
            </w:r>
          </w:p>
        </w:tc>
        <w:tc>
          <w:tcPr>
            <w:tcW w:w="1904" w:type="dxa"/>
            <w:shd w:val="clear" w:color="auto" w:fill="auto"/>
          </w:tcPr>
          <w:p w14:paraId="29FE2F87" w14:textId="18F27574" w:rsidR="009B2AB8" w:rsidRPr="006718BA" w:rsidRDefault="005F601B" w:rsidP="006E264B">
            <w:pPr>
              <w:rPr>
                <w:szCs w:val="24"/>
              </w:rPr>
            </w:pPr>
            <w:r w:rsidRPr="006718BA">
              <w:rPr>
                <w:szCs w:val="24"/>
              </w:rPr>
              <w:t>56</w:t>
            </w:r>
          </w:p>
        </w:tc>
        <w:tc>
          <w:tcPr>
            <w:tcW w:w="2126" w:type="dxa"/>
            <w:shd w:val="clear" w:color="auto" w:fill="auto"/>
          </w:tcPr>
          <w:p w14:paraId="17722437" w14:textId="64FEF53E" w:rsidR="009B2AB8" w:rsidRPr="006718BA" w:rsidRDefault="00583B4F" w:rsidP="006E264B">
            <w:pPr>
              <w:rPr>
                <w:szCs w:val="24"/>
              </w:rPr>
            </w:pPr>
            <w:r w:rsidRPr="006718BA">
              <w:rPr>
                <w:szCs w:val="24"/>
              </w:rPr>
              <w:t>672</w:t>
            </w:r>
          </w:p>
        </w:tc>
      </w:tr>
      <w:tr w:rsidR="009B2AB8" w:rsidRPr="006718BA" w14:paraId="095E0AD2" w14:textId="77777777" w:rsidTr="00B213EE">
        <w:tc>
          <w:tcPr>
            <w:tcW w:w="5150" w:type="dxa"/>
          </w:tcPr>
          <w:p w14:paraId="160B72AE" w14:textId="50DA5B72" w:rsidR="009B2AB8" w:rsidRPr="006718BA" w:rsidRDefault="005F601B" w:rsidP="00B213EE">
            <w:pPr>
              <w:rPr>
                <w:szCs w:val="24"/>
              </w:rPr>
            </w:pPr>
            <w:r w:rsidRPr="006718BA">
              <w:rPr>
                <w:szCs w:val="24"/>
              </w:rPr>
              <w:t xml:space="preserve">Conditional Offer Made </w:t>
            </w:r>
          </w:p>
        </w:tc>
        <w:tc>
          <w:tcPr>
            <w:tcW w:w="1904" w:type="dxa"/>
            <w:shd w:val="clear" w:color="auto" w:fill="auto"/>
          </w:tcPr>
          <w:p w14:paraId="503B3914" w14:textId="63F30080" w:rsidR="009B2AB8" w:rsidRPr="006718BA" w:rsidRDefault="005F601B" w:rsidP="006E264B">
            <w:pPr>
              <w:rPr>
                <w:szCs w:val="24"/>
              </w:rPr>
            </w:pPr>
            <w:r w:rsidRPr="006718BA">
              <w:rPr>
                <w:szCs w:val="24"/>
              </w:rPr>
              <w:t>21</w:t>
            </w:r>
          </w:p>
        </w:tc>
        <w:tc>
          <w:tcPr>
            <w:tcW w:w="2126" w:type="dxa"/>
            <w:shd w:val="clear" w:color="auto" w:fill="auto"/>
          </w:tcPr>
          <w:p w14:paraId="0B099321" w14:textId="7C671167" w:rsidR="009B2AB8" w:rsidRPr="006718BA" w:rsidRDefault="005F601B" w:rsidP="006E264B">
            <w:pPr>
              <w:rPr>
                <w:szCs w:val="24"/>
              </w:rPr>
            </w:pPr>
            <w:r w:rsidRPr="006718BA">
              <w:rPr>
                <w:szCs w:val="24"/>
              </w:rPr>
              <w:t>266</w:t>
            </w:r>
          </w:p>
        </w:tc>
      </w:tr>
      <w:tr w:rsidR="009B2AB8" w:rsidRPr="006718BA" w14:paraId="7DB0BA99" w14:textId="77777777" w:rsidTr="00B213EE">
        <w:tc>
          <w:tcPr>
            <w:tcW w:w="5150" w:type="dxa"/>
          </w:tcPr>
          <w:p w14:paraId="77D1C5BF" w14:textId="77777777" w:rsidR="009B2AB8" w:rsidRPr="006718BA" w:rsidRDefault="009B2AB8" w:rsidP="00B213EE">
            <w:pPr>
              <w:rPr>
                <w:szCs w:val="24"/>
              </w:rPr>
            </w:pPr>
            <w:r w:rsidRPr="006718BA">
              <w:rPr>
                <w:szCs w:val="24"/>
              </w:rPr>
              <w:lastRenderedPageBreak/>
              <w:t>Relative likelihood</w:t>
            </w:r>
          </w:p>
        </w:tc>
        <w:tc>
          <w:tcPr>
            <w:tcW w:w="1904" w:type="dxa"/>
            <w:shd w:val="clear" w:color="auto" w:fill="auto"/>
          </w:tcPr>
          <w:p w14:paraId="459C17B6" w14:textId="1F136108" w:rsidR="009B2AB8" w:rsidRPr="006718BA" w:rsidRDefault="005F601B" w:rsidP="006E264B">
            <w:pPr>
              <w:rPr>
                <w:szCs w:val="24"/>
              </w:rPr>
            </w:pPr>
            <w:r w:rsidRPr="006718BA">
              <w:rPr>
                <w:szCs w:val="24"/>
              </w:rPr>
              <w:t>0.38</w:t>
            </w:r>
            <w:r w:rsidR="009B2AB8" w:rsidRPr="006718BA">
              <w:rPr>
                <w:szCs w:val="24"/>
              </w:rPr>
              <w:t>%</w:t>
            </w:r>
          </w:p>
        </w:tc>
        <w:tc>
          <w:tcPr>
            <w:tcW w:w="2126" w:type="dxa"/>
            <w:shd w:val="clear" w:color="auto" w:fill="auto"/>
          </w:tcPr>
          <w:p w14:paraId="10468D8B" w14:textId="457E25B4" w:rsidR="009B2AB8" w:rsidRPr="006718BA" w:rsidRDefault="005F601B" w:rsidP="006E264B">
            <w:pPr>
              <w:rPr>
                <w:szCs w:val="24"/>
              </w:rPr>
            </w:pPr>
            <w:r w:rsidRPr="006718BA">
              <w:rPr>
                <w:szCs w:val="24"/>
              </w:rPr>
              <w:t>0.40</w:t>
            </w:r>
            <w:r w:rsidR="009B2AB8" w:rsidRPr="006718BA">
              <w:rPr>
                <w:szCs w:val="24"/>
              </w:rPr>
              <w:t>%</w:t>
            </w:r>
          </w:p>
        </w:tc>
      </w:tr>
      <w:tr w:rsidR="007C2687" w:rsidRPr="006718BA" w14:paraId="55F8C788" w14:textId="77777777" w:rsidTr="00347721">
        <w:tc>
          <w:tcPr>
            <w:tcW w:w="9180" w:type="dxa"/>
            <w:gridSpan w:val="3"/>
          </w:tcPr>
          <w:p w14:paraId="650A44A8" w14:textId="040E68A3" w:rsidR="007C2687" w:rsidRPr="006718BA" w:rsidRDefault="005F601B" w:rsidP="006E264B">
            <w:pPr>
              <w:rPr>
                <w:szCs w:val="24"/>
              </w:rPr>
            </w:pPr>
            <w:r w:rsidRPr="006718BA">
              <w:rPr>
                <w:szCs w:val="24"/>
              </w:rPr>
              <w:t xml:space="preserve">Relative likelihood of disabled staff being given a conditional offer from shortlisted applicants compared to non - disabled staff is 1.05 (0.40/0.38). This indicates that there is no difference: i.e. disabled applicants are equally as likely of being given a conditional offer from shortlisting as non- disabled applicants. </w:t>
            </w:r>
          </w:p>
        </w:tc>
      </w:tr>
    </w:tbl>
    <w:p w14:paraId="3D79BCBF" w14:textId="77777777" w:rsidR="009B2AB8" w:rsidRPr="006718BA" w:rsidRDefault="009B2AB8" w:rsidP="009B2AB8">
      <w:pPr>
        <w:rPr>
          <w:szCs w:val="24"/>
        </w:rPr>
      </w:pPr>
      <w:r w:rsidRPr="006718BA">
        <w:rPr>
          <w:szCs w:val="24"/>
        </w:rPr>
        <w:t>Note: This refers to both external and internal posts.</w:t>
      </w:r>
    </w:p>
    <w:p w14:paraId="024AC72E" w14:textId="77777777" w:rsidR="009B2AB8" w:rsidRPr="006718BA" w:rsidRDefault="009B2AB8" w:rsidP="009B2AB8">
      <w:pPr>
        <w:rPr>
          <w:b/>
          <w:szCs w:val="24"/>
        </w:rPr>
      </w:pPr>
      <w:r w:rsidRPr="006718BA">
        <w:rPr>
          <w:b/>
          <w:szCs w:val="24"/>
        </w:rPr>
        <w:t>Metric 3</w:t>
      </w:r>
    </w:p>
    <w:tbl>
      <w:tblPr>
        <w:tblStyle w:val="TableGrid1"/>
        <w:tblW w:w="0" w:type="auto"/>
        <w:tblLook w:val="04A0" w:firstRow="1" w:lastRow="0" w:firstColumn="1" w:lastColumn="0" w:noHBand="0" w:noVBand="1"/>
      </w:tblPr>
      <w:tblGrid>
        <w:gridCol w:w="3963"/>
        <w:gridCol w:w="1664"/>
        <w:gridCol w:w="1819"/>
        <w:gridCol w:w="1570"/>
      </w:tblGrid>
      <w:tr w:rsidR="008C3542" w:rsidRPr="006718BA" w14:paraId="6B79FE2A" w14:textId="77777777" w:rsidTr="003F066F">
        <w:tc>
          <w:tcPr>
            <w:tcW w:w="9016" w:type="dxa"/>
            <w:gridSpan w:val="4"/>
          </w:tcPr>
          <w:p w14:paraId="62F4FC25" w14:textId="7C0DF691" w:rsidR="008C3542" w:rsidRPr="006718BA" w:rsidRDefault="008C3542" w:rsidP="003F066F">
            <w:pPr>
              <w:rPr>
                <w:rFonts w:ascii="Arial" w:hAnsi="Arial" w:cs="Arial"/>
                <w:szCs w:val="24"/>
              </w:rPr>
            </w:pPr>
            <w:r w:rsidRPr="006718BA">
              <w:rPr>
                <w:rFonts w:ascii="Arial" w:hAnsi="Arial" w:cs="Arial"/>
                <w:szCs w:val="24"/>
              </w:rPr>
              <w:t xml:space="preserve">Relative likelihood of Disabled staff compared to non-disabled staff entering the formal capability process, as measured by entry into the formal capability procedure </w:t>
            </w:r>
            <w:r w:rsidRPr="006718BA">
              <w:rPr>
                <w:rFonts w:ascii="Arial" w:hAnsi="Arial" w:cs="Arial"/>
                <w:i/>
                <w:iCs/>
                <w:szCs w:val="24"/>
              </w:rPr>
              <w:t>(formal performance management process).</w:t>
            </w:r>
          </w:p>
        </w:tc>
      </w:tr>
      <w:tr w:rsidR="008C3542" w:rsidRPr="006718BA" w14:paraId="5CAEC8F9" w14:textId="77777777" w:rsidTr="003F066F">
        <w:tc>
          <w:tcPr>
            <w:tcW w:w="3963" w:type="dxa"/>
          </w:tcPr>
          <w:p w14:paraId="42189296" w14:textId="77777777" w:rsidR="008C3542" w:rsidRPr="006718BA" w:rsidRDefault="008C3542" w:rsidP="003F066F">
            <w:pPr>
              <w:rPr>
                <w:rFonts w:ascii="Arial" w:hAnsi="Arial" w:cs="Arial"/>
                <w:b/>
                <w:szCs w:val="24"/>
              </w:rPr>
            </w:pPr>
          </w:p>
        </w:tc>
        <w:tc>
          <w:tcPr>
            <w:tcW w:w="1664" w:type="dxa"/>
          </w:tcPr>
          <w:p w14:paraId="43BC4BC0" w14:textId="77777777" w:rsidR="008C3542" w:rsidRPr="006718BA" w:rsidRDefault="008C3542" w:rsidP="003F066F">
            <w:pPr>
              <w:rPr>
                <w:rFonts w:ascii="Arial" w:hAnsi="Arial" w:cs="Arial"/>
                <w:b/>
                <w:szCs w:val="24"/>
              </w:rPr>
            </w:pPr>
            <w:r w:rsidRPr="006718BA">
              <w:rPr>
                <w:rFonts w:ascii="Arial" w:hAnsi="Arial" w:cs="Arial"/>
                <w:b/>
                <w:szCs w:val="24"/>
              </w:rPr>
              <w:t>No. disabled</w:t>
            </w:r>
          </w:p>
        </w:tc>
        <w:tc>
          <w:tcPr>
            <w:tcW w:w="1819" w:type="dxa"/>
          </w:tcPr>
          <w:p w14:paraId="29B2D4A0" w14:textId="77777777" w:rsidR="008C3542" w:rsidRPr="006718BA" w:rsidRDefault="008C3542" w:rsidP="003F066F">
            <w:pPr>
              <w:rPr>
                <w:rFonts w:ascii="Arial" w:hAnsi="Arial" w:cs="Arial"/>
                <w:b/>
                <w:szCs w:val="24"/>
              </w:rPr>
            </w:pPr>
            <w:r w:rsidRPr="006718BA">
              <w:rPr>
                <w:rFonts w:ascii="Arial" w:hAnsi="Arial" w:cs="Arial"/>
                <w:b/>
                <w:szCs w:val="24"/>
              </w:rPr>
              <w:t>No. non-disabled</w:t>
            </w:r>
          </w:p>
        </w:tc>
        <w:tc>
          <w:tcPr>
            <w:tcW w:w="1570" w:type="dxa"/>
          </w:tcPr>
          <w:p w14:paraId="4C93C9BA" w14:textId="77777777" w:rsidR="008C3542" w:rsidRPr="006718BA" w:rsidRDefault="008C3542" w:rsidP="003F066F">
            <w:pPr>
              <w:rPr>
                <w:rFonts w:ascii="Arial" w:hAnsi="Arial" w:cs="Arial"/>
                <w:b/>
                <w:szCs w:val="24"/>
              </w:rPr>
            </w:pPr>
            <w:r w:rsidRPr="006718BA">
              <w:rPr>
                <w:rFonts w:ascii="Arial" w:hAnsi="Arial" w:cs="Arial"/>
                <w:b/>
                <w:szCs w:val="24"/>
              </w:rPr>
              <w:t>No. unknown</w:t>
            </w:r>
          </w:p>
        </w:tc>
      </w:tr>
      <w:tr w:rsidR="008C3542" w:rsidRPr="006718BA" w14:paraId="73AB11E3" w14:textId="77777777" w:rsidTr="003F066F">
        <w:tc>
          <w:tcPr>
            <w:tcW w:w="3963" w:type="dxa"/>
          </w:tcPr>
          <w:p w14:paraId="3860E195" w14:textId="77777777" w:rsidR="008C3542" w:rsidRPr="006718BA" w:rsidRDefault="008C3542" w:rsidP="003F066F">
            <w:pPr>
              <w:rPr>
                <w:rFonts w:ascii="Arial" w:hAnsi="Arial" w:cs="Arial"/>
                <w:bCs/>
                <w:szCs w:val="24"/>
              </w:rPr>
            </w:pPr>
            <w:r w:rsidRPr="006718BA">
              <w:rPr>
                <w:rFonts w:ascii="Arial" w:hAnsi="Arial" w:cs="Arial"/>
                <w:bCs/>
                <w:szCs w:val="24"/>
              </w:rPr>
              <w:t>Number of staff</w:t>
            </w:r>
          </w:p>
        </w:tc>
        <w:tc>
          <w:tcPr>
            <w:tcW w:w="1664" w:type="dxa"/>
          </w:tcPr>
          <w:p w14:paraId="77BAE4E5" w14:textId="77777777" w:rsidR="008C3542" w:rsidRPr="006718BA" w:rsidRDefault="008C3542" w:rsidP="003F066F">
            <w:pPr>
              <w:jc w:val="center"/>
              <w:rPr>
                <w:rFonts w:ascii="Arial" w:hAnsi="Arial" w:cs="Arial"/>
                <w:bCs/>
                <w:szCs w:val="24"/>
              </w:rPr>
            </w:pPr>
            <w:r w:rsidRPr="006718BA">
              <w:rPr>
                <w:rFonts w:ascii="Arial" w:hAnsi="Arial" w:cs="Arial"/>
                <w:bCs/>
                <w:szCs w:val="24"/>
              </w:rPr>
              <w:t>39</w:t>
            </w:r>
          </w:p>
        </w:tc>
        <w:tc>
          <w:tcPr>
            <w:tcW w:w="1819" w:type="dxa"/>
          </w:tcPr>
          <w:p w14:paraId="57EC283D" w14:textId="77777777" w:rsidR="008C3542" w:rsidRPr="006718BA" w:rsidRDefault="008C3542" w:rsidP="003F066F">
            <w:pPr>
              <w:jc w:val="center"/>
              <w:rPr>
                <w:rFonts w:ascii="Arial" w:hAnsi="Arial" w:cs="Arial"/>
                <w:bCs/>
                <w:szCs w:val="24"/>
              </w:rPr>
            </w:pPr>
            <w:r w:rsidRPr="006718BA">
              <w:rPr>
                <w:rFonts w:ascii="Arial" w:hAnsi="Arial" w:cs="Arial"/>
                <w:bCs/>
                <w:szCs w:val="24"/>
              </w:rPr>
              <w:t>491</w:t>
            </w:r>
          </w:p>
        </w:tc>
        <w:tc>
          <w:tcPr>
            <w:tcW w:w="1570" w:type="dxa"/>
          </w:tcPr>
          <w:p w14:paraId="19D0A087" w14:textId="77777777" w:rsidR="008C3542" w:rsidRPr="007E2053" w:rsidRDefault="008C3542" w:rsidP="003F066F">
            <w:pPr>
              <w:jc w:val="center"/>
              <w:rPr>
                <w:rFonts w:ascii="Arial" w:hAnsi="Arial" w:cs="Arial"/>
                <w:bCs/>
                <w:color w:val="auto"/>
                <w:szCs w:val="24"/>
              </w:rPr>
            </w:pPr>
            <w:r w:rsidRPr="007E2053">
              <w:rPr>
                <w:rFonts w:ascii="Arial" w:hAnsi="Arial" w:cs="Arial"/>
                <w:bCs/>
                <w:color w:val="auto"/>
                <w:szCs w:val="24"/>
              </w:rPr>
              <w:t>310</w:t>
            </w:r>
          </w:p>
        </w:tc>
      </w:tr>
      <w:tr w:rsidR="008C3542" w:rsidRPr="006718BA" w14:paraId="720E2520" w14:textId="77777777" w:rsidTr="003F066F">
        <w:tc>
          <w:tcPr>
            <w:tcW w:w="3963" w:type="dxa"/>
          </w:tcPr>
          <w:p w14:paraId="04DA302C" w14:textId="77777777" w:rsidR="008C3542" w:rsidRPr="006718BA" w:rsidRDefault="008C3542" w:rsidP="003F066F">
            <w:pPr>
              <w:rPr>
                <w:rFonts w:ascii="Arial" w:hAnsi="Arial" w:cs="Arial"/>
                <w:szCs w:val="24"/>
              </w:rPr>
            </w:pPr>
            <w:r w:rsidRPr="006718BA">
              <w:rPr>
                <w:rFonts w:ascii="Arial" w:hAnsi="Arial" w:cs="Arial"/>
                <w:szCs w:val="24"/>
              </w:rPr>
              <w:t>Number of staff entering capability procedure</w:t>
            </w:r>
          </w:p>
        </w:tc>
        <w:tc>
          <w:tcPr>
            <w:tcW w:w="1664" w:type="dxa"/>
          </w:tcPr>
          <w:p w14:paraId="4176C174" w14:textId="77777777" w:rsidR="008C3542" w:rsidRPr="006718BA" w:rsidRDefault="008C3542" w:rsidP="003F066F">
            <w:pPr>
              <w:jc w:val="center"/>
              <w:rPr>
                <w:rFonts w:ascii="Arial" w:hAnsi="Arial" w:cs="Arial"/>
                <w:szCs w:val="24"/>
              </w:rPr>
            </w:pPr>
            <w:r w:rsidRPr="006718BA">
              <w:rPr>
                <w:rFonts w:ascii="Arial" w:hAnsi="Arial" w:cs="Arial"/>
                <w:szCs w:val="24"/>
              </w:rPr>
              <w:t>0</w:t>
            </w:r>
          </w:p>
        </w:tc>
        <w:tc>
          <w:tcPr>
            <w:tcW w:w="1819" w:type="dxa"/>
          </w:tcPr>
          <w:p w14:paraId="03E86532" w14:textId="77777777" w:rsidR="008C3542" w:rsidRPr="006718BA" w:rsidRDefault="008C3542" w:rsidP="003F066F">
            <w:pPr>
              <w:jc w:val="center"/>
              <w:rPr>
                <w:rFonts w:ascii="Arial" w:hAnsi="Arial" w:cs="Arial"/>
                <w:szCs w:val="24"/>
              </w:rPr>
            </w:pPr>
            <w:r w:rsidRPr="006718BA">
              <w:rPr>
                <w:rFonts w:ascii="Arial" w:hAnsi="Arial" w:cs="Arial"/>
                <w:szCs w:val="24"/>
              </w:rPr>
              <w:t>0</w:t>
            </w:r>
          </w:p>
        </w:tc>
        <w:tc>
          <w:tcPr>
            <w:tcW w:w="1570" w:type="dxa"/>
          </w:tcPr>
          <w:p w14:paraId="057EF1C7" w14:textId="7A726AEF" w:rsidR="008C3542" w:rsidRPr="007E2053" w:rsidRDefault="00D64FFF" w:rsidP="003F066F">
            <w:pPr>
              <w:jc w:val="center"/>
              <w:rPr>
                <w:rFonts w:ascii="Arial" w:hAnsi="Arial" w:cs="Arial"/>
                <w:color w:val="auto"/>
                <w:szCs w:val="24"/>
              </w:rPr>
            </w:pPr>
            <w:r>
              <w:rPr>
                <w:rFonts w:ascii="Arial" w:hAnsi="Arial" w:cs="Arial"/>
                <w:color w:val="auto"/>
                <w:szCs w:val="24"/>
              </w:rPr>
              <w:t>&lt;5</w:t>
            </w:r>
          </w:p>
        </w:tc>
      </w:tr>
      <w:tr w:rsidR="008C3542" w:rsidRPr="006718BA" w14:paraId="5E3C59BD" w14:textId="77777777" w:rsidTr="003F066F">
        <w:tc>
          <w:tcPr>
            <w:tcW w:w="3963" w:type="dxa"/>
          </w:tcPr>
          <w:p w14:paraId="23B3218E" w14:textId="77777777" w:rsidR="008C3542" w:rsidRPr="006718BA" w:rsidRDefault="008C3542" w:rsidP="003F066F">
            <w:pPr>
              <w:rPr>
                <w:rFonts w:ascii="Arial" w:hAnsi="Arial" w:cs="Arial"/>
                <w:szCs w:val="24"/>
              </w:rPr>
            </w:pPr>
            <w:r w:rsidRPr="006718BA">
              <w:rPr>
                <w:rFonts w:ascii="Arial" w:hAnsi="Arial" w:cs="Arial"/>
                <w:szCs w:val="24"/>
              </w:rPr>
              <w:t xml:space="preserve">Likelihood </w:t>
            </w:r>
          </w:p>
        </w:tc>
        <w:tc>
          <w:tcPr>
            <w:tcW w:w="1664" w:type="dxa"/>
          </w:tcPr>
          <w:p w14:paraId="2A1B11D7" w14:textId="77777777" w:rsidR="008C3542" w:rsidRPr="006718BA" w:rsidRDefault="008C3542" w:rsidP="003F066F">
            <w:pPr>
              <w:jc w:val="center"/>
              <w:rPr>
                <w:rFonts w:ascii="Arial" w:hAnsi="Arial" w:cs="Arial"/>
                <w:szCs w:val="24"/>
              </w:rPr>
            </w:pPr>
            <w:r w:rsidRPr="006718BA">
              <w:rPr>
                <w:rFonts w:ascii="Arial" w:hAnsi="Arial" w:cs="Arial"/>
                <w:szCs w:val="24"/>
              </w:rPr>
              <w:t>0</w:t>
            </w:r>
          </w:p>
        </w:tc>
        <w:tc>
          <w:tcPr>
            <w:tcW w:w="1819" w:type="dxa"/>
          </w:tcPr>
          <w:p w14:paraId="6B8822FE" w14:textId="77777777" w:rsidR="008C3542" w:rsidRPr="006718BA" w:rsidRDefault="008C3542" w:rsidP="003F066F">
            <w:pPr>
              <w:jc w:val="center"/>
              <w:rPr>
                <w:rFonts w:ascii="Arial" w:hAnsi="Arial" w:cs="Arial"/>
                <w:szCs w:val="24"/>
              </w:rPr>
            </w:pPr>
            <w:r w:rsidRPr="006718BA">
              <w:rPr>
                <w:rFonts w:ascii="Arial" w:hAnsi="Arial" w:cs="Arial"/>
                <w:szCs w:val="24"/>
              </w:rPr>
              <w:t>0</w:t>
            </w:r>
          </w:p>
        </w:tc>
        <w:tc>
          <w:tcPr>
            <w:tcW w:w="1570" w:type="dxa"/>
          </w:tcPr>
          <w:p w14:paraId="60B36BD3" w14:textId="77777777" w:rsidR="008C3542" w:rsidRPr="006718BA" w:rsidRDefault="008C3542" w:rsidP="003F066F">
            <w:pPr>
              <w:jc w:val="center"/>
              <w:rPr>
                <w:rFonts w:ascii="Arial" w:hAnsi="Arial" w:cs="Arial"/>
                <w:szCs w:val="24"/>
              </w:rPr>
            </w:pPr>
            <w:r w:rsidRPr="006718BA">
              <w:rPr>
                <w:rFonts w:ascii="Arial" w:hAnsi="Arial" w:cs="Arial"/>
                <w:szCs w:val="24"/>
              </w:rPr>
              <w:t>0.003</w:t>
            </w:r>
          </w:p>
        </w:tc>
      </w:tr>
      <w:tr w:rsidR="008C3542" w:rsidRPr="006718BA" w14:paraId="2FB2782F" w14:textId="77777777" w:rsidTr="003F066F">
        <w:tc>
          <w:tcPr>
            <w:tcW w:w="3963" w:type="dxa"/>
          </w:tcPr>
          <w:p w14:paraId="4C4B8A91" w14:textId="77777777" w:rsidR="008C3542" w:rsidRPr="006718BA" w:rsidRDefault="008C3542" w:rsidP="003F066F">
            <w:pPr>
              <w:rPr>
                <w:rFonts w:ascii="Arial" w:hAnsi="Arial" w:cs="Arial"/>
                <w:szCs w:val="24"/>
              </w:rPr>
            </w:pPr>
            <w:r w:rsidRPr="006718BA">
              <w:rPr>
                <w:rFonts w:ascii="Arial" w:hAnsi="Arial" w:cs="Arial"/>
                <w:szCs w:val="24"/>
              </w:rPr>
              <w:t xml:space="preserve">Relative likelihood of disabled staff compared with non- disabled staff </w:t>
            </w:r>
          </w:p>
        </w:tc>
        <w:tc>
          <w:tcPr>
            <w:tcW w:w="3483" w:type="dxa"/>
            <w:gridSpan w:val="2"/>
          </w:tcPr>
          <w:p w14:paraId="090FAD87" w14:textId="77777777" w:rsidR="008C3542" w:rsidRPr="006718BA" w:rsidRDefault="008C3542" w:rsidP="003F066F">
            <w:pPr>
              <w:jc w:val="center"/>
              <w:rPr>
                <w:rFonts w:ascii="Arial" w:hAnsi="Arial" w:cs="Arial"/>
                <w:szCs w:val="24"/>
              </w:rPr>
            </w:pPr>
          </w:p>
          <w:p w14:paraId="1C64ABA3" w14:textId="3753D813" w:rsidR="008C3542" w:rsidRPr="006718BA" w:rsidRDefault="008C144A" w:rsidP="008C144A">
            <w:pPr>
              <w:jc w:val="center"/>
              <w:rPr>
                <w:rFonts w:ascii="Arial" w:hAnsi="Arial" w:cs="Arial"/>
                <w:szCs w:val="24"/>
              </w:rPr>
            </w:pPr>
            <w:r w:rsidRPr="006718BA">
              <w:rPr>
                <w:rFonts w:ascii="Arial" w:hAnsi="Arial" w:cs="Arial"/>
                <w:szCs w:val="24"/>
              </w:rPr>
              <w:t>0</w:t>
            </w:r>
          </w:p>
        </w:tc>
        <w:tc>
          <w:tcPr>
            <w:tcW w:w="1570" w:type="dxa"/>
          </w:tcPr>
          <w:p w14:paraId="5D1953D8" w14:textId="77777777" w:rsidR="008C3542" w:rsidRPr="006718BA" w:rsidRDefault="008C3542" w:rsidP="003F066F">
            <w:pPr>
              <w:jc w:val="center"/>
              <w:rPr>
                <w:rFonts w:ascii="Arial" w:hAnsi="Arial" w:cs="Arial"/>
                <w:szCs w:val="24"/>
              </w:rPr>
            </w:pPr>
          </w:p>
        </w:tc>
      </w:tr>
    </w:tbl>
    <w:p w14:paraId="3E3C82D9" w14:textId="1456776F" w:rsidR="009B2AB8" w:rsidRPr="006718BA" w:rsidRDefault="009B2AB8" w:rsidP="009B2AB8">
      <w:pPr>
        <w:rPr>
          <w:szCs w:val="24"/>
        </w:rPr>
      </w:pPr>
      <w:r w:rsidRPr="006718BA">
        <w:rPr>
          <w:szCs w:val="24"/>
        </w:rPr>
        <w:t xml:space="preserve">Note:  This Metric will be based on data from a two-year rolling average of the current year and the previous year. This metric applies to capability on the grounds of performance only and not ill health. </w:t>
      </w:r>
      <w:r w:rsidR="008C3542" w:rsidRPr="006718BA">
        <w:rPr>
          <w:i/>
          <w:iCs/>
          <w:szCs w:val="24"/>
        </w:rPr>
        <w:t>This data is gathered from 1</w:t>
      </w:r>
      <w:r w:rsidR="008C3542" w:rsidRPr="006718BA">
        <w:rPr>
          <w:i/>
          <w:iCs/>
          <w:szCs w:val="24"/>
          <w:vertAlign w:val="superscript"/>
        </w:rPr>
        <w:t>st</w:t>
      </w:r>
      <w:r w:rsidR="008C3542" w:rsidRPr="006718BA">
        <w:rPr>
          <w:i/>
          <w:iCs/>
          <w:szCs w:val="24"/>
        </w:rPr>
        <w:t xml:space="preserve"> July 2022 from the start of HNYICB to 31</w:t>
      </w:r>
      <w:r w:rsidR="008C3542" w:rsidRPr="006718BA">
        <w:rPr>
          <w:i/>
          <w:iCs/>
          <w:szCs w:val="24"/>
          <w:vertAlign w:val="superscript"/>
        </w:rPr>
        <w:t>st</w:t>
      </w:r>
      <w:r w:rsidR="008C3542" w:rsidRPr="006718BA">
        <w:rPr>
          <w:i/>
          <w:iCs/>
          <w:szCs w:val="24"/>
        </w:rPr>
        <w:t xml:space="preserve"> March 2024</w:t>
      </w:r>
    </w:p>
    <w:p w14:paraId="32749381" w14:textId="7B2FEB92" w:rsidR="009B2AB8" w:rsidRPr="006718BA" w:rsidRDefault="009B2AB8" w:rsidP="009B2AB8">
      <w:pPr>
        <w:rPr>
          <w:b/>
          <w:szCs w:val="24"/>
        </w:rPr>
      </w:pPr>
      <w:r w:rsidRPr="006718BA">
        <w:rPr>
          <w:b/>
          <w:szCs w:val="24"/>
        </w:rPr>
        <w:t>Staff Survey Results</w:t>
      </w:r>
    </w:p>
    <w:p w14:paraId="3D4B848B" w14:textId="77777777" w:rsidR="009B2AB8" w:rsidRPr="006718BA" w:rsidRDefault="009B2AB8" w:rsidP="009B2AB8">
      <w:pPr>
        <w:rPr>
          <w:b/>
          <w:szCs w:val="24"/>
        </w:rPr>
      </w:pPr>
      <w:r w:rsidRPr="006718BA">
        <w:rPr>
          <w:b/>
          <w:szCs w:val="24"/>
        </w:rPr>
        <w:t>General</w:t>
      </w:r>
    </w:p>
    <w:tbl>
      <w:tblPr>
        <w:tblStyle w:val="TableGrid2"/>
        <w:tblW w:w="0" w:type="auto"/>
        <w:tblLook w:val="04A0" w:firstRow="1" w:lastRow="0" w:firstColumn="1" w:lastColumn="0" w:noHBand="0" w:noVBand="1"/>
      </w:tblPr>
      <w:tblGrid>
        <w:gridCol w:w="6861"/>
        <w:gridCol w:w="2155"/>
      </w:tblGrid>
      <w:tr w:rsidR="008C3542" w:rsidRPr="006718BA" w14:paraId="24E412FD" w14:textId="77777777" w:rsidTr="008C3542">
        <w:tc>
          <w:tcPr>
            <w:tcW w:w="6861" w:type="dxa"/>
          </w:tcPr>
          <w:p w14:paraId="72E69E4B" w14:textId="6BA82B23" w:rsidR="008C3542" w:rsidRPr="006718BA" w:rsidRDefault="008C3542" w:rsidP="003F066F">
            <w:pPr>
              <w:rPr>
                <w:rFonts w:ascii="Arial" w:hAnsi="Arial" w:cs="Arial"/>
                <w:b/>
                <w:szCs w:val="24"/>
              </w:rPr>
            </w:pPr>
            <w:r w:rsidRPr="006718BA">
              <w:rPr>
                <w:rFonts w:ascii="Arial" w:eastAsia="Calibri" w:hAnsi="Arial" w:cs="Arial"/>
                <w:szCs w:val="24"/>
              </w:rPr>
              <w:t>Total number and % of responses to the NHS Staff Survey in your organisation</w:t>
            </w:r>
            <w:r w:rsidR="008C144A" w:rsidRPr="006718BA">
              <w:rPr>
                <w:rFonts w:ascii="Arial" w:eastAsia="Calibri" w:hAnsi="Arial" w:cs="Arial"/>
                <w:szCs w:val="24"/>
              </w:rPr>
              <w:t xml:space="preserve"> </w:t>
            </w:r>
            <w:r w:rsidR="008C144A" w:rsidRPr="006718BA">
              <w:rPr>
                <w:rFonts w:ascii="Arial" w:eastAsia="Calibri" w:hAnsi="Arial" w:cs="Arial"/>
                <w:i/>
                <w:iCs/>
                <w:szCs w:val="24"/>
              </w:rPr>
              <w:t>A pulse survey was undertaken, with a total of 87 respondents.</w:t>
            </w:r>
          </w:p>
        </w:tc>
        <w:tc>
          <w:tcPr>
            <w:tcW w:w="2155" w:type="dxa"/>
          </w:tcPr>
          <w:p w14:paraId="15F8EEE8" w14:textId="3F813B1B" w:rsidR="008C3542" w:rsidRPr="006718BA" w:rsidRDefault="008C3542" w:rsidP="003F066F">
            <w:pPr>
              <w:rPr>
                <w:rFonts w:ascii="Arial" w:hAnsi="Arial" w:cs="Arial"/>
                <w:szCs w:val="24"/>
              </w:rPr>
            </w:pPr>
          </w:p>
          <w:p w14:paraId="09F20630" w14:textId="21E981AB" w:rsidR="008C3542" w:rsidRPr="006718BA" w:rsidRDefault="008C3542" w:rsidP="003F066F">
            <w:pPr>
              <w:rPr>
                <w:rFonts w:ascii="Arial" w:hAnsi="Arial" w:cs="Arial"/>
                <w:szCs w:val="24"/>
              </w:rPr>
            </w:pPr>
            <w:r w:rsidRPr="006718BA">
              <w:rPr>
                <w:rFonts w:ascii="Arial" w:hAnsi="Arial" w:cs="Arial"/>
                <w:szCs w:val="24"/>
              </w:rPr>
              <w:t>10.3</w:t>
            </w:r>
            <w:r w:rsidR="00DE0575" w:rsidRPr="006718BA">
              <w:rPr>
                <w:rFonts w:ascii="Arial" w:hAnsi="Arial" w:cs="Arial"/>
                <w:szCs w:val="24"/>
              </w:rPr>
              <w:t>4</w:t>
            </w:r>
            <w:r w:rsidRPr="006718BA">
              <w:rPr>
                <w:rFonts w:ascii="Arial" w:hAnsi="Arial" w:cs="Arial"/>
                <w:szCs w:val="24"/>
              </w:rPr>
              <w:t>%</w:t>
            </w:r>
          </w:p>
        </w:tc>
      </w:tr>
      <w:tr w:rsidR="008C3542" w:rsidRPr="006718BA" w14:paraId="7C8B9D85" w14:textId="77777777" w:rsidTr="008C3542">
        <w:trPr>
          <w:trHeight w:val="1000"/>
        </w:trPr>
        <w:tc>
          <w:tcPr>
            <w:tcW w:w="6861" w:type="dxa"/>
          </w:tcPr>
          <w:p w14:paraId="5CB94C8D" w14:textId="77777777" w:rsidR="008C3542" w:rsidRPr="006718BA" w:rsidRDefault="008C3542" w:rsidP="003F066F">
            <w:pPr>
              <w:rPr>
                <w:rFonts w:ascii="Arial" w:hAnsi="Arial" w:cs="Arial"/>
                <w:b/>
                <w:szCs w:val="24"/>
              </w:rPr>
            </w:pPr>
            <w:r w:rsidRPr="006718BA">
              <w:rPr>
                <w:rFonts w:ascii="Arial" w:hAnsi="Arial" w:cs="Arial"/>
                <w:szCs w:val="24"/>
              </w:rPr>
              <w:t>Total number and % of Disabled staff responses to the NHS Staff Survey in your organisation</w:t>
            </w:r>
          </w:p>
        </w:tc>
        <w:tc>
          <w:tcPr>
            <w:tcW w:w="2155" w:type="dxa"/>
          </w:tcPr>
          <w:p w14:paraId="3B13E413" w14:textId="77777777" w:rsidR="00A66CB6" w:rsidRDefault="00A66CB6" w:rsidP="003F066F">
            <w:pPr>
              <w:rPr>
                <w:rFonts w:ascii="Arial" w:hAnsi="Arial" w:cs="Arial"/>
                <w:bCs/>
                <w:szCs w:val="24"/>
              </w:rPr>
            </w:pPr>
          </w:p>
          <w:p w14:paraId="5C1DC140" w14:textId="5BC54C7B" w:rsidR="008C3542" w:rsidRPr="006718BA" w:rsidRDefault="008C3542" w:rsidP="003F066F">
            <w:pPr>
              <w:rPr>
                <w:rFonts w:ascii="Arial" w:hAnsi="Arial" w:cs="Arial"/>
                <w:bCs/>
                <w:szCs w:val="24"/>
              </w:rPr>
            </w:pPr>
            <w:r w:rsidRPr="006718BA">
              <w:rPr>
                <w:rFonts w:ascii="Arial" w:hAnsi="Arial" w:cs="Arial"/>
                <w:bCs/>
                <w:szCs w:val="24"/>
              </w:rPr>
              <w:t>28.7%</w:t>
            </w:r>
          </w:p>
        </w:tc>
      </w:tr>
    </w:tbl>
    <w:p w14:paraId="40491370" w14:textId="77777777" w:rsidR="009B2AB8" w:rsidRPr="006718BA" w:rsidRDefault="009B2AB8" w:rsidP="009B2AB8">
      <w:pPr>
        <w:rPr>
          <w:b/>
          <w:szCs w:val="24"/>
        </w:rPr>
      </w:pPr>
      <w:r w:rsidRPr="006718BA">
        <w:rPr>
          <w:b/>
          <w:szCs w:val="24"/>
        </w:rPr>
        <w:t>Metric 4 Staff Survey Q13</w:t>
      </w:r>
    </w:p>
    <w:tbl>
      <w:tblPr>
        <w:tblStyle w:val="TableGrid3"/>
        <w:tblW w:w="0" w:type="auto"/>
        <w:tblLook w:val="04A0" w:firstRow="1" w:lastRow="0" w:firstColumn="1" w:lastColumn="0" w:noHBand="0" w:noVBand="1"/>
      </w:tblPr>
      <w:tblGrid>
        <w:gridCol w:w="5043"/>
        <w:gridCol w:w="1879"/>
        <w:gridCol w:w="2094"/>
      </w:tblGrid>
      <w:tr w:rsidR="008C3542" w:rsidRPr="006718BA" w14:paraId="52ECC39E" w14:textId="77777777" w:rsidTr="008C3542">
        <w:tc>
          <w:tcPr>
            <w:tcW w:w="9016" w:type="dxa"/>
            <w:gridSpan w:val="3"/>
          </w:tcPr>
          <w:p w14:paraId="49B22972" w14:textId="53EE8372" w:rsidR="008C3542" w:rsidRPr="006718BA" w:rsidRDefault="008C3542" w:rsidP="003F066F">
            <w:pPr>
              <w:rPr>
                <w:rFonts w:ascii="Arial" w:hAnsi="Arial" w:cs="Arial"/>
                <w:szCs w:val="24"/>
              </w:rPr>
            </w:pPr>
            <w:r w:rsidRPr="006718BA">
              <w:rPr>
                <w:rFonts w:ascii="Arial" w:hAnsi="Arial" w:cs="Arial"/>
                <w:szCs w:val="24"/>
              </w:rPr>
              <w:t>a) Percentage of Disabled staff compared to non-disabled staff experiencing harassment, bullying or abuse from:</w:t>
            </w:r>
          </w:p>
        </w:tc>
      </w:tr>
      <w:tr w:rsidR="008C3542" w:rsidRPr="006718BA" w14:paraId="1E38FAD9" w14:textId="77777777" w:rsidTr="008C3542">
        <w:tc>
          <w:tcPr>
            <w:tcW w:w="5043" w:type="dxa"/>
          </w:tcPr>
          <w:p w14:paraId="60196FFE" w14:textId="77777777" w:rsidR="008C3542" w:rsidRPr="006718BA" w:rsidRDefault="008C3542" w:rsidP="003F066F">
            <w:pPr>
              <w:rPr>
                <w:rFonts w:ascii="Arial" w:hAnsi="Arial" w:cs="Arial"/>
                <w:b/>
                <w:szCs w:val="24"/>
              </w:rPr>
            </w:pPr>
          </w:p>
        </w:tc>
        <w:tc>
          <w:tcPr>
            <w:tcW w:w="1879" w:type="dxa"/>
          </w:tcPr>
          <w:p w14:paraId="4AEA5D2E" w14:textId="77777777" w:rsidR="008C3542" w:rsidRPr="006718BA" w:rsidRDefault="008C3542" w:rsidP="003F066F">
            <w:pPr>
              <w:rPr>
                <w:rFonts w:ascii="Arial" w:hAnsi="Arial" w:cs="Arial"/>
                <w:b/>
                <w:szCs w:val="24"/>
              </w:rPr>
            </w:pPr>
            <w:r w:rsidRPr="006718BA">
              <w:rPr>
                <w:rFonts w:ascii="Arial" w:hAnsi="Arial" w:cs="Arial"/>
                <w:b/>
                <w:szCs w:val="24"/>
              </w:rPr>
              <w:t>% disabled</w:t>
            </w:r>
          </w:p>
        </w:tc>
        <w:tc>
          <w:tcPr>
            <w:tcW w:w="2094" w:type="dxa"/>
          </w:tcPr>
          <w:p w14:paraId="1C059BDC" w14:textId="77777777" w:rsidR="008C3542" w:rsidRPr="006718BA" w:rsidRDefault="008C3542" w:rsidP="003F066F">
            <w:pPr>
              <w:rPr>
                <w:rFonts w:ascii="Arial" w:hAnsi="Arial" w:cs="Arial"/>
                <w:b/>
                <w:szCs w:val="24"/>
              </w:rPr>
            </w:pPr>
            <w:r w:rsidRPr="006718BA">
              <w:rPr>
                <w:rFonts w:ascii="Arial" w:hAnsi="Arial" w:cs="Arial"/>
                <w:b/>
                <w:szCs w:val="24"/>
              </w:rPr>
              <w:t>% non-disabled</w:t>
            </w:r>
          </w:p>
        </w:tc>
      </w:tr>
      <w:tr w:rsidR="008C3542" w:rsidRPr="006718BA" w14:paraId="711CD22F" w14:textId="77777777" w:rsidTr="008C3542">
        <w:tc>
          <w:tcPr>
            <w:tcW w:w="5043" w:type="dxa"/>
          </w:tcPr>
          <w:p w14:paraId="0AFC2BF4" w14:textId="77777777" w:rsidR="008C3542" w:rsidRPr="006718BA" w:rsidRDefault="008C3542" w:rsidP="003F066F">
            <w:pPr>
              <w:rPr>
                <w:rFonts w:ascii="Arial" w:hAnsi="Arial" w:cs="Arial"/>
                <w:szCs w:val="24"/>
              </w:rPr>
            </w:pPr>
            <w:proofErr w:type="spellStart"/>
            <w:r w:rsidRPr="006718BA">
              <w:rPr>
                <w:rFonts w:ascii="Arial" w:hAnsi="Arial" w:cs="Arial"/>
                <w:szCs w:val="24"/>
              </w:rPr>
              <w:t>i</w:t>
            </w:r>
            <w:proofErr w:type="spellEnd"/>
            <w:r w:rsidRPr="006718BA">
              <w:rPr>
                <w:rFonts w:ascii="Arial" w:hAnsi="Arial" w:cs="Arial"/>
                <w:szCs w:val="24"/>
              </w:rPr>
              <w:t>. Patients/service users, their relatives or other members of the public</w:t>
            </w:r>
          </w:p>
        </w:tc>
        <w:tc>
          <w:tcPr>
            <w:tcW w:w="1879" w:type="dxa"/>
          </w:tcPr>
          <w:p w14:paraId="072EF04F" w14:textId="77777777" w:rsidR="008C3542" w:rsidRPr="006718BA" w:rsidRDefault="008C3542" w:rsidP="003F066F">
            <w:pPr>
              <w:jc w:val="center"/>
              <w:rPr>
                <w:rFonts w:ascii="Arial" w:hAnsi="Arial" w:cs="Arial"/>
                <w:szCs w:val="24"/>
              </w:rPr>
            </w:pPr>
            <w:r w:rsidRPr="006718BA">
              <w:rPr>
                <w:rFonts w:ascii="Arial" w:hAnsi="Arial" w:cs="Arial"/>
                <w:szCs w:val="24"/>
              </w:rPr>
              <w:t>16%</w:t>
            </w:r>
          </w:p>
        </w:tc>
        <w:tc>
          <w:tcPr>
            <w:tcW w:w="2094" w:type="dxa"/>
          </w:tcPr>
          <w:p w14:paraId="2EC5B0CF" w14:textId="77777777" w:rsidR="008C3542" w:rsidRPr="006718BA" w:rsidRDefault="008C3542" w:rsidP="003F066F">
            <w:pPr>
              <w:rPr>
                <w:rFonts w:ascii="Arial" w:hAnsi="Arial" w:cs="Arial"/>
                <w:szCs w:val="24"/>
              </w:rPr>
            </w:pPr>
            <w:r w:rsidRPr="006718BA">
              <w:rPr>
                <w:rFonts w:ascii="Arial" w:hAnsi="Arial" w:cs="Arial"/>
                <w:szCs w:val="24"/>
              </w:rPr>
              <w:t xml:space="preserve">      16%</w:t>
            </w:r>
          </w:p>
        </w:tc>
      </w:tr>
      <w:tr w:rsidR="008C3542" w:rsidRPr="006718BA" w14:paraId="7CCC913A" w14:textId="77777777" w:rsidTr="008C3542">
        <w:trPr>
          <w:trHeight w:val="58"/>
        </w:trPr>
        <w:tc>
          <w:tcPr>
            <w:tcW w:w="5043" w:type="dxa"/>
          </w:tcPr>
          <w:p w14:paraId="79B83EDF" w14:textId="77777777" w:rsidR="008C3542" w:rsidRPr="006718BA" w:rsidRDefault="008C3542" w:rsidP="003F066F">
            <w:pPr>
              <w:rPr>
                <w:rFonts w:ascii="Arial" w:hAnsi="Arial" w:cs="Arial"/>
                <w:szCs w:val="24"/>
              </w:rPr>
            </w:pPr>
            <w:r w:rsidRPr="006718BA">
              <w:rPr>
                <w:rFonts w:ascii="Arial" w:hAnsi="Arial" w:cs="Arial"/>
                <w:szCs w:val="24"/>
              </w:rPr>
              <w:lastRenderedPageBreak/>
              <w:t>ii. Managers</w:t>
            </w:r>
          </w:p>
        </w:tc>
        <w:tc>
          <w:tcPr>
            <w:tcW w:w="1879" w:type="dxa"/>
          </w:tcPr>
          <w:p w14:paraId="2C50DD23" w14:textId="77777777" w:rsidR="008C3542" w:rsidRPr="006718BA" w:rsidRDefault="008C3542" w:rsidP="003F066F">
            <w:pPr>
              <w:jc w:val="center"/>
              <w:rPr>
                <w:rFonts w:ascii="Arial" w:hAnsi="Arial" w:cs="Arial"/>
                <w:szCs w:val="24"/>
              </w:rPr>
            </w:pPr>
            <w:r w:rsidRPr="006718BA">
              <w:rPr>
                <w:rFonts w:ascii="Arial" w:hAnsi="Arial" w:cs="Arial"/>
                <w:szCs w:val="24"/>
              </w:rPr>
              <w:t>16%</w:t>
            </w:r>
          </w:p>
        </w:tc>
        <w:tc>
          <w:tcPr>
            <w:tcW w:w="2094" w:type="dxa"/>
          </w:tcPr>
          <w:p w14:paraId="35403F63" w14:textId="77777777" w:rsidR="008C3542" w:rsidRPr="006718BA" w:rsidRDefault="008C3542" w:rsidP="003F066F">
            <w:pPr>
              <w:rPr>
                <w:rFonts w:ascii="Arial" w:hAnsi="Arial" w:cs="Arial"/>
                <w:bCs/>
                <w:szCs w:val="24"/>
              </w:rPr>
            </w:pPr>
            <w:r w:rsidRPr="006718BA">
              <w:rPr>
                <w:rFonts w:ascii="Arial" w:hAnsi="Arial" w:cs="Arial"/>
                <w:bCs/>
                <w:szCs w:val="24"/>
              </w:rPr>
              <w:t xml:space="preserve">     17.7%</w:t>
            </w:r>
          </w:p>
        </w:tc>
      </w:tr>
      <w:tr w:rsidR="008C3542" w:rsidRPr="006718BA" w14:paraId="463DCA05" w14:textId="77777777" w:rsidTr="008C3542">
        <w:trPr>
          <w:trHeight w:val="58"/>
        </w:trPr>
        <w:tc>
          <w:tcPr>
            <w:tcW w:w="5043" w:type="dxa"/>
          </w:tcPr>
          <w:p w14:paraId="4EEC5D39" w14:textId="77777777" w:rsidR="008C3542" w:rsidRPr="006718BA" w:rsidRDefault="008C3542" w:rsidP="003F066F">
            <w:pPr>
              <w:rPr>
                <w:rFonts w:ascii="Arial" w:hAnsi="Arial" w:cs="Arial"/>
                <w:szCs w:val="24"/>
              </w:rPr>
            </w:pPr>
            <w:r w:rsidRPr="006718BA">
              <w:rPr>
                <w:rFonts w:ascii="Arial" w:hAnsi="Arial" w:cs="Arial"/>
                <w:szCs w:val="24"/>
              </w:rPr>
              <w:t>iii. Other colleagues</w:t>
            </w:r>
          </w:p>
        </w:tc>
        <w:tc>
          <w:tcPr>
            <w:tcW w:w="1879" w:type="dxa"/>
          </w:tcPr>
          <w:p w14:paraId="5CC136FC" w14:textId="77777777" w:rsidR="008C3542" w:rsidRPr="006718BA" w:rsidRDefault="008C3542" w:rsidP="003F066F">
            <w:pPr>
              <w:rPr>
                <w:rFonts w:ascii="Arial" w:hAnsi="Arial" w:cs="Arial"/>
                <w:szCs w:val="24"/>
              </w:rPr>
            </w:pPr>
            <w:r w:rsidRPr="007E2053">
              <w:rPr>
                <w:rFonts w:ascii="Arial" w:hAnsi="Arial" w:cs="Arial"/>
                <w:color w:val="auto"/>
                <w:szCs w:val="24"/>
              </w:rPr>
              <w:t xml:space="preserve">          32%</w:t>
            </w:r>
          </w:p>
        </w:tc>
        <w:tc>
          <w:tcPr>
            <w:tcW w:w="2094" w:type="dxa"/>
          </w:tcPr>
          <w:p w14:paraId="7B67553C" w14:textId="77777777" w:rsidR="008C3542" w:rsidRPr="006718BA" w:rsidRDefault="008C3542" w:rsidP="003F066F">
            <w:pPr>
              <w:rPr>
                <w:rFonts w:ascii="Arial" w:hAnsi="Arial" w:cs="Arial"/>
                <w:bCs/>
                <w:szCs w:val="24"/>
              </w:rPr>
            </w:pPr>
            <w:r w:rsidRPr="006718BA">
              <w:rPr>
                <w:rFonts w:ascii="Arial" w:hAnsi="Arial" w:cs="Arial"/>
                <w:b/>
                <w:szCs w:val="24"/>
              </w:rPr>
              <w:t xml:space="preserve">       </w:t>
            </w:r>
            <w:r w:rsidRPr="006718BA">
              <w:rPr>
                <w:rFonts w:ascii="Arial" w:hAnsi="Arial" w:cs="Arial"/>
                <w:bCs/>
                <w:szCs w:val="24"/>
              </w:rPr>
              <w:t>22.6%</w:t>
            </w:r>
          </w:p>
        </w:tc>
      </w:tr>
    </w:tbl>
    <w:p w14:paraId="6D487745" w14:textId="77777777" w:rsidR="009B2AB8" w:rsidRPr="006718BA" w:rsidRDefault="009B2AB8" w:rsidP="009B2AB8">
      <w:pPr>
        <w:rPr>
          <w:b/>
          <w:szCs w:val="24"/>
        </w:rPr>
      </w:pPr>
    </w:p>
    <w:tbl>
      <w:tblPr>
        <w:tblStyle w:val="TableGrid"/>
        <w:tblW w:w="0" w:type="auto"/>
        <w:tblLook w:val="04A0" w:firstRow="1" w:lastRow="0" w:firstColumn="1" w:lastColumn="0" w:noHBand="0" w:noVBand="1"/>
      </w:tblPr>
      <w:tblGrid>
        <w:gridCol w:w="5150"/>
        <w:gridCol w:w="1904"/>
        <w:gridCol w:w="2126"/>
      </w:tblGrid>
      <w:tr w:rsidR="008C3542" w:rsidRPr="006718BA" w14:paraId="13AC0BF0" w14:textId="77777777" w:rsidTr="003F066F">
        <w:tc>
          <w:tcPr>
            <w:tcW w:w="9180" w:type="dxa"/>
            <w:gridSpan w:val="3"/>
          </w:tcPr>
          <w:p w14:paraId="7531D457" w14:textId="377D107E" w:rsidR="008C3542" w:rsidRPr="006718BA" w:rsidRDefault="008C3542" w:rsidP="003F066F">
            <w:pPr>
              <w:rPr>
                <w:szCs w:val="24"/>
              </w:rPr>
            </w:pPr>
            <w:r w:rsidRPr="006718BA">
              <w:rPr>
                <w:szCs w:val="24"/>
              </w:rPr>
              <w:t>b) Percentage of Disabled staff compared to non-disabled staff saying that the last time they experienced harassment, bullying or abuse at work, they or a colleague reported it:</w:t>
            </w:r>
          </w:p>
        </w:tc>
      </w:tr>
      <w:tr w:rsidR="008C3542" w:rsidRPr="006718BA" w14:paraId="539D75E0" w14:textId="77777777" w:rsidTr="003F066F">
        <w:tc>
          <w:tcPr>
            <w:tcW w:w="5150" w:type="dxa"/>
          </w:tcPr>
          <w:p w14:paraId="4A52B341" w14:textId="77777777" w:rsidR="008C3542" w:rsidRPr="006718BA" w:rsidRDefault="008C3542" w:rsidP="003F066F">
            <w:pPr>
              <w:rPr>
                <w:b/>
                <w:szCs w:val="24"/>
              </w:rPr>
            </w:pPr>
          </w:p>
        </w:tc>
        <w:tc>
          <w:tcPr>
            <w:tcW w:w="1904" w:type="dxa"/>
          </w:tcPr>
          <w:p w14:paraId="61B39FE0" w14:textId="77777777" w:rsidR="008C3542" w:rsidRPr="006718BA" w:rsidRDefault="008C3542" w:rsidP="003F066F">
            <w:pPr>
              <w:rPr>
                <w:b/>
                <w:szCs w:val="24"/>
              </w:rPr>
            </w:pPr>
            <w:r w:rsidRPr="006718BA">
              <w:rPr>
                <w:b/>
                <w:szCs w:val="24"/>
              </w:rPr>
              <w:t>% disabled</w:t>
            </w:r>
          </w:p>
        </w:tc>
        <w:tc>
          <w:tcPr>
            <w:tcW w:w="2126" w:type="dxa"/>
          </w:tcPr>
          <w:p w14:paraId="4309375B" w14:textId="77777777" w:rsidR="008C3542" w:rsidRPr="006718BA" w:rsidRDefault="008C3542" w:rsidP="003F066F">
            <w:pPr>
              <w:rPr>
                <w:b/>
                <w:szCs w:val="24"/>
              </w:rPr>
            </w:pPr>
            <w:r w:rsidRPr="006718BA">
              <w:rPr>
                <w:b/>
                <w:szCs w:val="24"/>
              </w:rPr>
              <w:t>% non-disabled</w:t>
            </w:r>
          </w:p>
        </w:tc>
      </w:tr>
      <w:tr w:rsidR="008C3542" w:rsidRPr="006718BA" w14:paraId="0BEA0483" w14:textId="77777777" w:rsidTr="003F066F">
        <w:tc>
          <w:tcPr>
            <w:tcW w:w="5150" w:type="dxa"/>
          </w:tcPr>
          <w:p w14:paraId="5ABFE7B8" w14:textId="77777777" w:rsidR="008C3542" w:rsidRPr="006718BA" w:rsidRDefault="008C3542" w:rsidP="003F066F">
            <w:pPr>
              <w:rPr>
                <w:szCs w:val="24"/>
              </w:rPr>
            </w:pPr>
          </w:p>
        </w:tc>
        <w:tc>
          <w:tcPr>
            <w:tcW w:w="1904" w:type="dxa"/>
          </w:tcPr>
          <w:p w14:paraId="0F29536A" w14:textId="77777777" w:rsidR="008C3542" w:rsidRPr="006718BA" w:rsidRDefault="008C3542" w:rsidP="003F066F">
            <w:pPr>
              <w:jc w:val="center"/>
              <w:rPr>
                <w:szCs w:val="24"/>
              </w:rPr>
            </w:pPr>
            <w:r w:rsidRPr="006718BA">
              <w:rPr>
                <w:szCs w:val="24"/>
              </w:rPr>
              <w:t>8%</w:t>
            </w:r>
          </w:p>
        </w:tc>
        <w:tc>
          <w:tcPr>
            <w:tcW w:w="2126" w:type="dxa"/>
          </w:tcPr>
          <w:p w14:paraId="3F71CD9E" w14:textId="10582A15" w:rsidR="008C3542" w:rsidRPr="006718BA" w:rsidRDefault="008C3542" w:rsidP="003F066F">
            <w:pPr>
              <w:jc w:val="center"/>
              <w:rPr>
                <w:szCs w:val="24"/>
              </w:rPr>
            </w:pPr>
            <w:r w:rsidRPr="006718BA">
              <w:rPr>
                <w:szCs w:val="24"/>
              </w:rPr>
              <w:t>8.</w:t>
            </w:r>
            <w:r w:rsidR="00137550" w:rsidRPr="006718BA">
              <w:rPr>
                <w:szCs w:val="24"/>
              </w:rPr>
              <w:t>1</w:t>
            </w:r>
            <w:r w:rsidRPr="006718BA">
              <w:rPr>
                <w:szCs w:val="24"/>
              </w:rPr>
              <w:t>%</w:t>
            </w:r>
          </w:p>
        </w:tc>
      </w:tr>
    </w:tbl>
    <w:p w14:paraId="5B80FE24" w14:textId="77777777" w:rsidR="00FE23B0" w:rsidRPr="006718BA" w:rsidRDefault="00FE23B0" w:rsidP="009B2AB8">
      <w:pPr>
        <w:rPr>
          <w:b/>
          <w:szCs w:val="24"/>
        </w:rPr>
      </w:pPr>
    </w:p>
    <w:p w14:paraId="3045973F" w14:textId="3EB90852" w:rsidR="009B2AB8" w:rsidRPr="006718BA" w:rsidRDefault="009B2AB8" w:rsidP="009B2AB8">
      <w:pPr>
        <w:rPr>
          <w:b/>
          <w:szCs w:val="24"/>
        </w:rPr>
      </w:pPr>
      <w:r w:rsidRPr="006718BA">
        <w:rPr>
          <w:b/>
          <w:szCs w:val="24"/>
        </w:rPr>
        <w:t>Metric 5 Staff Survey Q15</w:t>
      </w:r>
    </w:p>
    <w:tbl>
      <w:tblPr>
        <w:tblStyle w:val="TableGrid"/>
        <w:tblW w:w="0" w:type="auto"/>
        <w:tblLook w:val="04A0" w:firstRow="1" w:lastRow="0" w:firstColumn="1" w:lastColumn="0" w:noHBand="0" w:noVBand="1"/>
      </w:tblPr>
      <w:tblGrid>
        <w:gridCol w:w="5150"/>
        <w:gridCol w:w="1904"/>
        <w:gridCol w:w="2126"/>
      </w:tblGrid>
      <w:tr w:rsidR="00512585" w:rsidRPr="006718BA" w14:paraId="04D13624" w14:textId="77777777" w:rsidTr="003F066F">
        <w:tc>
          <w:tcPr>
            <w:tcW w:w="9180" w:type="dxa"/>
            <w:gridSpan w:val="3"/>
          </w:tcPr>
          <w:p w14:paraId="35FEA373" w14:textId="003585CF" w:rsidR="00512585" w:rsidRPr="006718BA" w:rsidRDefault="00512585" w:rsidP="003F066F">
            <w:pPr>
              <w:rPr>
                <w:szCs w:val="24"/>
              </w:rPr>
            </w:pPr>
            <w:r w:rsidRPr="006718BA">
              <w:rPr>
                <w:szCs w:val="24"/>
              </w:rPr>
              <w:t xml:space="preserve">Percentage of Disabled staff compared to non-disabled staff believing that the ICB provides equal opportunities for career progression or promotion. </w:t>
            </w:r>
          </w:p>
        </w:tc>
      </w:tr>
      <w:tr w:rsidR="00512585" w:rsidRPr="006718BA" w14:paraId="334B0AFE" w14:textId="77777777" w:rsidTr="003F066F">
        <w:tc>
          <w:tcPr>
            <w:tcW w:w="5150" w:type="dxa"/>
          </w:tcPr>
          <w:p w14:paraId="6916C1DE" w14:textId="77777777" w:rsidR="00512585" w:rsidRPr="006718BA" w:rsidRDefault="00512585" w:rsidP="003F066F">
            <w:pPr>
              <w:rPr>
                <w:b/>
                <w:szCs w:val="24"/>
              </w:rPr>
            </w:pPr>
          </w:p>
        </w:tc>
        <w:tc>
          <w:tcPr>
            <w:tcW w:w="1904" w:type="dxa"/>
          </w:tcPr>
          <w:p w14:paraId="291843BB" w14:textId="77777777" w:rsidR="00512585" w:rsidRPr="006718BA" w:rsidRDefault="00512585" w:rsidP="003F066F">
            <w:pPr>
              <w:rPr>
                <w:b/>
                <w:szCs w:val="24"/>
              </w:rPr>
            </w:pPr>
            <w:r w:rsidRPr="006718BA">
              <w:rPr>
                <w:b/>
                <w:szCs w:val="24"/>
              </w:rPr>
              <w:t>% disabled</w:t>
            </w:r>
          </w:p>
        </w:tc>
        <w:tc>
          <w:tcPr>
            <w:tcW w:w="2126" w:type="dxa"/>
          </w:tcPr>
          <w:p w14:paraId="22EB2DDC" w14:textId="77777777" w:rsidR="00512585" w:rsidRPr="006718BA" w:rsidRDefault="00512585" w:rsidP="003F066F">
            <w:pPr>
              <w:rPr>
                <w:b/>
                <w:szCs w:val="24"/>
              </w:rPr>
            </w:pPr>
            <w:r w:rsidRPr="006718BA">
              <w:rPr>
                <w:b/>
                <w:szCs w:val="24"/>
              </w:rPr>
              <w:t>% non-disabled</w:t>
            </w:r>
          </w:p>
        </w:tc>
      </w:tr>
      <w:tr w:rsidR="00512585" w:rsidRPr="006718BA" w14:paraId="4661F871" w14:textId="77777777" w:rsidTr="003F066F">
        <w:tc>
          <w:tcPr>
            <w:tcW w:w="5150" w:type="dxa"/>
          </w:tcPr>
          <w:p w14:paraId="60F18358" w14:textId="77777777" w:rsidR="00512585" w:rsidRPr="006718BA" w:rsidRDefault="00512585" w:rsidP="003F066F">
            <w:pPr>
              <w:rPr>
                <w:szCs w:val="24"/>
              </w:rPr>
            </w:pPr>
          </w:p>
        </w:tc>
        <w:tc>
          <w:tcPr>
            <w:tcW w:w="1904" w:type="dxa"/>
          </w:tcPr>
          <w:p w14:paraId="2C48B557" w14:textId="77777777" w:rsidR="00512585" w:rsidRPr="006718BA" w:rsidRDefault="00512585" w:rsidP="003F066F">
            <w:pPr>
              <w:jc w:val="center"/>
              <w:rPr>
                <w:szCs w:val="24"/>
              </w:rPr>
            </w:pPr>
            <w:r w:rsidRPr="006718BA">
              <w:rPr>
                <w:szCs w:val="24"/>
              </w:rPr>
              <w:t>25%</w:t>
            </w:r>
          </w:p>
        </w:tc>
        <w:tc>
          <w:tcPr>
            <w:tcW w:w="2126" w:type="dxa"/>
          </w:tcPr>
          <w:p w14:paraId="7C61936F" w14:textId="77777777" w:rsidR="00512585" w:rsidRPr="006718BA" w:rsidRDefault="00512585" w:rsidP="003F066F">
            <w:pPr>
              <w:jc w:val="center"/>
              <w:rPr>
                <w:szCs w:val="24"/>
              </w:rPr>
            </w:pPr>
            <w:r w:rsidRPr="006718BA">
              <w:rPr>
                <w:szCs w:val="24"/>
              </w:rPr>
              <w:t>25.8%</w:t>
            </w:r>
          </w:p>
        </w:tc>
      </w:tr>
    </w:tbl>
    <w:p w14:paraId="7EFC7C5B" w14:textId="3C9B727A" w:rsidR="009B2AB8" w:rsidRPr="006718BA" w:rsidRDefault="009B2AB8" w:rsidP="009B2AB8">
      <w:pPr>
        <w:rPr>
          <w:b/>
          <w:szCs w:val="24"/>
        </w:rPr>
      </w:pPr>
      <w:r w:rsidRPr="006718BA">
        <w:rPr>
          <w:b/>
          <w:szCs w:val="24"/>
        </w:rPr>
        <w:t>Metric 6 Staff Survey Q11e</w:t>
      </w:r>
    </w:p>
    <w:tbl>
      <w:tblPr>
        <w:tblStyle w:val="TableGrid"/>
        <w:tblW w:w="0" w:type="auto"/>
        <w:tblLook w:val="04A0" w:firstRow="1" w:lastRow="0" w:firstColumn="1" w:lastColumn="0" w:noHBand="0" w:noVBand="1"/>
      </w:tblPr>
      <w:tblGrid>
        <w:gridCol w:w="5150"/>
        <w:gridCol w:w="1904"/>
        <w:gridCol w:w="2126"/>
      </w:tblGrid>
      <w:tr w:rsidR="00512585" w:rsidRPr="006718BA" w14:paraId="69D0CAE8" w14:textId="77777777" w:rsidTr="003F066F">
        <w:tc>
          <w:tcPr>
            <w:tcW w:w="9180" w:type="dxa"/>
            <w:gridSpan w:val="3"/>
          </w:tcPr>
          <w:p w14:paraId="560DC87A" w14:textId="467B0FA1" w:rsidR="00512585" w:rsidRPr="006718BA" w:rsidRDefault="00512585" w:rsidP="003F066F">
            <w:pPr>
              <w:rPr>
                <w:szCs w:val="24"/>
              </w:rPr>
            </w:pPr>
            <w:r w:rsidRPr="006718BA">
              <w:rPr>
                <w:szCs w:val="24"/>
              </w:rPr>
              <w:t>Percentage of Disabled staff compared to non-disabled staff saying that they have felt pressure from their manager to come to work, despite not feeling well enough to perform their duties.</w:t>
            </w:r>
          </w:p>
        </w:tc>
      </w:tr>
      <w:tr w:rsidR="00512585" w:rsidRPr="006718BA" w14:paraId="790842DC" w14:textId="77777777" w:rsidTr="003F066F">
        <w:tc>
          <w:tcPr>
            <w:tcW w:w="5150" w:type="dxa"/>
          </w:tcPr>
          <w:p w14:paraId="0A051747" w14:textId="77777777" w:rsidR="00512585" w:rsidRPr="006718BA" w:rsidRDefault="00512585" w:rsidP="003F066F">
            <w:pPr>
              <w:rPr>
                <w:b/>
                <w:szCs w:val="24"/>
              </w:rPr>
            </w:pPr>
          </w:p>
        </w:tc>
        <w:tc>
          <w:tcPr>
            <w:tcW w:w="1904" w:type="dxa"/>
          </w:tcPr>
          <w:p w14:paraId="005AAEFA" w14:textId="77777777" w:rsidR="00512585" w:rsidRPr="006718BA" w:rsidRDefault="00512585" w:rsidP="003F066F">
            <w:pPr>
              <w:rPr>
                <w:b/>
                <w:szCs w:val="24"/>
              </w:rPr>
            </w:pPr>
            <w:r w:rsidRPr="006718BA">
              <w:rPr>
                <w:b/>
                <w:szCs w:val="24"/>
              </w:rPr>
              <w:t>% disabled</w:t>
            </w:r>
          </w:p>
        </w:tc>
        <w:tc>
          <w:tcPr>
            <w:tcW w:w="2126" w:type="dxa"/>
          </w:tcPr>
          <w:p w14:paraId="31F7586E" w14:textId="77777777" w:rsidR="00512585" w:rsidRPr="006718BA" w:rsidRDefault="00512585" w:rsidP="003F066F">
            <w:pPr>
              <w:rPr>
                <w:b/>
                <w:szCs w:val="24"/>
              </w:rPr>
            </w:pPr>
            <w:r w:rsidRPr="006718BA">
              <w:rPr>
                <w:b/>
                <w:szCs w:val="24"/>
              </w:rPr>
              <w:t>% non-disabled</w:t>
            </w:r>
          </w:p>
        </w:tc>
      </w:tr>
      <w:tr w:rsidR="00512585" w:rsidRPr="006718BA" w14:paraId="1F36C8C1" w14:textId="77777777" w:rsidTr="0000311D">
        <w:trPr>
          <w:trHeight w:val="505"/>
        </w:trPr>
        <w:tc>
          <w:tcPr>
            <w:tcW w:w="5150" w:type="dxa"/>
          </w:tcPr>
          <w:p w14:paraId="4CF9E469" w14:textId="77777777" w:rsidR="00512585" w:rsidRPr="006718BA" w:rsidRDefault="00512585" w:rsidP="003F066F">
            <w:pPr>
              <w:rPr>
                <w:szCs w:val="24"/>
              </w:rPr>
            </w:pPr>
          </w:p>
        </w:tc>
        <w:tc>
          <w:tcPr>
            <w:tcW w:w="1904" w:type="dxa"/>
          </w:tcPr>
          <w:p w14:paraId="29BC7EF7" w14:textId="77777777" w:rsidR="00512585" w:rsidRPr="006718BA" w:rsidRDefault="00512585" w:rsidP="00EA27E3">
            <w:pPr>
              <w:rPr>
                <w:szCs w:val="24"/>
              </w:rPr>
            </w:pPr>
          </w:p>
          <w:p w14:paraId="3F5F9602" w14:textId="77777777" w:rsidR="00512585" w:rsidRPr="006718BA" w:rsidRDefault="00512585" w:rsidP="003F066F">
            <w:pPr>
              <w:jc w:val="center"/>
              <w:rPr>
                <w:szCs w:val="24"/>
              </w:rPr>
            </w:pPr>
            <w:r w:rsidRPr="007E2053">
              <w:rPr>
                <w:color w:val="auto"/>
                <w:szCs w:val="24"/>
              </w:rPr>
              <w:t>12%</w:t>
            </w:r>
          </w:p>
        </w:tc>
        <w:tc>
          <w:tcPr>
            <w:tcW w:w="2126" w:type="dxa"/>
          </w:tcPr>
          <w:p w14:paraId="510AA11E" w14:textId="77777777" w:rsidR="00512585" w:rsidRPr="006718BA" w:rsidRDefault="00512585" w:rsidP="008C144A">
            <w:pPr>
              <w:rPr>
                <w:szCs w:val="24"/>
              </w:rPr>
            </w:pPr>
          </w:p>
          <w:p w14:paraId="1FD3E64D" w14:textId="60ED2B17" w:rsidR="00512585" w:rsidRPr="006718BA" w:rsidRDefault="00512585" w:rsidP="003F066F">
            <w:pPr>
              <w:jc w:val="center"/>
              <w:rPr>
                <w:szCs w:val="24"/>
              </w:rPr>
            </w:pPr>
            <w:r w:rsidRPr="006718BA">
              <w:rPr>
                <w:szCs w:val="24"/>
              </w:rPr>
              <w:t>6.</w:t>
            </w:r>
            <w:r w:rsidR="00DE0575" w:rsidRPr="006718BA">
              <w:rPr>
                <w:szCs w:val="24"/>
              </w:rPr>
              <w:t>5</w:t>
            </w:r>
            <w:r w:rsidRPr="006718BA">
              <w:rPr>
                <w:szCs w:val="24"/>
              </w:rPr>
              <w:t>%</w:t>
            </w:r>
          </w:p>
        </w:tc>
      </w:tr>
    </w:tbl>
    <w:p w14:paraId="46851A52" w14:textId="7467E0B3" w:rsidR="00512585" w:rsidRPr="006718BA" w:rsidRDefault="00512585" w:rsidP="009B2AB8">
      <w:pPr>
        <w:rPr>
          <w:szCs w:val="24"/>
        </w:rPr>
      </w:pPr>
      <w:r w:rsidRPr="006718BA">
        <w:rPr>
          <w:szCs w:val="24"/>
        </w:rPr>
        <w:t xml:space="preserve">The following NHS Staff Survey Metric only includes the responses of Disabled </w:t>
      </w:r>
      <w:proofErr w:type="gramStart"/>
      <w:r w:rsidRPr="006718BA">
        <w:rPr>
          <w:szCs w:val="24"/>
        </w:rPr>
        <w:t>staff</w:t>
      </w:r>
      <w:proofErr w:type="gramEnd"/>
      <w:r w:rsidRPr="006718BA">
        <w:rPr>
          <w:szCs w:val="24"/>
        </w:rPr>
        <w:t xml:space="preserve"> </w:t>
      </w:r>
    </w:p>
    <w:p w14:paraId="44323EA1" w14:textId="77777777" w:rsidR="009B2AB8" w:rsidRPr="006718BA" w:rsidRDefault="009B2AB8" w:rsidP="009B2AB8">
      <w:pPr>
        <w:rPr>
          <w:b/>
          <w:szCs w:val="24"/>
        </w:rPr>
      </w:pPr>
      <w:r w:rsidRPr="006718BA">
        <w:rPr>
          <w:b/>
          <w:szCs w:val="24"/>
        </w:rPr>
        <w:t>Metric 7 Staff Survey Q4b</w:t>
      </w:r>
    </w:p>
    <w:tbl>
      <w:tblPr>
        <w:tblStyle w:val="TableGrid"/>
        <w:tblW w:w="0" w:type="auto"/>
        <w:tblLook w:val="04A0" w:firstRow="1" w:lastRow="0" w:firstColumn="1" w:lastColumn="0" w:noHBand="0" w:noVBand="1"/>
      </w:tblPr>
      <w:tblGrid>
        <w:gridCol w:w="6799"/>
        <w:gridCol w:w="2217"/>
      </w:tblGrid>
      <w:tr w:rsidR="00512585" w:rsidRPr="006718BA" w14:paraId="67567B1A" w14:textId="77777777" w:rsidTr="003F066F">
        <w:trPr>
          <w:trHeight w:val="557"/>
        </w:trPr>
        <w:tc>
          <w:tcPr>
            <w:tcW w:w="6799" w:type="dxa"/>
          </w:tcPr>
          <w:p w14:paraId="40C674CA" w14:textId="77777777" w:rsidR="00512585" w:rsidRPr="006718BA" w:rsidRDefault="00512585" w:rsidP="003F066F">
            <w:pPr>
              <w:rPr>
                <w:i/>
                <w:iCs/>
                <w:szCs w:val="24"/>
              </w:rPr>
            </w:pPr>
            <w:r w:rsidRPr="006718BA">
              <w:rPr>
                <w:szCs w:val="24"/>
              </w:rPr>
              <w:t xml:space="preserve">Percentage of Disabled staff compared to non-disabled staff saying that they are satisfied with the extent to which their organisation values their work. </w:t>
            </w:r>
            <w:r w:rsidRPr="006718BA">
              <w:rPr>
                <w:i/>
                <w:iCs/>
                <w:szCs w:val="24"/>
              </w:rPr>
              <w:t xml:space="preserve">Responses of satisfaction include both 'to some extend' and 'yes definitely'. </w:t>
            </w:r>
          </w:p>
        </w:tc>
        <w:tc>
          <w:tcPr>
            <w:tcW w:w="2217" w:type="dxa"/>
          </w:tcPr>
          <w:p w14:paraId="4CBA68C6" w14:textId="0C0182FF" w:rsidR="00512585" w:rsidRPr="006718BA" w:rsidRDefault="00512585" w:rsidP="003F066F">
            <w:pPr>
              <w:rPr>
                <w:szCs w:val="24"/>
              </w:rPr>
            </w:pPr>
            <w:r w:rsidRPr="006718BA">
              <w:rPr>
                <w:szCs w:val="24"/>
              </w:rPr>
              <w:t xml:space="preserve">40% </w:t>
            </w:r>
            <w:proofErr w:type="gramStart"/>
            <w:r w:rsidRPr="006718BA">
              <w:rPr>
                <w:szCs w:val="24"/>
              </w:rPr>
              <w:t>disabled</w:t>
            </w:r>
            <w:proofErr w:type="gramEnd"/>
            <w:r w:rsidRPr="006718BA">
              <w:rPr>
                <w:szCs w:val="24"/>
              </w:rPr>
              <w:t xml:space="preserve"> </w:t>
            </w:r>
          </w:p>
          <w:p w14:paraId="3F86C457" w14:textId="310B26F6" w:rsidR="00512585" w:rsidRPr="006718BA" w:rsidRDefault="00512585" w:rsidP="003F066F">
            <w:pPr>
              <w:rPr>
                <w:szCs w:val="24"/>
              </w:rPr>
            </w:pPr>
            <w:r w:rsidRPr="006718BA">
              <w:rPr>
                <w:szCs w:val="24"/>
              </w:rPr>
              <w:t xml:space="preserve">compared with </w:t>
            </w:r>
          </w:p>
          <w:p w14:paraId="30271B7E" w14:textId="77777777" w:rsidR="00512585" w:rsidRPr="006718BA" w:rsidRDefault="00512585" w:rsidP="003F066F">
            <w:pPr>
              <w:rPr>
                <w:szCs w:val="24"/>
              </w:rPr>
            </w:pPr>
            <w:r w:rsidRPr="006718BA">
              <w:rPr>
                <w:szCs w:val="24"/>
              </w:rPr>
              <w:t xml:space="preserve">35.5% not disabled </w:t>
            </w:r>
          </w:p>
        </w:tc>
      </w:tr>
    </w:tbl>
    <w:p w14:paraId="05E6387A" w14:textId="47E88465" w:rsidR="009B2AB8" w:rsidRPr="006718BA" w:rsidRDefault="009B2AB8" w:rsidP="009B2AB8">
      <w:pPr>
        <w:rPr>
          <w:b/>
          <w:szCs w:val="24"/>
        </w:rPr>
      </w:pPr>
      <w:r w:rsidRPr="006718BA">
        <w:rPr>
          <w:b/>
          <w:szCs w:val="24"/>
        </w:rPr>
        <w:t>Metric 8 Staff Survey Q30b</w:t>
      </w:r>
    </w:p>
    <w:tbl>
      <w:tblPr>
        <w:tblStyle w:val="TableGrid"/>
        <w:tblW w:w="0" w:type="auto"/>
        <w:tblLook w:val="04A0" w:firstRow="1" w:lastRow="0" w:firstColumn="1" w:lastColumn="0" w:noHBand="0" w:noVBand="1"/>
      </w:tblPr>
      <w:tblGrid>
        <w:gridCol w:w="6799"/>
        <w:gridCol w:w="2217"/>
      </w:tblGrid>
      <w:tr w:rsidR="00512585" w:rsidRPr="006718BA" w14:paraId="78AD9B9E" w14:textId="77777777" w:rsidTr="003F066F">
        <w:tc>
          <w:tcPr>
            <w:tcW w:w="6799" w:type="dxa"/>
          </w:tcPr>
          <w:p w14:paraId="4C036F63" w14:textId="77777777" w:rsidR="00512585" w:rsidRPr="006718BA" w:rsidRDefault="00512585" w:rsidP="003F066F">
            <w:pPr>
              <w:rPr>
                <w:szCs w:val="24"/>
              </w:rPr>
            </w:pPr>
            <w:r w:rsidRPr="006718BA">
              <w:rPr>
                <w:szCs w:val="24"/>
              </w:rPr>
              <w:t>Percentage of Disabled staff saying that their employer has made adequate adjustment(s) to enable them to carry out their work.</w:t>
            </w:r>
          </w:p>
          <w:p w14:paraId="3AD518C2" w14:textId="77777777" w:rsidR="00512585" w:rsidRPr="006718BA" w:rsidRDefault="00512585" w:rsidP="003F066F">
            <w:pPr>
              <w:rPr>
                <w:szCs w:val="24"/>
              </w:rPr>
            </w:pPr>
          </w:p>
        </w:tc>
        <w:tc>
          <w:tcPr>
            <w:tcW w:w="2217" w:type="dxa"/>
          </w:tcPr>
          <w:p w14:paraId="1E6F0895" w14:textId="13E2794C" w:rsidR="00512585" w:rsidRPr="006718BA" w:rsidRDefault="00512585" w:rsidP="003F066F">
            <w:pPr>
              <w:rPr>
                <w:szCs w:val="24"/>
              </w:rPr>
            </w:pPr>
            <w:r w:rsidRPr="006718BA">
              <w:rPr>
                <w:szCs w:val="24"/>
              </w:rPr>
              <w:t xml:space="preserve">56% adjustments </w:t>
            </w:r>
            <w:proofErr w:type="gramStart"/>
            <w:r w:rsidRPr="006718BA">
              <w:rPr>
                <w:szCs w:val="24"/>
              </w:rPr>
              <w:t>made</w:t>
            </w:r>
            <w:proofErr w:type="gramEnd"/>
          </w:p>
          <w:p w14:paraId="0332F9FF" w14:textId="5060F706" w:rsidR="00512585" w:rsidRPr="007E2053" w:rsidRDefault="00512585" w:rsidP="003F066F">
            <w:pPr>
              <w:rPr>
                <w:color w:val="auto"/>
                <w:szCs w:val="24"/>
              </w:rPr>
            </w:pPr>
            <w:r w:rsidRPr="007E2053">
              <w:rPr>
                <w:color w:val="auto"/>
                <w:szCs w:val="24"/>
              </w:rPr>
              <w:t xml:space="preserve">24% adjustments not </w:t>
            </w:r>
            <w:proofErr w:type="gramStart"/>
            <w:r w:rsidRPr="007E2053">
              <w:rPr>
                <w:color w:val="auto"/>
                <w:szCs w:val="24"/>
              </w:rPr>
              <w:t>made</w:t>
            </w:r>
            <w:proofErr w:type="gramEnd"/>
          </w:p>
          <w:p w14:paraId="55AD694D" w14:textId="77777777" w:rsidR="00512585" w:rsidRPr="006718BA" w:rsidRDefault="00512585" w:rsidP="003F066F">
            <w:pPr>
              <w:rPr>
                <w:szCs w:val="24"/>
              </w:rPr>
            </w:pPr>
            <w:r w:rsidRPr="006718BA">
              <w:rPr>
                <w:szCs w:val="24"/>
              </w:rPr>
              <w:lastRenderedPageBreak/>
              <w:t xml:space="preserve">20% did not require an adjustment </w:t>
            </w:r>
          </w:p>
        </w:tc>
      </w:tr>
    </w:tbl>
    <w:p w14:paraId="0BE41DA7" w14:textId="514B859F" w:rsidR="009B2AB8" w:rsidRPr="006718BA" w:rsidRDefault="009B2AB8" w:rsidP="009B2AB8">
      <w:pPr>
        <w:rPr>
          <w:b/>
          <w:szCs w:val="24"/>
        </w:rPr>
      </w:pPr>
      <w:r w:rsidRPr="006718BA">
        <w:rPr>
          <w:b/>
          <w:szCs w:val="24"/>
        </w:rPr>
        <w:lastRenderedPageBreak/>
        <w:t>Metric 9</w:t>
      </w:r>
    </w:p>
    <w:tbl>
      <w:tblPr>
        <w:tblStyle w:val="TableGrid"/>
        <w:tblW w:w="0" w:type="auto"/>
        <w:tblLook w:val="04A0" w:firstRow="1" w:lastRow="0" w:firstColumn="1" w:lastColumn="0" w:noHBand="0" w:noVBand="1"/>
      </w:tblPr>
      <w:tblGrid>
        <w:gridCol w:w="6999"/>
        <w:gridCol w:w="2017"/>
      </w:tblGrid>
      <w:tr w:rsidR="00512585" w:rsidRPr="006718BA" w14:paraId="715800AD" w14:textId="77777777" w:rsidTr="003F066F">
        <w:tc>
          <w:tcPr>
            <w:tcW w:w="9016" w:type="dxa"/>
            <w:gridSpan w:val="2"/>
          </w:tcPr>
          <w:p w14:paraId="37E89990" w14:textId="05DBE948" w:rsidR="00512585" w:rsidRPr="006718BA" w:rsidRDefault="00512585" w:rsidP="00EA27E3">
            <w:pPr>
              <w:rPr>
                <w:b/>
                <w:szCs w:val="24"/>
              </w:rPr>
            </w:pPr>
            <w:r w:rsidRPr="006718BA">
              <w:rPr>
                <w:szCs w:val="24"/>
              </w:rPr>
              <w:t>a) The staff engagement score for Disabled staff, compared to non-disabled staff and the overall engagement score for the organisation made up of responses from Q2a, Q2b, Q2c, Q3</w:t>
            </w:r>
            <w:proofErr w:type="gramStart"/>
            <w:r w:rsidRPr="006718BA">
              <w:rPr>
                <w:szCs w:val="24"/>
              </w:rPr>
              <w:t>c,Q</w:t>
            </w:r>
            <w:proofErr w:type="gramEnd"/>
            <w:r w:rsidRPr="006718BA">
              <w:rPr>
                <w:szCs w:val="24"/>
              </w:rPr>
              <w:t>3d, Q3f, Q23a,Q23c and Q23d of the staff survey)</w:t>
            </w:r>
          </w:p>
        </w:tc>
      </w:tr>
      <w:tr w:rsidR="00512585" w:rsidRPr="006718BA" w14:paraId="138CF59B" w14:textId="77777777" w:rsidTr="003F066F">
        <w:tc>
          <w:tcPr>
            <w:tcW w:w="9016" w:type="dxa"/>
            <w:gridSpan w:val="2"/>
          </w:tcPr>
          <w:p w14:paraId="581EE51B" w14:textId="77777777" w:rsidR="00512585" w:rsidRPr="006718BA" w:rsidRDefault="00512585" w:rsidP="003F066F">
            <w:pPr>
              <w:rPr>
                <w:szCs w:val="24"/>
              </w:rPr>
            </w:pPr>
          </w:p>
          <w:p w14:paraId="4FAD4C8A" w14:textId="56622234" w:rsidR="00512585" w:rsidRPr="007E2053" w:rsidRDefault="00512585" w:rsidP="003F066F">
            <w:pPr>
              <w:rPr>
                <w:color w:val="auto"/>
                <w:szCs w:val="24"/>
              </w:rPr>
            </w:pPr>
            <w:r w:rsidRPr="006718BA">
              <w:rPr>
                <w:szCs w:val="24"/>
              </w:rPr>
              <w:t>Questions Q2a, Q2b, Q2c, Q3d and Q3f were averaged to give an engagement score for disabled staff, compared with non- disabled staff (out of a total score of 5)</w:t>
            </w:r>
          </w:p>
          <w:p w14:paraId="465E3940" w14:textId="5AA0CD45" w:rsidR="00512585" w:rsidRPr="007E2053" w:rsidRDefault="00512585" w:rsidP="003F066F">
            <w:pPr>
              <w:rPr>
                <w:color w:val="auto"/>
                <w:szCs w:val="24"/>
              </w:rPr>
            </w:pPr>
            <w:r w:rsidRPr="007E2053">
              <w:rPr>
                <w:color w:val="auto"/>
                <w:szCs w:val="24"/>
              </w:rPr>
              <w:t>Engagement score for disabled staff = 3.</w:t>
            </w:r>
            <w:r w:rsidR="00DE0575" w:rsidRPr="007E2053">
              <w:rPr>
                <w:color w:val="auto"/>
                <w:szCs w:val="24"/>
              </w:rPr>
              <w:t>3</w:t>
            </w:r>
            <w:r w:rsidRPr="007E2053">
              <w:rPr>
                <w:color w:val="auto"/>
                <w:szCs w:val="24"/>
              </w:rPr>
              <w:t xml:space="preserve"> </w:t>
            </w:r>
          </w:p>
          <w:p w14:paraId="27C73467" w14:textId="65EFA615" w:rsidR="00512585" w:rsidRPr="007E2053" w:rsidRDefault="00512585" w:rsidP="003F066F">
            <w:pPr>
              <w:rPr>
                <w:color w:val="auto"/>
                <w:szCs w:val="24"/>
              </w:rPr>
            </w:pPr>
            <w:r w:rsidRPr="007E2053">
              <w:rPr>
                <w:color w:val="auto"/>
                <w:szCs w:val="24"/>
              </w:rPr>
              <w:t>Engagement score of non - disabled staff = 3.5</w:t>
            </w:r>
          </w:p>
          <w:p w14:paraId="3D02710D" w14:textId="35C3618D" w:rsidR="00512585" w:rsidRPr="007E2053" w:rsidRDefault="00512585" w:rsidP="003F066F">
            <w:pPr>
              <w:rPr>
                <w:color w:val="auto"/>
                <w:szCs w:val="24"/>
              </w:rPr>
            </w:pPr>
            <w:r w:rsidRPr="007E2053">
              <w:rPr>
                <w:color w:val="auto"/>
                <w:szCs w:val="24"/>
              </w:rPr>
              <w:t>Overall score for the organisation = 3.4</w:t>
            </w:r>
          </w:p>
          <w:p w14:paraId="229E57F5" w14:textId="77EE7866" w:rsidR="00512585" w:rsidRPr="007E2053" w:rsidRDefault="00512585" w:rsidP="003F066F">
            <w:pPr>
              <w:rPr>
                <w:color w:val="auto"/>
                <w:szCs w:val="24"/>
              </w:rPr>
            </w:pPr>
            <w:r w:rsidRPr="007E2053">
              <w:rPr>
                <w:color w:val="auto"/>
                <w:szCs w:val="24"/>
              </w:rPr>
              <w:t xml:space="preserve">Questions Q23a, Q23c and Q23d provided the following </w:t>
            </w:r>
            <w:proofErr w:type="gramStart"/>
            <w:r w:rsidRPr="007E2053">
              <w:rPr>
                <w:color w:val="auto"/>
                <w:szCs w:val="24"/>
              </w:rPr>
              <w:t>information:-</w:t>
            </w:r>
            <w:proofErr w:type="gramEnd"/>
          </w:p>
          <w:p w14:paraId="2FA1076E" w14:textId="77777777" w:rsidR="00512585" w:rsidRPr="007E2053" w:rsidRDefault="00512585" w:rsidP="00C056C9">
            <w:pPr>
              <w:pStyle w:val="ListParagraph"/>
              <w:numPr>
                <w:ilvl w:val="0"/>
                <w:numId w:val="9"/>
              </w:numPr>
              <w:spacing w:after="0"/>
              <w:rPr>
                <w:color w:val="auto"/>
                <w:szCs w:val="24"/>
              </w:rPr>
            </w:pPr>
            <w:r w:rsidRPr="007E2053">
              <w:rPr>
                <w:color w:val="auto"/>
                <w:szCs w:val="24"/>
              </w:rPr>
              <w:t xml:space="preserve">Percentage of disabled staff who responded to the questionnaire who had had an appraisal, annual review or development review in the last 12 </w:t>
            </w:r>
            <w:proofErr w:type="gramStart"/>
            <w:r w:rsidRPr="007E2053">
              <w:rPr>
                <w:color w:val="auto"/>
                <w:szCs w:val="24"/>
              </w:rPr>
              <w:t>months:-</w:t>
            </w:r>
            <w:proofErr w:type="gramEnd"/>
            <w:r w:rsidRPr="007E2053">
              <w:rPr>
                <w:color w:val="auto"/>
                <w:szCs w:val="24"/>
              </w:rPr>
              <w:t xml:space="preserve"> 68% </w:t>
            </w:r>
          </w:p>
          <w:p w14:paraId="4FA6CDFE" w14:textId="77777777" w:rsidR="00512585" w:rsidRPr="006718BA" w:rsidRDefault="00512585" w:rsidP="003F066F">
            <w:pPr>
              <w:rPr>
                <w:szCs w:val="24"/>
              </w:rPr>
            </w:pPr>
          </w:p>
          <w:p w14:paraId="2EBB9447" w14:textId="2E712203" w:rsidR="00512585" w:rsidRPr="006718BA" w:rsidRDefault="00512585" w:rsidP="00C056C9">
            <w:pPr>
              <w:pStyle w:val="ListParagraph"/>
              <w:numPr>
                <w:ilvl w:val="0"/>
                <w:numId w:val="9"/>
              </w:numPr>
              <w:spacing w:after="0"/>
              <w:rPr>
                <w:szCs w:val="24"/>
              </w:rPr>
            </w:pPr>
            <w:r w:rsidRPr="006718BA">
              <w:rPr>
                <w:szCs w:val="24"/>
              </w:rPr>
              <w:t xml:space="preserve">Percentage of non- disabled staff who responded to the questionnaire who had an appraisal, annual review or development review in the last 12 </w:t>
            </w:r>
            <w:proofErr w:type="gramStart"/>
            <w:r w:rsidRPr="006718BA">
              <w:rPr>
                <w:szCs w:val="24"/>
              </w:rPr>
              <w:t>months:-</w:t>
            </w:r>
            <w:proofErr w:type="gramEnd"/>
            <w:r w:rsidRPr="006718BA">
              <w:rPr>
                <w:szCs w:val="24"/>
              </w:rPr>
              <w:t xml:space="preserve"> 74% </w:t>
            </w:r>
          </w:p>
          <w:p w14:paraId="4004AF1F" w14:textId="77777777" w:rsidR="008C144A" w:rsidRPr="006718BA" w:rsidRDefault="008C144A" w:rsidP="008C144A">
            <w:pPr>
              <w:spacing w:after="0"/>
              <w:rPr>
                <w:szCs w:val="24"/>
              </w:rPr>
            </w:pPr>
          </w:p>
          <w:p w14:paraId="6D593991" w14:textId="0D2F6038" w:rsidR="0000311D" w:rsidRPr="006718BA" w:rsidRDefault="00512585" w:rsidP="00C056C9">
            <w:pPr>
              <w:pStyle w:val="ListParagraph"/>
              <w:numPr>
                <w:ilvl w:val="0"/>
                <w:numId w:val="9"/>
              </w:numPr>
              <w:spacing w:after="0"/>
              <w:rPr>
                <w:szCs w:val="24"/>
              </w:rPr>
            </w:pPr>
            <w:r w:rsidRPr="006718BA">
              <w:rPr>
                <w:szCs w:val="24"/>
              </w:rPr>
              <w:t xml:space="preserve">Percentage of staff overall, who responded to the questionnaire who had had an appraisal, annual review or development in the last 12 </w:t>
            </w:r>
            <w:proofErr w:type="gramStart"/>
            <w:r w:rsidRPr="006718BA">
              <w:rPr>
                <w:szCs w:val="24"/>
              </w:rPr>
              <w:t>months:-</w:t>
            </w:r>
            <w:proofErr w:type="gramEnd"/>
            <w:r w:rsidRPr="006718BA">
              <w:rPr>
                <w:szCs w:val="24"/>
              </w:rPr>
              <w:t xml:space="preserve"> 72% </w:t>
            </w:r>
          </w:p>
          <w:p w14:paraId="09462E76" w14:textId="77777777" w:rsidR="00FE23B0" w:rsidRPr="006718BA" w:rsidRDefault="00FE23B0" w:rsidP="003F066F">
            <w:pPr>
              <w:rPr>
                <w:szCs w:val="24"/>
              </w:rPr>
            </w:pPr>
          </w:p>
          <w:p w14:paraId="04030547" w14:textId="6D8B04DB" w:rsidR="00512585" w:rsidRPr="006718BA" w:rsidRDefault="00512585" w:rsidP="003F066F">
            <w:pPr>
              <w:rPr>
                <w:szCs w:val="24"/>
              </w:rPr>
            </w:pPr>
            <w:r w:rsidRPr="006718BA">
              <w:rPr>
                <w:szCs w:val="24"/>
              </w:rPr>
              <w:t xml:space="preserve">Of the disabled respondents who had had an appraisal, annual review, or development review in the last 12 </w:t>
            </w:r>
            <w:proofErr w:type="gramStart"/>
            <w:r w:rsidRPr="006718BA">
              <w:rPr>
                <w:szCs w:val="24"/>
              </w:rPr>
              <w:t>months:-</w:t>
            </w:r>
            <w:proofErr w:type="gramEnd"/>
          </w:p>
          <w:p w14:paraId="02EE2580" w14:textId="77777777" w:rsidR="00512585" w:rsidRPr="006718BA" w:rsidRDefault="00512585" w:rsidP="00C056C9">
            <w:pPr>
              <w:pStyle w:val="ListParagraph"/>
              <w:numPr>
                <w:ilvl w:val="0"/>
                <w:numId w:val="10"/>
              </w:numPr>
              <w:spacing w:after="0"/>
              <w:rPr>
                <w:szCs w:val="24"/>
              </w:rPr>
            </w:pPr>
            <w:r w:rsidRPr="006718BA">
              <w:rPr>
                <w:szCs w:val="24"/>
              </w:rPr>
              <w:t xml:space="preserve">58.8% felt that </w:t>
            </w:r>
            <w:r w:rsidRPr="006718BA">
              <w:rPr>
                <w:i/>
                <w:iCs/>
                <w:szCs w:val="24"/>
              </w:rPr>
              <w:t>'to some extent'</w:t>
            </w:r>
            <w:r w:rsidRPr="006718BA">
              <w:rPr>
                <w:szCs w:val="24"/>
              </w:rPr>
              <w:t xml:space="preserve"> or </w:t>
            </w:r>
            <w:r w:rsidRPr="006718BA">
              <w:rPr>
                <w:i/>
                <w:iCs/>
                <w:szCs w:val="24"/>
              </w:rPr>
              <w:t>'yes, definitely'</w:t>
            </w:r>
            <w:r w:rsidRPr="006718BA">
              <w:rPr>
                <w:szCs w:val="24"/>
              </w:rPr>
              <w:t xml:space="preserve"> it had helped them to improve how they did their </w:t>
            </w:r>
            <w:proofErr w:type="gramStart"/>
            <w:r w:rsidRPr="006718BA">
              <w:rPr>
                <w:szCs w:val="24"/>
              </w:rPr>
              <w:t>job;</w:t>
            </w:r>
            <w:proofErr w:type="gramEnd"/>
          </w:p>
          <w:p w14:paraId="05215587" w14:textId="77777777" w:rsidR="00512585" w:rsidRPr="006718BA" w:rsidRDefault="00512585" w:rsidP="00C056C9">
            <w:pPr>
              <w:pStyle w:val="ListParagraph"/>
              <w:numPr>
                <w:ilvl w:val="0"/>
                <w:numId w:val="10"/>
              </w:numPr>
              <w:spacing w:after="0"/>
              <w:rPr>
                <w:color w:val="auto"/>
                <w:szCs w:val="24"/>
              </w:rPr>
            </w:pPr>
            <w:r w:rsidRPr="006718BA">
              <w:rPr>
                <w:color w:val="auto"/>
                <w:szCs w:val="24"/>
              </w:rPr>
              <w:t>41.2 % of these disabled respondents felt that it didn’t.</w:t>
            </w:r>
          </w:p>
          <w:p w14:paraId="6ADACE18" w14:textId="77777777" w:rsidR="00512585" w:rsidRPr="006718BA" w:rsidRDefault="00512585" w:rsidP="003F066F">
            <w:pPr>
              <w:rPr>
                <w:color w:val="auto"/>
                <w:szCs w:val="24"/>
              </w:rPr>
            </w:pPr>
          </w:p>
          <w:p w14:paraId="67216C70" w14:textId="77777777" w:rsidR="00512585" w:rsidRPr="006718BA" w:rsidRDefault="00512585" w:rsidP="003F066F">
            <w:pPr>
              <w:rPr>
                <w:color w:val="auto"/>
                <w:szCs w:val="24"/>
              </w:rPr>
            </w:pPr>
            <w:r w:rsidRPr="006718BA">
              <w:rPr>
                <w:color w:val="auto"/>
                <w:szCs w:val="24"/>
              </w:rPr>
              <w:t xml:space="preserve">Of the non-disabled respondents who had had an appraisal, annual review or development review in the last 12 </w:t>
            </w:r>
            <w:proofErr w:type="gramStart"/>
            <w:r w:rsidRPr="006718BA">
              <w:rPr>
                <w:color w:val="auto"/>
                <w:szCs w:val="24"/>
              </w:rPr>
              <w:t>months:-</w:t>
            </w:r>
            <w:proofErr w:type="gramEnd"/>
            <w:r w:rsidRPr="006718BA">
              <w:rPr>
                <w:color w:val="auto"/>
                <w:szCs w:val="24"/>
              </w:rPr>
              <w:t xml:space="preserve"> </w:t>
            </w:r>
          </w:p>
          <w:p w14:paraId="0849EDD1" w14:textId="77777777" w:rsidR="00512585" w:rsidRPr="006718BA" w:rsidRDefault="00512585" w:rsidP="00C056C9">
            <w:pPr>
              <w:pStyle w:val="ListParagraph"/>
              <w:numPr>
                <w:ilvl w:val="0"/>
                <w:numId w:val="11"/>
              </w:numPr>
              <w:spacing w:after="0"/>
              <w:rPr>
                <w:color w:val="auto"/>
                <w:szCs w:val="24"/>
              </w:rPr>
            </w:pPr>
            <w:r w:rsidRPr="006718BA">
              <w:rPr>
                <w:color w:val="auto"/>
                <w:szCs w:val="24"/>
              </w:rPr>
              <w:t xml:space="preserve">48.9% felt that </w:t>
            </w:r>
            <w:r w:rsidRPr="006718BA">
              <w:rPr>
                <w:i/>
                <w:iCs/>
                <w:color w:val="auto"/>
                <w:szCs w:val="24"/>
              </w:rPr>
              <w:t>'to some extent'</w:t>
            </w:r>
            <w:r w:rsidRPr="006718BA">
              <w:rPr>
                <w:color w:val="auto"/>
                <w:szCs w:val="24"/>
              </w:rPr>
              <w:t xml:space="preserve"> or </w:t>
            </w:r>
            <w:r w:rsidRPr="006718BA">
              <w:rPr>
                <w:i/>
                <w:iCs/>
                <w:color w:val="auto"/>
                <w:szCs w:val="24"/>
              </w:rPr>
              <w:t>'yes, definitely'</w:t>
            </w:r>
            <w:r w:rsidRPr="006718BA">
              <w:rPr>
                <w:color w:val="auto"/>
                <w:szCs w:val="24"/>
              </w:rPr>
              <w:t xml:space="preserve"> it had helped them to improve how they did their </w:t>
            </w:r>
            <w:proofErr w:type="gramStart"/>
            <w:r w:rsidRPr="006718BA">
              <w:rPr>
                <w:color w:val="auto"/>
                <w:szCs w:val="24"/>
              </w:rPr>
              <w:t>job;</w:t>
            </w:r>
            <w:proofErr w:type="gramEnd"/>
          </w:p>
          <w:p w14:paraId="6AF35190" w14:textId="7B8871EF" w:rsidR="00512585" w:rsidRPr="006718BA" w:rsidRDefault="00512585" w:rsidP="00C056C9">
            <w:pPr>
              <w:pStyle w:val="ListParagraph"/>
              <w:numPr>
                <w:ilvl w:val="0"/>
                <w:numId w:val="11"/>
              </w:numPr>
              <w:spacing w:after="0"/>
              <w:rPr>
                <w:szCs w:val="24"/>
              </w:rPr>
            </w:pPr>
            <w:r w:rsidRPr="006718BA">
              <w:rPr>
                <w:color w:val="auto"/>
                <w:szCs w:val="24"/>
              </w:rPr>
              <w:t xml:space="preserve"> 48.9% of these non-disabled respondents felt that it didn’t'</w:t>
            </w:r>
            <w:r w:rsidRPr="006718BA">
              <w:rPr>
                <w:szCs w:val="24"/>
              </w:rPr>
              <w:t xml:space="preserve">. </w:t>
            </w:r>
          </w:p>
        </w:tc>
      </w:tr>
      <w:tr w:rsidR="00512585" w:rsidRPr="006718BA" w14:paraId="2F3BE1CB" w14:textId="77777777" w:rsidTr="003F066F">
        <w:tc>
          <w:tcPr>
            <w:tcW w:w="6999" w:type="dxa"/>
          </w:tcPr>
          <w:p w14:paraId="21B6EB31" w14:textId="77777777" w:rsidR="00512585" w:rsidRPr="006718BA" w:rsidRDefault="00512585" w:rsidP="003F066F">
            <w:pPr>
              <w:rPr>
                <w:szCs w:val="24"/>
              </w:rPr>
            </w:pPr>
            <w:r w:rsidRPr="006718BA">
              <w:rPr>
                <w:szCs w:val="24"/>
              </w:rPr>
              <w:t xml:space="preserve">b) Has your Trust taken action to facilitate the voices of Disabled staff in your organisation to be heard? </w:t>
            </w:r>
          </w:p>
          <w:p w14:paraId="01696CE7" w14:textId="77777777" w:rsidR="00512585" w:rsidRPr="006718BA" w:rsidRDefault="00512585" w:rsidP="003F066F">
            <w:pPr>
              <w:rPr>
                <w:szCs w:val="24"/>
              </w:rPr>
            </w:pPr>
          </w:p>
          <w:p w14:paraId="06A8E3CC" w14:textId="7368FA11" w:rsidR="00512585" w:rsidRPr="006718BA" w:rsidRDefault="00512585" w:rsidP="003F066F">
            <w:pPr>
              <w:rPr>
                <w:szCs w:val="24"/>
              </w:rPr>
            </w:pPr>
            <w:r w:rsidRPr="006718BA">
              <w:rPr>
                <w:szCs w:val="24"/>
              </w:rPr>
              <w:t>If yes, please provide at least one practical example of current action being taken in the relevant section of your WDES annual report. If no, please include what action is planned to address this gap in your WDES annual report. Examples are listed in the WDES technical guidance.</w:t>
            </w:r>
          </w:p>
        </w:tc>
        <w:tc>
          <w:tcPr>
            <w:tcW w:w="2017" w:type="dxa"/>
          </w:tcPr>
          <w:p w14:paraId="1837C98D" w14:textId="0124E74D" w:rsidR="00512585" w:rsidRPr="006718BA" w:rsidRDefault="00512585" w:rsidP="003F066F">
            <w:pPr>
              <w:rPr>
                <w:szCs w:val="24"/>
              </w:rPr>
            </w:pPr>
            <w:r w:rsidRPr="006718BA">
              <w:rPr>
                <w:szCs w:val="24"/>
              </w:rPr>
              <w:lastRenderedPageBreak/>
              <w:t>Yes – the ICB has set up a</w:t>
            </w:r>
            <w:r w:rsidR="00E24F65" w:rsidRPr="006718BA">
              <w:rPr>
                <w:szCs w:val="24"/>
              </w:rPr>
              <w:t>n inters</w:t>
            </w:r>
            <w:r w:rsidRPr="006718BA">
              <w:rPr>
                <w:szCs w:val="24"/>
              </w:rPr>
              <w:t xml:space="preserve">ectional </w:t>
            </w:r>
            <w:r w:rsidRPr="006718BA">
              <w:rPr>
                <w:szCs w:val="24"/>
              </w:rPr>
              <w:lastRenderedPageBreak/>
              <w:t xml:space="preserve">Inclusion Group, which welcomes the voices of disabled staff </w:t>
            </w:r>
          </w:p>
        </w:tc>
      </w:tr>
    </w:tbl>
    <w:p w14:paraId="2DCE87FF" w14:textId="77777777" w:rsidR="009B2AB8" w:rsidRPr="006718BA" w:rsidRDefault="009B2AB8" w:rsidP="009B2AB8">
      <w:pPr>
        <w:rPr>
          <w:b/>
          <w:szCs w:val="24"/>
        </w:rPr>
      </w:pPr>
      <w:r w:rsidRPr="006718BA">
        <w:rPr>
          <w:b/>
          <w:szCs w:val="24"/>
        </w:rPr>
        <w:lastRenderedPageBreak/>
        <w:t xml:space="preserve">Metric 10 ICB Board </w:t>
      </w:r>
    </w:p>
    <w:tbl>
      <w:tblPr>
        <w:tblStyle w:val="TableGrid"/>
        <w:tblW w:w="9209" w:type="dxa"/>
        <w:tblLook w:val="04A0" w:firstRow="1" w:lastRow="0" w:firstColumn="1" w:lastColumn="0" w:noHBand="0" w:noVBand="1"/>
      </w:tblPr>
      <w:tblGrid>
        <w:gridCol w:w="2972"/>
        <w:gridCol w:w="2268"/>
        <w:gridCol w:w="1985"/>
        <w:gridCol w:w="1984"/>
      </w:tblGrid>
      <w:tr w:rsidR="00512585" w:rsidRPr="006718BA" w14:paraId="27580A54" w14:textId="77777777" w:rsidTr="003F066F">
        <w:tc>
          <w:tcPr>
            <w:tcW w:w="9209" w:type="dxa"/>
            <w:gridSpan w:val="4"/>
          </w:tcPr>
          <w:p w14:paraId="4C6AD7E0" w14:textId="77777777" w:rsidR="00512585" w:rsidRPr="006718BA" w:rsidRDefault="00512585" w:rsidP="003F066F">
            <w:pPr>
              <w:rPr>
                <w:szCs w:val="24"/>
              </w:rPr>
            </w:pPr>
            <w:r w:rsidRPr="006718BA">
              <w:rPr>
                <w:szCs w:val="24"/>
              </w:rPr>
              <w:t>Percentage difference between the organisation’s Board voting membership and its organisation’s overall workforce, disaggregated:</w:t>
            </w:r>
          </w:p>
          <w:p w14:paraId="39E87EDF" w14:textId="77777777" w:rsidR="00512585" w:rsidRPr="006718BA" w:rsidRDefault="00512585" w:rsidP="003F066F">
            <w:pPr>
              <w:rPr>
                <w:szCs w:val="24"/>
              </w:rPr>
            </w:pPr>
          </w:p>
        </w:tc>
      </w:tr>
      <w:tr w:rsidR="00512585" w:rsidRPr="006718BA" w14:paraId="0DC3186A" w14:textId="77777777" w:rsidTr="003F066F">
        <w:tc>
          <w:tcPr>
            <w:tcW w:w="2972" w:type="dxa"/>
          </w:tcPr>
          <w:p w14:paraId="7790FFC5" w14:textId="77777777" w:rsidR="00512585" w:rsidRPr="006718BA" w:rsidRDefault="00512585" w:rsidP="003F066F">
            <w:pPr>
              <w:rPr>
                <w:b/>
                <w:szCs w:val="24"/>
              </w:rPr>
            </w:pPr>
          </w:p>
        </w:tc>
        <w:tc>
          <w:tcPr>
            <w:tcW w:w="2268" w:type="dxa"/>
          </w:tcPr>
          <w:p w14:paraId="10B11ECE" w14:textId="77777777" w:rsidR="00512585" w:rsidRPr="007E2053" w:rsidRDefault="00512585" w:rsidP="003F066F">
            <w:pPr>
              <w:rPr>
                <w:b/>
                <w:color w:val="auto"/>
                <w:szCs w:val="24"/>
              </w:rPr>
            </w:pPr>
            <w:r w:rsidRPr="007E2053">
              <w:rPr>
                <w:b/>
                <w:color w:val="auto"/>
                <w:szCs w:val="24"/>
              </w:rPr>
              <w:t>% disabled</w:t>
            </w:r>
          </w:p>
        </w:tc>
        <w:tc>
          <w:tcPr>
            <w:tcW w:w="1985" w:type="dxa"/>
          </w:tcPr>
          <w:p w14:paraId="75F79096" w14:textId="77777777" w:rsidR="00512585" w:rsidRPr="007E2053" w:rsidRDefault="00512585" w:rsidP="003F066F">
            <w:pPr>
              <w:rPr>
                <w:b/>
                <w:color w:val="auto"/>
                <w:szCs w:val="24"/>
              </w:rPr>
            </w:pPr>
            <w:r w:rsidRPr="007E2053">
              <w:rPr>
                <w:b/>
                <w:color w:val="auto"/>
                <w:szCs w:val="24"/>
              </w:rPr>
              <w:t>% non-disabled</w:t>
            </w:r>
          </w:p>
        </w:tc>
        <w:tc>
          <w:tcPr>
            <w:tcW w:w="1984" w:type="dxa"/>
          </w:tcPr>
          <w:p w14:paraId="3572BCD5" w14:textId="77777777" w:rsidR="00512585" w:rsidRPr="007E2053" w:rsidRDefault="00512585" w:rsidP="003F066F">
            <w:pPr>
              <w:rPr>
                <w:b/>
                <w:color w:val="auto"/>
                <w:szCs w:val="24"/>
              </w:rPr>
            </w:pPr>
            <w:r w:rsidRPr="007E2053">
              <w:rPr>
                <w:b/>
                <w:color w:val="auto"/>
                <w:szCs w:val="24"/>
              </w:rPr>
              <w:t>Not known *</w:t>
            </w:r>
          </w:p>
        </w:tc>
      </w:tr>
      <w:tr w:rsidR="00512585" w:rsidRPr="006718BA" w14:paraId="02AC2677" w14:textId="77777777" w:rsidTr="003F066F">
        <w:trPr>
          <w:trHeight w:val="231"/>
        </w:trPr>
        <w:tc>
          <w:tcPr>
            <w:tcW w:w="2972" w:type="dxa"/>
          </w:tcPr>
          <w:p w14:paraId="108C569B" w14:textId="77777777" w:rsidR="00512585" w:rsidRPr="006718BA" w:rsidRDefault="00512585" w:rsidP="003F066F">
            <w:pPr>
              <w:rPr>
                <w:szCs w:val="24"/>
              </w:rPr>
            </w:pPr>
            <w:r w:rsidRPr="006718BA">
              <w:rPr>
                <w:szCs w:val="24"/>
              </w:rPr>
              <w:t>By voting and non - voting membership of the Board (this includes Exec and Non- Exec membership of the Board)</w:t>
            </w:r>
          </w:p>
          <w:p w14:paraId="72E31F58" w14:textId="77777777" w:rsidR="00512585" w:rsidRPr="006718BA" w:rsidRDefault="00512585" w:rsidP="003F066F">
            <w:pPr>
              <w:rPr>
                <w:szCs w:val="24"/>
              </w:rPr>
            </w:pPr>
          </w:p>
        </w:tc>
        <w:tc>
          <w:tcPr>
            <w:tcW w:w="2268" w:type="dxa"/>
          </w:tcPr>
          <w:p w14:paraId="0E36652A" w14:textId="77777777" w:rsidR="00512585" w:rsidRPr="006718BA" w:rsidRDefault="00512585" w:rsidP="003F066F">
            <w:pPr>
              <w:pStyle w:val="ListParagraph"/>
              <w:ind w:left="-8"/>
              <w:jc w:val="both"/>
              <w:rPr>
                <w:szCs w:val="24"/>
              </w:rPr>
            </w:pPr>
            <w:r w:rsidRPr="006718BA">
              <w:rPr>
                <w:szCs w:val="24"/>
              </w:rPr>
              <w:t xml:space="preserve">3.7% of Board is </w:t>
            </w:r>
            <w:proofErr w:type="gramStart"/>
            <w:r w:rsidRPr="006718BA">
              <w:rPr>
                <w:szCs w:val="24"/>
              </w:rPr>
              <w:t>disabled</w:t>
            </w:r>
            <w:proofErr w:type="gramEnd"/>
            <w:r w:rsidRPr="006718BA">
              <w:rPr>
                <w:szCs w:val="24"/>
              </w:rPr>
              <w:t xml:space="preserve"> </w:t>
            </w:r>
          </w:p>
          <w:p w14:paraId="57D3A8D7" w14:textId="77777777" w:rsidR="00512585" w:rsidRPr="006718BA" w:rsidRDefault="00512585" w:rsidP="003F066F">
            <w:pPr>
              <w:pStyle w:val="ListParagraph"/>
              <w:ind w:left="0"/>
              <w:jc w:val="both"/>
              <w:rPr>
                <w:szCs w:val="24"/>
              </w:rPr>
            </w:pPr>
          </w:p>
          <w:p w14:paraId="6E011CDD" w14:textId="182A9135" w:rsidR="00512585" w:rsidRPr="006718BA" w:rsidRDefault="00512585" w:rsidP="003F066F">
            <w:pPr>
              <w:pStyle w:val="ListParagraph"/>
              <w:ind w:left="0"/>
              <w:jc w:val="both"/>
              <w:rPr>
                <w:szCs w:val="24"/>
              </w:rPr>
            </w:pPr>
            <w:r w:rsidRPr="006718BA">
              <w:rPr>
                <w:szCs w:val="24"/>
              </w:rPr>
              <w:t xml:space="preserve">Overall workforce is </w:t>
            </w:r>
            <w:proofErr w:type="gramStart"/>
            <w:r w:rsidRPr="006718BA">
              <w:rPr>
                <w:szCs w:val="24"/>
              </w:rPr>
              <w:t>4.6%</w:t>
            </w:r>
            <w:proofErr w:type="gramEnd"/>
            <w:r w:rsidRPr="006718BA">
              <w:rPr>
                <w:szCs w:val="24"/>
              </w:rPr>
              <w:t xml:space="preserve"> </w:t>
            </w:r>
          </w:p>
          <w:p w14:paraId="3BBD458B" w14:textId="77777777" w:rsidR="00512585" w:rsidRPr="006718BA" w:rsidRDefault="00512585" w:rsidP="003F066F">
            <w:pPr>
              <w:pStyle w:val="ListParagraph"/>
              <w:ind w:left="0"/>
              <w:jc w:val="both"/>
              <w:rPr>
                <w:szCs w:val="24"/>
              </w:rPr>
            </w:pPr>
          </w:p>
          <w:p w14:paraId="27B9A639" w14:textId="77777777" w:rsidR="00DE0575" w:rsidRPr="006718BA" w:rsidRDefault="00DE0575" w:rsidP="003F066F">
            <w:pPr>
              <w:pStyle w:val="ListParagraph"/>
              <w:ind w:left="0"/>
              <w:jc w:val="both"/>
              <w:rPr>
                <w:szCs w:val="24"/>
              </w:rPr>
            </w:pPr>
          </w:p>
          <w:p w14:paraId="6721B7B1" w14:textId="77777777" w:rsidR="00512585" w:rsidRPr="006718BA" w:rsidRDefault="00512585" w:rsidP="003F066F">
            <w:pPr>
              <w:pStyle w:val="ListParagraph"/>
              <w:ind w:left="0"/>
              <w:jc w:val="both"/>
              <w:rPr>
                <w:szCs w:val="24"/>
              </w:rPr>
            </w:pPr>
            <w:r w:rsidRPr="006718BA">
              <w:rPr>
                <w:szCs w:val="24"/>
              </w:rPr>
              <w:t xml:space="preserve">The difference is      - 0.94 percentage points </w:t>
            </w:r>
          </w:p>
        </w:tc>
        <w:tc>
          <w:tcPr>
            <w:tcW w:w="1985" w:type="dxa"/>
          </w:tcPr>
          <w:p w14:paraId="1390E51C" w14:textId="77777777" w:rsidR="00512585" w:rsidRPr="007E2053" w:rsidRDefault="00512585" w:rsidP="003F066F">
            <w:pPr>
              <w:pStyle w:val="ListParagraph"/>
              <w:ind w:left="0"/>
              <w:rPr>
                <w:color w:val="auto"/>
                <w:szCs w:val="24"/>
              </w:rPr>
            </w:pPr>
            <w:r w:rsidRPr="007E2053">
              <w:rPr>
                <w:color w:val="auto"/>
                <w:szCs w:val="24"/>
              </w:rPr>
              <w:t xml:space="preserve">14.8% of Board is non- </w:t>
            </w:r>
            <w:proofErr w:type="gramStart"/>
            <w:r w:rsidRPr="007E2053">
              <w:rPr>
                <w:color w:val="auto"/>
                <w:szCs w:val="24"/>
              </w:rPr>
              <w:t>disabled</w:t>
            </w:r>
            <w:proofErr w:type="gramEnd"/>
            <w:r w:rsidRPr="007E2053">
              <w:rPr>
                <w:color w:val="auto"/>
                <w:szCs w:val="24"/>
              </w:rPr>
              <w:t xml:space="preserve"> </w:t>
            </w:r>
          </w:p>
          <w:p w14:paraId="38B2148D" w14:textId="77777777" w:rsidR="00512585" w:rsidRPr="007E2053" w:rsidRDefault="00512585" w:rsidP="003F066F">
            <w:pPr>
              <w:pStyle w:val="ListParagraph"/>
              <w:ind w:left="0"/>
              <w:rPr>
                <w:color w:val="auto"/>
                <w:szCs w:val="24"/>
              </w:rPr>
            </w:pPr>
          </w:p>
          <w:p w14:paraId="22CB339A" w14:textId="77777777" w:rsidR="00512585" w:rsidRPr="007E2053" w:rsidRDefault="00512585" w:rsidP="003F066F">
            <w:pPr>
              <w:pStyle w:val="ListParagraph"/>
              <w:ind w:left="0"/>
              <w:rPr>
                <w:color w:val="auto"/>
                <w:szCs w:val="24"/>
              </w:rPr>
            </w:pPr>
            <w:r w:rsidRPr="007E2053">
              <w:rPr>
                <w:color w:val="auto"/>
                <w:szCs w:val="24"/>
              </w:rPr>
              <w:t xml:space="preserve">Overall workforce is </w:t>
            </w:r>
            <w:proofErr w:type="gramStart"/>
            <w:r w:rsidRPr="007E2053">
              <w:rPr>
                <w:color w:val="auto"/>
                <w:szCs w:val="24"/>
              </w:rPr>
              <w:t>59%</w:t>
            </w:r>
            <w:proofErr w:type="gramEnd"/>
          </w:p>
          <w:p w14:paraId="68874E45" w14:textId="77777777" w:rsidR="00512585" w:rsidRPr="007E2053" w:rsidRDefault="00512585" w:rsidP="003F066F">
            <w:pPr>
              <w:pStyle w:val="ListParagraph"/>
              <w:ind w:left="0"/>
              <w:rPr>
                <w:color w:val="auto"/>
                <w:szCs w:val="24"/>
              </w:rPr>
            </w:pPr>
          </w:p>
          <w:p w14:paraId="29D2972B" w14:textId="77777777" w:rsidR="00512585" w:rsidRPr="007E2053" w:rsidRDefault="00512585" w:rsidP="003F066F">
            <w:pPr>
              <w:pStyle w:val="ListParagraph"/>
              <w:ind w:left="0"/>
              <w:rPr>
                <w:color w:val="auto"/>
                <w:szCs w:val="24"/>
              </w:rPr>
            </w:pPr>
            <w:r w:rsidRPr="007E2053">
              <w:rPr>
                <w:color w:val="auto"/>
                <w:szCs w:val="24"/>
              </w:rPr>
              <w:t xml:space="preserve">The difference is   - 44.2 percentage points </w:t>
            </w:r>
          </w:p>
        </w:tc>
        <w:tc>
          <w:tcPr>
            <w:tcW w:w="1984" w:type="dxa"/>
          </w:tcPr>
          <w:p w14:paraId="0EFE07E5" w14:textId="77777777" w:rsidR="00512585" w:rsidRPr="007E2053" w:rsidRDefault="00512585" w:rsidP="003F066F">
            <w:pPr>
              <w:rPr>
                <w:color w:val="auto"/>
                <w:szCs w:val="24"/>
              </w:rPr>
            </w:pPr>
            <w:r w:rsidRPr="007E2053">
              <w:rPr>
                <w:color w:val="auto"/>
                <w:szCs w:val="24"/>
              </w:rPr>
              <w:t xml:space="preserve">81.5% of Board is not </w:t>
            </w:r>
            <w:proofErr w:type="gramStart"/>
            <w:r w:rsidRPr="007E2053">
              <w:rPr>
                <w:color w:val="auto"/>
                <w:szCs w:val="24"/>
              </w:rPr>
              <w:t>known</w:t>
            </w:r>
            <w:proofErr w:type="gramEnd"/>
            <w:r w:rsidRPr="007E2053">
              <w:rPr>
                <w:color w:val="auto"/>
                <w:szCs w:val="24"/>
              </w:rPr>
              <w:t xml:space="preserve"> </w:t>
            </w:r>
          </w:p>
          <w:p w14:paraId="7D971A21" w14:textId="77777777" w:rsidR="00512585" w:rsidRPr="007E2053" w:rsidRDefault="00512585" w:rsidP="003F066F">
            <w:pPr>
              <w:rPr>
                <w:color w:val="auto"/>
                <w:szCs w:val="24"/>
              </w:rPr>
            </w:pPr>
            <w:r w:rsidRPr="007E2053">
              <w:rPr>
                <w:color w:val="auto"/>
                <w:szCs w:val="24"/>
              </w:rPr>
              <w:t xml:space="preserve">Overall workforce is </w:t>
            </w:r>
            <w:proofErr w:type="gramStart"/>
            <w:r w:rsidRPr="007E2053">
              <w:rPr>
                <w:color w:val="auto"/>
                <w:szCs w:val="24"/>
              </w:rPr>
              <w:t>36.9%</w:t>
            </w:r>
            <w:proofErr w:type="gramEnd"/>
          </w:p>
          <w:p w14:paraId="1A1D966C" w14:textId="647123BB" w:rsidR="00512585" w:rsidRPr="007E2053" w:rsidRDefault="00512585" w:rsidP="003F066F">
            <w:pPr>
              <w:rPr>
                <w:color w:val="auto"/>
                <w:szCs w:val="24"/>
              </w:rPr>
            </w:pPr>
            <w:r w:rsidRPr="007E2053">
              <w:rPr>
                <w:color w:val="auto"/>
                <w:szCs w:val="24"/>
              </w:rPr>
              <w:t xml:space="preserve">The difference is +44.6 percentage </w:t>
            </w:r>
            <w:proofErr w:type="gramStart"/>
            <w:r w:rsidRPr="007E2053">
              <w:rPr>
                <w:color w:val="auto"/>
                <w:szCs w:val="24"/>
              </w:rPr>
              <w:t>points</w:t>
            </w:r>
            <w:proofErr w:type="gramEnd"/>
          </w:p>
          <w:p w14:paraId="7C206ABF" w14:textId="77777777" w:rsidR="00512585" w:rsidRPr="007E2053" w:rsidRDefault="00512585" w:rsidP="003F066F">
            <w:pPr>
              <w:rPr>
                <w:color w:val="auto"/>
                <w:szCs w:val="24"/>
              </w:rPr>
            </w:pPr>
            <w:r w:rsidRPr="007E2053">
              <w:rPr>
                <w:color w:val="auto"/>
                <w:szCs w:val="24"/>
              </w:rPr>
              <w:t>*</w:t>
            </w:r>
            <w:proofErr w:type="gramStart"/>
            <w:r w:rsidRPr="007E2053">
              <w:rPr>
                <w:color w:val="auto"/>
                <w:szCs w:val="24"/>
              </w:rPr>
              <w:t>included</w:t>
            </w:r>
            <w:proofErr w:type="gramEnd"/>
            <w:r w:rsidRPr="007E2053">
              <w:rPr>
                <w:color w:val="auto"/>
                <w:szCs w:val="24"/>
              </w:rPr>
              <w:t xml:space="preserve"> in this measure are Board members for whom there is no record on the electronic staff record (ESR) system (10 in total) </w:t>
            </w:r>
          </w:p>
        </w:tc>
      </w:tr>
    </w:tbl>
    <w:p w14:paraId="4DA2C15D" w14:textId="77777777" w:rsidR="009B2AB8" w:rsidRPr="006718BA" w:rsidRDefault="009B2AB8" w:rsidP="00135B92">
      <w:pPr>
        <w:pStyle w:val="BodyTextIndent"/>
        <w:ind w:left="0"/>
        <w:rPr>
          <w:rFonts w:ascii="Arial" w:hAnsi="Arial" w:cs="Arial"/>
        </w:rPr>
      </w:pPr>
    </w:p>
    <w:p w14:paraId="71CF60EB" w14:textId="6374A5FB" w:rsidR="0000311D" w:rsidRDefault="00863EF6" w:rsidP="002801AC">
      <w:pPr>
        <w:rPr>
          <w:rStyle w:val="Hyperlink"/>
          <w:szCs w:val="24"/>
        </w:rPr>
      </w:pPr>
      <w:r w:rsidRPr="006718BA">
        <w:rPr>
          <w:szCs w:val="24"/>
        </w:rPr>
        <w:t xml:space="preserve">The </w:t>
      </w:r>
      <w:r w:rsidR="00C666A3" w:rsidRPr="006718BA">
        <w:rPr>
          <w:szCs w:val="24"/>
        </w:rPr>
        <w:t>ICB</w:t>
      </w:r>
      <w:r w:rsidRPr="006718BA">
        <w:rPr>
          <w:szCs w:val="24"/>
        </w:rPr>
        <w:t xml:space="preserve"> is a Disability Confident and Mindful Employer</w:t>
      </w:r>
      <w:r w:rsidR="00135B92" w:rsidRPr="006718BA">
        <w:rPr>
          <w:szCs w:val="24"/>
        </w:rPr>
        <w:t xml:space="preserve"> and more information about the schemes can be found at: </w:t>
      </w:r>
      <w:hyperlink r:id="rId9" w:history="1">
        <w:r w:rsidR="00135B92" w:rsidRPr="006718BA">
          <w:rPr>
            <w:rStyle w:val="Hyperlink"/>
            <w:szCs w:val="24"/>
          </w:rPr>
          <w:t>www.gov.uk/government/collections/disability-confident-campaign</w:t>
        </w:r>
      </w:hyperlink>
      <w:r w:rsidR="00135B92" w:rsidRPr="006718BA">
        <w:rPr>
          <w:szCs w:val="24"/>
        </w:rPr>
        <w:t xml:space="preserve"> and </w:t>
      </w:r>
      <w:hyperlink r:id="rId10" w:history="1">
        <w:r w:rsidR="00135B92" w:rsidRPr="006718BA">
          <w:rPr>
            <w:rStyle w:val="Hyperlink"/>
            <w:szCs w:val="24"/>
          </w:rPr>
          <w:t>www.mindfulemployer.dpt.nhs.uk/our-charter/signing-the-charter</w:t>
        </w:r>
      </w:hyperlink>
    </w:p>
    <w:p w14:paraId="2E6A19C1" w14:textId="77777777" w:rsidR="007E2053" w:rsidRDefault="007E2053" w:rsidP="002801AC">
      <w:pPr>
        <w:rPr>
          <w:rStyle w:val="Hyperlink"/>
          <w:szCs w:val="24"/>
        </w:rPr>
      </w:pPr>
    </w:p>
    <w:p w14:paraId="1477C5C3" w14:textId="77777777" w:rsidR="007E2053" w:rsidRDefault="007E2053" w:rsidP="002801AC">
      <w:pPr>
        <w:rPr>
          <w:rStyle w:val="Hyperlink"/>
          <w:szCs w:val="24"/>
        </w:rPr>
      </w:pPr>
    </w:p>
    <w:p w14:paraId="2F5FD55C" w14:textId="77777777" w:rsidR="007E2053" w:rsidRDefault="007E2053" w:rsidP="002801AC">
      <w:pPr>
        <w:rPr>
          <w:rStyle w:val="Hyperlink"/>
          <w:szCs w:val="24"/>
        </w:rPr>
      </w:pPr>
    </w:p>
    <w:p w14:paraId="4652A60E" w14:textId="77777777" w:rsidR="007E2053" w:rsidRDefault="007E2053" w:rsidP="002801AC">
      <w:pPr>
        <w:rPr>
          <w:szCs w:val="24"/>
        </w:rPr>
      </w:pPr>
    </w:p>
    <w:p w14:paraId="6D1AC2F6" w14:textId="77777777" w:rsidR="00D64FFF" w:rsidRDefault="00D64FFF" w:rsidP="002801AC">
      <w:pPr>
        <w:rPr>
          <w:szCs w:val="24"/>
        </w:rPr>
      </w:pPr>
    </w:p>
    <w:p w14:paraId="07E66048" w14:textId="77777777" w:rsidR="00D64FFF" w:rsidRPr="006718BA" w:rsidRDefault="00D64FFF" w:rsidP="002801AC">
      <w:pPr>
        <w:rPr>
          <w:szCs w:val="24"/>
        </w:rPr>
      </w:pPr>
    </w:p>
    <w:p w14:paraId="3B5BC886" w14:textId="394A43E9" w:rsidR="007E2053" w:rsidRDefault="007E2053" w:rsidP="007E2053">
      <w:pPr>
        <w:jc w:val="center"/>
        <w:rPr>
          <w:b/>
          <w:bCs/>
          <w:szCs w:val="24"/>
        </w:rPr>
      </w:pPr>
      <w:r>
        <w:rPr>
          <w:b/>
          <w:bCs/>
          <w:szCs w:val="24"/>
        </w:rPr>
        <w:lastRenderedPageBreak/>
        <w:t>GENDER PAY GAP REPORT</w:t>
      </w:r>
    </w:p>
    <w:p w14:paraId="5F7F4866" w14:textId="77777777" w:rsidR="007E2053" w:rsidRDefault="007E2053" w:rsidP="007E2053">
      <w:pPr>
        <w:jc w:val="center"/>
        <w:rPr>
          <w:b/>
          <w:bCs/>
          <w:szCs w:val="24"/>
        </w:rPr>
      </w:pPr>
    </w:p>
    <w:p w14:paraId="12835F9D" w14:textId="6BB9360F" w:rsidR="002801AC" w:rsidRPr="006718BA" w:rsidRDefault="008C144A" w:rsidP="002801AC">
      <w:pPr>
        <w:rPr>
          <w:b/>
          <w:bCs/>
          <w:szCs w:val="24"/>
        </w:rPr>
      </w:pPr>
      <w:r w:rsidRPr="006718BA">
        <w:rPr>
          <w:b/>
          <w:bCs/>
          <w:szCs w:val="24"/>
        </w:rPr>
        <w:t xml:space="preserve">6.0 </w:t>
      </w:r>
      <w:r w:rsidR="00255764" w:rsidRPr="006718BA">
        <w:rPr>
          <w:b/>
          <w:bCs/>
          <w:szCs w:val="24"/>
        </w:rPr>
        <w:t xml:space="preserve">GENDER PAY GAP REPORTING </w:t>
      </w:r>
    </w:p>
    <w:p w14:paraId="1B77FB62" w14:textId="77777777" w:rsidR="00EA2A0D" w:rsidRPr="006718BA" w:rsidRDefault="00255764" w:rsidP="002801AC">
      <w:pPr>
        <w:rPr>
          <w:szCs w:val="24"/>
        </w:rPr>
      </w:pPr>
      <w:r w:rsidRPr="006718BA">
        <w:rPr>
          <w:szCs w:val="24"/>
        </w:rPr>
        <w:t xml:space="preserve">The ICB uses the national job evaluation framework for Agenda for Change staff to determine appropriate pay bandings.  This provides a clear process of paying employees equally for the same or equivalent work. The national pay grades used in the organisation have a set of points for pay progression, linked to number of years of experience. Therefore, the longer the period of time that someone has been in a role the higher their salary is likely to be, irrespective of their gender. </w:t>
      </w:r>
    </w:p>
    <w:p w14:paraId="62397CBB" w14:textId="77777777" w:rsidR="00EA2A0D" w:rsidRPr="006718BA" w:rsidRDefault="00255764" w:rsidP="002801AC">
      <w:pPr>
        <w:rPr>
          <w:szCs w:val="24"/>
        </w:rPr>
      </w:pPr>
      <w:r w:rsidRPr="006718BA">
        <w:rPr>
          <w:szCs w:val="24"/>
        </w:rPr>
        <w:t xml:space="preserve">The gender pay gap shows the difference between the average (mean or median) earnings of all male and all female employees. It is expressed as a percentage of men’s earnings and is a measure of disadvantage. The gender pay gap is not the same as equal pay. Equal pay is about ensuring men and women doing similar work or work that is different but of equal value (in terms of skills, responsibility, effort) are paid the same. </w:t>
      </w:r>
    </w:p>
    <w:p w14:paraId="0F17A1E6" w14:textId="4933C5D6" w:rsidR="00255764" w:rsidRPr="006718BA" w:rsidRDefault="00255764" w:rsidP="002801AC">
      <w:pPr>
        <w:rPr>
          <w:szCs w:val="24"/>
        </w:rPr>
      </w:pPr>
      <w:r w:rsidRPr="006718BA">
        <w:rPr>
          <w:szCs w:val="24"/>
        </w:rPr>
        <w:t xml:space="preserve">A gender pay gap could reflect a failure to provide equal </w:t>
      </w:r>
      <w:proofErr w:type="gramStart"/>
      <w:r w:rsidRPr="006718BA">
        <w:rPr>
          <w:szCs w:val="24"/>
        </w:rPr>
        <w:t>pay</w:t>
      </w:r>
      <w:proofErr w:type="gramEnd"/>
      <w:r w:rsidRPr="006718BA">
        <w:rPr>
          <w:szCs w:val="24"/>
        </w:rPr>
        <w:t xml:space="preserve"> but it usually reflects a range of factors, including a concentration of women in lower paid roles and women being less likely to reach senior management levels.</w:t>
      </w:r>
    </w:p>
    <w:p w14:paraId="0A0610B7" w14:textId="41A6137B" w:rsidR="00255764" w:rsidRPr="006718BA" w:rsidRDefault="008C144A" w:rsidP="002801AC">
      <w:pPr>
        <w:rPr>
          <w:b/>
          <w:bCs/>
          <w:szCs w:val="24"/>
        </w:rPr>
      </w:pPr>
      <w:r w:rsidRPr="006718BA">
        <w:rPr>
          <w:b/>
          <w:bCs/>
          <w:szCs w:val="24"/>
        </w:rPr>
        <w:t xml:space="preserve">6.1 </w:t>
      </w:r>
      <w:r w:rsidR="00255764" w:rsidRPr="006718BA">
        <w:rPr>
          <w:b/>
          <w:bCs/>
          <w:szCs w:val="24"/>
        </w:rPr>
        <w:t xml:space="preserve">GENDER PAY GAP REPORT IN FULL </w:t>
      </w:r>
    </w:p>
    <w:p w14:paraId="1D169099" w14:textId="7F7FAD35" w:rsidR="00255764" w:rsidRPr="006718BA" w:rsidRDefault="00255764" w:rsidP="00255764">
      <w:pPr>
        <w:rPr>
          <w:szCs w:val="24"/>
        </w:rPr>
      </w:pPr>
      <w:r w:rsidRPr="006718BA">
        <w:rPr>
          <w:szCs w:val="24"/>
        </w:rPr>
        <w:t xml:space="preserve">This report details the </w:t>
      </w:r>
      <w:r w:rsidR="009F009F">
        <w:rPr>
          <w:szCs w:val="24"/>
        </w:rPr>
        <w:t>'</w:t>
      </w:r>
      <w:proofErr w:type="gramStart"/>
      <w:r w:rsidR="009F009F">
        <w:rPr>
          <w:szCs w:val="24"/>
        </w:rPr>
        <w:t>snap shot</w:t>
      </w:r>
      <w:proofErr w:type="gramEnd"/>
      <w:r w:rsidR="009F009F">
        <w:rPr>
          <w:szCs w:val="24"/>
        </w:rPr>
        <w:t xml:space="preserve"> date'</w:t>
      </w:r>
      <w:r w:rsidRPr="006718BA">
        <w:rPr>
          <w:szCs w:val="24"/>
        </w:rPr>
        <w:t xml:space="preserve"> of 31 March 2023, at which time NHS Humber and North Yorkshire Integrated Care Board (the ICB) employed 689 staff in a number of disciplines, including: administrative; nursing; managerial and medical roles.  </w:t>
      </w:r>
      <w:r w:rsidR="00A66CB6">
        <w:rPr>
          <w:szCs w:val="24"/>
        </w:rPr>
        <w:t>This data was reported on the Gender Pay Gap Reporting GOV.UK Portal on 30</w:t>
      </w:r>
      <w:r w:rsidR="00A66CB6" w:rsidRPr="00A66CB6">
        <w:rPr>
          <w:szCs w:val="24"/>
          <w:vertAlign w:val="superscript"/>
        </w:rPr>
        <w:t>th</w:t>
      </w:r>
      <w:r w:rsidR="00A66CB6">
        <w:rPr>
          <w:szCs w:val="24"/>
        </w:rPr>
        <w:t xml:space="preserve"> March 2024 as required. </w:t>
      </w:r>
    </w:p>
    <w:p w14:paraId="05B600F2" w14:textId="28477895" w:rsidR="00255764" w:rsidRPr="006718BA" w:rsidRDefault="00255764" w:rsidP="00255764">
      <w:pPr>
        <w:rPr>
          <w:szCs w:val="24"/>
        </w:rPr>
      </w:pPr>
      <w:r w:rsidRPr="006718BA">
        <w:rPr>
          <w:szCs w:val="24"/>
        </w:rPr>
        <w:t xml:space="preserve">The ICB has a higher number of females than males. Of the 688 staff counted as part of the gender pay gap reporting, 534 were female compared to 154 </w:t>
      </w:r>
      <w:proofErr w:type="gramStart"/>
      <w:r w:rsidRPr="006718BA">
        <w:rPr>
          <w:szCs w:val="24"/>
        </w:rPr>
        <w:t>male</w:t>
      </w:r>
      <w:proofErr w:type="gramEnd"/>
      <w:r w:rsidRPr="006718BA">
        <w:rPr>
          <w:szCs w:val="24"/>
        </w:rPr>
        <w:t xml:space="preserve"> (percentages in the below chart have been rounded to the nearest whole number)</w:t>
      </w:r>
    </w:p>
    <w:p w14:paraId="324F02B5" w14:textId="77777777" w:rsidR="00255764" w:rsidRPr="006718BA" w:rsidRDefault="00255764" w:rsidP="00255764">
      <w:pPr>
        <w:rPr>
          <w:szCs w:val="24"/>
        </w:rPr>
      </w:pPr>
      <w:r w:rsidRPr="006718BA">
        <w:rPr>
          <w:noProof/>
          <w:szCs w:val="24"/>
        </w:rPr>
        <w:drawing>
          <wp:inline distT="0" distB="0" distL="0" distR="0" wp14:anchorId="53241991" wp14:editId="24645905">
            <wp:extent cx="2520950" cy="1504950"/>
            <wp:effectExtent l="0" t="0" r="12700" b="0"/>
            <wp:docPr id="2" name="Chart 2">
              <a:extLst xmlns:a="http://schemas.openxmlformats.org/drawingml/2006/main">
                <a:ext uri="{FF2B5EF4-FFF2-40B4-BE49-F238E27FC236}">
                  <a16:creationId xmlns:a16="http://schemas.microsoft.com/office/drawing/2014/main" id="{2EA9D052-E173-BEA3-7944-380A62EC02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9E13E1" w14:textId="14AD972F" w:rsidR="00255764" w:rsidRPr="006718BA" w:rsidRDefault="008C144A" w:rsidP="00C056C9">
      <w:pPr>
        <w:pStyle w:val="ListParagraph"/>
        <w:numPr>
          <w:ilvl w:val="1"/>
          <w:numId w:val="14"/>
        </w:numPr>
        <w:spacing w:line="276" w:lineRule="auto"/>
        <w:rPr>
          <w:b/>
          <w:bCs/>
          <w:szCs w:val="24"/>
        </w:rPr>
      </w:pPr>
      <w:r w:rsidRPr="006718BA">
        <w:rPr>
          <w:b/>
          <w:bCs/>
          <w:szCs w:val="24"/>
        </w:rPr>
        <w:t xml:space="preserve"> </w:t>
      </w:r>
      <w:r w:rsidR="00255764" w:rsidRPr="006718BA">
        <w:rPr>
          <w:b/>
          <w:bCs/>
          <w:szCs w:val="24"/>
        </w:rPr>
        <w:t>GENDER PAY GAP DATA 2023</w:t>
      </w:r>
    </w:p>
    <w:p w14:paraId="0C6D7F2D" w14:textId="77777777" w:rsidR="00255764" w:rsidRPr="006718BA" w:rsidRDefault="00255764" w:rsidP="00255764">
      <w:pPr>
        <w:rPr>
          <w:szCs w:val="24"/>
        </w:rPr>
      </w:pPr>
      <w:r w:rsidRPr="006718BA">
        <w:rPr>
          <w:szCs w:val="24"/>
        </w:rPr>
        <w:t>The figures set out below have been calculated using the standard methodologies used in the Equality Act 2010 (Gender Pay Gap Information) Regulations 2017, utilising the national NHS Electronic Staff Record Business Intelligence report functionality.</w:t>
      </w:r>
    </w:p>
    <w:p w14:paraId="5FB48C0E" w14:textId="77777777" w:rsidR="00255764" w:rsidRPr="006718BA" w:rsidRDefault="00255764" w:rsidP="00255764">
      <w:pPr>
        <w:rPr>
          <w:szCs w:val="24"/>
        </w:rPr>
      </w:pPr>
      <w:r w:rsidRPr="006718BA">
        <w:rPr>
          <w:szCs w:val="24"/>
        </w:rPr>
        <w:t xml:space="preserve">The calculation is based on 'ordinary pay' which includes basic pay, paid leave including annual, sick, maternity, paternity, adoption or parental leave (except where an employee is paid less than usual or nothing because of being on leave). It also includes area and other allowances, shift premium pay and pay for piecework. It does not include remuneration referable to overtime, remuneration referable to redundancy or termination </w:t>
      </w:r>
      <w:r w:rsidRPr="006718BA">
        <w:rPr>
          <w:szCs w:val="24"/>
        </w:rPr>
        <w:lastRenderedPageBreak/>
        <w:t xml:space="preserve">of employment, remuneration in lieu of </w:t>
      </w:r>
      <w:proofErr w:type="gramStart"/>
      <w:r w:rsidRPr="006718BA">
        <w:rPr>
          <w:szCs w:val="24"/>
        </w:rPr>
        <w:t>leave</w:t>
      </w:r>
      <w:proofErr w:type="gramEnd"/>
      <w:r w:rsidRPr="006718BA">
        <w:rPr>
          <w:szCs w:val="24"/>
        </w:rPr>
        <w:t xml:space="preserve"> or remuneration provided otherwise than money. </w:t>
      </w:r>
    </w:p>
    <w:p w14:paraId="2C6DE375" w14:textId="77777777" w:rsidR="00255764" w:rsidRPr="006718BA" w:rsidRDefault="00255764" w:rsidP="00255764">
      <w:pPr>
        <w:rPr>
          <w:szCs w:val="24"/>
        </w:rPr>
      </w:pPr>
      <w:r w:rsidRPr="006718BA">
        <w:rPr>
          <w:szCs w:val="24"/>
        </w:rPr>
        <w:t>The analysis does not look at whether there are differences in pay for men and women in equivalent posts. Therefore, the results will be affected by differences in the gender composition across the ICB's various professional groups and job grades.</w:t>
      </w:r>
    </w:p>
    <w:p w14:paraId="5508A483" w14:textId="7ACEBC22" w:rsidR="00FE23B0" w:rsidRPr="006718BA" w:rsidRDefault="00255764" w:rsidP="00255764">
      <w:pPr>
        <w:rPr>
          <w:szCs w:val="24"/>
        </w:rPr>
      </w:pPr>
      <w:r w:rsidRPr="006718BA">
        <w:rPr>
          <w:szCs w:val="24"/>
        </w:rPr>
        <w:t xml:space="preserve">National reporting requirements require the ICB to report the six </w:t>
      </w:r>
      <w:proofErr w:type="gramStart"/>
      <w:r w:rsidRPr="006718BA">
        <w:rPr>
          <w:szCs w:val="24"/>
        </w:rPr>
        <w:t>gender</w:t>
      </w:r>
      <w:proofErr w:type="gramEnd"/>
      <w:r w:rsidRPr="006718BA">
        <w:rPr>
          <w:szCs w:val="24"/>
        </w:rPr>
        <w:t xml:space="preserve"> pay gap measures to one decimal point</w:t>
      </w:r>
      <w:r w:rsidR="006718BA" w:rsidRPr="006718BA">
        <w:rPr>
          <w:szCs w:val="24"/>
        </w:rPr>
        <w:t>.</w:t>
      </w:r>
    </w:p>
    <w:p w14:paraId="530900EF" w14:textId="1B75C50A" w:rsidR="00FE23B0" w:rsidRPr="006718BA" w:rsidRDefault="00255764" w:rsidP="00255764">
      <w:pPr>
        <w:rPr>
          <w:szCs w:val="24"/>
        </w:rPr>
      </w:pPr>
      <w:r w:rsidRPr="006718BA">
        <w:rPr>
          <w:szCs w:val="24"/>
        </w:rPr>
        <w:t>NHS Humber and North Yorkshire ICB's Gender Pay Gap Data for the snapshot date of 31 March 2023 is as follows:</w:t>
      </w:r>
    </w:p>
    <w:p w14:paraId="2F0045CA" w14:textId="73C957D4" w:rsidR="00255764" w:rsidRPr="006718BA" w:rsidRDefault="00255764" w:rsidP="00C056C9">
      <w:pPr>
        <w:pStyle w:val="ListParagraph"/>
        <w:numPr>
          <w:ilvl w:val="2"/>
          <w:numId w:val="14"/>
        </w:numPr>
        <w:spacing w:line="276" w:lineRule="auto"/>
        <w:rPr>
          <w:b/>
          <w:bCs/>
          <w:szCs w:val="24"/>
        </w:rPr>
      </w:pPr>
      <w:r w:rsidRPr="006718BA">
        <w:rPr>
          <w:b/>
          <w:bCs/>
          <w:szCs w:val="24"/>
        </w:rPr>
        <w:t>Mean and Media Gender Pay Gap</w:t>
      </w:r>
    </w:p>
    <w:tbl>
      <w:tblPr>
        <w:tblStyle w:val="TableGrid"/>
        <w:tblW w:w="0" w:type="auto"/>
        <w:tblLayout w:type="fixed"/>
        <w:tblLook w:val="04A0" w:firstRow="1" w:lastRow="0" w:firstColumn="1" w:lastColumn="0" w:noHBand="0" w:noVBand="1"/>
      </w:tblPr>
      <w:tblGrid>
        <w:gridCol w:w="4428"/>
        <w:gridCol w:w="4814"/>
      </w:tblGrid>
      <w:tr w:rsidR="00255764" w:rsidRPr="006718BA" w14:paraId="734BACF4" w14:textId="77777777" w:rsidTr="00734BBE">
        <w:trPr>
          <w:trHeight w:val="699"/>
        </w:trPr>
        <w:tc>
          <w:tcPr>
            <w:tcW w:w="4428" w:type="dxa"/>
          </w:tcPr>
          <w:p w14:paraId="38821C4B" w14:textId="77777777" w:rsidR="00255764" w:rsidRPr="006718BA" w:rsidRDefault="00255764" w:rsidP="00734BBE">
            <w:pPr>
              <w:rPr>
                <w:szCs w:val="24"/>
              </w:rPr>
            </w:pPr>
          </w:p>
          <w:p w14:paraId="72842EC7" w14:textId="77777777" w:rsidR="00255764" w:rsidRPr="006718BA" w:rsidRDefault="00255764" w:rsidP="00734BBE">
            <w:pPr>
              <w:rPr>
                <w:szCs w:val="24"/>
              </w:rPr>
            </w:pPr>
            <w:r w:rsidRPr="006718BA">
              <w:rPr>
                <w:noProof/>
                <w:szCs w:val="24"/>
              </w:rPr>
              <w:drawing>
                <wp:inline distT="0" distB="0" distL="0" distR="0" wp14:anchorId="2ECB0F3D" wp14:editId="770B1B49">
                  <wp:extent cx="3121025" cy="3028950"/>
                  <wp:effectExtent l="0" t="0" r="3175" b="0"/>
                  <wp:docPr id="1" name="Chart 1">
                    <a:extLst xmlns:a="http://schemas.openxmlformats.org/drawingml/2006/main">
                      <a:ext uri="{FF2B5EF4-FFF2-40B4-BE49-F238E27FC236}">
                        <a16:creationId xmlns:a16="http://schemas.microsoft.com/office/drawing/2014/main" id="{BF10506F-D278-A7AF-BB53-DCB39D41CB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0377B6" w14:textId="77777777" w:rsidR="00255764" w:rsidRPr="006718BA" w:rsidRDefault="00255764" w:rsidP="00734BBE">
            <w:pPr>
              <w:rPr>
                <w:szCs w:val="24"/>
              </w:rPr>
            </w:pPr>
          </w:p>
          <w:p w14:paraId="24145EDB" w14:textId="6D1F2B0C" w:rsidR="00255764" w:rsidRPr="006718BA" w:rsidRDefault="00255764" w:rsidP="00734BBE">
            <w:pPr>
              <w:jc w:val="center"/>
              <w:rPr>
                <w:i/>
                <w:iCs/>
                <w:szCs w:val="24"/>
              </w:rPr>
            </w:pPr>
            <w:r w:rsidRPr="006718BA">
              <w:rPr>
                <w:szCs w:val="24"/>
              </w:rPr>
              <w:t>Mean Gender Pay Gap 23.9%</w:t>
            </w:r>
          </w:p>
        </w:tc>
        <w:tc>
          <w:tcPr>
            <w:tcW w:w="4814" w:type="dxa"/>
          </w:tcPr>
          <w:p w14:paraId="3C87B3F4" w14:textId="77777777" w:rsidR="00255764" w:rsidRPr="006718BA" w:rsidRDefault="00255764" w:rsidP="00734BBE">
            <w:pPr>
              <w:rPr>
                <w:szCs w:val="24"/>
              </w:rPr>
            </w:pPr>
          </w:p>
          <w:p w14:paraId="3D0F5A8D" w14:textId="77777777" w:rsidR="00255764" w:rsidRPr="006718BA" w:rsidRDefault="00255764" w:rsidP="00734BBE">
            <w:pPr>
              <w:rPr>
                <w:szCs w:val="24"/>
              </w:rPr>
            </w:pPr>
            <w:r w:rsidRPr="006718BA">
              <w:rPr>
                <w:noProof/>
                <w:szCs w:val="24"/>
              </w:rPr>
              <w:drawing>
                <wp:inline distT="0" distB="0" distL="0" distR="0" wp14:anchorId="09ADF350" wp14:editId="715BEC5F">
                  <wp:extent cx="2901950" cy="3028950"/>
                  <wp:effectExtent l="0" t="0" r="12700" b="0"/>
                  <wp:docPr id="7" name="Chart 7">
                    <a:extLst xmlns:a="http://schemas.openxmlformats.org/drawingml/2006/main">
                      <a:ext uri="{FF2B5EF4-FFF2-40B4-BE49-F238E27FC236}">
                        <a16:creationId xmlns:a16="http://schemas.microsoft.com/office/drawing/2014/main" id="{AAFA6B62-28E0-E97B-B669-CFBBF34F5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1B4EF" w14:textId="77777777" w:rsidR="00255764" w:rsidRPr="006718BA" w:rsidRDefault="00255764" w:rsidP="00734BBE">
            <w:pPr>
              <w:rPr>
                <w:szCs w:val="24"/>
              </w:rPr>
            </w:pPr>
          </w:p>
          <w:p w14:paraId="6F56E2E7" w14:textId="7DCF4AC6" w:rsidR="00255764" w:rsidRPr="006718BA" w:rsidRDefault="00255764" w:rsidP="00734BBE">
            <w:pPr>
              <w:jc w:val="center"/>
              <w:rPr>
                <w:b/>
                <w:bCs/>
                <w:i/>
                <w:iCs/>
                <w:szCs w:val="24"/>
              </w:rPr>
            </w:pPr>
            <w:r w:rsidRPr="006718BA">
              <w:rPr>
                <w:szCs w:val="24"/>
              </w:rPr>
              <w:t>Median Gender Pay Gap 14.2%</w:t>
            </w:r>
          </w:p>
        </w:tc>
      </w:tr>
    </w:tbl>
    <w:p w14:paraId="3937025B" w14:textId="77777777" w:rsidR="00255764" w:rsidRPr="006718BA" w:rsidRDefault="00255764" w:rsidP="00255764">
      <w:pPr>
        <w:rPr>
          <w:szCs w:val="24"/>
        </w:rPr>
      </w:pPr>
    </w:p>
    <w:p w14:paraId="0E621E53" w14:textId="77777777" w:rsidR="00255764" w:rsidRPr="006718BA" w:rsidRDefault="00255764" w:rsidP="00255764">
      <w:pPr>
        <w:rPr>
          <w:szCs w:val="24"/>
        </w:rPr>
      </w:pPr>
      <w:r w:rsidRPr="006718BA">
        <w:rPr>
          <w:szCs w:val="24"/>
        </w:rPr>
        <w:t>The above charts show that the mean hourly rate of pay for males is £8.02 higher than that of females, a gender pay gap of 23.9%. They also show that median pay for males is £3.51 higher than females, a gender pay gap of 14.2%.</w:t>
      </w:r>
    </w:p>
    <w:p w14:paraId="653211A5" w14:textId="7D86471C" w:rsidR="00255764" w:rsidRDefault="00255764" w:rsidP="00255764">
      <w:pPr>
        <w:rPr>
          <w:szCs w:val="24"/>
        </w:rPr>
      </w:pPr>
      <w:r w:rsidRPr="006718BA">
        <w:rPr>
          <w:szCs w:val="24"/>
        </w:rPr>
        <w:t>As this is the first year that the ICB has carried out a gender pay gap report, there are no previous results against which to compare the mean and median pay gap for the organisation. However, it has carried out some benchmarking against neighbouring ICBs and NHS Trusts as below from their 2023- 24 gender pay gap reports which are published on the government website (</w:t>
      </w:r>
      <w:hyperlink r:id="rId14" w:history="1">
        <w:r w:rsidRPr="006718BA">
          <w:rPr>
            <w:rStyle w:val="Hyperlink"/>
            <w:szCs w:val="24"/>
          </w:rPr>
          <w:t>https://gender-pay-gap.service.gov.uk/compare-employers/2023</w:t>
        </w:r>
      </w:hyperlink>
      <w:r w:rsidRPr="006718BA">
        <w:rPr>
          <w:szCs w:val="24"/>
        </w:rPr>
        <w:t xml:space="preserve">) </w:t>
      </w:r>
    </w:p>
    <w:p w14:paraId="4C1DC9C7" w14:textId="77777777" w:rsidR="007E2053" w:rsidRDefault="007E2053" w:rsidP="00255764">
      <w:pPr>
        <w:rPr>
          <w:szCs w:val="24"/>
        </w:rPr>
      </w:pPr>
    </w:p>
    <w:p w14:paraId="0749B25F" w14:textId="77777777" w:rsidR="007E2053" w:rsidRDefault="007E2053" w:rsidP="00255764">
      <w:pPr>
        <w:rPr>
          <w:szCs w:val="24"/>
        </w:rPr>
      </w:pPr>
    </w:p>
    <w:p w14:paraId="636E8890" w14:textId="77777777" w:rsidR="007E2053" w:rsidRPr="006718BA" w:rsidRDefault="007E2053" w:rsidP="00255764">
      <w:pPr>
        <w:rPr>
          <w:szCs w:val="24"/>
        </w:rPr>
      </w:pPr>
    </w:p>
    <w:tbl>
      <w:tblPr>
        <w:tblW w:w="9902" w:type="dxa"/>
        <w:tblLook w:val="04A0" w:firstRow="1" w:lastRow="0" w:firstColumn="1" w:lastColumn="0" w:noHBand="0" w:noVBand="1"/>
      </w:tblPr>
      <w:tblGrid>
        <w:gridCol w:w="2727"/>
        <w:gridCol w:w="1417"/>
        <w:gridCol w:w="1390"/>
        <w:gridCol w:w="1083"/>
        <w:gridCol w:w="1083"/>
        <w:gridCol w:w="1083"/>
        <w:gridCol w:w="1119"/>
      </w:tblGrid>
      <w:tr w:rsidR="00255764" w:rsidRPr="006718BA" w14:paraId="516FB71F" w14:textId="77777777" w:rsidTr="00734BBE">
        <w:trPr>
          <w:trHeight w:val="840"/>
        </w:trPr>
        <w:tc>
          <w:tcPr>
            <w:tcW w:w="3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C952"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Employer</w:t>
            </w:r>
          </w:p>
        </w:tc>
        <w:tc>
          <w:tcPr>
            <w:tcW w:w="1417" w:type="dxa"/>
            <w:tcBorders>
              <w:top w:val="single" w:sz="4" w:space="0" w:color="auto"/>
              <w:left w:val="nil"/>
              <w:bottom w:val="single" w:sz="4" w:space="0" w:color="auto"/>
              <w:right w:val="single" w:sz="4" w:space="0" w:color="auto"/>
            </w:tcBorders>
            <w:shd w:val="clear" w:color="auto" w:fill="auto"/>
            <w:hideMark/>
          </w:tcPr>
          <w:p w14:paraId="26C73B96"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Difference in hourly rate (Mean)</w:t>
            </w:r>
          </w:p>
        </w:tc>
        <w:tc>
          <w:tcPr>
            <w:tcW w:w="1134" w:type="dxa"/>
            <w:tcBorders>
              <w:top w:val="single" w:sz="4" w:space="0" w:color="auto"/>
              <w:left w:val="nil"/>
              <w:bottom w:val="single" w:sz="4" w:space="0" w:color="auto"/>
              <w:right w:val="single" w:sz="4" w:space="0" w:color="auto"/>
            </w:tcBorders>
            <w:shd w:val="clear" w:color="auto" w:fill="auto"/>
            <w:hideMark/>
          </w:tcPr>
          <w:p w14:paraId="4445B971"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Difference in hourly rate (Median)</w:t>
            </w:r>
          </w:p>
        </w:tc>
        <w:tc>
          <w:tcPr>
            <w:tcW w:w="876" w:type="dxa"/>
            <w:tcBorders>
              <w:top w:val="single" w:sz="4" w:space="0" w:color="auto"/>
              <w:left w:val="nil"/>
              <w:bottom w:val="single" w:sz="4" w:space="0" w:color="auto"/>
              <w:right w:val="single" w:sz="4" w:space="0" w:color="auto"/>
            </w:tcBorders>
            <w:shd w:val="clear" w:color="auto" w:fill="auto"/>
            <w:hideMark/>
          </w:tcPr>
          <w:p w14:paraId="41E7F69F"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Women in lower pay quartile</w:t>
            </w:r>
          </w:p>
        </w:tc>
        <w:tc>
          <w:tcPr>
            <w:tcW w:w="876" w:type="dxa"/>
            <w:tcBorders>
              <w:top w:val="single" w:sz="4" w:space="0" w:color="auto"/>
              <w:left w:val="nil"/>
              <w:bottom w:val="single" w:sz="4" w:space="0" w:color="auto"/>
              <w:right w:val="single" w:sz="4" w:space="0" w:color="auto"/>
            </w:tcBorders>
            <w:shd w:val="clear" w:color="auto" w:fill="auto"/>
            <w:hideMark/>
          </w:tcPr>
          <w:p w14:paraId="7AED120B"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Women in lower middle pay quartile</w:t>
            </w:r>
          </w:p>
        </w:tc>
        <w:tc>
          <w:tcPr>
            <w:tcW w:w="955" w:type="dxa"/>
            <w:tcBorders>
              <w:top w:val="single" w:sz="4" w:space="0" w:color="auto"/>
              <w:left w:val="nil"/>
              <w:bottom w:val="single" w:sz="4" w:space="0" w:color="auto"/>
              <w:right w:val="single" w:sz="4" w:space="0" w:color="auto"/>
            </w:tcBorders>
            <w:shd w:val="clear" w:color="auto" w:fill="auto"/>
            <w:hideMark/>
          </w:tcPr>
          <w:p w14:paraId="73DA197E"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Women in upper middle pay quartile</w:t>
            </w:r>
          </w:p>
        </w:tc>
        <w:tc>
          <w:tcPr>
            <w:tcW w:w="1119" w:type="dxa"/>
            <w:tcBorders>
              <w:top w:val="single" w:sz="4" w:space="0" w:color="auto"/>
              <w:left w:val="nil"/>
              <w:bottom w:val="single" w:sz="4" w:space="0" w:color="auto"/>
              <w:right w:val="single" w:sz="4" w:space="0" w:color="auto"/>
            </w:tcBorders>
            <w:shd w:val="clear" w:color="auto" w:fill="auto"/>
            <w:hideMark/>
          </w:tcPr>
          <w:p w14:paraId="1110ED63" w14:textId="77777777" w:rsidR="00255764" w:rsidRPr="006718BA" w:rsidRDefault="00255764" w:rsidP="00734BBE">
            <w:pPr>
              <w:spacing w:after="0"/>
              <w:jc w:val="center"/>
              <w:rPr>
                <w:rFonts w:eastAsia="Times New Roman"/>
                <w:b/>
                <w:bCs/>
                <w:color w:val="000000"/>
                <w:szCs w:val="24"/>
                <w:lang w:eastAsia="en-GB"/>
              </w:rPr>
            </w:pPr>
            <w:r w:rsidRPr="006718BA">
              <w:rPr>
                <w:rFonts w:eastAsia="Times New Roman"/>
                <w:b/>
                <w:bCs/>
                <w:color w:val="000000"/>
                <w:szCs w:val="24"/>
                <w:lang w:eastAsia="en-GB"/>
              </w:rPr>
              <w:t>% Women in top pay quartile</w:t>
            </w:r>
          </w:p>
        </w:tc>
      </w:tr>
      <w:tr w:rsidR="00255764" w:rsidRPr="006718BA" w14:paraId="42C005B1" w14:textId="77777777" w:rsidTr="00734BBE">
        <w:trPr>
          <w:trHeight w:val="48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45D0F707" w14:textId="77777777" w:rsidR="00255764" w:rsidRPr="006718BA" w:rsidRDefault="00255764" w:rsidP="00734BBE">
            <w:pPr>
              <w:spacing w:after="0"/>
              <w:rPr>
                <w:rFonts w:eastAsia="Times New Roman"/>
                <w:b/>
                <w:bCs/>
                <w:szCs w:val="24"/>
                <w:lang w:eastAsia="en-GB"/>
              </w:rPr>
            </w:pPr>
            <w:r w:rsidRPr="006718BA">
              <w:rPr>
                <w:rFonts w:eastAsia="Times New Roman"/>
                <w:b/>
                <w:bCs/>
                <w:szCs w:val="24"/>
                <w:lang w:eastAsia="en-GB"/>
              </w:rPr>
              <w:t>NHS Humber and North Yorkshire Integrated Care Board</w:t>
            </w:r>
          </w:p>
        </w:tc>
        <w:tc>
          <w:tcPr>
            <w:tcW w:w="1417" w:type="dxa"/>
            <w:tcBorders>
              <w:top w:val="nil"/>
              <w:left w:val="nil"/>
              <w:bottom w:val="single" w:sz="4" w:space="0" w:color="auto"/>
              <w:right w:val="single" w:sz="4" w:space="0" w:color="auto"/>
            </w:tcBorders>
            <w:shd w:val="clear" w:color="auto" w:fill="auto"/>
            <w:noWrap/>
            <w:vAlign w:val="center"/>
            <w:hideMark/>
          </w:tcPr>
          <w:p w14:paraId="7CA1AE6B"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23.9</w:t>
            </w:r>
          </w:p>
        </w:tc>
        <w:tc>
          <w:tcPr>
            <w:tcW w:w="1134" w:type="dxa"/>
            <w:tcBorders>
              <w:top w:val="nil"/>
              <w:left w:val="nil"/>
              <w:bottom w:val="single" w:sz="4" w:space="0" w:color="auto"/>
              <w:right w:val="single" w:sz="4" w:space="0" w:color="auto"/>
            </w:tcBorders>
            <w:shd w:val="clear" w:color="auto" w:fill="auto"/>
            <w:noWrap/>
            <w:vAlign w:val="center"/>
            <w:hideMark/>
          </w:tcPr>
          <w:p w14:paraId="61AD27C5"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14.2</w:t>
            </w:r>
          </w:p>
        </w:tc>
        <w:tc>
          <w:tcPr>
            <w:tcW w:w="876" w:type="dxa"/>
            <w:tcBorders>
              <w:top w:val="nil"/>
              <w:left w:val="nil"/>
              <w:bottom w:val="single" w:sz="4" w:space="0" w:color="auto"/>
              <w:right w:val="single" w:sz="4" w:space="0" w:color="auto"/>
            </w:tcBorders>
            <w:shd w:val="clear" w:color="auto" w:fill="auto"/>
            <w:noWrap/>
            <w:vAlign w:val="center"/>
            <w:hideMark/>
          </w:tcPr>
          <w:p w14:paraId="4ADB95CB"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83.3</w:t>
            </w:r>
          </w:p>
        </w:tc>
        <w:tc>
          <w:tcPr>
            <w:tcW w:w="876" w:type="dxa"/>
            <w:tcBorders>
              <w:top w:val="nil"/>
              <w:left w:val="nil"/>
              <w:bottom w:val="single" w:sz="4" w:space="0" w:color="auto"/>
              <w:right w:val="single" w:sz="4" w:space="0" w:color="auto"/>
            </w:tcBorders>
            <w:shd w:val="clear" w:color="auto" w:fill="auto"/>
            <w:noWrap/>
            <w:vAlign w:val="center"/>
            <w:hideMark/>
          </w:tcPr>
          <w:p w14:paraId="650E75CB"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82.6</w:t>
            </w:r>
          </w:p>
        </w:tc>
        <w:tc>
          <w:tcPr>
            <w:tcW w:w="955" w:type="dxa"/>
            <w:tcBorders>
              <w:top w:val="nil"/>
              <w:left w:val="nil"/>
              <w:bottom w:val="single" w:sz="4" w:space="0" w:color="auto"/>
              <w:right w:val="single" w:sz="4" w:space="0" w:color="auto"/>
            </w:tcBorders>
            <w:shd w:val="clear" w:color="auto" w:fill="auto"/>
            <w:noWrap/>
            <w:vAlign w:val="center"/>
            <w:hideMark/>
          </w:tcPr>
          <w:p w14:paraId="76C9DFE8"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79.3</w:t>
            </w:r>
          </w:p>
        </w:tc>
        <w:tc>
          <w:tcPr>
            <w:tcW w:w="1119" w:type="dxa"/>
            <w:tcBorders>
              <w:top w:val="nil"/>
              <w:left w:val="nil"/>
              <w:bottom w:val="single" w:sz="4" w:space="0" w:color="auto"/>
              <w:right w:val="single" w:sz="4" w:space="0" w:color="auto"/>
            </w:tcBorders>
            <w:shd w:val="clear" w:color="auto" w:fill="auto"/>
            <w:noWrap/>
            <w:vAlign w:val="center"/>
            <w:hideMark/>
          </w:tcPr>
          <w:p w14:paraId="399FCE74" w14:textId="77777777" w:rsidR="00255764" w:rsidRPr="007E2053" w:rsidRDefault="00255764" w:rsidP="00734BBE">
            <w:pPr>
              <w:spacing w:after="0"/>
              <w:jc w:val="center"/>
              <w:rPr>
                <w:rFonts w:eastAsia="Times New Roman"/>
                <w:b/>
                <w:bCs/>
                <w:color w:val="auto"/>
                <w:szCs w:val="24"/>
                <w:lang w:eastAsia="en-GB"/>
              </w:rPr>
            </w:pPr>
            <w:r w:rsidRPr="007E2053">
              <w:rPr>
                <w:rFonts w:eastAsia="Times New Roman"/>
                <w:b/>
                <w:bCs/>
                <w:color w:val="auto"/>
                <w:szCs w:val="24"/>
                <w:lang w:eastAsia="en-GB"/>
              </w:rPr>
              <w:t>66.7</w:t>
            </w:r>
          </w:p>
        </w:tc>
      </w:tr>
      <w:tr w:rsidR="00255764" w:rsidRPr="006718BA" w14:paraId="5E4E7837" w14:textId="77777777" w:rsidTr="00734BBE">
        <w:trPr>
          <w:trHeight w:val="31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5BA73110" w14:textId="77777777"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NHS West Yorkshire Integrated Care Board</w:t>
            </w:r>
          </w:p>
        </w:tc>
        <w:tc>
          <w:tcPr>
            <w:tcW w:w="1417" w:type="dxa"/>
            <w:tcBorders>
              <w:top w:val="nil"/>
              <w:left w:val="nil"/>
              <w:bottom w:val="single" w:sz="4" w:space="0" w:color="auto"/>
              <w:right w:val="single" w:sz="4" w:space="0" w:color="auto"/>
            </w:tcBorders>
            <w:shd w:val="clear" w:color="auto" w:fill="auto"/>
            <w:noWrap/>
            <w:vAlign w:val="center"/>
            <w:hideMark/>
          </w:tcPr>
          <w:p w14:paraId="381223E1"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26.8</w:t>
            </w:r>
          </w:p>
        </w:tc>
        <w:tc>
          <w:tcPr>
            <w:tcW w:w="1134" w:type="dxa"/>
            <w:tcBorders>
              <w:top w:val="nil"/>
              <w:left w:val="nil"/>
              <w:bottom w:val="single" w:sz="4" w:space="0" w:color="auto"/>
              <w:right w:val="single" w:sz="4" w:space="0" w:color="auto"/>
            </w:tcBorders>
            <w:shd w:val="clear" w:color="auto" w:fill="auto"/>
            <w:noWrap/>
            <w:vAlign w:val="center"/>
            <w:hideMark/>
          </w:tcPr>
          <w:p w14:paraId="2AF74C40"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10.9</w:t>
            </w:r>
          </w:p>
        </w:tc>
        <w:tc>
          <w:tcPr>
            <w:tcW w:w="876" w:type="dxa"/>
            <w:tcBorders>
              <w:top w:val="nil"/>
              <w:left w:val="nil"/>
              <w:bottom w:val="single" w:sz="4" w:space="0" w:color="auto"/>
              <w:right w:val="single" w:sz="4" w:space="0" w:color="auto"/>
            </w:tcBorders>
            <w:shd w:val="clear" w:color="auto" w:fill="auto"/>
            <w:noWrap/>
            <w:vAlign w:val="center"/>
            <w:hideMark/>
          </w:tcPr>
          <w:p w14:paraId="6C350119"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82.5</w:t>
            </w:r>
          </w:p>
        </w:tc>
        <w:tc>
          <w:tcPr>
            <w:tcW w:w="876" w:type="dxa"/>
            <w:tcBorders>
              <w:top w:val="nil"/>
              <w:left w:val="nil"/>
              <w:bottom w:val="single" w:sz="4" w:space="0" w:color="auto"/>
              <w:right w:val="single" w:sz="4" w:space="0" w:color="auto"/>
            </w:tcBorders>
            <w:shd w:val="clear" w:color="auto" w:fill="auto"/>
            <w:noWrap/>
            <w:vAlign w:val="center"/>
            <w:hideMark/>
          </w:tcPr>
          <w:p w14:paraId="487811B8"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81</w:t>
            </w:r>
          </w:p>
        </w:tc>
        <w:tc>
          <w:tcPr>
            <w:tcW w:w="955" w:type="dxa"/>
            <w:tcBorders>
              <w:top w:val="nil"/>
              <w:left w:val="nil"/>
              <w:bottom w:val="single" w:sz="4" w:space="0" w:color="auto"/>
              <w:right w:val="single" w:sz="4" w:space="0" w:color="auto"/>
            </w:tcBorders>
            <w:shd w:val="clear" w:color="auto" w:fill="auto"/>
            <w:noWrap/>
            <w:vAlign w:val="center"/>
            <w:hideMark/>
          </w:tcPr>
          <w:p w14:paraId="414CA094"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77.5</w:t>
            </w:r>
          </w:p>
        </w:tc>
        <w:tc>
          <w:tcPr>
            <w:tcW w:w="1119" w:type="dxa"/>
            <w:tcBorders>
              <w:top w:val="nil"/>
              <w:left w:val="nil"/>
              <w:bottom w:val="single" w:sz="4" w:space="0" w:color="auto"/>
              <w:right w:val="single" w:sz="4" w:space="0" w:color="auto"/>
            </w:tcBorders>
            <w:shd w:val="clear" w:color="auto" w:fill="auto"/>
            <w:noWrap/>
            <w:vAlign w:val="center"/>
            <w:hideMark/>
          </w:tcPr>
          <w:p w14:paraId="33B91459"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63.9</w:t>
            </w:r>
          </w:p>
        </w:tc>
      </w:tr>
      <w:tr w:rsidR="00255764" w:rsidRPr="006718BA" w14:paraId="4D97BD62" w14:textId="77777777" w:rsidTr="00734BBE">
        <w:trPr>
          <w:trHeight w:val="29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0366C6AD" w14:textId="77777777"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York Teaching Hospital NHS Foundation Trust</w:t>
            </w:r>
          </w:p>
        </w:tc>
        <w:tc>
          <w:tcPr>
            <w:tcW w:w="1417" w:type="dxa"/>
            <w:tcBorders>
              <w:top w:val="nil"/>
              <w:left w:val="nil"/>
              <w:bottom w:val="single" w:sz="4" w:space="0" w:color="auto"/>
              <w:right w:val="single" w:sz="4" w:space="0" w:color="auto"/>
            </w:tcBorders>
            <w:shd w:val="clear" w:color="auto" w:fill="auto"/>
            <w:noWrap/>
            <w:vAlign w:val="center"/>
            <w:hideMark/>
          </w:tcPr>
          <w:p w14:paraId="18E09585"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26.9</w:t>
            </w:r>
          </w:p>
        </w:tc>
        <w:tc>
          <w:tcPr>
            <w:tcW w:w="1134" w:type="dxa"/>
            <w:tcBorders>
              <w:top w:val="nil"/>
              <w:left w:val="nil"/>
              <w:bottom w:val="single" w:sz="4" w:space="0" w:color="auto"/>
              <w:right w:val="single" w:sz="4" w:space="0" w:color="auto"/>
            </w:tcBorders>
            <w:shd w:val="clear" w:color="auto" w:fill="auto"/>
            <w:noWrap/>
            <w:vAlign w:val="center"/>
            <w:hideMark/>
          </w:tcPr>
          <w:p w14:paraId="7AD4CB68"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7.4</w:t>
            </w:r>
          </w:p>
        </w:tc>
        <w:tc>
          <w:tcPr>
            <w:tcW w:w="876" w:type="dxa"/>
            <w:tcBorders>
              <w:top w:val="nil"/>
              <w:left w:val="nil"/>
              <w:bottom w:val="single" w:sz="4" w:space="0" w:color="auto"/>
              <w:right w:val="single" w:sz="4" w:space="0" w:color="auto"/>
            </w:tcBorders>
            <w:shd w:val="clear" w:color="auto" w:fill="auto"/>
            <w:noWrap/>
            <w:vAlign w:val="center"/>
            <w:hideMark/>
          </w:tcPr>
          <w:p w14:paraId="508C488B"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82</w:t>
            </w:r>
          </w:p>
        </w:tc>
        <w:tc>
          <w:tcPr>
            <w:tcW w:w="876" w:type="dxa"/>
            <w:tcBorders>
              <w:top w:val="nil"/>
              <w:left w:val="nil"/>
              <w:bottom w:val="single" w:sz="4" w:space="0" w:color="auto"/>
              <w:right w:val="single" w:sz="4" w:space="0" w:color="auto"/>
            </w:tcBorders>
            <w:shd w:val="clear" w:color="auto" w:fill="auto"/>
            <w:noWrap/>
            <w:vAlign w:val="center"/>
            <w:hideMark/>
          </w:tcPr>
          <w:p w14:paraId="30C7EEC3"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83</w:t>
            </w:r>
          </w:p>
        </w:tc>
        <w:tc>
          <w:tcPr>
            <w:tcW w:w="955" w:type="dxa"/>
            <w:tcBorders>
              <w:top w:val="nil"/>
              <w:left w:val="nil"/>
              <w:bottom w:val="single" w:sz="4" w:space="0" w:color="auto"/>
              <w:right w:val="single" w:sz="4" w:space="0" w:color="auto"/>
            </w:tcBorders>
            <w:shd w:val="clear" w:color="auto" w:fill="auto"/>
            <w:noWrap/>
            <w:vAlign w:val="center"/>
            <w:hideMark/>
          </w:tcPr>
          <w:p w14:paraId="011F88C2"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80</w:t>
            </w:r>
          </w:p>
        </w:tc>
        <w:tc>
          <w:tcPr>
            <w:tcW w:w="1119" w:type="dxa"/>
            <w:tcBorders>
              <w:top w:val="nil"/>
              <w:left w:val="nil"/>
              <w:bottom w:val="single" w:sz="4" w:space="0" w:color="auto"/>
              <w:right w:val="single" w:sz="4" w:space="0" w:color="auto"/>
            </w:tcBorders>
            <w:shd w:val="clear" w:color="auto" w:fill="auto"/>
            <w:noWrap/>
            <w:vAlign w:val="center"/>
            <w:hideMark/>
          </w:tcPr>
          <w:p w14:paraId="31CE2CC1"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67</w:t>
            </w:r>
          </w:p>
        </w:tc>
      </w:tr>
      <w:tr w:rsidR="00255764" w:rsidRPr="006718BA" w14:paraId="5F020C12" w14:textId="77777777" w:rsidTr="00734BBE">
        <w:trPr>
          <w:trHeight w:val="29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514932B4" w14:textId="77777777"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Hull University Teaching Hospitals NHS Trust</w:t>
            </w:r>
          </w:p>
        </w:tc>
        <w:tc>
          <w:tcPr>
            <w:tcW w:w="1417" w:type="dxa"/>
            <w:tcBorders>
              <w:top w:val="nil"/>
              <w:left w:val="nil"/>
              <w:bottom w:val="single" w:sz="4" w:space="0" w:color="auto"/>
              <w:right w:val="single" w:sz="4" w:space="0" w:color="auto"/>
            </w:tcBorders>
            <w:shd w:val="clear" w:color="auto" w:fill="auto"/>
            <w:noWrap/>
            <w:vAlign w:val="center"/>
            <w:hideMark/>
          </w:tcPr>
          <w:p w14:paraId="002AFA50"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0BD17727"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19.1</w:t>
            </w:r>
          </w:p>
        </w:tc>
        <w:tc>
          <w:tcPr>
            <w:tcW w:w="876" w:type="dxa"/>
            <w:tcBorders>
              <w:top w:val="nil"/>
              <w:left w:val="nil"/>
              <w:bottom w:val="single" w:sz="4" w:space="0" w:color="auto"/>
              <w:right w:val="single" w:sz="4" w:space="0" w:color="auto"/>
            </w:tcBorders>
            <w:shd w:val="clear" w:color="auto" w:fill="auto"/>
            <w:noWrap/>
            <w:vAlign w:val="center"/>
            <w:hideMark/>
          </w:tcPr>
          <w:p w14:paraId="7DD4CD76"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82.4</w:t>
            </w:r>
          </w:p>
        </w:tc>
        <w:tc>
          <w:tcPr>
            <w:tcW w:w="876" w:type="dxa"/>
            <w:tcBorders>
              <w:top w:val="nil"/>
              <w:left w:val="nil"/>
              <w:bottom w:val="single" w:sz="4" w:space="0" w:color="auto"/>
              <w:right w:val="single" w:sz="4" w:space="0" w:color="auto"/>
            </w:tcBorders>
            <w:shd w:val="clear" w:color="auto" w:fill="auto"/>
            <w:noWrap/>
            <w:vAlign w:val="center"/>
            <w:hideMark/>
          </w:tcPr>
          <w:p w14:paraId="67DB1C38"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81.1</w:t>
            </w:r>
          </w:p>
        </w:tc>
        <w:tc>
          <w:tcPr>
            <w:tcW w:w="955" w:type="dxa"/>
            <w:tcBorders>
              <w:top w:val="nil"/>
              <w:left w:val="nil"/>
              <w:bottom w:val="single" w:sz="4" w:space="0" w:color="auto"/>
              <w:right w:val="single" w:sz="4" w:space="0" w:color="auto"/>
            </w:tcBorders>
            <w:shd w:val="clear" w:color="auto" w:fill="auto"/>
            <w:noWrap/>
            <w:vAlign w:val="center"/>
            <w:hideMark/>
          </w:tcPr>
          <w:p w14:paraId="5BD684B5"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83</w:t>
            </w:r>
          </w:p>
        </w:tc>
        <w:tc>
          <w:tcPr>
            <w:tcW w:w="1119" w:type="dxa"/>
            <w:tcBorders>
              <w:top w:val="nil"/>
              <w:left w:val="nil"/>
              <w:bottom w:val="single" w:sz="4" w:space="0" w:color="auto"/>
              <w:right w:val="single" w:sz="4" w:space="0" w:color="auto"/>
            </w:tcBorders>
            <w:shd w:val="clear" w:color="auto" w:fill="auto"/>
            <w:noWrap/>
            <w:vAlign w:val="center"/>
            <w:hideMark/>
          </w:tcPr>
          <w:p w14:paraId="4FADF0F7"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60.4</w:t>
            </w:r>
          </w:p>
        </w:tc>
      </w:tr>
      <w:tr w:rsidR="00255764" w:rsidRPr="006718BA" w14:paraId="30AECC32" w14:textId="77777777" w:rsidTr="00734BBE">
        <w:trPr>
          <w:trHeight w:val="29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6C95EE4C" w14:textId="77777777"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NHS South Yorkshire Integrated Care Board</w:t>
            </w:r>
          </w:p>
        </w:tc>
        <w:tc>
          <w:tcPr>
            <w:tcW w:w="1417" w:type="dxa"/>
            <w:tcBorders>
              <w:top w:val="nil"/>
              <w:left w:val="nil"/>
              <w:bottom w:val="single" w:sz="4" w:space="0" w:color="auto"/>
              <w:right w:val="single" w:sz="4" w:space="0" w:color="auto"/>
            </w:tcBorders>
            <w:shd w:val="clear" w:color="auto" w:fill="auto"/>
            <w:noWrap/>
            <w:vAlign w:val="center"/>
            <w:hideMark/>
          </w:tcPr>
          <w:p w14:paraId="4EE3B8B1"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33.4</w:t>
            </w:r>
          </w:p>
        </w:tc>
        <w:tc>
          <w:tcPr>
            <w:tcW w:w="1134" w:type="dxa"/>
            <w:tcBorders>
              <w:top w:val="nil"/>
              <w:left w:val="nil"/>
              <w:bottom w:val="single" w:sz="4" w:space="0" w:color="auto"/>
              <w:right w:val="single" w:sz="4" w:space="0" w:color="auto"/>
            </w:tcBorders>
            <w:shd w:val="clear" w:color="auto" w:fill="auto"/>
            <w:noWrap/>
            <w:vAlign w:val="center"/>
            <w:hideMark/>
          </w:tcPr>
          <w:p w14:paraId="11314B79"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16.4</w:t>
            </w:r>
          </w:p>
        </w:tc>
        <w:tc>
          <w:tcPr>
            <w:tcW w:w="876" w:type="dxa"/>
            <w:tcBorders>
              <w:top w:val="nil"/>
              <w:left w:val="nil"/>
              <w:bottom w:val="single" w:sz="4" w:space="0" w:color="auto"/>
              <w:right w:val="single" w:sz="4" w:space="0" w:color="auto"/>
            </w:tcBorders>
            <w:shd w:val="clear" w:color="auto" w:fill="auto"/>
            <w:noWrap/>
            <w:vAlign w:val="center"/>
            <w:hideMark/>
          </w:tcPr>
          <w:p w14:paraId="2B292D63"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83</w:t>
            </w:r>
          </w:p>
        </w:tc>
        <w:tc>
          <w:tcPr>
            <w:tcW w:w="876" w:type="dxa"/>
            <w:tcBorders>
              <w:top w:val="nil"/>
              <w:left w:val="nil"/>
              <w:bottom w:val="single" w:sz="4" w:space="0" w:color="auto"/>
              <w:right w:val="single" w:sz="4" w:space="0" w:color="auto"/>
            </w:tcBorders>
            <w:shd w:val="clear" w:color="auto" w:fill="auto"/>
            <w:noWrap/>
            <w:vAlign w:val="center"/>
            <w:hideMark/>
          </w:tcPr>
          <w:p w14:paraId="65BEECEE"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86.2</w:t>
            </w:r>
          </w:p>
        </w:tc>
        <w:tc>
          <w:tcPr>
            <w:tcW w:w="955" w:type="dxa"/>
            <w:tcBorders>
              <w:top w:val="nil"/>
              <w:left w:val="nil"/>
              <w:bottom w:val="single" w:sz="4" w:space="0" w:color="auto"/>
              <w:right w:val="single" w:sz="4" w:space="0" w:color="auto"/>
            </w:tcBorders>
            <w:shd w:val="clear" w:color="auto" w:fill="auto"/>
            <w:noWrap/>
            <w:vAlign w:val="center"/>
            <w:hideMark/>
          </w:tcPr>
          <w:p w14:paraId="6894489D"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79.5</w:t>
            </w:r>
          </w:p>
        </w:tc>
        <w:tc>
          <w:tcPr>
            <w:tcW w:w="1119" w:type="dxa"/>
            <w:tcBorders>
              <w:top w:val="nil"/>
              <w:left w:val="nil"/>
              <w:bottom w:val="single" w:sz="4" w:space="0" w:color="auto"/>
              <w:right w:val="single" w:sz="4" w:space="0" w:color="auto"/>
            </w:tcBorders>
            <w:shd w:val="clear" w:color="auto" w:fill="auto"/>
            <w:noWrap/>
            <w:vAlign w:val="center"/>
            <w:hideMark/>
          </w:tcPr>
          <w:p w14:paraId="1BB2AD4B"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65</w:t>
            </w:r>
          </w:p>
        </w:tc>
      </w:tr>
      <w:tr w:rsidR="00255764" w:rsidRPr="006718BA" w14:paraId="3917309F" w14:textId="77777777" w:rsidTr="00734BBE">
        <w:trPr>
          <w:trHeight w:val="290"/>
        </w:trPr>
        <w:tc>
          <w:tcPr>
            <w:tcW w:w="3525" w:type="dxa"/>
            <w:tcBorders>
              <w:top w:val="nil"/>
              <w:left w:val="single" w:sz="4" w:space="0" w:color="auto"/>
              <w:bottom w:val="single" w:sz="4" w:space="0" w:color="auto"/>
              <w:right w:val="single" w:sz="4" w:space="0" w:color="auto"/>
            </w:tcBorders>
            <w:shd w:val="clear" w:color="auto" w:fill="auto"/>
            <w:vAlign w:val="bottom"/>
            <w:hideMark/>
          </w:tcPr>
          <w:p w14:paraId="3CDC6B9D" w14:textId="77777777" w:rsidR="00255764" w:rsidRPr="006718BA" w:rsidRDefault="00255764" w:rsidP="00734BBE">
            <w:pPr>
              <w:spacing w:after="0"/>
              <w:rPr>
                <w:rFonts w:eastAsia="Times New Roman"/>
                <w:color w:val="000000"/>
                <w:szCs w:val="24"/>
                <w:lang w:eastAsia="en-GB"/>
              </w:rPr>
            </w:pPr>
            <w:proofErr w:type="gramStart"/>
            <w:r w:rsidRPr="006718BA">
              <w:rPr>
                <w:rFonts w:eastAsia="Times New Roman"/>
                <w:color w:val="000000"/>
                <w:szCs w:val="24"/>
                <w:lang w:eastAsia="en-GB"/>
              </w:rPr>
              <w:t>North East</w:t>
            </w:r>
            <w:proofErr w:type="gramEnd"/>
            <w:r w:rsidRPr="006718BA">
              <w:rPr>
                <w:rFonts w:eastAsia="Times New Roman"/>
                <w:color w:val="000000"/>
                <w:szCs w:val="24"/>
                <w:lang w:eastAsia="en-GB"/>
              </w:rPr>
              <w:t xml:space="preserve"> and North Cumbria Integrated Care Board</w:t>
            </w:r>
          </w:p>
        </w:tc>
        <w:tc>
          <w:tcPr>
            <w:tcW w:w="1417" w:type="dxa"/>
            <w:tcBorders>
              <w:top w:val="nil"/>
              <w:left w:val="nil"/>
              <w:bottom w:val="single" w:sz="4" w:space="0" w:color="auto"/>
              <w:right w:val="single" w:sz="4" w:space="0" w:color="auto"/>
            </w:tcBorders>
            <w:shd w:val="clear" w:color="auto" w:fill="auto"/>
            <w:noWrap/>
            <w:vAlign w:val="center"/>
            <w:hideMark/>
          </w:tcPr>
          <w:p w14:paraId="6F192A84"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39.3</w:t>
            </w:r>
          </w:p>
        </w:tc>
        <w:tc>
          <w:tcPr>
            <w:tcW w:w="1134" w:type="dxa"/>
            <w:tcBorders>
              <w:top w:val="nil"/>
              <w:left w:val="nil"/>
              <w:bottom w:val="single" w:sz="4" w:space="0" w:color="auto"/>
              <w:right w:val="single" w:sz="4" w:space="0" w:color="auto"/>
            </w:tcBorders>
            <w:shd w:val="clear" w:color="auto" w:fill="auto"/>
            <w:noWrap/>
            <w:vAlign w:val="center"/>
            <w:hideMark/>
          </w:tcPr>
          <w:p w14:paraId="33810AE8"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45.2</w:t>
            </w:r>
          </w:p>
        </w:tc>
        <w:tc>
          <w:tcPr>
            <w:tcW w:w="876" w:type="dxa"/>
            <w:tcBorders>
              <w:top w:val="nil"/>
              <w:left w:val="nil"/>
              <w:bottom w:val="single" w:sz="4" w:space="0" w:color="auto"/>
              <w:right w:val="single" w:sz="4" w:space="0" w:color="auto"/>
            </w:tcBorders>
            <w:shd w:val="clear" w:color="auto" w:fill="auto"/>
            <w:noWrap/>
            <w:vAlign w:val="center"/>
            <w:hideMark/>
          </w:tcPr>
          <w:p w14:paraId="788C30FB"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93.7</w:t>
            </w:r>
          </w:p>
        </w:tc>
        <w:tc>
          <w:tcPr>
            <w:tcW w:w="876" w:type="dxa"/>
            <w:tcBorders>
              <w:top w:val="nil"/>
              <w:left w:val="nil"/>
              <w:bottom w:val="single" w:sz="4" w:space="0" w:color="auto"/>
              <w:right w:val="single" w:sz="4" w:space="0" w:color="auto"/>
            </w:tcBorders>
            <w:shd w:val="clear" w:color="auto" w:fill="auto"/>
            <w:noWrap/>
            <w:vAlign w:val="center"/>
            <w:hideMark/>
          </w:tcPr>
          <w:p w14:paraId="3540110F"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85</w:t>
            </w:r>
          </w:p>
        </w:tc>
        <w:tc>
          <w:tcPr>
            <w:tcW w:w="955" w:type="dxa"/>
            <w:tcBorders>
              <w:top w:val="nil"/>
              <w:left w:val="nil"/>
              <w:bottom w:val="single" w:sz="4" w:space="0" w:color="auto"/>
              <w:right w:val="single" w:sz="4" w:space="0" w:color="auto"/>
            </w:tcBorders>
            <w:shd w:val="clear" w:color="auto" w:fill="auto"/>
            <w:noWrap/>
            <w:vAlign w:val="center"/>
            <w:hideMark/>
          </w:tcPr>
          <w:p w14:paraId="75DB3A4C"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76.6</w:t>
            </w:r>
          </w:p>
        </w:tc>
        <w:tc>
          <w:tcPr>
            <w:tcW w:w="1119" w:type="dxa"/>
            <w:tcBorders>
              <w:top w:val="nil"/>
              <w:left w:val="nil"/>
              <w:bottom w:val="single" w:sz="4" w:space="0" w:color="auto"/>
              <w:right w:val="single" w:sz="4" w:space="0" w:color="auto"/>
            </w:tcBorders>
            <w:shd w:val="clear" w:color="auto" w:fill="auto"/>
            <w:noWrap/>
            <w:vAlign w:val="center"/>
            <w:hideMark/>
          </w:tcPr>
          <w:p w14:paraId="76586B3E" w14:textId="77777777" w:rsidR="00255764" w:rsidRPr="007E2053" w:rsidRDefault="00255764" w:rsidP="00734BBE">
            <w:pPr>
              <w:spacing w:after="0"/>
              <w:jc w:val="center"/>
              <w:rPr>
                <w:rFonts w:eastAsia="Times New Roman"/>
                <w:color w:val="auto"/>
                <w:szCs w:val="24"/>
                <w:lang w:eastAsia="en-GB"/>
              </w:rPr>
            </w:pPr>
            <w:r w:rsidRPr="007E2053">
              <w:rPr>
                <w:rFonts w:eastAsia="Times New Roman"/>
                <w:color w:val="auto"/>
                <w:szCs w:val="24"/>
                <w:lang w:eastAsia="en-GB"/>
              </w:rPr>
              <w:t>50.3</w:t>
            </w:r>
          </w:p>
        </w:tc>
      </w:tr>
    </w:tbl>
    <w:p w14:paraId="49B10A6B" w14:textId="77777777" w:rsidR="00255764" w:rsidRPr="006718BA" w:rsidRDefault="00255764" w:rsidP="00255764">
      <w:pPr>
        <w:rPr>
          <w:szCs w:val="24"/>
        </w:rPr>
      </w:pPr>
    </w:p>
    <w:p w14:paraId="27E98FBA" w14:textId="77777777" w:rsidR="00255764" w:rsidRPr="006718BA" w:rsidRDefault="00255764" w:rsidP="00255764">
      <w:pPr>
        <w:rPr>
          <w:szCs w:val="24"/>
        </w:rPr>
      </w:pPr>
      <w:r w:rsidRPr="006718BA">
        <w:rPr>
          <w:szCs w:val="24"/>
        </w:rPr>
        <w:t xml:space="preserve">Out of these six organisations, the ICB is the third lowest in terms of the % difference (or pay gap) between men and women in hourly rate (median) and the lowest in terms of the % difference (or pay gap) between men and women in hourly rate (average). It has the second highest percentage of women in the top pay quartile. </w:t>
      </w:r>
    </w:p>
    <w:p w14:paraId="463B98C7" w14:textId="6B0CE4AD" w:rsidR="00255764" w:rsidRPr="006718BA" w:rsidRDefault="008C144A" w:rsidP="00255764">
      <w:pPr>
        <w:rPr>
          <w:b/>
          <w:bCs/>
          <w:szCs w:val="24"/>
        </w:rPr>
      </w:pPr>
      <w:r w:rsidRPr="006718BA">
        <w:rPr>
          <w:b/>
          <w:bCs/>
          <w:szCs w:val="24"/>
        </w:rPr>
        <w:t>6.2</w:t>
      </w:r>
      <w:r w:rsidR="00255764" w:rsidRPr="006718BA">
        <w:rPr>
          <w:b/>
          <w:bCs/>
          <w:szCs w:val="24"/>
        </w:rPr>
        <w:t xml:space="preserve">.2 </w:t>
      </w:r>
      <w:r w:rsidR="00255764" w:rsidRPr="006718BA">
        <w:rPr>
          <w:b/>
          <w:bCs/>
          <w:szCs w:val="24"/>
        </w:rPr>
        <w:tab/>
        <w:t xml:space="preserve">Pay Quartiles by Gender </w:t>
      </w:r>
    </w:p>
    <w:p w14:paraId="7760EBB2" w14:textId="77777777" w:rsidR="00255764" w:rsidRPr="006718BA" w:rsidRDefault="00255764" w:rsidP="00255764">
      <w:pPr>
        <w:rPr>
          <w:szCs w:val="24"/>
        </w:rPr>
      </w:pPr>
      <w:r w:rsidRPr="006718BA">
        <w:rPr>
          <w:szCs w:val="24"/>
        </w:rPr>
        <w:t>We are also required to split the workforce into quartiles (blocks of 25%) split by pay and show the proportion of males and females in each quartile. The results of this split are shown below:</w:t>
      </w:r>
    </w:p>
    <w:tbl>
      <w:tblPr>
        <w:tblW w:w="7801" w:type="dxa"/>
        <w:jc w:val="center"/>
        <w:tblLook w:val="04A0" w:firstRow="1" w:lastRow="0" w:firstColumn="1" w:lastColumn="0" w:noHBand="0" w:noVBand="1"/>
      </w:tblPr>
      <w:tblGrid>
        <w:gridCol w:w="3395"/>
        <w:gridCol w:w="1062"/>
        <w:gridCol w:w="3344"/>
      </w:tblGrid>
      <w:tr w:rsidR="00255764" w:rsidRPr="006718BA" w14:paraId="4E5E95FA" w14:textId="77777777" w:rsidTr="00734BBE">
        <w:trPr>
          <w:trHeight w:val="290"/>
          <w:jc w:val="center"/>
        </w:trPr>
        <w:tc>
          <w:tcPr>
            <w:tcW w:w="3395" w:type="dxa"/>
            <w:tcBorders>
              <w:top w:val="single" w:sz="4" w:space="0" w:color="979991"/>
              <w:left w:val="single" w:sz="4" w:space="0" w:color="979991"/>
              <w:bottom w:val="single" w:sz="12" w:space="0" w:color="FFFFFF"/>
              <w:right w:val="single" w:sz="4" w:space="0" w:color="FFFFFF"/>
            </w:tcBorders>
            <w:shd w:val="clear" w:color="000000" w:fill="FFFFFF"/>
            <w:hideMark/>
          </w:tcPr>
          <w:p w14:paraId="5C3F10F6" w14:textId="77777777" w:rsidR="00255764" w:rsidRPr="006718BA" w:rsidRDefault="00255764" w:rsidP="00734BBE">
            <w:pPr>
              <w:spacing w:after="0"/>
              <w:rPr>
                <w:rFonts w:eastAsia="Times New Roman"/>
                <w:b/>
                <w:bCs/>
                <w:szCs w:val="24"/>
                <w:lang w:eastAsia="en-GB"/>
              </w:rPr>
            </w:pPr>
            <w:r w:rsidRPr="006718BA">
              <w:rPr>
                <w:rFonts w:eastAsia="Times New Roman"/>
                <w:b/>
                <w:bCs/>
                <w:szCs w:val="24"/>
                <w:lang w:eastAsia="en-GB"/>
              </w:rPr>
              <w:t>Quartile</w:t>
            </w:r>
          </w:p>
        </w:tc>
        <w:tc>
          <w:tcPr>
            <w:tcW w:w="1062" w:type="dxa"/>
            <w:tcBorders>
              <w:top w:val="single" w:sz="4" w:space="0" w:color="979991"/>
              <w:left w:val="single" w:sz="4" w:space="0" w:color="979991"/>
              <w:bottom w:val="single" w:sz="4" w:space="0" w:color="979991"/>
              <w:right w:val="single" w:sz="4" w:space="0" w:color="FFFFFF"/>
            </w:tcBorders>
            <w:shd w:val="clear" w:color="000000" w:fill="FFFFFF"/>
            <w:hideMark/>
          </w:tcPr>
          <w:p w14:paraId="7A7A8C99" w14:textId="77777777" w:rsidR="00255764" w:rsidRPr="006718BA" w:rsidRDefault="00255764" w:rsidP="00734BBE">
            <w:pPr>
              <w:spacing w:after="0"/>
              <w:rPr>
                <w:rFonts w:eastAsia="Times New Roman"/>
                <w:b/>
                <w:bCs/>
                <w:szCs w:val="24"/>
                <w:lang w:eastAsia="en-GB"/>
              </w:rPr>
            </w:pPr>
            <w:r w:rsidRPr="006718BA">
              <w:rPr>
                <w:rFonts w:eastAsia="Times New Roman"/>
                <w:b/>
                <w:bCs/>
                <w:szCs w:val="24"/>
                <w:lang w:eastAsia="en-GB"/>
              </w:rPr>
              <w:t>Female %</w:t>
            </w:r>
          </w:p>
        </w:tc>
        <w:tc>
          <w:tcPr>
            <w:tcW w:w="3344" w:type="dxa"/>
            <w:tcBorders>
              <w:top w:val="single" w:sz="4" w:space="0" w:color="979991"/>
              <w:left w:val="single" w:sz="4" w:space="0" w:color="979991"/>
              <w:bottom w:val="single" w:sz="4" w:space="0" w:color="979991"/>
              <w:right w:val="single" w:sz="4" w:space="0" w:color="979991"/>
            </w:tcBorders>
            <w:shd w:val="clear" w:color="000000" w:fill="FFFFFF"/>
            <w:hideMark/>
          </w:tcPr>
          <w:p w14:paraId="4A70C49D" w14:textId="77777777" w:rsidR="00255764" w:rsidRPr="006718BA" w:rsidRDefault="00255764" w:rsidP="00734BBE">
            <w:pPr>
              <w:spacing w:after="0"/>
              <w:rPr>
                <w:rFonts w:eastAsia="Times New Roman"/>
                <w:b/>
                <w:bCs/>
                <w:szCs w:val="24"/>
                <w:lang w:eastAsia="en-GB"/>
              </w:rPr>
            </w:pPr>
            <w:r w:rsidRPr="006718BA">
              <w:rPr>
                <w:rFonts w:eastAsia="Times New Roman"/>
                <w:b/>
                <w:bCs/>
                <w:szCs w:val="24"/>
                <w:lang w:eastAsia="en-GB"/>
              </w:rPr>
              <w:t xml:space="preserve">Male </w:t>
            </w:r>
          </w:p>
          <w:p w14:paraId="63339EC3" w14:textId="77777777" w:rsidR="00255764" w:rsidRPr="006718BA" w:rsidRDefault="00255764" w:rsidP="00734BBE">
            <w:pPr>
              <w:spacing w:after="0"/>
              <w:rPr>
                <w:rFonts w:eastAsia="Times New Roman"/>
                <w:b/>
                <w:bCs/>
                <w:szCs w:val="24"/>
                <w:lang w:eastAsia="en-GB"/>
              </w:rPr>
            </w:pPr>
            <w:r w:rsidRPr="006718BA">
              <w:rPr>
                <w:rFonts w:eastAsia="Times New Roman"/>
                <w:b/>
                <w:bCs/>
                <w:szCs w:val="24"/>
                <w:lang w:eastAsia="en-GB"/>
              </w:rPr>
              <w:t>%</w:t>
            </w:r>
          </w:p>
        </w:tc>
      </w:tr>
      <w:tr w:rsidR="00255764" w:rsidRPr="006718BA" w14:paraId="7A6BC81A" w14:textId="77777777" w:rsidTr="00734BBE">
        <w:trPr>
          <w:trHeight w:val="290"/>
          <w:jc w:val="center"/>
        </w:trPr>
        <w:tc>
          <w:tcPr>
            <w:tcW w:w="3395" w:type="dxa"/>
            <w:tcBorders>
              <w:top w:val="single" w:sz="4" w:space="0" w:color="979991"/>
              <w:left w:val="single" w:sz="4" w:space="0" w:color="979991"/>
              <w:bottom w:val="single" w:sz="4" w:space="0" w:color="979991"/>
              <w:right w:val="single" w:sz="4" w:space="0" w:color="FFFFFF"/>
            </w:tcBorders>
            <w:shd w:val="clear" w:color="000000" w:fill="FFFFFF"/>
            <w:hideMark/>
          </w:tcPr>
          <w:p w14:paraId="1DAC6A52" w14:textId="77777777" w:rsidR="00255764" w:rsidRPr="006718BA" w:rsidRDefault="00255764" w:rsidP="00734BBE">
            <w:pPr>
              <w:spacing w:after="0"/>
              <w:rPr>
                <w:rFonts w:eastAsia="Times New Roman"/>
                <w:szCs w:val="24"/>
                <w:lang w:eastAsia="en-GB"/>
              </w:rPr>
            </w:pPr>
            <w:r w:rsidRPr="006718BA">
              <w:rPr>
                <w:rFonts w:eastAsia="Times New Roman"/>
                <w:szCs w:val="24"/>
                <w:lang w:eastAsia="en-GB"/>
              </w:rPr>
              <w:t xml:space="preserve">1 Lower Quartile </w:t>
            </w:r>
          </w:p>
        </w:tc>
        <w:tc>
          <w:tcPr>
            <w:tcW w:w="1062" w:type="dxa"/>
            <w:tcBorders>
              <w:top w:val="single" w:sz="4" w:space="0" w:color="979991"/>
              <w:left w:val="single" w:sz="4" w:space="0" w:color="979991"/>
              <w:bottom w:val="single" w:sz="4" w:space="0" w:color="979991"/>
              <w:right w:val="single" w:sz="4" w:space="0" w:color="FFFFFF"/>
            </w:tcBorders>
            <w:shd w:val="clear" w:color="000000" w:fill="FFFFFF"/>
            <w:hideMark/>
          </w:tcPr>
          <w:p w14:paraId="7A777EBD" w14:textId="3325E18D"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83.3</w:t>
            </w:r>
          </w:p>
        </w:tc>
        <w:tc>
          <w:tcPr>
            <w:tcW w:w="3344" w:type="dxa"/>
            <w:tcBorders>
              <w:top w:val="single" w:sz="4" w:space="0" w:color="979991"/>
              <w:left w:val="single" w:sz="4" w:space="0" w:color="979991"/>
              <w:bottom w:val="single" w:sz="4" w:space="0" w:color="979991"/>
              <w:right w:val="single" w:sz="4" w:space="0" w:color="979991"/>
            </w:tcBorders>
            <w:shd w:val="clear" w:color="000000" w:fill="FFFFFF"/>
            <w:hideMark/>
          </w:tcPr>
          <w:p w14:paraId="55460647" w14:textId="78A96722"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16.</w:t>
            </w:r>
            <w:r w:rsidR="00031365" w:rsidRPr="006718BA">
              <w:rPr>
                <w:rFonts w:eastAsia="Times New Roman"/>
                <w:color w:val="000000"/>
                <w:szCs w:val="24"/>
                <w:lang w:eastAsia="en-GB"/>
              </w:rPr>
              <w:t>7</w:t>
            </w:r>
          </w:p>
        </w:tc>
      </w:tr>
      <w:tr w:rsidR="00255764" w:rsidRPr="006718BA" w14:paraId="0CD61FF5" w14:textId="77777777" w:rsidTr="00734BBE">
        <w:trPr>
          <w:trHeight w:val="290"/>
          <w:jc w:val="center"/>
        </w:trPr>
        <w:tc>
          <w:tcPr>
            <w:tcW w:w="3395" w:type="dxa"/>
            <w:tcBorders>
              <w:top w:val="single" w:sz="4" w:space="0" w:color="979991"/>
              <w:left w:val="single" w:sz="4" w:space="0" w:color="979991"/>
              <w:bottom w:val="single" w:sz="4" w:space="0" w:color="979991"/>
              <w:right w:val="single" w:sz="4" w:space="0" w:color="FFFFFF"/>
            </w:tcBorders>
            <w:shd w:val="clear" w:color="000000" w:fill="FFFFFF"/>
            <w:hideMark/>
          </w:tcPr>
          <w:p w14:paraId="13E88662" w14:textId="77777777" w:rsidR="00255764" w:rsidRPr="006718BA" w:rsidRDefault="00255764" w:rsidP="00734BBE">
            <w:pPr>
              <w:spacing w:after="0"/>
              <w:rPr>
                <w:rFonts w:eastAsia="Times New Roman"/>
                <w:szCs w:val="24"/>
                <w:lang w:eastAsia="en-GB"/>
              </w:rPr>
            </w:pPr>
            <w:r w:rsidRPr="006718BA">
              <w:rPr>
                <w:rFonts w:eastAsia="Times New Roman"/>
                <w:szCs w:val="24"/>
                <w:lang w:eastAsia="en-GB"/>
              </w:rPr>
              <w:t xml:space="preserve">2 Lower Middle Quartile </w:t>
            </w:r>
          </w:p>
        </w:tc>
        <w:tc>
          <w:tcPr>
            <w:tcW w:w="1062" w:type="dxa"/>
            <w:tcBorders>
              <w:top w:val="single" w:sz="4" w:space="0" w:color="979991"/>
              <w:left w:val="single" w:sz="4" w:space="0" w:color="979991"/>
              <w:bottom w:val="single" w:sz="4" w:space="0" w:color="979991"/>
              <w:right w:val="single" w:sz="4" w:space="0" w:color="FFFFFF"/>
            </w:tcBorders>
            <w:shd w:val="clear" w:color="000000" w:fill="FFFFFF"/>
            <w:hideMark/>
          </w:tcPr>
          <w:p w14:paraId="5A7817AB" w14:textId="109FD821"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82.</w:t>
            </w:r>
            <w:r w:rsidR="00031365" w:rsidRPr="006718BA">
              <w:rPr>
                <w:rFonts w:eastAsia="Times New Roman"/>
                <w:color w:val="000000"/>
                <w:szCs w:val="24"/>
                <w:lang w:eastAsia="en-GB"/>
              </w:rPr>
              <w:t>6</w:t>
            </w:r>
          </w:p>
        </w:tc>
        <w:tc>
          <w:tcPr>
            <w:tcW w:w="3344" w:type="dxa"/>
            <w:tcBorders>
              <w:top w:val="single" w:sz="4" w:space="0" w:color="979991"/>
              <w:left w:val="single" w:sz="4" w:space="0" w:color="979991"/>
              <w:bottom w:val="single" w:sz="4" w:space="0" w:color="979991"/>
              <w:right w:val="single" w:sz="4" w:space="0" w:color="979991"/>
            </w:tcBorders>
            <w:shd w:val="clear" w:color="000000" w:fill="FFFFFF"/>
            <w:hideMark/>
          </w:tcPr>
          <w:p w14:paraId="4C30F28E" w14:textId="15E66F40"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17.4</w:t>
            </w:r>
          </w:p>
        </w:tc>
      </w:tr>
      <w:tr w:rsidR="00255764" w:rsidRPr="006718BA" w14:paraId="2DF300CB" w14:textId="77777777" w:rsidTr="00734BBE">
        <w:trPr>
          <w:trHeight w:val="290"/>
          <w:jc w:val="center"/>
        </w:trPr>
        <w:tc>
          <w:tcPr>
            <w:tcW w:w="3395" w:type="dxa"/>
            <w:tcBorders>
              <w:top w:val="single" w:sz="4" w:space="0" w:color="979991"/>
              <w:left w:val="single" w:sz="4" w:space="0" w:color="979991"/>
              <w:bottom w:val="single" w:sz="4" w:space="0" w:color="979991"/>
              <w:right w:val="single" w:sz="4" w:space="0" w:color="FFFFFF"/>
            </w:tcBorders>
            <w:shd w:val="clear" w:color="000000" w:fill="FFFFFF"/>
            <w:hideMark/>
          </w:tcPr>
          <w:p w14:paraId="0D94C2D6" w14:textId="77777777" w:rsidR="00255764" w:rsidRPr="006718BA" w:rsidRDefault="00255764" w:rsidP="00734BBE">
            <w:pPr>
              <w:spacing w:after="0"/>
              <w:rPr>
                <w:rFonts w:eastAsia="Times New Roman"/>
                <w:szCs w:val="24"/>
                <w:lang w:eastAsia="en-GB"/>
              </w:rPr>
            </w:pPr>
            <w:r w:rsidRPr="006718BA">
              <w:rPr>
                <w:rFonts w:eastAsia="Times New Roman"/>
                <w:szCs w:val="24"/>
                <w:lang w:eastAsia="en-GB"/>
              </w:rPr>
              <w:t xml:space="preserve">3 Upper Middle Quartile </w:t>
            </w:r>
          </w:p>
        </w:tc>
        <w:tc>
          <w:tcPr>
            <w:tcW w:w="1062" w:type="dxa"/>
            <w:tcBorders>
              <w:top w:val="single" w:sz="4" w:space="0" w:color="979991"/>
              <w:left w:val="single" w:sz="4" w:space="0" w:color="979991"/>
              <w:bottom w:val="single" w:sz="4" w:space="0" w:color="979991"/>
              <w:right w:val="single" w:sz="4" w:space="0" w:color="FFFFFF"/>
            </w:tcBorders>
            <w:shd w:val="clear" w:color="000000" w:fill="FFFFFF"/>
            <w:hideMark/>
          </w:tcPr>
          <w:p w14:paraId="1F035480" w14:textId="36187AE2"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79.</w:t>
            </w:r>
            <w:r w:rsidR="00031365" w:rsidRPr="006718BA">
              <w:rPr>
                <w:rFonts w:eastAsia="Times New Roman"/>
                <w:color w:val="000000"/>
                <w:szCs w:val="24"/>
                <w:lang w:eastAsia="en-GB"/>
              </w:rPr>
              <w:t>3</w:t>
            </w:r>
          </w:p>
        </w:tc>
        <w:tc>
          <w:tcPr>
            <w:tcW w:w="3344" w:type="dxa"/>
            <w:tcBorders>
              <w:top w:val="single" w:sz="4" w:space="0" w:color="979991"/>
              <w:left w:val="single" w:sz="4" w:space="0" w:color="979991"/>
              <w:bottom w:val="single" w:sz="4" w:space="0" w:color="979991"/>
              <w:right w:val="single" w:sz="4" w:space="0" w:color="979991"/>
            </w:tcBorders>
            <w:shd w:val="clear" w:color="000000" w:fill="FFFFFF"/>
            <w:hideMark/>
          </w:tcPr>
          <w:p w14:paraId="5DCD7449" w14:textId="4446B34E"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20.7</w:t>
            </w:r>
          </w:p>
        </w:tc>
      </w:tr>
      <w:tr w:rsidR="00255764" w:rsidRPr="006718BA" w14:paraId="599EE094" w14:textId="77777777" w:rsidTr="00734BBE">
        <w:trPr>
          <w:trHeight w:val="290"/>
          <w:jc w:val="center"/>
        </w:trPr>
        <w:tc>
          <w:tcPr>
            <w:tcW w:w="3395" w:type="dxa"/>
            <w:tcBorders>
              <w:top w:val="single" w:sz="4" w:space="0" w:color="979991"/>
              <w:left w:val="single" w:sz="4" w:space="0" w:color="979991"/>
              <w:bottom w:val="single" w:sz="4" w:space="0" w:color="979991"/>
              <w:right w:val="single" w:sz="4" w:space="0" w:color="FFFFFF"/>
            </w:tcBorders>
            <w:shd w:val="clear" w:color="000000" w:fill="FFFFFF"/>
            <w:hideMark/>
          </w:tcPr>
          <w:p w14:paraId="5E723147" w14:textId="77777777" w:rsidR="00255764" w:rsidRPr="006718BA" w:rsidRDefault="00255764" w:rsidP="00734BBE">
            <w:pPr>
              <w:spacing w:after="0"/>
              <w:rPr>
                <w:rFonts w:eastAsia="Times New Roman"/>
                <w:szCs w:val="24"/>
                <w:lang w:eastAsia="en-GB"/>
              </w:rPr>
            </w:pPr>
            <w:r w:rsidRPr="006718BA">
              <w:rPr>
                <w:rFonts w:eastAsia="Times New Roman"/>
                <w:szCs w:val="24"/>
                <w:lang w:eastAsia="en-GB"/>
              </w:rPr>
              <w:t>4 Upper Quartile</w:t>
            </w:r>
          </w:p>
        </w:tc>
        <w:tc>
          <w:tcPr>
            <w:tcW w:w="1062" w:type="dxa"/>
            <w:tcBorders>
              <w:top w:val="single" w:sz="4" w:space="0" w:color="979991"/>
              <w:left w:val="single" w:sz="4" w:space="0" w:color="979991"/>
              <w:bottom w:val="single" w:sz="4" w:space="0" w:color="979991"/>
              <w:right w:val="single" w:sz="4" w:space="0" w:color="FFFFFF"/>
            </w:tcBorders>
            <w:shd w:val="clear" w:color="000000" w:fill="FFFFFF"/>
            <w:hideMark/>
          </w:tcPr>
          <w:p w14:paraId="5DD96036" w14:textId="2458174E"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66.</w:t>
            </w:r>
            <w:r w:rsidR="00031365" w:rsidRPr="006718BA">
              <w:rPr>
                <w:rFonts w:eastAsia="Times New Roman"/>
                <w:color w:val="000000"/>
                <w:szCs w:val="24"/>
                <w:lang w:eastAsia="en-GB"/>
              </w:rPr>
              <w:t>7</w:t>
            </w:r>
          </w:p>
        </w:tc>
        <w:tc>
          <w:tcPr>
            <w:tcW w:w="3344" w:type="dxa"/>
            <w:tcBorders>
              <w:top w:val="single" w:sz="4" w:space="0" w:color="979991"/>
              <w:left w:val="single" w:sz="4" w:space="0" w:color="979991"/>
              <w:bottom w:val="single" w:sz="4" w:space="0" w:color="979991"/>
              <w:right w:val="single" w:sz="4" w:space="0" w:color="979991"/>
            </w:tcBorders>
            <w:shd w:val="clear" w:color="000000" w:fill="FFFFFF"/>
            <w:hideMark/>
          </w:tcPr>
          <w:p w14:paraId="774CD546" w14:textId="675994FF" w:rsidR="00255764" w:rsidRPr="006718BA" w:rsidRDefault="00255764" w:rsidP="00734BBE">
            <w:pPr>
              <w:spacing w:after="0"/>
              <w:rPr>
                <w:rFonts w:eastAsia="Times New Roman"/>
                <w:color w:val="000000"/>
                <w:szCs w:val="24"/>
                <w:lang w:eastAsia="en-GB"/>
              </w:rPr>
            </w:pPr>
            <w:r w:rsidRPr="006718BA">
              <w:rPr>
                <w:rFonts w:eastAsia="Times New Roman"/>
                <w:color w:val="000000"/>
                <w:szCs w:val="24"/>
                <w:lang w:eastAsia="en-GB"/>
              </w:rPr>
              <w:t>33.3</w:t>
            </w:r>
          </w:p>
        </w:tc>
      </w:tr>
    </w:tbl>
    <w:p w14:paraId="6B59511A" w14:textId="77777777" w:rsidR="006718BA" w:rsidRDefault="006718BA" w:rsidP="00255764">
      <w:pPr>
        <w:rPr>
          <w:szCs w:val="24"/>
        </w:rPr>
      </w:pPr>
    </w:p>
    <w:p w14:paraId="75F69518" w14:textId="4EC55ECD" w:rsidR="00255764" w:rsidRPr="006718BA" w:rsidRDefault="00255764" w:rsidP="00255764">
      <w:pPr>
        <w:rPr>
          <w:szCs w:val="24"/>
        </w:rPr>
      </w:pPr>
      <w:r w:rsidRPr="006718BA">
        <w:rPr>
          <w:szCs w:val="24"/>
        </w:rPr>
        <w:t>On the snapshot date, 78% of the workforce was female, and 22 % men, therefore ideally, women should make up 78% of each quartile and men, 22%</w:t>
      </w:r>
      <w:r w:rsidR="00A66CB6">
        <w:rPr>
          <w:szCs w:val="24"/>
        </w:rPr>
        <w:t xml:space="preserve"> respectively</w:t>
      </w:r>
      <w:r w:rsidRPr="006718BA">
        <w:rPr>
          <w:szCs w:val="24"/>
        </w:rPr>
        <w:t xml:space="preserve">.  However, the quartile breakdown indicates that there is a higher percentage of women in quartiles 1 to 3 than the percentage of women to men in the overall workforce, with this trend decreasing through the 3 quartiles as pay levels increase, until it is most pronounced in the upper quartile where there is around 11% fewer women in this quartile compared with the percentage of women who make up the overall workforce. This </w:t>
      </w:r>
      <w:r w:rsidRPr="006718BA">
        <w:rPr>
          <w:szCs w:val="24"/>
        </w:rPr>
        <w:lastRenderedPageBreak/>
        <w:t xml:space="preserve">highlights a concentration of women in lower paid roles and less representation at senior management levels. </w:t>
      </w:r>
    </w:p>
    <w:p w14:paraId="0FC2B3EE" w14:textId="77777777" w:rsidR="00255764" w:rsidRPr="006718BA" w:rsidRDefault="00255764" w:rsidP="00255764">
      <w:pPr>
        <w:jc w:val="center"/>
        <w:rPr>
          <w:szCs w:val="24"/>
        </w:rPr>
      </w:pPr>
      <w:r w:rsidRPr="006718BA">
        <w:rPr>
          <w:noProof/>
          <w:szCs w:val="24"/>
        </w:rPr>
        <w:drawing>
          <wp:inline distT="0" distB="0" distL="0" distR="0" wp14:anchorId="6E87EE12" wp14:editId="1291E21A">
            <wp:extent cx="3937000" cy="2597150"/>
            <wp:effectExtent l="0" t="0" r="6350" b="12700"/>
            <wp:docPr id="3" name="Chart 3">
              <a:extLst xmlns:a="http://schemas.openxmlformats.org/drawingml/2006/main">
                <a:ext uri="{FF2B5EF4-FFF2-40B4-BE49-F238E27FC236}">
                  <a16:creationId xmlns:a16="http://schemas.microsoft.com/office/drawing/2014/main" id="{5FAE844A-FE25-2D51-1028-1EE1B3A0D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7D6ED4" w14:textId="77777777" w:rsidR="00255764" w:rsidRPr="006718BA" w:rsidRDefault="00255764" w:rsidP="00255764">
      <w:pPr>
        <w:rPr>
          <w:szCs w:val="24"/>
        </w:rPr>
      </w:pPr>
      <w:r w:rsidRPr="006718BA">
        <w:rPr>
          <w:szCs w:val="24"/>
        </w:rPr>
        <w:t xml:space="preserve">The Pay bands Grouped by Gender ESR chart, illustrates by gender, the proportion of men and women represented across the different pay bands. </w:t>
      </w:r>
    </w:p>
    <w:p w14:paraId="56118BCA" w14:textId="77777777" w:rsidR="00255764" w:rsidRPr="006718BA" w:rsidRDefault="00255764" w:rsidP="00255764">
      <w:pPr>
        <w:jc w:val="center"/>
        <w:rPr>
          <w:szCs w:val="24"/>
        </w:rPr>
      </w:pPr>
      <w:r w:rsidRPr="006718BA">
        <w:rPr>
          <w:noProof/>
          <w:szCs w:val="24"/>
        </w:rPr>
        <w:drawing>
          <wp:inline distT="0" distB="0" distL="0" distR="0" wp14:anchorId="79B31307" wp14:editId="65EDDC37">
            <wp:extent cx="4248150" cy="2292350"/>
            <wp:effectExtent l="0" t="0" r="0" b="12700"/>
            <wp:docPr id="4" name="Chart 4">
              <a:extLst xmlns:a="http://schemas.openxmlformats.org/drawingml/2006/main">
                <a:ext uri="{FF2B5EF4-FFF2-40B4-BE49-F238E27FC236}">
                  <a16:creationId xmlns:a16="http://schemas.microsoft.com/office/drawing/2014/main" id="{A0BF933E-3DB0-91C2-7EF3-D0E63B66E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2C96E0" w14:textId="77777777" w:rsidR="00255764" w:rsidRPr="006718BA" w:rsidRDefault="00255764" w:rsidP="00255764">
      <w:pPr>
        <w:rPr>
          <w:szCs w:val="24"/>
        </w:rPr>
      </w:pPr>
      <w:r w:rsidRPr="006718BA">
        <w:rPr>
          <w:szCs w:val="24"/>
        </w:rPr>
        <w:t>On the snapshot date, 51% of female staff (FTE) employed by the ICB were part time whereas 19% of male staff (FTE) employed by the ICB were part time.</w:t>
      </w:r>
    </w:p>
    <w:p w14:paraId="1BA50F0E" w14:textId="77777777" w:rsidR="00255764" w:rsidRPr="006718BA" w:rsidRDefault="00255764" w:rsidP="00255764">
      <w:pPr>
        <w:rPr>
          <w:szCs w:val="24"/>
        </w:rPr>
      </w:pPr>
      <w:r w:rsidRPr="006718BA">
        <w:rPr>
          <w:szCs w:val="24"/>
        </w:rPr>
        <w:t>Pay Gap research carried out in 2017 by the Equality and Human Rights Commission noted that Male and female part-time workers generally earn less per hour than full-time workers, but women who work part-time generally earn more than men who do.  (</w:t>
      </w:r>
      <w:hyperlink r:id="rId17" w:history="1">
        <w:r w:rsidRPr="006718BA">
          <w:rPr>
            <w:rStyle w:val="Hyperlink"/>
            <w:szCs w:val="24"/>
          </w:rPr>
          <w:t>https://www.equalityhumanrights.com/sites/default/files/research-report-109-the-gender-pay-gap.pdf</w:t>
        </w:r>
      </w:hyperlink>
      <w:r w:rsidRPr="006718BA">
        <w:rPr>
          <w:szCs w:val="24"/>
        </w:rPr>
        <w:t xml:space="preserve">). </w:t>
      </w:r>
    </w:p>
    <w:p w14:paraId="263F5358" w14:textId="77777777" w:rsidR="00255764" w:rsidRPr="006718BA" w:rsidRDefault="00255764" w:rsidP="00255764">
      <w:pPr>
        <w:jc w:val="center"/>
        <w:rPr>
          <w:szCs w:val="24"/>
        </w:rPr>
      </w:pPr>
      <w:r w:rsidRPr="006718BA">
        <w:rPr>
          <w:noProof/>
          <w:szCs w:val="24"/>
        </w:rPr>
        <w:lastRenderedPageBreak/>
        <w:drawing>
          <wp:inline distT="0" distB="0" distL="0" distR="0" wp14:anchorId="712620BD" wp14:editId="5EC2EF0A">
            <wp:extent cx="4572000" cy="2743200"/>
            <wp:effectExtent l="0" t="0" r="0" b="0"/>
            <wp:docPr id="5" name="Chart 5">
              <a:extLst xmlns:a="http://schemas.openxmlformats.org/drawingml/2006/main">
                <a:ext uri="{FF2B5EF4-FFF2-40B4-BE49-F238E27FC236}">
                  <a16:creationId xmlns:a16="http://schemas.microsoft.com/office/drawing/2014/main" id="{396256AD-A7CE-0AED-E459-7D8B9A56A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6D26D7" w14:textId="77777777" w:rsidR="00255764" w:rsidRPr="006718BA" w:rsidRDefault="00255764" w:rsidP="00255764">
      <w:pPr>
        <w:rPr>
          <w:szCs w:val="24"/>
        </w:rPr>
      </w:pPr>
      <w:r w:rsidRPr="006718BA">
        <w:rPr>
          <w:szCs w:val="24"/>
        </w:rPr>
        <w:t xml:space="preserve">On the snapshot date, 75% of the workforce was aged 41 + and 25% of the workforce was aged 40 or younger (including male and female). </w:t>
      </w:r>
    </w:p>
    <w:p w14:paraId="532FA5E5" w14:textId="77777777" w:rsidR="00EA2A0D" w:rsidRPr="006718BA" w:rsidRDefault="00255764" w:rsidP="00255764">
      <w:pPr>
        <w:rPr>
          <w:szCs w:val="24"/>
        </w:rPr>
      </w:pPr>
      <w:r w:rsidRPr="006718BA">
        <w:rPr>
          <w:szCs w:val="24"/>
        </w:rPr>
        <w:t>The Pay Gap research (</w:t>
      </w:r>
      <w:hyperlink r:id="rId19" w:history="1">
        <w:r w:rsidRPr="006718BA">
          <w:rPr>
            <w:rStyle w:val="Hyperlink"/>
            <w:szCs w:val="24"/>
          </w:rPr>
          <w:t>https://www.nhsemployers.org/system/files/2021-06/Addressing-your-gender-pay-gap-guide.pdf</w:t>
        </w:r>
      </w:hyperlink>
      <w:r w:rsidRPr="006718BA">
        <w:rPr>
          <w:szCs w:val="24"/>
        </w:rPr>
        <w:t xml:space="preserve">)  found that while younger married women earn more than unmarried women, this advantage reverses with age. From their 40s onwards, married women experience a pay disadvantage compared to unmarried women. The analysis found that having a child increases the pay gap considerably for women. </w:t>
      </w:r>
    </w:p>
    <w:p w14:paraId="0477F813" w14:textId="6DBD685C" w:rsidR="00255764" w:rsidRPr="006718BA" w:rsidRDefault="00EA2A0D" w:rsidP="00255764">
      <w:pPr>
        <w:rPr>
          <w:szCs w:val="24"/>
        </w:rPr>
      </w:pPr>
      <w:r w:rsidRPr="006718BA">
        <w:rPr>
          <w:szCs w:val="24"/>
        </w:rPr>
        <w:t>The research showed that m</w:t>
      </w:r>
      <w:r w:rsidR="00255764" w:rsidRPr="006718BA">
        <w:rPr>
          <w:szCs w:val="24"/>
        </w:rPr>
        <w:t xml:space="preserve">arried men, by contrast, earn substantially more than unmarried men in all age groups. It has also been identified that the pay gap widens with age.  Older women experience a larger pay gap compared with their male peers than younger women with their male peers. The reason given for this mainly because women are more likely than men to take time out of the labour market to care for children, which may slow career development. The statistical analysis found that women's shorter job tenure, a likely consequence of starting a family, is a factor driving the pay gap. </w:t>
      </w:r>
    </w:p>
    <w:p w14:paraId="0974AEF2" w14:textId="77777777" w:rsidR="00255764" w:rsidRPr="006718BA" w:rsidRDefault="00255764" w:rsidP="00255764">
      <w:pPr>
        <w:rPr>
          <w:szCs w:val="24"/>
        </w:rPr>
      </w:pPr>
      <w:r w:rsidRPr="006718BA">
        <w:rPr>
          <w:szCs w:val="24"/>
        </w:rPr>
        <w:t xml:space="preserve">It has also been found that younger married women earn more than unmarried women, this advantage reverses with age. From their 40s onwards, married women experience a pay disadvantage compared to unmarried women which is likely to be linked with child rearing. Married men, by contrast, earn substantially more than unmarried men in all age groups. </w:t>
      </w:r>
    </w:p>
    <w:p w14:paraId="5C683CAC" w14:textId="05DBC92B" w:rsidR="00255764" w:rsidRPr="006718BA" w:rsidRDefault="008C144A" w:rsidP="00255764">
      <w:pPr>
        <w:rPr>
          <w:b/>
          <w:bCs/>
          <w:szCs w:val="24"/>
        </w:rPr>
      </w:pPr>
      <w:r w:rsidRPr="006718BA">
        <w:rPr>
          <w:b/>
          <w:bCs/>
          <w:szCs w:val="24"/>
        </w:rPr>
        <w:t>6.</w:t>
      </w:r>
      <w:r w:rsidR="00255764" w:rsidRPr="006718BA">
        <w:rPr>
          <w:b/>
          <w:bCs/>
          <w:szCs w:val="24"/>
        </w:rPr>
        <w:t xml:space="preserve">2.3 </w:t>
      </w:r>
      <w:r w:rsidR="00255764" w:rsidRPr="006718BA">
        <w:rPr>
          <w:b/>
          <w:bCs/>
          <w:szCs w:val="24"/>
        </w:rPr>
        <w:tab/>
        <w:t xml:space="preserve">Bonuses </w:t>
      </w:r>
    </w:p>
    <w:p w14:paraId="25EC8C9F" w14:textId="77777777" w:rsidR="00255764" w:rsidRPr="006718BA" w:rsidRDefault="00255764" w:rsidP="00255764">
      <w:pPr>
        <w:rPr>
          <w:szCs w:val="24"/>
        </w:rPr>
      </w:pPr>
      <w:r w:rsidRPr="006718BA">
        <w:rPr>
          <w:szCs w:val="24"/>
        </w:rPr>
        <w:t xml:space="preserve">As the ICB does not pay bonuses, there was no data to report on to determine whether or not a bonus pay gap exists within the organisation. </w:t>
      </w:r>
    </w:p>
    <w:p w14:paraId="7EDB6615" w14:textId="6B2696AD" w:rsidR="00255764" w:rsidRPr="006718BA" w:rsidRDefault="008C144A" w:rsidP="00C056C9">
      <w:pPr>
        <w:pStyle w:val="ListParagraph"/>
        <w:numPr>
          <w:ilvl w:val="0"/>
          <w:numId w:val="15"/>
        </w:numPr>
        <w:spacing w:line="276" w:lineRule="auto"/>
        <w:rPr>
          <w:b/>
          <w:bCs/>
          <w:szCs w:val="24"/>
        </w:rPr>
      </w:pPr>
      <w:r w:rsidRPr="006718BA">
        <w:rPr>
          <w:b/>
          <w:bCs/>
          <w:szCs w:val="24"/>
        </w:rPr>
        <w:t xml:space="preserve">  </w:t>
      </w:r>
      <w:r w:rsidR="00255764" w:rsidRPr="006718BA">
        <w:rPr>
          <w:b/>
          <w:bCs/>
          <w:szCs w:val="24"/>
        </w:rPr>
        <w:t xml:space="preserve">ADDRESSING THE GENDER PAY GAP </w:t>
      </w:r>
    </w:p>
    <w:p w14:paraId="04C9AAE8" w14:textId="77777777" w:rsidR="00EA2A0D" w:rsidRPr="006718BA" w:rsidRDefault="00255764" w:rsidP="00255764">
      <w:pPr>
        <w:rPr>
          <w:szCs w:val="24"/>
        </w:rPr>
      </w:pPr>
      <w:r w:rsidRPr="006718BA">
        <w:rPr>
          <w:szCs w:val="24"/>
        </w:rPr>
        <w:t xml:space="preserve">The ICB is committed to addressing the gender pay gap and is undertaking a range of actions and initiatives to reduce it.  In preparation for this report, an engagement exercise was carried out with the Humber and North Yorkshire ICB Inclusion group (HNYINC) which was encouraged to provide feedback on the initial Pay Gap results and some NHS nationally suggested measures which the ICB could undertake to reduce the pay gap. </w:t>
      </w:r>
    </w:p>
    <w:p w14:paraId="41E827EB" w14:textId="745B5F7A" w:rsidR="00255764" w:rsidRPr="006718BA" w:rsidRDefault="00255764" w:rsidP="00255764">
      <w:pPr>
        <w:rPr>
          <w:szCs w:val="24"/>
        </w:rPr>
      </w:pPr>
      <w:r w:rsidRPr="006718BA">
        <w:rPr>
          <w:szCs w:val="24"/>
        </w:rPr>
        <w:t xml:space="preserve">Feedback and insight </w:t>
      </w:r>
      <w:proofErr w:type="gramStart"/>
      <w:r w:rsidRPr="006718BA">
        <w:rPr>
          <w:szCs w:val="24"/>
        </w:rPr>
        <w:t>was</w:t>
      </w:r>
      <w:proofErr w:type="gramEnd"/>
      <w:r w:rsidRPr="006718BA">
        <w:rPr>
          <w:szCs w:val="24"/>
        </w:rPr>
        <w:t xml:space="preserve"> provided by colleagues from the Best Place to Work team. Insight was also sought from NHS Employer Guidance </w:t>
      </w:r>
      <w:r w:rsidRPr="006718BA">
        <w:rPr>
          <w:szCs w:val="24"/>
        </w:rPr>
        <w:lastRenderedPageBreak/>
        <w:t>(</w:t>
      </w:r>
      <w:hyperlink r:id="rId20" w:history="1">
        <w:r w:rsidRPr="006718BA">
          <w:rPr>
            <w:rStyle w:val="Hyperlink"/>
            <w:szCs w:val="24"/>
          </w:rPr>
          <w:t>https://www.nhsemployers.org/system/files/2021-06/Addressing-your-gender-pay-gap-guide.pdf</w:t>
        </w:r>
      </w:hyperlink>
      <w:r w:rsidRPr="006718BA">
        <w:rPr>
          <w:szCs w:val="24"/>
        </w:rPr>
        <w:t xml:space="preserve">) This insight has been incorporated into </w:t>
      </w:r>
      <w:r w:rsidR="00A66CB6">
        <w:rPr>
          <w:szCs w:val="24"/>
        </w:rPr>
        <w:t xml:space="preserve">an </w:t>
      </w:r>
      <w:r w:rsidRPr="006718BA">
        <w:rPr>
          <w:szCs w:val="24"/>
        </w:rPr>
        <w:t xml:space="preserve"> EDI action plan, some of which is intersectional, and some of which is specific to addressing the gender pay gap</w:t>
      </w:r>
      <w:r w:rsidR="00EA2A0D" w:rsidRPr="006718BA">
        <w:rPr>
          <w:szCs w:val="24"/>
        </w:rPr>
        <w:t xml:space="preserve"> and can be found in Appendix 1 of this report.</w:t>
      </w:r>
    </w:p>
    <w:p w14:paraId="4299C70F" w14:textId="01EC539E" w:rsidR="00803857" w:rsidRPr="006718BA" w:rsidRDefault="00803857" w:rsidP="00803857">
      <w:pPr>
        <w:rPr>
          <w:szCs w:val="24"/>
        </w:rPr>
      </w:pPr>
      <w:r w:rsidRPr="006718BA">
        <w:rPr>
          <w:szCs w:val="24"/>
        </w:rPr>
        <w:t xml:space="preserve">Solutions to the gender pay gap lie in culture changes both in society and organisations. Social pressures and norms influence gender roles and often shape the types of occupations and careers which men and women follow and therefore their level of pay. </w:t>
      </w:r>
    </w:p>
    <w:p w14:paraId="33E088DB" w14:textId="5D50388C" w:rsidR="00803857" w:rsidRPr="006718BA" w:rsidRDefault="00803857" w:rsidP="00803857">
      <w:pPr>
        <w:rPr>
          <w:szCs w:val="24"/>
        </w:rPr>
      </w:pPr>
      <w:r w:rsidRPr="006718BA">
        <w:rPr>
          <w:szCs w:val="24"/>
        </w:rPr>
        <w:t xml:space="preserve">Nationally most of the issues driving gender pay gaps require a longer - term view. The ICB </w:t>
      </w:r>
      <w:r w:rsidR="008C144A" w:rsidRPr="006718BA">
        <w:rPr>
          <w:szCs w:val="24"/>
        </w:rPr>
        <w:t xml:space="preserve">seeks to address this </w:t>
      </w:r>
      <w:r w:rsidRPr="006718BA">
        <w:rPr>
          <w:szCs w:val="24"/>
        </w:rPr>
        <w:t xml:space="preserve">over time </w:t>
      </w:r>
      <w:r w:rsidR="008C144A" w:rsidRPr="006718BA">
        <w:rPr>
          <w:szCs w:val="24"/>
        </w:rPr>
        <w:t xml:space="preserve">through </w:t>
      </w:r>
      <w:proofErr w:type="spellStart"/>
      <w:proofErr w:type="gramStart"/>
      <w:r w:rsidRPr="006718BA">
        <w:rPr>
          <w:szCs w:val="24"/>
        </w:rPr>
        <w:t>it’s</w:t>
      </w:r>
      <w:proofErr w:type="spellEnd"/>
      <w:proofErr w:type="gramEnd"/>
      <w:r w:rsidRPr="006718BA">
        <w:rPr>
          <w:szCs w:val="24"/>
        </w:rPr>
        <w:t xml:space="preserve"> commitment to fostering inclusion, fairness and flexibility</w:t>
      </w:r>
      <w:r w:rsidR="008C144A" w:rsidRPr="006718BA">
        <w:rPr>
          <w:szCs w:val="24"/>
        </w:rPr>
        <w:t xml:space="preserve">. </w:t>
      </w:r>
      <w:r w:rsidRPr="006718BA">
        <w:rPr>
          <w:szCs w:val="24"/>
        </w:rPr>
        <w:t xml:space="preserve"> </w:t>
      </w:r>
    </w:p>
    <w:p w14:paraId="78D1D8BD" w14:textId="54EE99C0" w:rsidR="00255764" w:rsidRPr="006718BA" w:rsidRDefault="00F60C79" w:rsidP="00255764">
      <w:pPr>
        <w:rPr>
          <w:b/>
          <w:bCs/>
          <w:szCs w:val="24"/>
        </w:rPr>
      </w:pPr>
      <w:r w:rsidRPr="006718BA">
        <w:rPr>
          <w:b/>
          <w:bCs/>
          <w:szCs w:val="24"/>
        </w:rPr>
        <w:t xml:space="preserve">8.0 PAY GAP REPORTING </w:t>
      </w:r>
    </w:p>
    <w:p w14:paraId="574369F1" w14:textId="5E6156CE" w:rsidR="00F60C79" w:rsidRPr="006718BA" w:rsidRDefault="00F60C79" w:rsidP="00F60C79">
      <w:pPr>
        <w:spacing w:after="0"/>
        <w:rPr>
          <w:szCs w:val="24"/>
        </w:rPr>
      </w:pPr>
      <w:r w:rsidRPr="006718BA">
        <w:rPr>
          <w:szCs w:val="24"/>
        </w:rPr>
        <w:t>It is recognised that aside from the gender pay gap, other gaps in pay exist such as for ethnic minorities and disabled people. The NHS Equality Diversity and Inclusion Improvement plan</w:t>
      </w:r>
      <w:r w:rsidR="0000311D" w:rsidRPr="006718BA">
        <w:rPr>
          <w:szCs w:val="24"/>
        </w:rPr>
        <w:t xml:space="preserve">, </w:t>
      </w:r>
      <w:hyperlink r:id="rId21" w:history="1">
        <w:r w:rsidR="0000311D" w:rsidRPr="006718BA">
          <w:rPr>
            <w:color w:val="0000FF"/>
            <w:szCs w:val="24"/>
            <w:u w:val="single"/>
          </w:rPr>
          <w:t>NHS England » NHS equality, diversity, and inclusion improvement plan</w:t>
        </w:r>
      </w:hyperlink>
      <w:r w:rsidR="0000311D" w:rsidRPr="006718BA">
        <w:rPr>
          <w:szCs w:val="24"/>
        </w:rPr>
        <w:t xml:space="preserve"> under High Impact Action 3.2, </w:t>
      </w:r>
      <w:r w:rsidRPr="006718BA">
        <w:rPr>
          <w:szCs w:val="24"/>
        </w:rPr>
        <w:t>has outlined a requirement for NHS</w:t>
      </w:r>
      <w:r w:rsidR="0000311D" w:rsidRPr="006718BA">
        <w:rPr>
          <w:szCs w:val="24"/>
        </w:rPr>
        <w:t xml:space="preserve"> organisations </w:t>
      </w:r>
      <w:r w:rsidRPr="006718BA">
        <w:rPr>
          <w:szCs w:val="24"/>
        </w:rPr>
        <w:t xml:space="preserve"> to carry out pay gap analysis</w:t>
      </w:r>
      <w:r w:rsidR="0000311D" w:rsidRPr="006718BA">
        <w:rPr>
          <w:szCs w:val="24"/>
        </w:rPr>
        <w:t xml:space="preserve"> by protected characteristics and reflecting the maturity of the data sets</w:t>
      </w:r>
      <w:r w:rsidR="00FE23B0" w:rsidRPr="006718BA">
        <w:rPr>
          <w:szCs w:val="24"/>
        </w:rPr>
        <w:t xml:space="preserve"> and to</w:t>
      </w:r>
      <w:r w:rsidR="0000311D" w:rsidRPr="006718BA">
        <w:rPr>
          <w:szCs w:val="24"/>
        </w:rPr>
        <w:t xml:space="preserve"> put plans in place </w:t>
      </w:r>
      <w:r w:rsidRPr="006718BA">
        <w:rPr>
          <w:szCs w:val="24"/>
        </w:rPr>
        <w:t xml:space="preserve">by sex, and race </w:t>
      </w:r>
      <w:r w:rsidR="00CA39E3">
        <w:rPr>
          <w:szCs w:val="24"/>
        </w:rPr>
        <w:t xml:space="preserve">and disability </w:t>
      </w:r>
      <w:r w:rsidRPr="006718BA">
        <w:rPr>
          <w:szCs w:val="24"/>
        </w:rPr>
        <w:t>by 2024, disability by 2025 and by other protected characteristics by 2026</w:t>
      </w:r>
      <w:r w:rsidR="0000311D" w:rsidRPr="006718BA">
        <w:rPr>
          <w:szCs w:val="24"/>
        </w:rPr>
        <w:t>.</w:t>
      </w:r>
    </w:p>
    <w:p w14:paraId="504420A9" w14:textId="77777777" w:rsidR="00F60C79" w:rsidRPr="006718BA" w:rsidRDefault="00F60C79" w:rsidP="00F60C79">
      <w:pPr>
        <w:spacing w:after="0"/>
        <w:rPr>
          <w:szCs w:val="24"/>
        </w:rPr>
      </w:pPr>
    </w:p>
    <w:p w14:paraId="26383EBC" w14:textId="77777777" w:rsidR="00F60C79" w:rsidRPr="006718BA" w:rsidRDefault="00F60C79" w:rsidP="00255764">
      <w:pPr>
        <w:rPr>
          <w:szCs w:val="24"/>
        </w:rPr>
      </w:pPr>
    </w:p>
    <w:p w14:paraId="2574CD43" w14:textId="77777777" w:rsidR="00255764" w:rsidRPr="006718BA" w:rsidRDefault="00255764" w:rsidP="00255764">
      <w:pPr>
        <w:rPr>
          <w:szCs w:val="24"/>
        </w:rPr>
      </w:pPr>
    </w:p>
    <w:p w14:paraId="0CF34DE6" w14:textId="77777777" w:rsidR="00255764" w:rsidRPr="006718BA" w:rsidRDefault="00255764" w:rsidP="00255764">
      <w:pPr>
        <w:pStyle w:val="ListParagraph"/>
        <w:rPr>
          <w:szCs w:val="24"/>
        </w:rPr>
      </w:pPr>
    </w:p>
    <w:p w14:paraId="6D0019C3" w14:textId="77777777" w:rsidR="00255764" w:rsidRPr="006718BA" w:rsidRDefault="00255764" w:rsidP="00255764">
      <w:pPr>
        <w:rPr>
          <w:szCs w:val="24"/>
        </w:rPr>
      </w:pPr>
    </w:p>
    <w:p w14:paraId="37E94A4C" w14:textId="77777777" w:rsidR="00255764" w:rsidRPr="006718BA" w:rsidRDefault="00255764" w:rsidP="00255764">
      <w:pPr>
        <w:rPr>
          <w:szCs w:val="24"/>
        </w:rPr>
      </w:pPr>
    </w:p>
    <w:p w14:paraId="0BD41436" w14:textId="77777777" w:rsidR="00255764" w:rsidRPr="006718BA" w:rsidRDefault="00255764" w:rsidP="00255764">
      <w:pPr>
        <w:rPr>
          <w:szCs w:val="24"/>
        </w:rPr>
      </w:pPr>
    </w:p>
    <w:p w14:paraId="621823D9" w14:textId="77777777" w:rsidR="00255764" w:rsidRPr="006718BA" w:rsidRDefault="00255764" w:rsidP="00255764">
      <w:pPr>
        <w:rPr>
          <w:szCs w:val="24"/>
        </w:rPr>
      </w:pPr>
    </w:p>
    <w:p w14:paraId="49759607" w14:textId="77777777" w:rsidR="00255764" w:rsidRPr="006718BA" w:rsidRDefault="00255764" w:rsidP="002801AC">
      <w:pPr>
        <w:rPr>
          <w:szCs w:val="24"/>
        </w:rPr>
      </w:pPr>
    </w:p>
    <w:p w14:paraId="5B10C51C" w14:textId="54F7B92A" w:rsidR="00290FAF" w:rsidRPr="006718BA" w:rsidRDefault="00290FAF" w:rsidP="008C016A">
      <w:pPr>
        <w:rPr>
          <w:szCs w:val="24"/>
        </w:rPr>
      </w:pPr>
    </w:p>
    <w:sectPr w:rsidR="00290FAF" w:rsidRPr="006718BA" w:rsidSect="008C0EB8">
      <w:headerReference w:type="even" r:id="rId22"/>
      <w:headerReference w:type="default" r:id="rId23"/>
      <w:footerReference w:type="even" r:id="rId24"/>
      <w:footerReference w:type="default" r:id="rId25"/>
      <w:headerReference w:type="first" r:id="rId26"/>
      <w:footerReference w:type="first" r:id="rId27"/>
      <w:pgSz w:w="11900" w:h="16820"/>
      <w:pgMar w:top="1134"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7CEA" w14:textId="77777777" w:rsidR="00ED0A4E" w:rsidRDefault="00ED0A4E" w:rsidP="00A12259">
      <w:pPr>
        <w:spacing w:after="0"/>
      </w:pPr>
      <w:r>
        <w:separator/>
      </w:r>
    </w:p>
  </w:endnote>
  <w:endnote w:type="continuationSeparator" w:id="0">
    <w:p w14:paraId="476B575A" w14:textId="77777777" w:rsidR="00ED0A4E" w:rsidRDefault="00ED0A4E" w:rsidP="00A12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16A6" w14:textId="77777777" w:rsidR="005A7D31" w:rsidRDefault="005A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704834"/>
      <w:docPartObj>
        <w:docPartGallery w:val="Page Numbers (Bottom of Page)"/>
        <w:docPartUnique/>
      </w:docPartObj>
    </w:sdtPr>
    <w:sdtEndPr>
      <w:rPr>
        <w:noProof/>
      </w:rPr>
    </w:sdtEndPr>
    <w:sdtContent>
      <w:p w14:paraId="79355B87" w14:textId="7E5BE4DF" w:rsidR="00BD6D9E" w:rsidRDefault="00BD6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8F543" w14:textId="3262F8B9" w:rsidR="004F7730" w:rsidRPr="00A12259" w:rsidRDefault="004F7730" w:rsidP="00A12259">
    <w:pPr>
      <w:pStyle w:val="Footer"/>
      <w:jc w:val="right"/>
      <w:rPr>
        <w:color w:val="aut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5B11" w14:textId="77777777" w:rsidR="005A7D31" w:rsidRDefault="005A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05AC" w14:textId="77777777" w:rsidR="00ED0A4E" w:rsidRDefault="00ED0A4E" w:rsidP="00A12259">
      <w:pPr>
        <w:spacing w:after="0"/>
      </w:pPr>
      <w:r>
        <w:separator/>
      </w:r>
    </w:p>
  </w:footnote>
  <w:footnote w:type="continuationSeparator" w:id="0">
    <w:p w14:paraId="090AA83D" w14:textId="77777777" w:rsidR="00ED0A4E" w:rsidRDefault="00ED0A4E" w:rsidP="00A122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AD6F" w14:textId="77777777" w:rsidR="005A7D31" w:rsidRDefault="005A7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40F" w14:textId="75FF937B" w:rsidR="0055277D" w:rsidRDefault="00552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CA53" w14:textId="77777777" w:rsidR="005A7D31" w:rsidRDefault="005A7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BC"/>
    <w:multiLevelType w:val="hybridMultilevel"/>
    <w:tmpl w:val="64D23F4E"/>
    <w:lvl w:ilvl="0" w:tplc="D0F853A2">
      <w:start w:val="2"/>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95526FC"/>
    <w:multiLevelType w:val="hybridMultilevel"/>
    <w:tmpl w:val="88F6C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642742"/>
    <w:multiLevelType w:val="hybridMultilevel"/>
    <w:tmpl w:val="D312EB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3087C"/>
    <w:multiLevelType w:val="multilevel"/>
    <w:tmpl w:val="8078186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3C75294"/>
    <w:multiLevelType w:val="multilevel"/>
    <w:tmpl w:val="84E8551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CED45D9"/>
    <w:multiLevelType w:val="multilevel"/>
    <w:tmpl w:val="DD62A7D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8172D"/>
    <w:multiLevelType w:val="hybridMultilevel"/>
    <w:tmpl w:val="994442DA"/>
    <w:lvl w:ilvl="0" w:tplc="D0F853A2">
      <w:start w:val="2"/>
      <w:numFmt w:val="bullet"/>
      <w:lvlText w:val="•"/>
      <w:lvlJc w:val="left"/>
      <w:pPr>
        <w:ind w:left="487" w:hanging="360"/>
      </w:pPr>
      <w:rPr>
        <w:rFonts w:ascii="Arial" w:eastAsia="Calibri" w:hAnsi="Arial" w:cs="Aria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7" w15:restartNumberingAfterBreak="0">
    <w:nsid w:val="3CC46A8C"/>
    <w:multiLevelType w:val="hybridMultilevel"/>
    <w:tmpl w:val="05E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3440C"/>
    <w:multiLevelType w:val="multilevel"/>
    <w:tmpl w:val="06F65196"/>
    <w:lvl w:ilvl="0">
      <w:start w:val="1"/>
      <w:numFmt w:val="decimal"/>
      <w:pStyle w:val="Heading1"/>
      <w:lvlText w:val="%1."/>
      <w:lvlJc w:val="left"/>
      <w:pPr>
        <w:ind w:left="432" w:hanging="432"/>
      </w:pPr>
      <w:rPr>
        <w:rFonts w:hint="default"/>
      </w:rPr>
    </w:lvl>
    <w:lvl w:ilvl="1">
      <w:start w:val="3"/>
      <w:numFmt w:val="decimal"/>
      <w:pStyle w:val="Heading2"/>
      <w:lvlText w:val="%1.%2"/>
      <w:lvlJc w:val="left"/>
      <w:pPr>
        <w:ind w:left="93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0165A6E"/>
    <w:multiLevelType w:val="hybridMultilevel"/>
    <w:tmpl w:val="01F6AED8"/>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7A55DB"/>
    <w:multiLevelType w:val="hybridMultilevel"/>
    <w:tmpl w:val="7718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60A57"/>
    <w:multiLevelType w:val="multilevel"/>
    <w:tmpl w:val="964C6B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463CA5"/>
    <w:multiLevelType w:val="multilevel"/>
    <w:tmpl w:val="F61A0926"/>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CB4FC1"/>
    <w:multiLevelType w:val="multilevel"/>
    <w:tmpl w:val="C82EFFC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C03BC8"/>
    <w:multiLevelType w:val="hybridMultilevel"/>
    <w:tmpl w:val="45F8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81D64"/>
    <w:multiLevelType w:val="hybridMultilevel"/>
    <w:tmpl w:val="96E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9137EF"/>
    <w:multiLevelType w:val="hybridMultilevel"/>
    <w:tmpl w:val="36EC5B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7237170">
    <w:abstractNumId w:val="15"/>
  </w:num>
  <w:num w:numId="2" w16cid:durableId="1275288087">
    <w:abstractNumId w:val="14"/>
  </w:num>
  <w:num w:numId="3" w16cid:durableId="712658013">
    <w:abstractNumId w:val="10"/>
  </w:num>
  <w:num w:numId="4" w16cid:durableId="21712534">
    <w:abstractNumId w:val="5"/>
  </w:num>
  <w:num w:numId="5" w16cid:durableId="1241982171">
    <w:abstractNumId w:val="12"/>
  </w:num>
  <w:num w:numId="6" w16cid:durableId="890531531">
    <w:abstractNumId w:val="6"/>
  </w:num>
  <w:num w:numId="7" w16cid:durableId="1307390288">
    <w:abstractNumId w:val="0"/>
  </w:num>
  <w:num w:numId="8" w16cid:durableId="26293579">
    <w:abstractNumId w:val="2"/>
  </w:num>
  <w:num w:numId="9" w16cid:durableId="2048873128">
    <w:abstractNumId w:val="7"/>
  </w:num>
  <w:num w:numId="10" w16cid:durableId="1057584108">
    <w:abstractNumId w:val="1"/>
  </w:num>
  <w:num w:numId="11" w16cid:durableId="95101803">
    <w:abstractNumId w:val="16"/>
  </w:num>
  <w:num w:numId="12" w16cid:durableId="580680472">
    <w:abstractNumId w:val="8"/>
  </w:num>
  <w:num w:numId="13" w16cid:durableId="720249606">
    <w:abstractNumId w:val="4"/>
  </w:num>
  <w:num w:numId="14" w16cid:durableId="432943414">
    <w:abstractNumId w:val="11"/>
  </w:num>
  <w:num w:numId="15" w16cid:durableId="317226736">
    <w:abstractNumId w:val="13"/>
  </w:num>
  <w:num w:numId="16" w16cid:durableId="28726497">
    <w:abstractNumId w:val="3"/>
  </w:num>
  <w:num w:numId="17" w16cid:durableId="9145126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311D"/>
    <w:rsid w:val="00003D63"/>
    <w:rsid w:val="00007950"/>
    <w:rsid w:val="000102CB"/>
    <w:rsid w:val="000126CA"/>
    <w:rsid w:val="00015D16"/>
    <w:rsid w:val="00024124"/>
    <w:rsid w:val="00031365"/>
    <w:rsid w:val="000362D0"/>
    <w:rsid w:val="000401A0"/>
    <w:rsid w:val="00045447"/>
    <w:rsid w:val="00053589"/>
    <w:rsid w:val="00080753"/>
    <w:rsid w:val="00080DB1"/>
    <w:rsid w:val="00085A14"/>
    <w:rsid w:val="00085A81"/>
    <w:rsid w:val="000977DA"/>
    <w:rsid w:val="000A2C91"/>
    <w:rsid w:val="000B2B84"/>
    <w:rsid w:val="000B532A"/>
    <w:rsid w:val="000B6058"/>
    <w:rsid w:val="000E0313"/>
    <w:rsid w:val="000E184D"/>
    <w:rsid w:val="000E54A7"/>
    <w:rsid w:val="000E6CE5"/>
    <w:rsid w:val="000F769B"/>
    <w:rsid w:val="0010393E"/>
    <w:rsid w:val="0010586B"/>
    <w:rsid w:val="00117908"/>
    <w:rsid w:val="00117C61"/>
    <w:rsid w:val="00124868"/>
    <w:rsid w:val="00135B92"/>
    <w:rsid w:val="00137550"/>
    <w:rsid w:val="001422EE"/>
    <w:rsid w:val="00143BB3"/>
    <w:rsid w:val="001774D9"/>
    <w:rsid w:val="00185098"/>
    <w:rsid w:val="00186878"/>
    <w:rsid w:val="001923D4"/>
    <w:rsid w:val="001A0239"/>
    <w:rsid w:val="001A3246"/>
    <w:rsid w:val="001B1EF2"/>
    <w:rsid w:val="001B25C2"/>
    <w:rsid w:val="001B4F6E"/>
    <w:rsid w:val="001C09DB"/>
    <w:rsid w:val="001C4533"/>
    <w:rsid w:val="001E2CF7"/>
    <w:rsid w:val="001E7460"/>
    <w:rsid w:val="001F487C"/>
    <w:rsid w:val="00204AC7"/>
    <w:rsid w:val="0021269C"/>
    <w:rsid w:val="00221680"/>
    <w:rsid w:val="002415F0"/>
    <w:rsid w:val="00252713"/>
    <w:rsid w:val="00252DB2"/>
    <w:rsid w:val="0025572F"/>
    <w:rsid w:val="00255764"/>
    <w:rsid w:val="002565F7"/>
    <w:rsid w:val="00270E1F"/>
    <w:rsid w:val="002801AC"/>
    <w:rsid w:val="00285619"/>
    <w:rsid w:val="00290FAF"/>
    <w:rsid w:val="002941E7"/>
    <w:rsid w:val="002B3DF7"/>
    <w:rsid w:val="002B422D"/>
    <w:rsid w:val="002B7229"/>
    <w:rsid w:val="002C3737"/>
    <w:rsid w:val="002D4B02"/>
    <w:rsid w:val="002D4BC5"/>
    <w:rsid w:val="002D7FCB"/>
    <w:rsid w:val="002E50F3"/>
    <w:rsid w:val="002E7C5C"/>
    <w:rsid w:val="00326468"/>
    <w:rsid w:val="00326FBF"/>
    <w:rsid w:val="00335BF6"/>
    <w:rsid w:val="003419C9"/>
    <w:rsid w:val="00344E60"/>
    <w:rsid w:val="00350962"/>
    <w:rsid w:val="00355FA5"/>
    <w:rsid w:val="00357B23"/>
    <w:rsid w:val="00362E57"/>
    <w:rsid w:val="00363862"/>
    <w:rsid w:val="00365D94"/>
    <w:rsid w:val="003728AB"/>
    <w:rsid w:val="003735D4"/>
    <w:rsid w:val="003768DE"/>
    <w:rsid w:val="0037732B"/>
    <w:rsid w:val="00386180"/>
    <w:rsid w:val="00390986"/>
    <w:rsid w:val="003B2F18"/>
    <w:rsid w:val="003C0836"/>
    <w:rsid w:val="003C09CB"/>
    <w:rsid w:val="003C398E"/>
    <w:rsid w:val="003D47EE"/>
    <w:rsid w:val="003F6485"/>
    <w:rsid w:val="004012CC"/>
    <w:rsid w:val="004014BC"/>
    <w:rsid w:val="00401E34"/>
    <w:rsid w:val="0040741F"/>
    <w:rsid w:val="004159D1"/>
    <w:rsid w:val="00437E63"/>
    <w:rsid w:val="00440CFB"/>
    <w:rsid w:val="00452587"/>
    <w:rsid w:val="004576C7"/>
    <w:rsid w:val="0046152F"/>
    <w:rsid w:val="00463C68"/>
    <w:rsid w:val="00466779"/>
    <w:rsid w:val="00481EC7"/>
    <w:rsid w:val="004874A0"/>
    <w:rsid w:val="0049270B"/>
    <w:rsid w:val="00496429"/>
    <w:rsid w:val="004A4AF8"/>
    <w:rsid w:val="004A4FEF"/>
    <w:rsid w:val="004A6F2B"/>
    <w:rsid w:val="004B2C08"/>
    <w:rsid w:val="004C16F5"/>
    <w:rsid w:val="004C1D3E"/>
    <w:rsid w:val="004C1F76"/>
    <w:rsid w:val="004E00E6"/>
    <w:rsid w:val="004E7F91"/>
    <w:rsid w:val="004F1273"/>
    <w:rsid w:val="004F53DC"/>
    <w:rsid w:val="004F64F9"/>
    <w:rsid w:val="004F7730"/>
    <w:rsid w:val="00512578"/>
    <w:rsid w:val="00512585"/>
    <w:rsid w:val="00521467"/>
    <w:rsid w:val="00524AAC"/>
    <w:rsid w:val="00524FEE"/>
    <w:rsid w:val="00525902"/>
    <w:rsid w:val="00545F1F"/>
    <w:rsid w:val="00551939"/>
    <w:rsid w:val="0055277D"/>
    <w:rsid w:val="00564BB5"/>
    <w:rsid w:val="00566BDC"/>
    <w:rsid w:val="005719FF"/>
    <w:rsid w:val="00583B4F"/>
    <w:rsid w:val="005A6CEB"/>
    <w:rsid w:val="005A7D31"/>
    <w:rsid w:val="005E2AD9"/>
    <w:rsid w:val="005F097A"/>
    <w:rsid w:val="005F1F08"/>
    <w:rsid w:val="005F601B"/>
    <w:rsid w:val="005F6881"/>
    <w:rsid w:val="00604AF1"/>
    <w:rsid w:val="00606936"/>
    <w:rsid w:val="00616D70"/>
    <w:rsid w:val="0062490F"/>
    <w:rsid w:val="00634CC3"/>
    <w:rsid w:val="006353ED"/>
    <w:rsid w:val="006500B1"/>
    <w:rsid w:val="0066651D"/>
    <w:rsid w:val="00666FC2"/>
    <w:rsid w:val="00670BD5"/>
    <w:rsid w:val="006718BA"/>
    <w:rsid w:val="00683916"/>
    <w:rsid w:val="0069510B"/>
    <w:rsid w:val="006A6480"/>
    <w:rsid w:val="006B1E93"/>
    <w:rsid w:val="006B4085"/>
    <w:rsid w:val="006C125A"/>
    <w:rsid w:val="006C46DB"/>
    <w:rsid w:val="006C4C28"/>
    <w:rsid w:val="006E264B"/>
    <w:rsid w:val="006E3574"/>
    <w:rsid w:val="006F51F1"/>
    <w:rsid w:val="007033D2"/>
    <w:rsid w:val="00715901"/>
    <w:rsid w:val="00724D59"/>
    <w:rsid w:val="007543B6"/>
    <w:rsid w:val="0076432D"/>
    <w:rsid w:val="00793803"/>
    <w:rsid w:val="0079619F"/>
    <w:rsid w:val="007961CF"/>
    <w:rsid w:val="00797622"/>
    <w:rsid w:val="007A60DC"/>
    <w:rsid w:val="007A7074"/>
    <w:rsid w:val="007B5BCD"/>
    <w:rsid w:val="007C0DA8"/>
    <w:rsid w:val="007C2687"/>
    <w:rsid w:val="007C42B9"/>
    <w:rsid w:val="007D0A42"/>
    <w:rsid w:val="007E0BE6"/>
    <w:rsid w:val="007E2053"/>
    <w:rsid w:val="007E630F"/>
    <w:rsid w:val="007E6C03"/>
    <w:rsid w:val="00803857"/>
    <w:rsid w:val="008041F7"/>
    <w:rsid w:val="008133A3"/>
    <w:rsid w:val="00817679"/>
    <w:rsid w:val="0084138B"/>
    <w:rsid w:val="00841B60"/>
    <w:rsid w:val="008448E1"/>
    <w:rsid w:val="00845B61"/>
    <w:rsid w:val="00850F88"/>
    <w:rsid w:val="008601C9"/>
    <w:rsid w:val="00863EF6"/>
    <w:rsid w:val="00864DEE"/>
    <w:rsid w:val="00880A70"/>
    <w:rsid w:val="00880E9F"/>
    <w:rsid w:val="00884D3A"/>
    <w:rsid w:val="00891BEF"/>
    <w:rsid w:val="008A6FA7"/>
    <w:rsid w:val="008C016A"/>
    <w:rsid w:val="008C0EB8"/>
    <w:rsid w:val="008C144A"/>
    <w:rsid w:val="008C3542"/>
    <w:rsid w:val="008C54B1"/>
    <w:rsid w:val="008D031A"/>
    <w:rsid w:val="008D4F11"/>
    <w:rsid w:val="008E6342"/>
    <w:rsid w:val="0090276F"/>
    <w:rsid w:val="0090591F"/>
    <w:rsid w:val="00907BD9"/>
    <w:rsid w:val="009124AF"/>
    <w:rsid w:val="00912DAF"/>
    <w:rsid w:val="00912FC7"/>
    <w:rsid w:val="0091620B"/>
    <w:rsid w:val="00926F04"/>
    <w:rsid w:val="009369E8"/>
    <w:rsid w:val="00953BDC"/>
    <w:rsid w:val="00953DC4"/>
    <w:rsid w:val="00955A3C"/>
    <w:rsid w:val="00957364"/>
    <w:rsid w:val="00957405"/>
    <w:rsid w:val="00963148"/>
    <w:rsid w:val="00970410"/>
    <w:rsid w:val="00973D19"/>
    <w:rsid w:val="009B2AB8"/>
    <w:rsid w:val="009C1DDE"/>
    <w:rsid w:val="009E4C2B"/>
    <w:rsid w:val="009E6602"/>
    <w:rsid w:val="009F009F"/>
    <w:rsid w:val="00A013F5"/>
    <w:rsid w:val="00A07AA3"/>
    <w:rsid w:val="00A12259"/>
    <w:rsid w:val="00A21674"/>
    <w:rsid w:val="00A254FE"/>
    <w:rsid w:val="00A304AD"/>
    <w:rsid w:val="00A3082E"/>
    <w:rsid w:val="00A53475"/>
    <w:rsid w:val="00A615CD"/>
    <w:rsid w:val="00A61926"/>
    <w:rsid w:val="00A66CB6"/>
    <w:rsid w:val="00A83562"/>
    <w:rsid w:val="00A90438"/>
    <w:rsid w:val="00A928F1"/>
    <w:rsid w:val="00A962A9"/>
    <w:rsid w:val="00AA3AEA"/>
    <w:rsid w:val="00AB3DDF"/>
    <w:rsid w:val="00AB5986"/>
    <w:rsid w:val="00AC1E27"/>
    <w:rsid w:val="00AC22C8"/>
    <w:rsid w:val="00AC772A"/>
    <w:rsid w:val="00AD0594"/>
    <w:rsid w:val="00AD0682"/>
    <w:rsid w:val="00AD201E"/>
    <w:rsid w:val="00AD57E3"/>
    <w:rsid w:val="00AE1D23"/>
    <w:rsid w:val="00AE7626"/>
    <w:rsid w:val="00AF0905"/>
    <w:rsid w:val="00AF316A"/>
    <w:rsid w:val="00AF4C41"/>
    <w:rsid w:val="00AF7B4D"/>
    <w:rsid w:val="00B0337D"/>
    <w:rsid w:val="00B1044C"/>
    <w:rsid w:val="00B164D3"/>
    <w:rsid w:val="00B263D3"/>
    <w:rsid w:val="00B37D2F"/>
    <w:rsid w:val="00B54F47"/>
    <w:rsid w:val="00B57979"/>
    <w:rsid w:val="00B57DC7"/>
    <w:rsid w:val="00B61F80"/>
    <w:rsid w:val="00B632C8"/>
    <w:rsid w:val="00B66D5E"/>
    <w:rsid w:val="00B764A0"/>
    <w:rsid w:val="00B81B0E"/>
    <w:rsid w:val="00B91D67"/>
    <w:rsid w:val="00B927F8"/>
    <w:rsid w:val="00B9579C"/>
    <w:rsid w:val="00BA1EE7"/>
    <w:rsid w:val="00BA2E3F"/>
    <w:rsid w:val="00BA7EED"/>
    <w:rsid w:val="00BC2195"/>
    <w:rsid w:val="00BD03D7"/>
    <w:rsid w:val="00BD22BF"/>
    <w:rsid w:val="00BD6B55"/>
    <w:rsid w:val="00BD6D9E"/>
    <w:rsid w:val="00BD706C"/>
    <w:rsid w:val="00BE31DC"/>
    <w:rsid w:val="00BE5539"/>
    <w:rsid w:val="00BE579C"/>
    <w:rsid w:val="00BE6BE4"/>
    <w:rsid w:val="00BE7C57"/>
    <w:rsid w:val="00BF503B"/>
    <w:rsid w:val="00BF6B76"/>
    <w:rsid w:val="00C00E2C"/>
    <w:rsid w:val="00C047A7"/>
    <w:rsid w:val="00C056C9"/>
    <w:rsid w:val="00C10C27"/>
    <w:rsid w:val="00C134E9"/>
    <w:rsid w:val="00C14209"/>
    <w:rsid w:val="00C20147"/>
    <w:rsid w:val="00C21C0A"/>
    <w:rsid w:val="00C260A2"/>
    <w:rsid w:val="00C3298A"/>
    <w:rsid w:val="00C36312"/>
    <w:rsid w:val="00C40E45"/>
    <w:rsid w:val="00C4131D"/>
    <w:rsid w:val="00C448EC"/>
    <w:rsid w:val="00C45DC7"/>
    <w:rsid w:val="00C46301"/>
    <w:rsid w:val="00C466D5"/>
    <w:rsid w:val="00C601B2"/>
    <w:rsid w:val="00C62E05"/>
    <w:rsid w:val="00C666A3"/>
    <w:rsid w:val="00C75C77"/>
    <w:rsid w:val="00C75F7D"/>
    <w:rsid w:val="00C760C9"/>
    <w:rsid w:val="00C8182E"/>
    <w:rsid w:val="00C86B0B"/>
    <w:rsid w:val="00C9073B"/>
    <w:rsid w:val="00C91668"/>
    <w:rsid w:val="00C92FBE"/>
    <w:rsid w:val="00C93A97"/>
    <w:rsid w:val="00CA24E7"/>
    <w:rsid w:val="00CA39E3"/>
    <w:rsid w:val="00CA5993"/>
    <w:rsid w:val="00CC4003"/>
    <w:rsid w:val="00CC73F9"/>
    <w:rsid w:val="00CD5926"/>
    <w:rsid w:val="00CE473E"/>
    <w:rsid w:val="00D00B1F"/>
    <w:rsid w:val="00D05ADC"/>
    <w:rsid w:val="00D164AE"/>
    <w:rsid w:val="00D20CEA"/>
    <w:rsid w:val="00D230F5"/>
    <w:rsid w:val="00D3640A"/>
    <w:rsid w:val="00D365A8"/>
    <w:rsid w:val="00D4629C"/>
    <w:rsid w:val="00D53F32"/>
    <w:rsid w:val="00D555F9"/>
    <w:rsid w:val="00D619F8"/>
    <w:rsid w:val="00D62417"/>
    <w:rsid w:val="00D64FFF"/>
    <w:rsid w:val="00D90441"/>
    <w:rsid w:val="00D92EA8"/>
    <w:rsid w:val="00DA55E6"/>
    <w:rsid w:val="00DB29AB"/>
    <w:rsid w:val="00DB70CD"/>
    <w:rsid w:val="00DD67FF"/>
    <w:rsid w:val="00DD6BEA"/>
    <w:rsid w:val="00DE0575"/>
    <w:rsid w:val="00DE2102"/>
    <w:rsid w:val="00E02119"/>
    <w:rsid w:val="00E02173"/>
    <w:rsid w:val="00E07045"/>
    <w:rsid w:val="00E072B1"/>
    <w:rsid w:val="00E22336"/>
    <w:rsid w:val="00E23F16"/>
    <w:rsid w:val="00E24F65"/>
    <w:rsid w:val="00E27D19"/>
    <w:rsid w:val="00E3188D"/>
    <w:rsid w:val="00E3576D"/>
    <w:rsid w:val="00E3617B"/>
    <w:rsid w:val="00E4156D"/>
    <w:rsid w:val="00E43B29"/>
    <w:rsid w:val="00E54938"/>
    <w:rsid w:val="00E60EF3"/>
    <w:rsid w:val="00E71321"/>
    <w:rsid w:val="00E713C7"/>
    <w:rsid w:val="00E750DE"/>
    <w:rsid w:val="00E87DDE"/>
    <w:rsid w:val="00E93ED7"/>
    <w:rsid w:val="00EA27E3"/>
    <w:rsid w:val="00EA2A0D"/>
    <w:rsid w:val="00EB635C"/>
    <w:rsid w:val="00EC02C2"/>
    <w:rsid w:val="00ED0A4E"/>
    <w:rsid w:val="00ED63A7"/>
    <w:rsid w:val="00EF653F"/>
    <w:rsid w:val="00EF7B3B"/>
    <w:rsid w:val="00F02345"/>
    <w:rsid w:val="00F07B5F"/>
    <w:rsid w:val="00F12D21"/>
    <w:rsid w:val="00F1650F"/>
    <w:rsid w:val="00F35DCB"/>
    <w:rsid w:val="00F40061"/>
    <w:rsid w:val="00F43E49"/>
    <w:rsid w:val="00F4644B"/>
    <w:rsid w:val="00F52381"/>
    <w:rsid w:val="00F60C79"/>
    <w:rsid w:val="00F611A4"/>
    <w:rsid w:val="00F62658"/>
    <w:rsid w:val="00F75B80"/>
    <w:rsid w:val="00F76790"/>
    <w:rsid w:val="00F826D6"/>
    <w:rsid w:val="00F91CF8"/>
    <w:rsid w:val="00F9295E"/>
    <w:rsid w:val="00F93468"/>
    <w:rsid w:val="00FA4001"/>
    <w:rsid w:val="00FA5C25"/>
    <w:rsid w:val="00FB1580"/>
    <w:rsid w:val="00FB2CFE"/>
    <w:rsid w:val="00FB2D07"/>
    <w:rsid w:val="00FB76C8"/>
    <w:rsid w:val="00FC676B"/>
    <w:rsid w:val="00FD7B0B"/>
    <w:rsid w:val="00FE23B0"/>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BDB54"/>
  <w15:docId w15:val="{A0E0E0D4-9716-477D-A463-7312A071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45"/>
    <w:pPr>
      <w:spacing w:after="200"/>
    </w:pPr>
    <w:rPr>
      <w:color w:val="000000" w:themeColor="text1"/>
      <w:sz w:val="24"/>
      <w:szCs w:val="22"/>
      <w:lang w:eastAsia="en-US"/>
    </w:rPr>
  </w:style>
  <w:style w:type="paragraph" w:styleId="Heading1">
    <w:name w:val="heading 1"/>
    <w:basedOn w:val="Normal"/>
    <w:next w:val="Normal"/>
    <w:link w:val="Heading1Char"/>
    <w:uiPriority w:val="9"/>
    <w:qFormat/>
    <w:rsid w:val="00452587"/>
    <w:pPr>
      <w:keepNext/>
      <w:keepLines/>
      <w:numPr>
        <w:numId w:val="12"/>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52587"/>
    <w:pPr>
      <w:keepNext/>
      <w:keepLines/>
      <w:numPr>
        <w:ilvl w:val="1"/>
        <w:numId w:val="12"/>
      </w:numPr>
      <w:spacing w:before="120" w:after="120"/>
      <w:ind w:left="576"/>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452587"/>
    <w:pPr>
      <w:keepNext/>
      <w:keepLines/>
      <w:numPr>
        <w:ilvl w:val="2"/>
        <w:numId w:val="12"/>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452587"/>
    <w:pPr>
      <w:keepNext/>
      <w:numPr>
        <w:ilvl w:val="3"/>
        <w:numId w:val="12"/>
      </w:numPr>
      <w:spacing w:after="0"/>
      <w:jc w:val="both"/>
      <w:outlineLvl w:val="3"/>
    </w:pPr>
    <w:rPr>
      <w:rFonts w:ascii="Times New Roman" w:eastAsia="Times New Roman" w:hAnsi="Times New Roman" w:cs="Times New Roman"/>
      <w:b/>
      <w:bCs/>
      <w:color w:val="auto"/>
      <w:szCs w:val="24"/>
    </w:rPr>
  </w:style>
  <w:style w:type="paragraph" w:styleId="Heading5">
    <w:name w:val="heading 5"/>
    <w:basedOn w:val="Normal"/>
    <w:next w:val="Normal"/>
    <w:link w:val="Heading5Char"/>
    <w:qFormat/>
    <w:rsid w:val="00452587"/>
    <w:pPr>
      <w:keepNext/>
      <w:numPr>
        <w:ilvl w:val="4"/>
        <w:numId w:val="12"/>
      </w:numPr>
      <w:spacing w:after="0"/>
      <w:jc w:val="both"/>
      <w:outlineLvl w:val="4"/>
    </w:pPr>
    <w:rPr>
      <w:rFonts w:eastAsia="Times New Roman"/>
      <w:b/>
      <w:bCs/>
      <w:color w:val="auto"/>
      <w:szCs w:val="24"/>
    </w:rPr>
  </w:style>
  <w:style w:type="paragraph" w:styleId="Heading6">
    <w:name w:val="heading 6"/>
    <w:basedOn w:val="Normal"/>
    <w:next w:val="Normal"/>
    <w:link w:val="Heading6Char"/>
    <w:uiPriority w:val="9"/>
    <w:semiHidden/>
    <w:unhideWhenUsed/>
    <w:qFormat/>
    <w:rsid w:val="00452587"/>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2587"/>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258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258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ind w:left="-720"/>
      <w:jc w:val="both"/>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pPr>
  </w:style>
  <w:style w:type="character" w:customStyle="1" w:styleId="FooterChar">
    <w:name w:val="Footer Char"/>
    <w:basedOn w:val="DefaultParagraphFont"/>
    <w:link w:val="Footer"/>
    <w:uiPriority w:val="99"/>
    <w:rsid w:val="00A12259"/>
    <w:rPr>
      <w:color w:val="FF0000"/>
      <w:sz w:val="22"/>
      <w:szCs w:val="22"/>
      <w:lang w:eastAsia="en-US"/>
    </w:rPr>
  </w:style>
  <w:style w:type="paragraph" w:customStyle="1" w:styleId="Default">
    <w:name w:val="Default"/>
    <w:rsid w:val="004C1D3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semiHidden/>
    <w:unhideWhenUsed/>
    <w:rsid w:val="00F1650F"/>
    <w:rPr>
      <w:sz w:val="16"/>
      <w:szCs w:val="16"/>
    </w:rPr>
  </w:style>
  <w:style w:type="paragraph" w:styleId="CommentText">
    <w:name w:val="annotation text"/>
    <w:basedOn w:val="Normal"/>
    <w:link w:val="CommentTextChar"/>
    <w:uiPriority w:val="99"/>
    <w:unhideWhenUsed/>
    <w:rsid w:val="00F1650F"/>
    <w:rPr>
      <w:sz w:val="20"/>
      <w:szCs w:val="20"/>
    </w:rPr>
  </w:style>
  <w:style w:type="character" w:customStyle="1" w:styleId="CommentTextChar">
    <w:name w:val="Comment Text Char"/>
    <w:basedOn w:val="DefaultParagraphFont"/>
    <w:link w:val="CommentText"/>
    <w:uiPriority w:val="99"/>
    <w:rsid w:val="00F1650F"/>
    <w:rPr>
      <w:color w:val="FF0000"/>
      <w:lang w:eastAsia="en-US"/>
    </w:rPr>
  </w:style>
  <w:style w:type="paragraph" w:styleId="CommentSubject">
    <w:name w:val="annotation subject"/>
    <w:basedOn w:val="CommentText"/>
    <w:next w:val="CommentText"/>
    <w:link w:val="CommentSubjectChar"/>
    <w:uiPriority w:val="99"/>
    <w:semiHidden/>
    <w:unhideWhenUsed/>
    <w:rsid w:val="00F1650F"/>
    <w:rPr>
      <w:b/>
      <w:bCs/>
    </w:rPr>
  </w:style>
  <w:style w:type="character" w:customStyle="1" w:styleId="CommentSubjectChar">
    <w:name w:val="Comment Subject Char"/>
    <w:basedOn w:val="CommentTextChar"/>
    <w:link w:val="CommentSubject"/>
    <w:uiPriority w:val="99"/>
    <w:semiHidden/>
    <w:rsid w:val="00F1650F"/>
    <w:rPr>
      <w:b/>
      <w:bCs/>
      <w:color w:val="FF0000"/>
      <w:lang w:eastAsia="en-US"/>
    </w:rPr>
  </w:style>
  <w:style w:type="paragraph" w:styleId="NormalWeb">
    <w:name w:val="Normal (Web)"/>
    <w:basedOn w:val="Normal"/>
    <w:uiPriority w:val="99"/>
    <w:unhideWhenUsed/>
    <w:rsid w:val="00015D16"/>
    <w:pPr>
      <w:spacing w:before="100" w:beforeAutospacing="1" w:after="100" w:afterAutospacing="1"/>
    </w:pPr>
    <w:rPr>
      <w:rFonts w:ascii="Times New Roman" w:eastAsia="Times New Roman" w:hAnsi="Times New Roman" w:cs="Times New Roman"/>
      <w:color w:val="auto"/>
      <w:szCs w:val="24"/>
      <w:lang w:eastAsia="en-GB"/>
    </w:rPr>
  </w:style>
  <w:style w:type="character" w:styleId="Hyperlink">
    <w:name w:val="Hyperlink"/>
    <w:basedOn w:val="DefaultParagraphFont"/>
    <w:uiPriority w:val="99"/>
    <w:unhideWhenUsed/>
    <w:rsid w:val="002941E7"/>
    <w:rPr>
      <w:color w:val="0000FF"/>
      <w:u w:val="single"/>
    </w:rPr>
  </w:style>
  <w:style w:type="character" w:customStyle="1" w:styleId="UnresolvedMention1">
    <w:name w:val="Unresolved Mention1"/>
    <w:basedOn w:val="DefaultParagraphFont"/>
    <w:uiPriority w:val="99"/>
    <w:semiHidden/>
    <w:unhideWhenUsed/>
    <w:rsid w:val="009124AF"/>
    <w:rPr>
      <w:color w:val="605E5C"/>
      <w:shd w:val="clear" w:color="auto" w:fill="E1DFDD"/>
    </w:rPr>
  </w:style>
  <w:style w:type="paragraph" w:styleId="Revision">
    <w:name w:val="Revision"/>
    <w:hidden/>
    <w:uiPriority w:val="99"/>
    <w:semiHidden/>
    <w:rsid w:val="00B57DC7"/>
    <w:rPr>
      <w:color w:val="FF0000"/>
      <w:sz w:val="22"/>
      <w:szCs w:val="22"/>
      <w:lang w:eastAsia="en-US"/>
    </w:rPr>
  </w:style>
  <w:style w:type="character" w:customStyle="1" w:styleId="UnresolvedMention2">
    <w:name w:val="Unresolved Mention2"/>
    <w:basedOn w:val="DefaultParagraphFont"/>
    <w:uiPriority w:val="99"/>
    <w:semiHidden/>
    <w:unhideWhenUsed/>
    <w:rsid w:val="00AA3AEA"/>
    <w:rPr>
      <w:color w:val="605E5C"/>
      <w:shd w:val="clear" w:color="auto" w:fill="E1DFDD"/>
    </w:rPr>
  </w:style>
  <w:style w:type="paragraph" w:styleId="FootnoteText">
    <w:name w:val="footnote text"/>
    <w:basedOn w:val="Normal"/>
    <w:link w:val="FootnoteTextChar"/>
    <w:uiPriority w:val="99"/>
    <w:semiHidden/>
    <w:unhideWhenUsed/>
    <w:rsid w:val="00C047A7"/>
    <w:pPr>
      <w:spacing w:after="0"/>
    </w:pPr>
    <w:rPr>
      <w:sz w:val="20"/>
      <w:szCs w:val="20"/>
    </w:rPr>
  </w:style>
  <w:style w:type="character" w:customStyle="1" w:styleId="FootnoteTextChar">
    <w:name w:val="Footnote Text Char"/>
    <w:basedOn w:val="DefaultParagraphFont"/>
    <w:link w:val="FootnoteText"/>
    <w:uiPriority w:val="99"/>
    <w:semiHidden/>
    <w:rsid w:val="00C047A7"/>
    <w:rPr>
      <w:color w:val="FF0000"/>
      <w:lang w:eastAsia="en-US"/>
    </w:rPr>
  </w:style>
  <w:style w:type="character" w:styleId="FootnoteReference">
    <w:name w:val="footnote reference"/>
    <w:basedOn w:val="DefaultParagraphFont"/>
    <w:uiPriority w:val="99"/>
    <w:semiHidden/>
    <w:unhideWhenUsed/>
    <w:rsid w:val="00C047A7"/>
    <w:rPr>
      <w:vertAlign w:val="superscript"/>
    </w:rPr>
  </w:style>
  <w:style w:type="character" w:customStyle="1" w:styleId="Heading1Char">
    <w:name w:val="Heading 1 Char"/>
    <w:basedOn w:val="DefaultParagraphFont"/>
    <w:link w:val="Heading1"/>
    <w:uiPriority w:val="9"/>
    <w:rsid w:val="00452587"/>
    <w:rPr>
      <w:rFonts w:eastAsiaTheme="majorEastAsia" w:cstheme="majorBidi"/>
      <w:b/>
      <w:color w:val="000000" w:themeColor="text1"/>
      <w:sz w:val="28"/>
      <w:szCs w:val="32"/>
      <w:lang w:eastAsia="en-US"/>
    </w:rPr>
  </w:style>
  <w:style w:type="character" w:customStyle="1" w:styleId="Heading2Char">
    <w:name w:val="Heading 2 Char"/>
    <w:basedOn w:val="DefaultParagraphFont"/>
    <w:link w:val="Heading2"/>
    <w:uiPriority w:val="9"/>
    <w:rsid w:val="000E184D"/>
    <w:rPr>
      <w:rFonts w:eastAsiaTheme="majorEastAsia" w:cstheme="majorBidi"/>
      <w:b/>
      <w:color w:val="000000" w:themeColor="text1"/>
      <w:sz w:val="26"/>
      <w:szCs w:val="26"/>
      <w:lang w:eastAsia="en-US"/>
    </w:rPr>
  </w:style>
  <w:style w:type="numbering" w:customStyle="1" w:styleId="CurrentList1">
    <w:name w:val="Current List1"/>
    <w:uiPriority w:val="99"/>
    <w:rsid w:val="00C047A7"/>
    <w:pPr>
      <w:numPr>
        <w:numId w:val="4"/>
      </w:numPr>
    </w:pPr>
  </w:style>
  <w:style w:type="paragraph" w:styleId="Title">
    <w:name w:val="Title"/>
    <w:basedOn w:val="Normal"/>
    <w:next w:val="Normal"/>
    <w:link w:val="TitleChar"/>
    <w:uiPriority w:val="10"/>
    <w:qFormat/>
    <w:rsid w:val="00452587"/>
    <w:pPr>
      <w:spacing w:after="0"/>
      <w:contextualSpacing/>
    </w:pPr>
    <w:rPr>
      <w:rFonts w:asciiTheme="majorHAnsi" w:eastAsiaTheme="majorEastAsia" w:hAnsiTheme="majorHAnsi" w:cstheme="majorBidi"/>
      <w:color w:val="auto"/>
      <w:spacing w:val="-10"/>
      <w:kern w:val="28"/>
      <w:sz w:val="56"/>
      <w:szCs w:val="56"/>
    </w:rPr>
  </w:style>
  <w:style w:type="character" w:customStyle="1" w:styleId="Heading3Char">
    <w:name w:val="Heading 3 Char"/>
    <w:basedOn w:val="DefaultParagraphFont"/>
    <w:link w:val="Heading3"/>
    <w:uiPriority w:val="9"/>
    <w:semiHidden/>
    <w:rsid w:val="000E184D"/>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0E184D"/>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0E184D"/>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0E18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E184D"/>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uiPriority w:val="10"/>
    <w:rsid w:val="00452587"/>
    <w:rPr>
      <w:rFonts w:asciiTheme="majorHAnsi" w:eastAsiaTheme="majorEastAsia" w:hAnsiTheme="majorHAnsi" w:cstheme="majorBidi"/>
      <w:spacing w:val="-10"/>
      <w:kern w:val="28"/>
      <w:sz w:val="56"/>
      <w:szCs w:val="56"/>
      <w:lang w:eastAsia="en-US"/>
    </w:rPr>
  </w:style>
  <w:style w:type="numbering" w:customStyle="1" w:styleId="CurrentList2">
    <w:name w:val="Current List2"/>
    <w:uiPriority w:val="99"/>
    <w:rsid w:val="00452587"/>
    <w:pPr>
      <w:numPr>
        <w:numId w:val="5"/>
      </w:numPr>
    </w:pPr>
  </w:style>
  <w:style w:type="character" w:styleId="UnresolvedMention">
    <w:name w:val="Unresolved Mention"/>
    <w:basedOn w:val="DefaultParagraphFont"/>
    <w:uiPriority w:val="99"/>
    <w:semiHidden/>
    <w:unhideWhenUsed/>
    <w:rsid w:val="00135B92"/>
    <w:rPr>
      <w:color w:val="605E5C"/>
      <w:shd w:val="clear" w:color="auto" w:fill="E1DFDD"/>
    </w:rPr>
  </w:style>
  <w:style w:type="paragraph" w:customStyle="1" w:styleId="Normal1">
    <w:name w:val="Normal1"/>
    <w:qFormat/>
    <w:rsid w:val="00350962"/>
    <w:rPr>
      <w:rFonts w:ascii="Calibri" w:eastAsiaTheme="minorEastAsia" w:hAnsi="Calibri" w:cs="Calibri"/>
      <w:sz w:val="24"/>
      <w:szCs w:val="24"/>
    </w:rPr>
  </w:style>
  <w:style w:type="character" w:styleId="FollowedHyperlink">
    <w:name w:val="FollowedHyperlink"/>
    <w:basedOn w:val="DefaultParagraphFont"/>
    <w:uiPriority w:val="99"/>
    <w:semiHidden/>
    <w:unhideWhenUsed/>
    <w:rsid w:val="00F91CF8"/>
    <w:rPr>
      <w:color w:val="800080" w:themeColor="followedHyperlink"/>
      <w:u w:val="single"/>
    </w:rPr>
  </w:style>
  <w:style w:type="table" w:customStyle="1" w:styleId="TableGrid1">
    <w:name w:val="Table Grid1"/>
    <w:basedOn w:val="TableNormal"/>
    <w:next w:val="TableGrid"/>
    <w:uiPriority w:val="59"/>
    <w:rsid w:val="008C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69">
      <w:bodyDiv w:val="1"/>
      <w:marLeft w:val="0"/>
      <w:marRight w:val="0"/>
      <w:marTop w:val="0"/>
      <w:marBottom w:val="0"/>
      <w:divBdr>
        <w:top w:val="none" w:sz="0" w:space="0" w:color="auto"/>
        <w:left w:val="none" w:sz="0" w:space="0" w:color="auto"/>
        <w:bottom w:val="none" w:sz="0" w:space="0" w:color="auto"/>
        <w:right w:val="none" w:sz="0" w:space="0" w:color="auto"/>
      </w:divBdr>
    </w:div>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31998957">
      <w:bodyDiv w:val="1"/>
      <w:marLeft w:val="0"/>
      <w:marRight w:val="0"/>
      <w:marTop w:val="0"/>
      <w:marBottom w:val="0"/>
      <w:divBdr>
        <w:top w:val="none" w:sz="0" w:space="0" w:color="auto"/>
        <w:left w:val="none" w:sz="0" w:space="0" w:color="auto"/>
        <w:bottom w:val="none" w:sz="0" w:space="0" w:color="auto"/>
        <w:right w:val="none" w:sz="0" w:space="0" w:color="auto"/>
      </w:divBdr>
    </w:div>
    <w:div w:id="57945015">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71006831">
      <w:bodyDiv w:val="1"/>
      <w:marLeft w:val="0"/>
      <w:marRight w:val="0"/>
      <w:marTop w:val="0"/>
      <w:marBottom w:val="0"/>
      <w:divBdr>
        <w:top w:val="none" w:sz="0" w:space="0" w:color="auto"/>
        <w:left w:val="none" w:sz="0" w:space="0" w:color="auto"/>
        <w:bottom w:val="none" w:sz="0" w:space="0" w:color="auto"/>
        <w:right w:val="none" w:sz="0" w:space="0" w:color="auto"/>
      </w:divBdr>
    </w:div>
    <w:div w:id="116072967">
      <w:bodyDiv w:val="1"/>
      <w:marLeft w:val="0"/>
      <w:marRight w:val="0"/>
      <w:marTop w:val="0"/>
      <w:marBottom w:val="0"/>
      <w:divBdr>
        <w:top w:val="none" w:sz="0" w:space="0" w:color="auto"/>
        <w:left w:val="none" w:sz="0" w:space="0" w:color="auto"/>
        <w:bottom w:val="none" w:sz="0" w:space="0" w:color="auto"/>
        <w:right w:val="none" w:sz="0" w:space="0" w:color="auto"/>
      </w:divBdr>
    </w:div>
    <w:div w:id="139732357">
      <w:bodyDiv w:val="1"/>
      <w:marLeft w:val="0"/>
      <w:marRight w:val="0"/>
      <w:marTop w:val="0"/>
      <w:marBottom w:val="0"/>
      <w:divBdr>
        <w:top w:val="none" w:sz="0" w:space="0" w:color="auto"/>
        <w:left w:val="none" w:sz="0" w:space="0" w:color="auto"/>
        <w:bottom w:val="none" w:sz="0" w:space="0" w:color="auto"/>
        <w:right w:val="none" w:sz="0" w:space="0" w:color="auto"/>
      </w:divBdr>
    </w:div>
    <w:div w:id="147018464">
      <w:bodyDiv w:val="1"/>
      <w:marLeft w:val="0"/>
      <w:marRight w:val="0"/>
      <w:marTop w:val="0"/>
      <w:marBottom w:val="0"/>
      <w:divBdr>
        <w:top w:val="none" w:sz="0" w:space="0" w:color="auto"/>
        <w:left w:val="none" w:sz="0" w:space="0" w:color="auto"/>
        <w:bottom w:val="none" w:sz="0" w:space="0" w:color="auto"/>
        <w:right w:val="none" w:sz="0" w:space="0" w:color="auto"/>
      </w:divBdr>
    </w:div>
    <w:div w:id="173346054">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01407148">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1083612">
      <w:bodyDiv w:val="1"/>
      <w:marLeft w:val="0"/>
      <w:marRight w:val="0"/>
      <w:marTop w:val="0"/>
      <w:marBottom w:val="0"/>
      <w:divBdr>
        <w:top w:val="none" w:sz="0" w:space="0" w:color="auto"/>
        <w:left w:val="none" w:sz="0" w:space="0" w:color="auto"/>
        <w:bottom w:val="none" w:sz="0" w:space="0" w:color="auto"/>
        <w:right w:val="none" w:sz="0" w:space="0" w:color="auto"/>
      </w:divBdr>
    </w:div>
    <w:div w:id="264074881">
      <w:bodyDiv w:val="1"/>
      <w:marLeft w:val="0"/>
      <w:marRight w:val="0"/>
      <w:marTop w:val="0"/>
      <w:marBottom w:val="0"/>
      <w:divBdr>
        <w:top w:val="none" w:sz="0" w:space="0" w:color="auto"/>
        <w:left w:val="none" w:sz="0" w:space="0" w:color="auto"/>
        <w:bottom w:val="none" w:sz="0" w:space="0" w:color="auto"/>
        <w:right w:val="none" w:sz="0" w:space="0" w:color="auto"/>
      </w:divBdr>
    </w:div>
    <w:div w:id="290014990">
      <w:bodyDiv w:val="1"/>
      <w:marLeft w:val="0"/>
      <w:marRight w:val="0"/>
      <w:marTop w:val="0"/>
      <w:marBottom w:val="0"/>
      <w:divBdr>
        <w:top w:val="none" w:sz="0" w:space="0" w:color="auto"/>
        <w:left w:val="none" w:sz="0" w:space="0" w:color="auto"/>
        <w:bottom w:val="none" w:sz="0" w:space="0" w:color="auto"/>
        <w:right w:val="none" w:sz="0" w:space="0" w:color="auto"/>
      </w:divBdr>
    </w:div>
    <w:div w:id="300699335">
      <w:bodyDiv w:val="1"/>
      <w:marLeft w:val="0"/>
      <w:marRight w:val="0"/>
      <w:marTop w:val="0"/>
      <w:marBottom w:val="0"/>
      <w:divBdr>
        <w:top w:val="none" w:sz="0" w:space="0" w:color="auto"/>
        <w:left w:val="none" w:sz="0" w:space="0" w:color="auto"/>
        <w:bottom w:val="none" w:sz="0" w:space="0" w:color="auto"/>
        <w:right w:val="none" w:sz="0" w:space="0" w:color="auto"/>
      </w:divBdr>
    </w:div>
    <w:div w:id="306858834">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0597238">
      <w:bodyDiv w:val="1"/>
      <w:marLeft w:val="0"/>
      <w:marRight w:val="0"/>
      <w:marTop w:val="0"/>
      <w:marBottom w:val="0"/>
      <w:divBdr>
        <w:top w:val="none" w:sz="0" w:space="0" w:color="auto"/>
        <w:left w:val="none" w:sz="0" w:space="0" w:color="auto"/>
        <w:bottom w:val="none" w:sz="0" w:space="0" w:color="auto"/>
        <w:right w:val="none" w:sz="0" w:space="0" w:color="auto"/>
      </w:divBdr>
    </w:div>
    <w:div w:id="36078245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30735163">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33426037">
      <w:bodyDiv w:val="1"/>
      <w:marLeft w:val="0"/>
      <w:marRight w:val="0"/>
      <w:marTop w:val="0"/>
      <w:marBottom w:val="0"/>
      <w:divBdr>
        <w:top w:val="none" w:sz="0" w:space="0" w:color="auto"/>
        <w:left w:val="none" w:sz="0" w:space="0" w:color="auto"/>
        <w:bottom w:val="none" w:sz="0" w:space="0" w:color="auto"/>
        <w:right w:val="none" w:sz="0" w:space="0" w:color="auto"/>
      </w:divBdr>
      <w:divsChild>
        <w:div w:id="200364625">
          <w:marLeft w:val="0"/>
          <w:marRight w:val="0"/>
          <w:marTop w:val="0"/>
          <w:marBottom w:val="0"/>
          <w:divBdr>
            <w:top w:val="none" w:sz="0" w:space="0" w:color="auto"/>
            <w:left w:val="none" w:sz="0" w:space="0" w:color="auto"/>
            <w:bottom w:val="none" w:sz="0" w:space="0" w:color="auto"/>
            <w:right w:val="none" w:sz="0" w:space="0" w:color="auto"/>
          </w:divBdr>
          <w:divsChild>
            <w:div w:id="837187696">
              <w:marLeft w:val="0"/>
              <w:marRight w:val="0"/>
              <w:marTop w:val="0"/>
              <w:marBottom w:val="0"/>
              <w:divBdr>
                <w:top w:val="none" w:sz="0" w:space="0" w:color="auto"/>
                <w:left w:val="none" w:sz="0" w:space="0" w:color="auto"/>
                <w:bottom w:val="none" w:sz="0" w:space="0" w:color="auto"/>
                <w:right w:val="none" w:sz="0" w:space="0" w:color="auto"/>
              </w:divBdr>
              <w:divsChild>
                <w:div w:id="122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5155">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564340609">
      <w:bodyDiv w:val="1"/>
      <w:marLeft w:val="0"/>
      <w:marRight w:val="0"/>
      <w:marTop w:val="0"/>
      <w:marBottom w:val="0"/>
      <w:divBdr>
        <w:top w:val="none" w:sz="0" w:space="0" w:color="auto"/>
        <w:left w:val="none" w:sz="0" w:space="0" w:color="auto"/>
        <w:bottom w:val="none" w:sz="0" w:space="0" w:color="auto"/>
        <w:right w:val="none" w:sz="0" w:space="0" w:color="auto"/>
      </w:divBdr>
    </w:div>
    <w:div w:id="574899656">
      <w:bodyDiv w:val="1"/>
      <w:marLeft w:val="0"/>
      <w:marRight w:val="0"/>
      <w:marTop w:val="0"/>
      <w:marBottom w:val="0"/>
      <w:divBdr>
        <w:top w:val="none" w:sz="0" w:space="0" w:color="auto"/>
        <w:left w:val="none" w:sz="0" w:space="0" w:color="auto"/>
        <w:bottom w:val="none" w:sz="0" w:space="0" w:color="auto"/>
        <w:right w:val="none" w:sz="0" w:space="0" w:color="auto"/>
      </w:divBdr>
    </w:div>
    <w:div w:id="61152093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15142674">
      <w:bodyDiv w:val="1"/>
      <w:marLeft w:val="0"/>
      <w:marRight w:val="0"/>
      <w:marTop w:val="0"/>
      <w:marBottom w:val="0"/>
      <w:divBdr>
        <w:top w:val="none" w:sz="0" w:space="0" w:color="auto"/>
        <w:left w:val="none" w:sz="0" w:space="0" w:color="auto"/>
        <w:bottom w:val="none" w:sz="0" w:space="0" w:color="auto"/>
        <w:right w:val="none" w:sz="0" w:space="0" w:color="auto"/>
      </w:divBdr>
    </w:div>
    <w:div w:id="620264387">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69596900">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6758547">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4813296">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5538699">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893083312">
      <w:bodyDiv w:val="1"/>
      <w:marLeft w:val="0"/>
      <w:marRight w:val="0"/>
      <w:marTop w:val="0"/>
      <w:marBottom w:val="0"/>
      <w:divBdr>
        <w:top w:val="none" w:sz="0" w:space="0" w:color="auto"/>
        <w:left w:val="none" w:sz="0" w:space="0" w:color="auto"/>
        <w:bottom w:val="none" w:sz="0" w:space="0" w:color="auto"/>
        <w:right w:val="none" w:sz="0" w:space="0" w:color="auto"/>
      </w:divBdr>
    </w:div>
    <w:div w:id="909968506">
      <w:bodyDiv w:val="1"/>
      <w:marLeft w:val="0"/>
      <w:marRight w:val="0"/>
      <w:marTop w:val="0"/>
      <w:marBottom w:val="0"/>
      <w:divBdr>
        <w:top w:val="none" w:sz="0" w:space="0" w:color="auto"/>
        <w:left w:val="none" w:sz="0" w:space="0" w:color="auto"/>
        <w:bottom w:val="none" w:sz="0" w:space="0" w:color="auto"/>
        <w:right w:val="none" w:sz="0" w:space="0" w:color="auto"/>
      </w:divBdr>
    </w:div>
    <w:div w:id="921793439">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970356716">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46176282">
      <w:bodyDiv w:val="1"/>
      <w:marLeft w:val="0"/>
      <w:marRight w:val="0"/>
      <w:marTop w:val="0"/>
      <w:marBottom w:val="0"/>
      <w:divBdr>
        <w:top w:val="none" w:sz="0" w:space="0" w:color="auto"/>
        <w:left w:val="none" w:sz="0" w:space="0" w:color="auto"/>
        <w:bottom w:val="none" w:sz="0" w:space="0" w:color="auto"/>
        <w:right w:val="none" w:sz="0" w:space="0" w:color="auto"/>
      </w:divBdr>
    </w:div>
    <w:div w:id="1067998875">
      <w:bodyDiv w:val="1"/>
      <w:marLeft w:val="0"/>
      <w:marRight w:val="0"/>
      <w:marTop w:val="0"/>
      <w:marBottom w:val="0"/>
      <w:divBdr>
        <w:top w:val="none" w:sz="0" w:space="0" w:color="auto"/>
        <w:left w:val="none" w:sz="0" w:space="0" w:color="auto"/>
        <w:bottom w:val="none" w:sz="0" w:space="0" w:color="auto"/>
        <w:right w:val="none" w:sz="0" w:space="0" w:color="auto"/>
      </w:divBdr>
    </w:div>
    <w:div w:id="1074814615">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199852914">
      <w:bodyDiv w:val="1"/>
      <w:marLeft w:val="0"/>
      <w:marRight w:val="0"/>
      <w:marTop w:val="0"/>
      <w:marBottom w:val="0"/>
      <w:divBdr>
        <w:top w:val="none" w:sz="0" w:space="0" w:color="auto"/>
        <w:left w:val="none" w:sz="0" w:space="0" w:color="auto"/>
        <w:bottom w:val="none" w:sz="0" w:space="0" w:color="auto"/>
        <w:right w:val="none" w:sz="0" w:space="0" w:color="auto"/>
      </w:divBdr>
    </w:div>
    <w:div w:id="1205604262">
      <w:bodyDiv w:val="1"/>
      <w:marLeft w:val="0"/>
      <w:marRight w:val="0"/>
      <w:marTop w:val="0"/>
      <w:marBottom w:val="0"/>
      <w:divBdr>
        <w:top w:val="none" w:sz="0" w:space="0" w:color="auto"/>
        <w:left w:val="none" w:sz="0" w:space="0" w:color="auto"/>
        <w:bottom w:val="none" w:sz="0" w:space="0" w:color="auto"/>
        <w:right w:val="none" w:sz="0" w:space="0" w:color="auto"/>
      </w:divBdr>
    </w:div>
    <w:div w:id="1253971504">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60294037">
      <w:bodyDiv w:val="1"/>
      <w:marLeft w:val="0"/>
      <w:marRight w:val="0"/>
      <w:marTop w:val="0"/>
      <w:marBottom w:val="0"/>
      <w:divBdr>
        <w:top w:val="none" w:sz="0" w:space="0" w:color="auto"/>
        <w:left w:val="none" w:sz="0" w:space="0" w:color="auto"/>
        <w:bottom w:val="none" w:sz="0" w:space="0" w:color="auto"/>
        <w:right w:val="none" w:sz="0" w:space="0" w:color="auto"/>
      </w:divBdr>
      <w:divsChild>
        <w:div w:id="656232138">
          <w:marLeft w:val="0"/>
          <w:marRight w:val="0"/>
          <w:marTop w:val="0"/>
          <w:marBottom w:val="0"/>
          <w:divBdr>
            <w:top w:val="none" w:sz="0" w:space="0" w:color="auto"/>
            <w:left w:val="none" w:sz="0" w:space="0" w:color="auto"/>
            <w:bottom w:val="none" w:sz="0" w:space="0" w:color="auto"/>
            <w:right w:val="none" w:sz="0" w:space="0" w:color="auto"/>
          </w:divBdr>
        </w:div>
        <w:div w:id="766121987">
          <w:marLeft w:val="0"/>
          <w:marRight w:val="0"/>
          <w:marTop w:val="0"/>
          <w:marBottom w:val="0"/>
          <w:divBdr>
            <w:top w:val="none" w:sz="0" w:space="0" w:color="auto"/>
            <w:left w:val="none" w:sz="0" w:space="0" w:color="auto"/>
            <w:bottom w:val="none" w:sz="0" w:space="0" w:color="auto"/>
            <w:right w:val="none" w:sz="0" w:space="0" w:color="auto"/>
          </w:divBdr>
        </w:div>
        <w:div w:id="902301532">
          <w:marLeft w:val="0"/>
          <w:marRight w:val="0"/>
          <w:marTop w:val="0"/>
          <w:marBottom w:val="0"/>
          <w:divBdr>
            <w:top w:val="none" w:sz="0" w:space="0" w:color="auto"/>
            <w:left w:val="none" w:sz="0" w:space="0" w:color="auto"/>
            <w:bottom w:val="none" w:sz="0" w:space="0" w:color="auto"/>
            <w:right w:val="none" w:sz="0" w:space="0" w:color="auto"/>
          </w:divBdr>
        </w:div>
        <w:div w:id="1582131433">
          <w:marLeft w:val="0"/>
          <w:marRight w:val="0"/>
          <w:marTop w:val="0"/>
          <w:marBottom w:val="0"/>
          <w:divBdr>
            <w:top w:val="none" w:sz="0" w:space="0" w:color="auto"/>
            <w:left w:val="none" w:sz="0" w:space="0" w:color="auto"/>
            <w:bottom w:val="none" w:sz="0" w:space="0" w:color="auto"/>
            <w:right w:val="none" w:sz="0" w:space="0" w:color="auto"/>
          </w:divBdr>
        </w:div>
      </w:divsChild>
    </w:div>
    <w:div w:id="1465587508">
      <w:bodyDiv w:val="1"/>
      <w:marLeft w:val="0"/>
      <w:marRight w:val="0"/>
      <w:marTop w:val="0"/>
      <w:marBottom w:val="0"/>
      <w:divBdr>
        <w:top w:val="none" w:sz="0" w:space="0" w:color="auto"/>
        <w:left w:val="none" w:sz="0" w:space="0" w:color="auto"/>
        <w:bottom w:val="none" w:sz="0" w:space="0" w:color="auto"/>
        <w:right w:val="none" w:sz="0" w:space="0" w:color="auto"/>
      </w:divBdr>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2211831">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25559238">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4585759">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5009186">
      <w:bodyDiv w:val="1"/>
      <w:marLeft w:val="0"/>
      <w:marRight w:val="0"/>
      <w:marTop w:val="0"/>
      <w:marBottom w:val="0"/>
      <w:divBdr>
        <w:top w:val="none" w:sz="0" w:space="0" w:color="auto"/>
        <w:left w:val="none" w:sz="0" w:space="0" w:color="auto"/>
        <w:bottom w:val="none" w:sz="0" w:space="0" w:color="auto"/>
        <w:right w:val="none" w:sz="0" w:space="0" w:color="auto"/>
      </w:divBdr>
    </w:div>
    <w:div w:id="1698458148">
      <w:bodyDiv w:val="1"/>
      <w:marLeft w:val="0"/>
      <w:marRight w:val="0"/>
      <w:marTop w:val="0"/>
      <w:marBottom w:val="0"/>
      <w:divBdr>
        <w:top w:val="none" w:sz="0" w:space="0" w:color="auto"/>
        <w:left w:val="none" w:sz="0" w:space="0" w:color="auto"/>
        <w:bottom w:val="none" w:sz="0" w:space="0" w:color="auto"/>
        <w:right w:val="none" w:sz="0" w:space="0" w:color="auto"/>
      </w:divBdr>
    </w:div>
    <w:div w:id="1709329456">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791776008">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588099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875384156">
      <w:bodyDiv w:val="1"/>
      <w:marLeft w:val="0"/>
      <w:marRight w:val="0"/>
      <w:marTop w:val="0"/>
      <w:marBottom w:val="0"/>
      <w:divBdr>
        <w:top w:val="none" w:sz="0" w:space="0" w:color="auto"/>
        <w:left w:val="none" w:sz="0" w:space="0" w:color="auto"/>
        <w:bottom w:val="none" w:sz="0" w:space="0" w:color="auto"/>
        <w:right w:val="none" w:sz="0" w:space="0" w:color="auto"/>
      </w:divBdr>
    </w:div>
    <w:div w:id="1881361101">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18788344">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1980570738">
      <w:bodyDiv w:val="1"/>
      <w:marLeft w:val="0"/>
      <w:marRight w:val="0"/>
      <w:marTop w:val="0"/>
      <w:marBottom w:val="0"/>
      <w:divBdr>
        <w:top w:val="none" w:sz="0" w:space="0" w:color="auto"/>
        <w:left w:val="none" w:sz="0" w:space="0" w:color="auto"/>
        <w:bottom w:val="none" w:sz="0" w:space="0" w:color="auto"/>
        <w:right w:val="none" w:sz="0" w:space="0" w:color="auto"/>
      </w:divBdr>
    </w:div>
    <w:div w:id="200010856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0709065">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00321771">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 w:id="21449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ngland.nhs.uk/long-read/nhs-equality-diversity-and-inclusion-improvement-plan/"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equalityhumanrights.com/sites/default/files/research-report-109-the-gender-pay-gap.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nhsemployers.org/system/files/2021-06/Addressing-your-gender-pay-gap-guid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ndfulemployer.dpt.nhs.uk/our-charter/signing-the-charter" TargetMode="External"/><Relationship Id="rId19" Type="http://schemas.openxmlformats.org/officeDocument/2006/relationships/hyperlink" Target="https://www.nhsemployers.org/system/files/2021-06/Addressing-your-gender-pay-gap-guide.pdf" TargetMode="External"/><Relationship Id="rId4" Type="http://schemas.openxmlformats.org/officeDocument/2006/relationships/settings" Target="settings.xml"/><Relationship Id="rId9" Type="http://schemas.openxmlformats.org/officeDocument/2006/relationships/hyperlink" Target="http://www.gov.uk/government/collections/disability-confident-campaign" TargetMode="External"/><Relationship Id="rId14" Type="http://schemas.openxmlformats.org/officeDocument/2006/relationships/hyperlink" Target="https://gender-pay-gap.service.gov.uk/compare-employers/2023"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D37-4552-9CBB-8738FDCBDE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D37-4552-9CBB-8738FDCBDE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'Number of staff by gender '!$D$2:$D$3</c:f>
              <c:strCache>
                <c:ptCount val="2"/>
                <c:pt idx="0">
                  <c:v>Female </c:v>
                </c:pt>
                <c:pt idx="1">
                  <c:v>Male </c:v>
                </c:pt>
              </c:strCache>
            </c:strRef>
          </c:cat>
          <c:val>
            <c:numRef>
              <c:f>'Number of staff by gender '!$E$2:$E$3</c:f>
              <c:numCache>
                <c:formatCode>General</c:formatCode>
                <c:ptCount val="2"/>
                <c:pt idx="0">
                  <c:v>534</c:v>
                </c:pt>
                <c:pt idx="1">
                  <c:v>154</c:v>
                </c:pt>
              </c:numCache>
            </c:numRef>
          </c:val>
          <c:extLst>
            <c:ext xmlns:c16="http://schemas.microsoft.com/office/drawing/2014/chart" uri="{C3380CC4-5D6E-409C-BE32-E72D297353CC}">
              <c16:uniqueId val="{00000004-AD37-4552-9CBB-8738FDCBDE82}"/>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alpha val="96000"/>
                  </a:schemeClr>
                </a:solidFill>
                <a:latin typeface="+mn-lt"/>
                <a:ea typeface="+mn-ea"/>
                <a:cs typeface="+mn-cs"/>
              </a:defRPr>
            </a:pPr>
            <a:r>
              <a:rPr lang="en-US"/>
              <a:t>Mean Hourly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alpha val="96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Sheet2!$L$2</c:f>
              <c:strCache>
                <c:ptCount val="1"/>
              </c:strCache>
            </c:strRef>
          </c:tx>
          <c:spPr>
            <a:solidFill>
              <a:schemeClr val="accent1"/>
            </a:solidFill>
            <a:ln>
              <a:noFill/>
            </a:ln>
            <a:effectLst/>
          </c:spPr>
          <c:invertIfNegative val="0"/>
          <c:dLbls>
            <c:spPr>
              <a:noFill/>
              <a:ln>
                <a:noFill/>
              </a:ln>
              <a:effectLst/>
            </c:spPr>
            <c:txPr>
              <a:bodyPr rot="0" spcFirstLastPara="1" vertOverflow="ellipsis" horzOverflow="clip" vert="horz" wrap="square" lIns="36576" tIns="18288" rIns="36576" bIns="18288" anchor="ctr" anchorCtr="1">
                <a:spAutoFit/>
              </a:bodyPr>
              <a:lstStyle/>
              <a:p>
                <a:pPr>
                  <a:defRPr sz="1000" b="0" i="0" u="none" strike="noStrike" kern="1200" baseline="0">
                    <a:solidFill>
                      <a:schemeClr val="tx1">
                        <a:alpha val="96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Sheet2!$F$3:$F$4</c:f>
              <c:strCache>
                <c:ptCount val="2"/>
                <c:pt idx="0">
                  <c:v>Male</c:v>
                </c:pt>
                <c:pt idx="1">
                  <c:v>Female</c:v>
                </c:pt>
              </c:strCache>
            </c:strRef>
          </c:cat>
          <c:val>
            <c:numRef>
              <c:f>Sheet2!$G$3:$G$4</c:f>
              <c:numCache>
                <c:formatCode>"£"#,##0.00_);[Red]\("£"#,##0.00\)</c:formatCode>
                <c:ptCount val="2"/>
                <c:pt idx="0">
                  <c:v>33.51</c:v>
                </c:pt>
                <c:pt idx="1">
                  <c:v>25.483812092815199</c:v>
                </c:pt>
              </c:numCache>
            </c:numRef>
          </c:val>
          <c:extLst>
            <c:ext xmlns:c16="http://schemas.microsoft.com/office/drawing/2014/chart" uri="{C3380CC4-5D6E-409C-BE32-E72D297353CC}">
              <c16:uniqueId val="{00000000-1AD8-4CB6-A64F-3254EFFF2A3B}"/>
            </c:ext>
          </c:extLst>
        </c:ser>
        <c:dLbls>
          <c:dLblPos val="outEnd"/>
          <c:showLegendKey val="0"/>
          <c:showVal val="1"/>
          <c:showCatName val="0"/>
          <c:showSerName val="0"/>
          <c:showPercent val="0"/>
          <c:showBubbleSize val="0"/>
        </c:dLbls>
        <c:gapWidth val="219"/>
        <c:overlap val="-27"/>
        <c:axId val="1990987456"/>
        <c:axId val="2096501968"/>
      </c:barChart>
      <c:catAx>
        <c:axId val="199098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alpha val="96000"/>
                  </a:schemeClr>
                </a:solidFill>
                <a:latin typeface="+mn-lt"/>
                <a:ea typeface="+mn-ea"/>
                <a:cs typeface="+mn-cs"/>
              </a:defRPr>
            </a:pPr>
            <a:endParaRPr lang="en-US"/>
          </a:p>
        </c:txPr>
        <c:crossAx val="2096501968"/>
        <c:crosses val="autoZero"/>
        <c:auto val="1"/>
        <c:lblAlgn val="ctr"/>
        <c:lblOffset val="100"/>
        <c:noMultiLvlLbl val="0"/>
      </c:catAx>
      <c:valAx>
        <c:axId val="2096501968"/>
        <c:scaling>
          <c:orientation val="minMax"/>
        </c:scaling>
        <c:delete val="1"/>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crossAx val="1990987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alpha val="94000"/>
        </a:schemeClr>
      </a:solidFill>
      <a:round/>
    </a:ln>
    <a:effectLst/>
  </c:spPr>
  <c:txPr>
    <a:bodyPr/>
    <a:lstStyle/>
    <a:p>
      <a:pPr>
        <a:defRPr>
          <a:solidFill>
            <a:schemeClr val="tx1">
              <a:alpha val="96000"/>
            </a:schemeClr>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alpha val="96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Sheet2!$G$20</c:f>
              <c:strCache>
                <c:ptCount val="1"/>
                <c:pt idx="0">
                  <c:v>Median Hourly Rate</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5B-41A0-A919-6C58F2F5264E}"/>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5B-41A0-A919-6C58F2F5264E}"/>
                </c:ext>
              </c:extLst>
            </c:dLbl>
            <c:spPr>
              <a:noFill/>
              <a:ln>
                <a:noFill/>
              </a:ln>
              <a:effectLst/>
            </c:spPr>
            <c:txPr>
              <a:bodyPr rot="0" spcFirstLastPara="1" vertOverflow="ellipsis" vert="horz" wrap="square" anchor="ctr" anchorCtr="1"/>
              <a:lstStyle/>
              <a:p>
                <a:pPr>
                  <a:defRPr lang="en-US" sz="1000" b="0" i="0" u="none" strike="noStrike" kern="1200" baseline="0">
                    <a:solidFill>
                      <a:schemeClr val="tx1">
                        <a:alpha val="96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Sheet2!$F$21:$F$22</c:f>
              <c:strCache>
                <c:ptCount val="2"/>
                <c:pt idx="0">
                  <c:v>Male</c:v>
                </c:pt>
                <c:pt idx="1">
                  <c:v>Female</c:v>
                </c:pt>
              </c:strCache>
            </c:strRef>
          </c:cat>
          <c:val>
            <c:numRef>
              <c:f>Sheet2!$G$21:$G$22</c:f>
              <c:numCache>
                <c:formatCode>"£"#,##0.00_);[Red]\("£"#,##0.00\)</c:formatCode>
                <c:ptCount val="2"/>
                <c:pt idx="0">
                  <c:v>24.81</c:v>
                </c:pt>
                <c:pt idx="1">
                  <c:v>21.304571954587299</c:v>
                </c:pt>
              </c:numCache>
            </c:numRef>
          </c:val>
          <c:extLst>
            <c:ext xmlns:c16="http://schemas.microsoft.com/office/drawing/2014/chart" uri="{C3380CC4-5D6E-409C-BE32-E72D297353CC}">
              <c16:uniqueId val="{00000002-285B-41A0-A919-6C58F2F5264E}"/>
            </c:ext>
          </c:extLst>
        </c:ser>
        <c:dLbls>
          <c:dLblPos val="inEnd"/>
          <c:showLegendKey val="0"/>
          <c:showVal val="1"/>
          <c:showCatName val="0"/>
          <c:showSerName val="0"/>
          <c:showPercent val="0"/>
          <c:showBubbleSize val="0"/>
        </c:dLbls>
        <c:gapWidth val="219"/>
        <c:overlap val="-27"/>
        <c:axId val="2073352160"/>
        <c:axId val="383273104"/>
      </c:barChart>
      <c:catAx>
        <c:axId val="207335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alpha val="96000"/>
                  </a:schemeClr>
                </a:solidFill>
                <a:latin typeface="+mn-lt"/>
                <a:ea typeface="+mn-ea"/>
                <a:cs typeface="+mn-cs"/>
              </a:defRPr>
            </a:pPr>
            <a:endParaRPr lang="en-US"/>
          </a:p>
        </c:txPr>
        <c:crossAx val="383273104"/>
        <c:crosses val="autoZero"/>
        <c:auto val="1"/>
        <c:lblAlgn val="ctr"/>
        <c:lblOffset val="100"/>
        <c:noMultiLvlLbl val="0"/>
      </c:catAx>
      <c:valAx>
        <c:axId val="383273104"/>
        <c:scaling>
          <c:orientation val="minMax"/>
        </c:scaling>
        <c:delete val="1"/>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crossAx val="2073352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lang="en-US" sz="1000" b="0" i="0" u="none" strike="noStrike" kern="1200" baseline="0">
          <a:solidFill>
            <a:schemeClr val="tx1">
              <a:alpha val="96000"/>
            </a:schemeClr>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Paybands Grouped</a:t>
            </a:r>
            <a:r>
              <a:rPr lang="en-US" baseline="0"/>
              <a:t> by Gender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Female</c:v>
                </c:pt>
              </c:strCache>
            </c:strRef>
          </c:tx>
          <c:spPr>
            <a:solidFill>
              <a:schemeClr val="accent1"/>
            </a:solidFill>
            <a:ln>
              <a:noFill/>
            </a:ln>
            <a:effectLst/>
          </c:spPr>
          <c:invertIfNegative val="0"/>
          <c:cat>
            <c:strRef>
              <c:f>Sheet1!$A$4:$A$16</c:f>
              <c:strCache>
                <c:ptCount val="13"/>
                <c:pt idx="0">
                  <c:v>Band 1</c:v>
                </c:pt>
                <c:pt idx="1">
                  <c:v>Band 2</c:v>
                </c:pt>
                <c:pt idx="2">
                  <c:v>Band 3</c:v>
                </c:pt>
                <c:pt idx="3">
                  <c:v>Band 4</c:v>
                </c:pt>
                <c:pt idx="4">
                  <c:v>Band 5</c:v>
                </c:pt>
                <c:pt idx="5">
                  <c:v>Band 6</c:v>
                </c:pt>
                <c:pt idx="6">
                  <c:v>Band 7</c:v>
                </c:pt>
                <c:pt idx="7">
                  <c:v>Band 8 - Range A</c:v>
                </c:pt>
                <c:pt idx="8">
                  <c:v>Band 8 - Range B</c:v>
                </c:pt>
                <c:pt idx="9">
                  <c:v>Band 8 - Range C</c:v>
                </c:pt>
                <c:pt idx="10">
                  <c:v>Band 8 - Range D</c:v>
                </c:pt>
                <c:pt idx="11">
                  <c:v>Band 9</c:v>
                </c:pt>
                <c:pt idx="12">
                  <c:v>Other</c:v>
                </c:pt>
              </c:strCache>
            </c:strRef>
          </c:cat>
          <c:val>
            <c:numRef>
              <c:f>Sheet1!$B$4:$B$16</c:f>
              <c:numCache>
                <c:formatCode>0.00</c:formatCode>
                <c:ptCount val="13"/>
                <c:pt idx="1">
                  <c:v>0.44378698224852098</c:v>
                </c:pt>
                <c:pt idx="2">
                  <c:v>7.2485207100591698</c:v>
                </c:pt>
                <c:pt idx="3">
                  <c:v>6.6568047337278102</c:v>
                </c:pt>
                <c:pt idx="4">
                  <c:v>8.1360946745562099</c:v>
                </c:pt>
                <c:pt idx="5">
                  <c:v>13.313609467455599</c:v>
                </c:pt>
                <c:pt idx="6">
                  <c:v>16.124260355029602</c:v>
                </c:pt>
                <c:pt idx="7">
                  <c:v>9.1715976331360896</c:v>
                </c:pt>
                <c:pt idx="8">
                  <c:v>6.2130177514792901</c:v>
                </c:pt>
                <c:pt idx="9">
                  <c:v>3.8461538461538498</c:v>
                </c:pt>
                <c:pt idx="10">
                  <c:v>1.7751479289940799</c:v>
                </c:pt>
                <c:pt idx="11">
                  <c:v>0.59171597633136097</c:v>
                </c:pt>
                <c:pt idx="12">
                  <c:v>5.1775147928994096</c:v>
                </c:pt>
              </c:numCache>
            </c:numRef>
          </c:val>
          <c:extLst>
            <c:ext xmlns:c16="http://schemas.microsoft.com/office/drawing/2014/chart" uri="{C3380CC4-5D6E-409C-BE32-E72D297353CC}">
              <c16:uniqueId val="{00000000-D102-4094-BAC4-8741CBBCBB33}"/>
            </c:ext>
          </c:extLst>
        </c:ser>
        <c:ser>
          <c:idx val="1"/>
          <c:order val="1"/>
          <c:tx>
            <c:strRef>
              <c:f>Sheet1!$C$3</c:f>
              <c:strCache>
                <c:ptCount val="1"/>
                <c:pt idx="0">
                  <c:v>Male</c:v>
                </c:pt>
              </c:strCache>
            </c:strRef>
          </c:tx>
          <c:spPr>
            <a:solidFill>
              <a:schemeClr val="accent2"/>
            </a:solidFill>
            <a:ln>
              <a:noFill/>
            </a:ln>
            <a:effectLst/>
          </c:spPr>
          <c:invertIfNegative val="0"/>
          <c:cat>
            <c:strRef>
              <c:f>Sheet1!$A$4:$A$16</c:f>
              <c:strCache>
                <c:ptCount val="13"/>
                <c:pt idx="0">
                  <c:v>Band 1</c:v>
                </c:pt>
                <c:pt idx="1">
                  <c:v>Band 2</c:v>
                </c:pt>
                <c:pt idx="2">
                  <c:v>Band 3</c:v>
                </c:pt>
                <c:pt idx="3">
                  <c:v>Band 4</c:v>
                </c:pt>
                <c:pt idx="4">
                  <c:v>Band 5</c:v>
                </c:pt>
                <c:pt idx="5">
                  <c:v>Band 6</c:v>
                </c:pt>
                <c:pt idx="6">
                  <c:v>Band 7</c:v>
                </c:pt>
                <c:pt idx="7">
                  <c:v>Band 8 - Range A</c:v>
                </c:pt>
                <c:pt idx="8">
                  <c:v>Band 8 - Range B</c:v>
                </c:pt>
                <c:pt idx="9">
                  <c:v>Band 8 - Range C</c:v>
                </c:pt>
                <c:pt idx="10">
                  <c:v>Band 8 - Range D</c:v>
                </c:pt>
                <c:pt idx="11">
                  <c:v>Band 9</c:v>
                </c:pt>
                <c:pt idx="12">
                  <c:v>Other</c:v>
                </c:pt>
              </c:strCache>
            </c:strRef>
          </c:cat>
          <c:val>
            <c:numRef>
              <c:f>Sheet1!$C$4:$C$16</c:f>
              <c:numCache>
                <c:formatCode>General</c:formatCode>
                <c:ptCount val="13"/>
                <c:pt idx="0" formatCode="0.00">
                  <c:v>0.14792899408283999</c:v>
                </c:pt>
                <c:pt idx="2" formatCode="0.00">
                  <c:v>1.33136094674556</c:v>
                </c:pt>
                <c:pt idx="3" formatCode="0.00">
                  <c:v>1.0355029585798801</c:v>
                </c:pt>
                <c:pt idx="4" formatCode="0.00">
                  <c:v>1.4792899408283999</c:v>
                </c:pt>
                <c:pt idx="5" formatCode="0.00">
                  <c:v>2.6627218934911201</c:v>
                </c:pt>
                <c:pt idx="6" formatCode="0.00">
                  <c:v>3.6982248520710099</c:v>
                </c:pt>
                <c:pt idx="7" formatCode="0.00">
                  <c:v>2.5147928994082802</c:v>
                </c:pt>
                <c:pt idx="8" formatCode="0.00">
                  <c:v>2.0710059171597601</c:v>
                </c:pt>
                <c:pt idx="9" formatCode="0.00">
                  <c:v>1.7751479289940799</c:v>
                </c:pt>
                <c:pt idx="10" formatCode="0.00">
                  <c:v>1.33136094674556</c:v>
                </c:pt>
                <c:pt idx="12" formatCode="0.00">
                  <c:v>3.2544378698224898</c:v>
                </c:pt>
              </c:numCache>
            </c:numRef>
          </c:val>
          <c:extLst>
            <c:ext xmlns:c16="http://schemas.microsoft.com/office/drawing/2014/chart" uri="{C3380CC4-5D6E-409C-BE32-E72D297353CC}">
              <c16:uniqueId val="{00000001-D102-4094-BAC4-8741CBBCBB33}"/>
            </c:ext>
          </c:extLst>
        </c:ser>
        <c:dLbls>
          <c:showLegendKey val="0"/>
          <c:showVal val="0"/>
          <c:showCatName val="0"/>
          <c:showSerName val="0"/>
          <c:showPercent val="0"/>
          <c:showBubbleSize val="0"/>
        </c:dLbls>
        <c:gapWidth val="219"/>
        <c:overlap val="-27"/>
        <c:axId val="441396560"/>
        <c:axId val="517896688"/>
      </c:barChart>
      <c:catAx>
        <c:axId val="44139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7896688"/>
        <c:crosses val="autoZero"/>
        <c:auto val="1"/>
        <c:lblAlgn val="ctr"/>
        <c:lblOffset val="100"/>
        <c:noMultiLvlLbl val="0"/>
      </c:catAx>
      <c:valAx>
        <c:axId val="51789668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4139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a:t>
            </a:r>
            <a:r>
              <a:rPr lang="en-GB" baseline="0"/>
              <a:t> Time and Full Time Employees -</a:t>
            </a:r>
          </a:p>
          <a:p>
            <a:pPr>
              <a:defRPr/>
            </a:pPr>
            <a:r>
              <a:rPr lang="en-GB" baseline="0"/>
              <a:t>Female/Male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Sheet1!$B$3</c:f>
              <c:strCache>
                <c:ptCount val="1"/>
                <c:pt idx="0">
                  <c:v>Female</c:v>
                </c:pt>
              </c:strCache>
            </c:strRef>
          </c:tx>
          <c:spPr>
            <a:solidFill>
              <a:schemeClr val="accent1"/>
            </a:solidFill>
            <a:ln>
              <a:noFill/>
            </a:ln>
            <a:effectLst/>
          </c:spPr>
          <c:invertIfNegative val="0"/>
          <c:cat>
            <c:strRef>
              <c:f>Sheet1!$A$4:$A$5</c:f>
              <c:strCache>
                <c:ptCount val="2"/>
                <c:pt idx="0">
                  <c:v>Part Time</c:v>
                </c:pt>
                <c:pt idx="1">
                  <c:v>Full Time</c:v>
                </c:pt>
              </c:strCache>
            </c:strRef>
          </c:cat>
          <c:val>
            <c:numRef>
              <c:f>Sheet1!$B$4:$B$5</c:f>
              <c:numCache>
                <c:formatCode>#,##0.00</c:formatCode>
                <c:ptCount val="2"/>
                <c:pt idx="0">
                  <c:v>26.479289940828401</c:v>
                </c:pt>
                <c:pt idx="1">
                  <c:v>52.218934911242599</c:v>
                </c:pt>
              </c:numCache>
            </c:numRef>
          </c:val>
          <c:extLst>
            <c:ext xmlns:c16="http://schemas.microsoft.com/office/drawing/2014/chart" uri="{C3380CC4-5D6E-409C-BE32-E72D297353CC}">
              <c16:uniqueId val="{00000000-A78C-418F-8FB7-E8FEA31F9631}"/>
            </c:ext>
          </c:extLst>
        </c:ser>
        <c:ser>
          <c:idx val="1"/>
          <c:order val="1"/>
          <c:tx>
            <c:strRef>
              <c:f>Sheet1!$C$3</c:f>
              <c:strCache>
                <c:ptCount val="1"/>
                <c:pt idx="0">
                  <c:v>Male</c:v>
                </c:pt>
              </c:strCache>
            </c:strRef>
          </c:tx>
          <c:spPr>
            <a:solidFill>
              <a:schemeClr val="accent2"/>
            </a:solidFill>
            <a:ln>
              <a:noFill/>
            </a:ln>
            <a:effectLst/>
          </c:spPr>
          <c:invertIfNegative val="0"/>
          <c:cat>
            <c:strRef>
              <c:f>Sheet1!$A$4:$A$5</c:f>
              <c:strCache>
                <c:ptCount val="2"/>
                <c:pt idx="0">
                  <c:v>Part Time</c:v>
                </c:pt>
                <c:pt idx="1">
                  <c:v>Full Time</c:v>
                </c:pt>
              </c:strCache>
            </c:strRef>
          </c:cat>
          <c:val>
            <c:numRef>
              <c:f>Sheet1!$C$4:$C$5</c:f>
              <c:numCache>
                <c:formatCode>#,##0.00</c:formatCode>
                <c:ptCount val="2"/>
                <c:pt idx="0">
                  <c:v>3.4023668639053302</c:v>
                </c:pt>
                <c:pt idx="1">
                  <c:v>17.8994082840237</c:v>
                </c:pt>
              </c:numCache>
            </c:numRef>
          </c:val>
          <c:extLst>
            <c:ext xmlns:c16="http://schemas.microsoft.com/office/drawing/2014/chart" uri="{C3380CC4-5D6E-409C-BE32-E72D297353CC}">
              <c16:uniqueId val="{00000001-A78C-418F-8FB7-E8FEA31F9631}"/>
            </c:ext>
          </c:extLst>
        </c:ser>
        <c:dLbls>
          <c:showLegendKey val="0"/>
          <c:showVal val="0"/>
          <c:showCatName val="0"/>
          <c:showSerName val="0"/>
          <c:showPercent val="0"/>
          <c:showBubbleSize val="0"/>
        </c:dLbls>
        <c:gapWidth val="150"/>
        <c:overlap val="100"/>
        <c:axId val="245580864"/>
        <c:axId val="451207520"/>
      </c:barChart>
      <c:catAx>
        <c:axId val="24558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207520"/>
        <c:crosses val="autoZero"/>
        <c:auto val="1"/>
        <c:lblAlgn val="ctr"/>
        <c:lblOffset val="100"/>
        <c:noMultiLvlLbl val="0"/>
      </c:catAx>
      <c:valAx>
        <c:axId val="45120752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4558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Age</a:t>
            </a:r>
            <a:r>
              <a:rPr lang="en-GB" baseline="0"/>
              <a:t> Band (FTE) - Male and Female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Sheet1!$B$21</c:f>
              <c:strCache>
                <c:ptCount val="1"/>
                <c:pt idx="0">
                  <c:v>%</c:v>
                </c:pt>
              </c:strCache>
            </c:strRef>
          </c:tx>
          <c:spPr>
            <a:solidFill>
              <a:schemeClr val="accent1"/>
            </a:solidFill>
            <a:ln>
              <a:noFill/>
            </a:ln>
            <a:effectLst/>
          </c:spPr>
          <c:invertIfNegative val="0"/>
          <c:cat>
            <c:strRef>
              <c:f>Sheet1!$A$22:$A$32</c:f>
              <c:strCache>
                <c:ptCount val="11"/>
                <c:pt idx="0">
                  <c:v>21-25</c:v>
                </c:pt>
                <c:pt idx="1">
                  <c:v>26-30</c:v>
                </c:pt>
                <c:pt idx="2">
                  <c:v>31-35</c:v>
                </c:pt>
                <c:pt idx="3">
                  <c:v>36-40</c:v>
                </c:pt>
                <c:pt idx="4">
                  <c:v>41-45</c:v>
                </c:pt>
                <c:pt idx="5">
                  <c:v>46-50</c:v>
                </c:pt>
                <c:pt idx="6">
                  <c:v>51-55</c:v>
                </c:pt>
                <c:pt idx="7">
                  <c:v>56-60</c:v>
                </c:pt>
                <c:pt idx="8">
                  <c:v>61-65</c:v>
                </c:pt>
                <c:pt idx="9">
                  <c:v>66-70</c:v>
                </c:pt>
                <c:pt idx="10">
                  <c:v>&gt;=71 Years</c:v>
                </c:pt>
              </c:strCache>
            </c:strRef>
          </c:cat>
          <c:val>
            <c:numRef>
              <c:f>Sheet1!$B$22:$B$32</c:f>
              <c:numCache>
                <c:formatCode>0.00</c:formatCode>
                <c:ptCount val="11"/>
                <c:pt idx="0">
                  <c:v>1.7751479289940799</c:v>
                </c:pt>
                <c:pt idx="1">
                  <c:v>4.4378698224852098</c:v>
                </c:pt>
                <c:pt idx="2">
                  <c:v>8.1360946745562099</c:v>
                </c:pt>
                <c:pt idx="3">
                  <c:v>10.7988165680473</c:v>
                </c:pt>
                <c:pt idx="4">
                  <c:v>15.8284023668639</c:v>
                </c:pt>
                <c:pt idx="5">
                  <c:v>13.165680473372801</c:v>
                </c:pt>
                <c:pt idx="6">
                  <c:v>22.041420118343201</c:v>
                </c:pt>
                <c:pt idx="7">
                  <c:v>15.680473372781099</c:v>
                </c:pt>
                <c:pt idx="8">
                  <c:v>6.8047337278106497</c:v>
                </c:pt>
                <c:pt idx="9">
                  <c:v>0.59171597633136097</c:v>
                </c:pt>
                <c:pt idx="10">
                  <c:v>0.73964497041420096</c:v>
                </c:pt>
              </c:numCache>
            </c:numRef>
          </c:val>
          <c:extLst>
            <c:ext xmlns:c16="http://schemas.microsoft.com/office/drawing/2014/chart" uri="{C3380CC4-5D6E-409C-BE32-E72D297353CC}">
              <c16:uniqueId val="{00000000-329C-413B-A791-A97CB2AE0D3F}"/>
            </c:ext>
          </c:extLst>
        </c:ser>
        <c:dLbls>
          <c:showLegendKey val="0"/>
          <c:showVal val="0"/>
          <c:showCatName val="0"/>
          <c:showSerName val="0"/>
          <c:showPercent val="0"/>
          <c:showBubbleSize val="0"/>
        </c:dLbls>
        <c:gapWidth val="219"/>
        <c:overlap val="-27"/>
        <c:axId val="764850768"/>
        <c:axId val="451355792"/>
      </c:barChart>
      <c:catAx>
        <c:axId val="76485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355792"/>
        <c:crosses val="autoZero"/>
        <c:auto val="1"/>
        <c:lblAlgn val="ctr"/>
        <c:lblOffset val="100"/>
        <c:noMultiLvlLbl val="0"/>
      </c:catAx>
      <c:valAx>
        <c:axId val="45135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850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D048-97AF-4EDE-BE5E-3442CB82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Becky Blackburn</cp:lastModifiedBy>
  <cp:revision>6</cp:revision>
  <cp:lastPrinted>2019-09-20T08:32:00Z</cp:lastPrinted>
  <dcterms:created xsi:type="dcterms:W3CDTF">2024-11-01T13:31:00Z</dcterms:created>
  <dcterms:modified xsi:type="dcterms:W3CDTF">2025-01-20T16:42:00Z</dcterms:modified>
</cp:coreProperties>
</file>