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80"/>
        <w:gridCol w:w="6436"/>
      </w:tblGrid>
      <w:tr w:rsidR="00082635" w14:paraId="0B1125C6" w14:textId="77777777" w:rsidTr="7E3AD86B">
        <w:tc>
          <w:tcPr>
            <w:tcW w:w="2580" w:type="dxa"/>
          </w:tcPr>
          <w:p w14:paraId="0D4A3409" w14:textId="3EA3C901" w:rsidR="00082635" w:rsidRDefault="00C40725" w:rsidP="73D20BF8">
            <w:pPr>
              <w:rPr>
                <w:rFonts w:eastAsiaTheme="minorEastAsia"/>
              </w:rPr>
            </w:pPr>
            <w:bookmarkStart w:id="0" w:name="_Hlk164339182"/>
            <w:r w:rsidRPr="73D20BF8">
              <w:rPr>
                <w:rFonts w:eastAsiaTheme="minorEastAsia"/>
              </w:rPr>
              <w:t>Intervention</w:t>
            </w:r>
          </w:p>
        </w:tc>
        <w:tc>
          <w:tcPr>
            <w:tcW w:w="6436" w:type="dxa"/>
          </w:tcPr>
          <w:p w14:paraId="72BB008D" w14:textId="3BA8BCF4" w:rsidR="00F92C7B" w:rsidRPr="00A47E1F" w:rsidRDefault="4D2F8B14" w:rsidP="73D20B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E3AD86B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061. </w:t>
            </w:r>
            <w:r w:rsidR="00D10799" w:rsidRPr="7E3AD86B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Hallux Valgus (Bunion)</w:t>
            </w:r>
            <w:r w:rsidR="00952EF8" w:rsidRPr="7E3AD86B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Surgery</w:t>
            </w:r>
            <w:r w:rsidR="73BA6B7C" w:rsidRPr="7E3AD86B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(Open or minimally invasive)</w:t>
            </w:r>
          </w:p>
        </w:tc>
      </w:tr>
      <w:tr w:rsidR="00082635" w14:paraId="4607A061" w14:textId="77777777" w:rsidTr="7E3AD86B">
        <w:tc>
          <w:tcPr>
            <w:tcW w:w="2580" w:type="dxa"/>
          </w:tcPr>
          <w:p w14:paraId="2BE2DCD8" w14:textId="169702F0" w:rsidR="00082635" w:rsidRDefault="00C40725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For the treatment of:</w:t>
            </w:r>
          </w:p>
        </w:tc>
        <w:tc>
          <w:tcPr>
            <w:tcW w:w="6436" w:type="dxa"/>
          </w:tcPr>
          <w:p w14:paraId="393F21FC" w14:textId="4ED4DA1D" w:rsidR="00467760" w:rsidRPr="00A47E1F" w:rsidRDefault="009586C1" w:rsidP="2C858F9C">
            <w:r w:rsidRPr="2C858F9C">
              <w:rPr>
                <w:rStyle w:val="normaltextrun"/>
                <w:rFonts w:eastAsiaTheme="minorEastAsia"/>
              </w:rPr>
              <w:t>Hallux valgus</w:t>
            </w:r>
          </w:p>
        </w:tc>
      </w:tr>
      <w:tr w:rsidR="00082635" w14:paraId="1062A7C2" w14:textId="77777777" w:rsidTr="7E3AD86B">
        <w:trPr>
          <w:trHeight w:val="1289"/>
        </w:trPr>
        <w:tc>
          <w:tcPr>
            <w:tcW w:w="2580" w:type="dxa"/>
          </w:tcPr>
          <w:p w14:paraId="2DA08F4B" w14:textId="11510286" w:rsidR="00082635" w:rsidRDefault="00C40725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Commissioning position</w:t>
            </w:r>
          </w:p>
        </w:tc>
        <w:tc>
          <w:tcPr>
            <w:tcW w:w="6436" w:type="dxa"/>
          </w:tcPr>
          <w:p w14:paraId="1F34093B" w14:textId="2C2E7002" w:rsidR="00B711D9" w:rsidRDefault="29DF50CE" w:rsidP="2C858F9C">
            <w:p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Th</w:t>
            </w:r>
            <w:r w:rsidR="620CDB17" w:rsidRPr="2C858F9C">
              <w:rPr>
                <w:rFonts w:eastAsiaTheme="minorEastAsia"/>
              </w:rPr>
              <w:t>ese</w:t>
            </w:r>
            <w:r w:rsidR="00D10799" w:rsidRPr="2C858F9C">
              <w:rPr>
                <w:rFonts w:eastAsiaTheme="minorEastAsia"/>
              </w:rPr>
              <w:t xml:space="preserve"> intervention</w:t>
            </w:r>
            <w:r w:rsidR="03FC0595" w:rsidRPr="2C858F9C">
              <w:rPr>
                <w:rFonts w:eastAsiaTheme="minorEastAsia"/>
              </w:rPr>
              <w:t>s</w:t>
            </w:r>
            <w:r w:rsidR="00D10799" w:rsidRPr="2C858F9C">
              <w:rPr>
                <w:rFonts w:eastAsiaTheme="minorEastAsia"/>
              </w:rPr>
              <w:t xml:space="preserve"> </w:t>
            </w:r>
            <w:r w:rsidR="6BB03AAB" w:rsidRPr="2C858F9C">
              <w:rPr>
                <w:rFonts w:eastAsiaTheme="minorEastAsia"/>
              </w:rPr>
              <w:t>are</w:t>
            </w:r>
            <w:r w:rsidR="00D10799" w:rsidRPr="2C858F9C">
              <w:rPr>
                <w:rFonts w:eastAsiaTheme="minorEastAsia"/>
              </w:rPr>
              <w:t xml:space="preserve"> commissioned</w:t>
            </w:r>
            <w:r w:rsidR="60B6A64D" w:rsidRPr="2C858F9C">
              <w:rPr>
                <w:rFonts w:eastAsiaTheme="minorEastAsia"/>
              </w:rPr>
              <w:t xml:space="preserve"> if:</w:t>
            </w:r>
          </w:p>
          <w:p w14:paraId="1AFCF56D" w14:textId="743C2844" w:rsidR="00D10799" w:rsidRDefault="0577164F" w:rsidP="73D20BF8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the person has been assessed by a podiatrist and</w:t>
            </w:r>
            <w:r w:rsidR="024C9A44" w:rsidRPr="2C858F9C">
              <w:rPr>
                <w:rFonts w:eastAsiaTheme="minorEastAsia"/>
              </w:rPr>
              <w:t xml:space="preserve"> despite</w:t>
            </w:r>
            <w:r w:rsidRPr="2C858F9C">
              <w:rPr>
                <w:rFonts w:eastAsiaTheme="minorEastAsia"/>
              </w:rPr>
              <w:t xml:space="preserve"> follow</w:t>
            </w:r>
            <w:r w:rsidR="351443F4" w:rsidRPr="2C858F9C">
              <w:rPr>
                <w:rFonts w:eastAsiaTheme="minorEastAsia"/>
              </w:rPr>
              <w:t>ing</w:t>
            </w:r>
            <w:r w:rsidRPr="2C858F9C">
              <w:rPr>
                <w:rFonts w:eastAsiaTheme="minorEastAsia"/>
              </w:rPr>
              <w:t xml:space="preserve"> c</w:t>
            </w:r>
            <w:r w:rsidR="00D10799" w:rsidRPr="2C858F9C">
              <w:rPr>
                <w:rFonts w:eastAsiaTheme="minorEastAsia"/>
              </w:rPr>
              <w:t>onservative measures</w:t>
            </w:r>
            <w:r w:rsidR="1F4EC360" w:rsidRPr="2C858F9C">
              <w:rPr>
                <w:rFonts w:eastAsiaTheme="minorEastAsia"/>
              </w:rPr>
              <w:t xml:space="preserve"> for at least 3 months</w:t>
            </w:r>
            <w:r w:rsidR="0A4E2A22" w:rsidRPr="2C858F9C">
              <w:rPr>
                <w:rFonts w:eastAsiaTheme="minorEastAsia"/>
              </w:rPr>
              <w:t>:</w:t>
            </w:r>
          </w:p>
          <w:p w14:paraId="19C79234" w14:textId="7DA883EC" w:rsidR="00D10799" w:rsidRDefault="00D10799" w:rsidP="2C858F9C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 xml:space="preserve">suffers from </w:t>
            </w:r>
            <w:r w:rsidR="1D6B4406" w:rsidRPr="2C858F9C">
              <w:rPr>
                <w:rFonts w:eastAsiaTheme="minorEastAsia"/>
              </w:rPr>
              <w:t>severe deformity of the first metatarsophalangeal joint that causes significant functional impairment</w:t>
            </w:r>
            <w:r w:rsidR="20DD2859" w:rsidRPr="2C858F9C">
              <w:rPr>
                <w:rFonts w:eastAsiaTheme="minorEastAsia"/>
              </w:rPr>
              <w:t xml:space="preserve"> </w:t>
            </w:r>
            <w:r w:rsidR="1D6B4406" w:rsidRPr="2C858F9C">
              <w:rPr>
                <w:rFonts w:eastAsiaTheme="minorEastAsia"/>
              </w:rPr>
              <w:t>OR</w:t>
            </w:r>
          </w:p>
          <w:p w14:paraId="6745CF9F" w14:textId="2E833828" w:rsidR="00D10799" w:rsidRDefault="00D10799" w:rsidP="2C858F9C">
            <w:pPr>
              <w:pStyle w:val="ListParagraph"/>
              <w:numPr>
                <w:ilvl w:val="1"/>
                <w:numId w:val="18"/>
              </w:num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severe pain that causes significant functional impact</w:t>
            </w:r>
          </w:p>
          <w:p w14:paraId="30B905D6" w14:textId="5DE7903B" w:rsidR="00D10799" w:rsidRDefault="00D10799" w:rsidP="2C858F9C">
            <w:p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OR</w:t>
            </w:r>
          </w:p>
          <w:p w14:paraId="4D115EFC" w14:textId="2A9A04A4" w:rsidR="00D10799" w:rsidRDefault="27E1676A" w:rsidP="73D20BF8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there is r</w:t>
            </w:r>
            <w:r w:rsidR="00D10799" w:rsidRPr="2C858F9C">
              <w:rPr>
                <w:rFonts w:eastAsiaTheme="minorEastAsia"/>
              </w:rPr>
              <w:t xml:space="preserve">ecurrent or chronic ulceration </w:t>
            </w:r>
            <w:r w:rsidR="36F760EF" w:rsidRPr="2C858F9C">
              <w:rPr>
                <w:rFonts w:eastAsiaTheme="minorEastAsia"/>
              </w:rPr>
              <w:t>due to the deformity</w:t>
            </w:r>
          </w:p>
          <w:p w14:paraId="6129D4DC" w14:textId="02EE0111" w:rsidR="002A2664" w:rsidRPr="00A47E1F" w:rsidRDefault="36F760EF" w:rsidP="2C858F9C">
            <w:p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OR</w:t>
            </w:r>
          </w:p>
          <w:p w14:paraId="1012CC6D" w14:textId="02C5C24A" w:rsidR="002A2664" w:rsidRPr="00A47E1F" w:rsidRDefault="36F760EF" w:rsidP="2C858F9C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43FB037F">
              <w:rPr>
                <w:rFonts w:eastAsiaTheme="minorEastAsia"/>
              </w:rPr>
              <w:t>there is recurrent or chronic bursitis or tendinitis at the first metatarsal head due to the deformity</w:t>
            </w:r>
          </w:p>
          <w:p w14:paraId="7E64715A" w14:textId="55349F01" w:rsidR="002A2664" w:rsidRPr="00A47E1F" w:rsidRDefault="002A2664" w:rsidP="43FB037F">
            <w:pPr>
              <w:rPr>
                <w:rFonts w:eastAsiaTheme="minorEastAsia"/>
              </w:rPr>
            </w:pPr>
          </w:p>
          <w:p w14:paraId="03A5F2DD" w14:textId="546A3268" w:rsidR="002A2664" w:rsidRPr="00A47E1F" w:rsidRDefault="2E20AC8C" w:rsidP="43FB037F">
            <w:pPr>
              <w:spacing w:line="259" w:lineRule="auto"/>
              <w:rPr>
                <w:rFonts w:ascii="Calibri" w:eastAsia="Calibri" w:hAnsi="Calibri" w:cs="Calibri"/>
              </w:rPr>
            </w:pPr>
            <w:r w:rsidRPr="43FB037F">
              <w:rPr>
                <w:rFonts w:ascii="Calibri" w:eastAsia="Calibri" w:hAnsi="Calibri" w:cs="Calibri"/>
                <w:color w:val="000000" w:themeColor="text1"/>
              </w:rPr>
              <w:t>Treatment is not otherwise commissioned for personal preference on cosmetic grounds.</w:t>
            </w:r>
          </w:p>
        </w:tc>
      </w:tr>
      <w:tr w:rsidR="00416BEF" w14:paraId="3FEC9845" w14:textId="77777777" w:rsidTr="7E3AD86B">
        <w:tc>
          <w:tcPr>
            <w:tcW w:w="2580" w:type="dxa"/>
          </w:tcPr>
          <w:p w14:paraId="33CA7C0B" w14:textId="27CBFCBB" w:rsidR="00416BEF" w:rsidRDefault="00416BEF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Summary of Rationale</w:t>
            </w:r>
          </w:p>
        </w:tc>
        <w:tc>
          <w:tcPr>
            <w:tcW w:w="6436" w:type="dxa"/>
          </w:tcPr>
          <w:p w14:paraId="0F2D773D" w14:textId="061D39B3" w:rsidR="00527042" w:rsidRPr="00A47E1F" w:rsidRDefault="44D72F3E" w:rsidP="2C858F9C">
            <w:pPr>
              <w:rPr>
                <w:rFonts w:ascii="Calibri" w:eastAsia="Calibri" w:hAnsi="Calibri" w:cs="Calibri"/>
              </w:rPr>
            </w:pPr>
            <w:r w:rsidRPr="2C858F9C">
              <w:rPr>
                <w:rFonts w:ascii="Calibri" w:eastAsia="Calibri" w:hAnsi="Calibri" w:cs="Calibri"/>
              </w:rPr>
              <w:t>Conservative mea</w:t>
            </w:r>
            <w:r w:rsidR="32B7ED4E" w:rsidRPr="2C858F9C">
              <w:rPr>
                <w:rFonts w:ascii="Calibri" w:eastAsia="Calibri" w:hAnsi="Calibri" w:cs="Calibri"/>
              </w:rPr>
              <w:t>s</w:t>
            </w:r>
            <w:r w:rsidRPr="2C858F9C">
              <w:rPr>
                <w:rFonts w:ascii="Calibri" w:eastAsia="Calibri" w:hAnsi="Calibri" w:cs="Calibri"/>
              </w:rPr>
              <w:t>ures</w:t>
            </w:r>
            <w:r w:rsidR="01AF26B6" w:rsidRPr="2C858F9C">
              <w:rPr>
                <w:rFonts w:ascii="Calibri" w:eastAsia="Calibri" w:hAnsi="Calibri" w:cs="Calibri"/>
              </w:rPr>
              <w:t xml:space="preserve"> for bunions include footwear</w:t>
            </w:r>
            <w:r w:rsidR="29204024" w:rsidRPr="2C858F9C">
              <w:rPr>
                <w:rFonts w:ascii="Calibri" w:eastAsia="Calibri" w:hAnsi="Calibri" w:cs="Calibri"/>
              </w:rPr>
              <w:t xml:space="preserve"> alterations</w:t>
            </w:r>
            <w:r w:rsidR="01AF26B6" w:rsidRPr="2C858F9C">
              <w:rPr>
                <w:rFonts w:ascii="Calibri" w:eastAsia="Calibri" w:hAnsi="Calibri" w:cs="Calibri"/>
              </w:rPr>
              <w:t xml:space="preserve">, </w:t>
            </w:r>
            <w:r w:rsidR="7DA097FB" w:rsidRPr="2C858F9C">
              <w:rPr>
                <w:rFonts w:ascii="Calibri" w:eastAsia="Calibri" w:hAnsi="Calibri" w:cs="Calibri"/>
              </w:rPr>
              <w:t>orthos</w:t>
            </w:r>
            <w:r w:rsidR="01AF26B6" w:rsidRPr="2C858F9C">
              <w:rPr>
                <w:rFonts w:ascii="Calibri" w:eastAsia="Calibri" w:hAnsi="Calibri" w:cs="Calibri"/>
              </w:rPr>
              <w:t xml:space="preserve">es, </w:t>
            </w:r>
            <w:r w:rsidR="5610C6BB" w:rsidRPr="2C858F9C">
              <w:rPr>
                <w:rFonts w:ascii="Calibri" w:eastAsia="Calibri" w:hAnsi="Calibri" w:cs="Calibri"/>
              </w:rPr>
              <w:t>e</w:t>
            </w:r>
            <w:r w:rsidR="2607A170" w:rsidRPr="2C858F9C">
              <w:rPr>
                <w:rFonts w:ascii="Calibri" w:eastAsia="Calibri" w:hAnsi="Calibri" w:cs="Calibri"/>
              </w:rPr>
              <w:t xml:space="preserve">xercises and </w:t>
            </w:r>
            <w:r w:rsidR="01AF26B6" w:rsidRPr="2C858F9C">
              <w:rPr>
                <w:rFonts w:ascii="Calibri" w:eastAsia="Calibri" w:hAnsi="Calibri" w:cs="Calibri"/>
              </w:rPr>
              <w:t>pain relief</w:t>
            </w:r>
            <w:r w:rsidR="4FD9609F" w:rsidRPr="2C858F9C">
              <w:rPr>
                <w:rFonts w:ascii="Calibri" w:eastAsia="Calibri" w:hAnsi="Calibri" w:cs="Calibri"/>
              </w:rPr>
              <w:t>.</w:t>
            </w:r>
            <w:r w:rsidR="011ABFE2" w:rsidRPr="2C858F9C">
              <w:rPr>
                <w:rFonts w:ascii="Calibri" w:eastAsia="Calibri" w:hAnsi="Calibri" w:cs="Calibri"/>
              </w:rPr>
              <w:t xml:space="preserve"> There is no evidence that these measures correct the deformity, but they can relieve or reduce symptoms.</w:t>
            </w:r>
          </w:p>
          <w:p w14:paraId="5D7A8BE0" w14:textId="56F8FD79" w:rsidR="00527042" w:rsidRPr="00A47E1F" w:rsidRDefault="00527042" w:rsidP="2C858F9C">
            <w:pPr>
              <w:rPr>
                <w:rFonts w:ascii="Calibri" w:eastAsia="Calibri" w:hAnsi="Calibri" w:cs="Calibri"/>
              </w:rPr>
            </w:pPr>
          </w:p>
          <w:p w14:paraId="7A057F2B" w14:textId="22DD4B44" w:rsidR="00527042" w:rsidRPr="00A47E1F" w:rsidRDefault="2FFCD060" w:rsidP="2C858F9C">
            <w:pPr>
              <w:rPr>
                <w:rFonts w:ascii="Calibri" w:eastAsia="Calibri" w:hAnsi="Calibri" w:cs="Calibri"/>
              </w:rPr>
            </w:pPr>
            <w:r w:rsidRPr="2C858F9C">
              <w:rPr>
                <w:rFonts w:ascii="Calibri" w:eastAsia="Calibri" w:hAnsi="Calibri" w:cs="Calibri"/>
              </w:rPr>
              <w:t>Evidence suggests that minimally invasive techniques work as well as standard open surgical techniques. Evidence also suggests that patient-reported outcomes, such as pain and recovery time, are the same as for open surgical techniques. Minimally invasive surgery should only be done by a clinician with specific training and specialist experience in the procedure techniques.</w:t>
            </w:r>
          </w:p>
        </w:tc>
      </w:tr>
      <w:tr w:rsidR="00416BEF" w14:paraId="7DF6CEF0" w14:textId="77777777" w:rsidTr="7E3AD86B">
        <w:tc>
          <w:tcPr>
            <w:tcW w:w="2580" w:type="dxa"/>
          </w:tcPr>
          <w:p w14:paraId="729A6E73" w14:textId="1FCFD067" w:rsidR="00416BEF" w:rsidRDefault="00416BEF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References</w:t>
            </w:r>
          </w:p>
        </w:tc>
        <w:tc>
          <w:tcPr>
            <w:tcW w:w="6436" w:type="dxa"/>
          </w:tcPr>
          <w:p w14:paraId="3DE441A6" w14:textId="52D65645" w:rsidR="00D10799" w:rsidRDefault="7C182215" w:rsidP="2C858F9C">
            <w:pPr>
              <w:rPr>
                <w:rFonts w:ascii="Calibri" w:eastAsia="Calibri" w:hAnsi="Calibri" w:cs="Calibri"/>
              </w:rPr>
            </w:pPr>
            <w:hyperlink r:id="rId10">
              <w:r w:rsidRPr="2C858F9C">
                <w:rPr>
                  <w:rStyle w:val="Hyperlink"/>
                  <w:rFonts w:ascii="Calibri" w:eastAsia="Calibri" w:hAnsi="Calibri" w:cs="Calibri"/>
                </w:rPr>
                <w:t>CKS Bunions | Management (NICE)</w:t>
              </w:r>
            </w:hyperlink>
          </w:p>
          <w:p w14:paraId="298C1462" w14:textId="39C9B21B" w:rsidR="00B711D9" w:rsidRPr="00A47E1F" w:rsidRDefault="0858B973" w:rsidP="2C858F9C">
            <w:pPr>
              <w:rPr>
                <w:rFonts w:ascii="Calibri" w:eastAsia="Calibri" w:hAnsi="Calibri" w:cs="Calibri"/>
              </w:rPr>
            </w:pPr>
            <w:hyperlink r:id="rId11">
              <w:r w:rsidRPr="2C858F9C">
                <w:rPr>
                  <w:rStyle w:val="Hyperlink"/>
                  <w:rFonts w:ascii="Calibri" w:eastAsia="Calibri" w:hAnsi="Calibri" w:cs="Calibri"/>
                </w:rPr>
                <w:t>IPG789 Minimally invasive percutaneous surgical techniques with internal fixation for correcting hallux valgus (NICE)</w:t>
              </w:r>
            </w:hyperlink>
          </w:p>
        </w:tc>
      </w:tr>
      <w:tr w:rsidR="00416BEF" w14:paraId="7E9E8A9A" w14:textId="77777777" w:rsidTr="7E3AD86B">
        <w:tc>
          <w:tcPr>
            <w:tcW w:w="2580" w:type="dxa"/>
          </w:tcPr>
          <w:p w14:paraId="006DB724" w14:textId="5352A3C8" w:rsidR="00416BEF" w:rsidRDefault="00416BEF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Effective from:</w:t>
            </w:r>
          </w:p>
        </w:tc>
        <w:tc>
          <w:tcPr>
            <w:tcW w:w="6436" w:type="dxa"/>
          </w:tcPr>
          <w:p w14:paraId="0C178D90" w14:textId="23028C53" w:rsidR="00416BEF" w:rsidRPr="00A47E1F" w:rsidRDefault="0B46F118" w:rsidP="73D20BF8">
            <w:p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 xml:space="preserve">January </w:t>
            </w:r>
            <w:r w:rsidR="00416BEF" w:rsidRPr="2C858F9C">
              <w:rPr>
                <w:rFonts w:eastAsiaTheme="minorEastAsia"/>
              </w:rPr>
              <w:t>202</w:t>
            </w:r>
            <w:r w:rsidR="0E6974C6" w:rsidRPr="2C858F9C">
              <w:rPr>
                <w:rFonts w:eastAsiaTheme="minorEastAsia"/>
              </w:rPr>
              <w:t>5</w:t>
            </w:r>
          </w:p>
        </w:tc>
      </w:tr>
      <w:tr w:rsidR="00416BEF" w14:paraId="11AB6822" w14:textId="77777777" w:rsidTr="7E3AD86B">
        <w:tc>
          <w:tcPr>
            <w:tcW w:w="2580" w:type="dxa"/>
          </w:tcPr>
          <w:p w14:paraId="2338319E" w14:textId="1049B664" w:rsidR="00416BEF" w:rsidRDefault="00416BEF" w:rsidP="73D20BF8">
            <w:pPr>
              <w:rPr>
                <w:rFonts w:eastAsiaTheme="minorEastAsia"/>
              </w:rPr>
            </w:pPr>
            <w:r w:rsidRPr="73D20BF8">
              <w:rPr>
                <w:rFonts w:eastAsiaTheme="minorEastAsia"/>
              </w:rPr>
              <w:t>Policy Review Date</w:t>
            </w:r>
          </w:p>
        </w:tc>
        <w:tc>
          <w:tcPr>
            <w:tcW w:w="6436" w:type="dxa"/>
          </w:tcPr>
          <w:p w14:paraId="3DD4396A" w14:textId="11856211" w:rsidR="00416BEF" w:rsidRPr="00A47E1F" w:rsidRDefault="13AC20B9" w:rsidP="73D20BF8">
            <w:pPr>
              <w:rPr>
                <w:rFonts w:eastAsiaTheme="minorEastAsia"/>
              </w:rPr>
            </w:pPr>
            <w:r w:rsidRPr="2C858F9C">
              <w:rPr>
                <w:rFonts w:eastAsiaTheme="minorEastAsia"/>
              </w:rPr>
              <w:t>January</w:t>
            </w:r>
            <w:r w:rsidR="00416BEF" w:rsidRPr="2C858F9C">
              <w:rPr>
                <w:rFonts w:eastAsiaTheme="minorEastAsia"/>
              </w:rPr>
              <w:t xml:space="preserve"> 202</w:t>
            </w:r>
            <w:r w:rsidR="368F393D" w:rsidRPr="2C858F9C">
              <w:rPr>
                <w:rFonts w:eastAsiaTheme="minorEastAsia"/>
              </w:rPr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AF17" w14:textId="77777777" w:rsidR="00B63EAC" w:rsidRDefault="00B63EAC" w:rsidP="00082635">
      <w:pPr>
        <w:spacing w:after="0" w:line="240" w:lineRule="auto"/>
      </w:pPr>
      <w:r>
        <w:separator/>
      </w:r>
    </w:p>
  </w:endnote>
  <w:endnote w:type="continuationSeparator" w:id="0">
    <w:p w14:paraId="51B903FB" w14:textId="77777777" w:rsidR="00B63EAC" w:rsidRDefault="00B63EAC" w:rsidP="00082635">
      <w:pPr>
        <w:spacing w:after="0" w:line="240" w:lineRule="auto"/>
      </w:pPr>
      <w:r>
        <w:continuationSeparator/>
      </w:r>
    </w:p>
  </w:endnote>
  <w:endnote w:type="continuationNotice" w:id="1">
    <w:p w14:paraId="776D9A86" w14:textId="77777777" w:rsidR="00B63EAC" w:rsidRDefault="00B63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2B9B" w14:textId="77777777" w:rsidR="00B63EAC" w:rsidRDefault="00B63EAC" w:rsidP="00082635">
      <w:pPr>
        <w:spacing w:after="0" w:line="240" w:lineRule="auto"/>
      </w:pPr>
      <w:r>
        <w:separator/>
      </w:r>
    </w:p>
  </w:footnote>
  <w:footnote w:type="continuationSeparator" w:id="0">
    <w:p w14:paraId="0CA853B9" w14:textId="77777777" w:rsidR="00B63EAC" w:rsidRDefault="00B63EAC" w:rsidP="00082635">
      <w:pPr>
        <w:spacing w:after="0" w:line="240" w:lineRule="auto"/>
      </w:pPr>
      <w:r>
        <w:continuationSeparator/>
      </w:r>
    </w:p>
  </w:footnote>
  <w:footnote w:type="continuationNotice" w:id="1">
    <w:p w14:paraId="19268B14" w14:textId="77777777" w:rsidR="00B63EAC" w:rsidRDefault="00B63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434A5A"/>
    <w:multiLevelType w:val="hybridMultilevel"/>
    <w:tmpl w:val="2098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6401">
    <w:abstractNumId w:val="5"/>
  </w:num>
  <w:num w:numId="2" w16cid:durableId="1193499217">
    <w:abstractNumId w:val="1"/>
  </w:num>
  <w:num w:numId="3" w16cid:durableId="1481119074">
    <w:abstractNumId w:val="2"/>
  </w:num>
  <w:num w:numId="4" w16cid:durableId="1585725535">
    <w:abstractNumId w:val="13"/>
  </w:num>
  <w:num w:numId="5" w16cid:durableId="602492333">
    <w:abstractNumId w:val="15"/>
  </w:num>
  <w:num w:numId="6" w16cid:durableId="1210337628">
    <w:abstractNumId w:val="9"/>
  </w:num>
  <w:num w:numId="7" w16cid:durableId="766192865">
    <w:abstractNumId w:val="11"/>
  </w:num>
  <w:num w:numId="8" w16cid:durableId="894510114">
    <w:abstractNumId w:val="16"/>
  </w:num>
  <w:num w:numId="9" w16cid:durableId="1426196454">
    <w:abstractNumId w:val="3"/>
  </w:num>
  <w:num w:numId="10" w16cid:durableId="658578550">
    <w:abstractNumId w:val="14"/>
  </w:num>
  <w:num w:numId="11" w16cid:durableId="1933128075">
    <w:abstractNumId w:val="12"/>
  </w:num>
  <w:num w:numId="12" w16cid:durableId="816608577">
    <w:abstractNumId w:val="0"/>
  </w:num>
  <w:num w:numId="13" w16cid:durableId="1569463882">
    <w:abstractNumId w:val="6"/>
  </w:num>
  <w:num w:numId="14" w16cid:durableId="201282633">
    <w:abstractNumId w:val="7"/>
  </w:num>
  <w:num w:numId="15" w16cid:durableId="1786925749">
    <w:abstractNumId w:val="17"/>
  </w:num>
  <w:num w:numId="16" w16cid:durableId="658577614">
    <w:abstractNumId w:val="4"/>
  </w:num>
  <w:num w:numId="17" w16cid:durableId="1477382413">
    <w:abstractNumId w:val="8"/>
  </w:num>
  <w:num w:numId="18" w16cid:durableId="25759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0D0F4F"/>
    <w:rsid w:val="00167D81"/>
    <w:rsid w:val="00174A3F"/>
    <w:rsid w:val="001F27C5"/>
    <w:rsid w:val="00222A0D"/>
    <w:rsid w:val="00230855"/>
    <w:rsid w:val="002466B7"/>
    <w:rsid w:val="00287A90"/>
    <w:rsid w:val="002A2664"/>
    <w:rsid w:val="003174C9"/>
    <w:rsid w:val="00376614"/>
    <w:rsid w:val="003C012D"/>
    <w:rsid w:val="003D61D1"/>
    <w:rsid w:val="003D7C85"/>
    <w:rsid w:val="003F5EDE"/>
    <w:rsid w:val="00406AC6"/>
    <w:rsid w:val="00416BEF"/>
    <w:rsid w:val="00467760"/>
    <w:rsid w:val="00504D10"/>
    <w:rsid w:val="00527042"/>
    <w:rsid w:val="005467E7"/>
    <w:rsid w:val="005653F2"/>
    <w:rsid w:val="00581112"/>
    <w:rsid w:val="00585C42"/>
    <w:rsid w:val="00632439"/>
    <w:rsid w:val="006359C8"/>
    <w:rsid w:val="0066D150"/>
    <w:rsid w:val="00680B55"/>
    <w:rsid w:val="00707108"/>
    <w:rsid w:val="00743853"/>
    <w:rsid w:val="007455F9"/>
    <w:rsid w:val="00766477"/>
    <w:rsid w:val="007C7F99"/>
    <w:rsid w:val="00800C79"/>
    <w:rsid w:val="008246DA"/>
    <w:rsid w:val="00865CD1"/>
    <w:rsid w:val="00883C3A"/>
    <w:rsid w:val="008B221A"/>
    <w:rsid w:val="008E3D3C"/>
    <w:rsid w:val="00952EF8"/>
    <w:rsid w:val="009586C1"/>
    <w:rsid w:val="0099416C"/>
    <w:rsid w:val="009E4D1D"/>
    <w:rsid w:val="00A27FC5"/>
    <w:rsid w:val="00A47E1F"/>
    <w:rsid w:val="00A62119"/>
    <w:rsid w:val="00A64BC4"/>
    <w:rsid w:val="00A66546"/>
    <w:rsid w:val="00AA65AF"/>
    <w:rsid w:val="00AC005F"/>
    <w:rsid w:val="00AC1A0A"/>
    <w:rsid w:val="00B24B75"/>
    <w:rsid w:val="00B44AB6"/>
    <w:rsid w:val="00B466BB"/>
    <w:rsid w:val="00B61664"/>
    <w:rsid w:val="00B63EAC"/>
    <w:rsid w:val="00B711D9"/>
    <w:rsid w:val="00BC0857"/>
    <w:rsid w:val="00BC6294"/>
    <w:rsid w:val="00C03C24"/>
    <w:rsid w:val="00C316D4"/>
    <w:rsid w:val="00C40725"/>
    <w:rsid w:val="00C640A9"/>
    <w:rsid w:val="00C707E4"/>
    <w:rsid w:val="00C766DD"/>
    <w:rsid w:val="00C8389C"/>
    <w:rsid w:val="00CB2568"/>
    <w:rsid w:val="00D10799"/>
    <w:rsid w:val="00D11E68"/>
    <w:rsid w:val="00D2490C"/>
    <w:rsid w:val="00D7057A"/>
    <w:rsid w:val="00DF681A"/>
    <w:rsid w:val="00E072AE"/>
    <w:rsid w:val="00E3216D"/>
    <w:rsid w:val="00E55A6F"/>
    <w:rsid w:val="00E57275"/>
    <w:rsid w:val="00E72557"/>
    <w:rsid w:val="00E74AC8"/>
    <w:rsid w:val="00E91C93"/>
    <w:rsid w:val="00E936A3"/>
    <w:rsid w:val="00E9706F"/>
    <w:rsid w:val="00EB2B3D"/>
    <w:rsid w:val="00F75948"/>
    <w:rsid w:val="00F92C7B"/>
    <w:rsid w:val="00FF2F9B"/>
    <w:rsid w:val="011ABFE2"/>
    <w:rsid w:val="01793A3A"/>
    <w:rsid w:val="019E8F11"/>
    <w:rsid w:val="01AF26B6"/>
    <w:rsid w:val="024C9A44"/>
    <w:rsid w:val="03FC0595"/>
    <w:rsid w:val="04212987"/>
    <w:rsid w:val="0577164F"/>
    <w:rsid w:val="07614913"/>
    <w:rsid w:val="0858B973"/>
    <w:rsid w:val="0A4E2A22"/>
    <w:rsid w:val="0B46F118"/>
    <w:rsid w:val="0C745D0D"/>
    <w:rsid w:val="0CD529FC"/>
    <w:rsid w:val="0E6974C6"/>
    <w:rsid w:val="11976874"/>
    <w:rsid w:val="134F00EB"/>
    <w:rsid w:val="13AC20B9"/>
    <w:rsid w:val="1BE37C0C"/>
    <w:rsid w:val="1D6B4406"/>
    <w:rsid w:val="1D8FF191"/>
    <w:rsid w:val="1EFCC46F"/>
    <w:rsid w:val="1F4EC360"/>
    <w:rsid w:val="20DD2859"/>
    <w:rsid w:val="253FA6B0"/>
    <w:rsid w:val="2607A170"/>
    <w:rsid w:val="269D0C68"/>
    <w:rsid w:val="27E1676A"/>
    <w:rsid w:val="29204024"/>
    <w:rsid w:val="29DF50CE"/>
    <w:rsid w:val="2C858F9C"/>
    <w:rsid w:val="2D8868C0"/>
    <w:rsid w:val="2E20AC8C"/>
    <w:rsid w:val="2FFCD060"/>
    <w:rsid w:val="302555B8"/>
    <w:rsid w:val="31E0412D"/>
    <w:rsid w:val="32B7ED4E"/>
    <w:rsid w:val="33A45243"/>
    <w:rsid w:val="351443F4"/>
    <w:rsid w:val="352FB388"/>
    <w:rsid w:val="368F393D"/>
    <w:rsid w:val="36F760EF"/>
    <w:rsid w:val="3757198F"/>
    <w:rsid w:val="38C9F236"/>
    <w:rsid w:val="40E1FFC5"/>
    <w:rsid w:val="43FB037F"/>
    <w:rsid w:val="4409D5EA"/>
    <w:rsid w:val="44D72F3E"/>
    <w:rsid w:val="4D2F8B14"/>
    <w:rsid w:val="4E0C5A69"/>
    <w:rsid w:val="4E1D75B5"/>
    <w:rsid w:val="4FD9609F"/>
    <w:rsid w:val="55C1A4F4"/>
    <w:rsid w:val="5610C6BB"/>
    <w:rsid w:val="5781FD05"/>
    <w:rsid w:val="58477CC9"/>
    <w:rsid w:val="5CDDE247"/>
    <w:rsid w:val="60178B97"/>
    <w:rsid w:val="60B6A64D"/>
    <w:rsid w:val="620CDB17"/>
    <w:rsid w:val="629420D1"/>
    <w:rsid w:val="65F2D343"/>
    <w:rsid w:val="681F66A8"/>
    <w:rsid w:val="686A6877"/>
    <w:rsid w:val="6B8CAE8A"/>
    <w:rsid w:val="6B9CB8AE"/>
    <w:rsid w:val="6BB03AAB"/>
    <w:rsid w:val="6D96B183"/>
    <w:rsid w:val="6FB8650D"/>
    <w:rsid w:val="7204A058"/>
    <w:rsid w:val="7234AE08"/>
    <w:rsid w:val="734C431D"/>
    <w:rsid w:val="73BA6B7C"/>
    <w:rsid w:val="73D20BF8"/>
    <w:rsid w:val="772034E5"/>
    <w:rsid w:val="7810A431"/>
    <w:rsid w:val="7BC42A10"/>
    <w:rsid w:val="7C182215"/>
    <w:rsid w:val="7DA097FB"/>
    <w:rsid w:val="7DCF647A"/>
    <w:rsid w:val="7DF77715"/>
    <w:rsid w:val="7E3AD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718A8FFA-83D6-4330-A013-6848F6A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ipg78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ks.nice.org.uk/topics/bunions/management/bun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AB2A5C-32EB-4272-BE13-4EE98C84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North Lincolnshire Council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2024-12-31T12:58:00Z</dcterms:created>
  <dcterms:modified xsi:type="dcterms:W3CDTF">2024-12-31T12:58:00Z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