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016" w:type="dxa"/>
        <w:tblLook w:val="04A0" w:firstRow="1" w:lastRow="0" w:firstColumn="1" w:lastColumn="0" w:noHBand="0" w:noVBand="1"/>
      </w:tblPr>
      <w:tblGrid>
        <w:gridCol w:w="2610"/>
        <w:gridCol w:w="6406"/>
      </w:tblGrid>
      <w:tr w:rsidR="00082635" w14:paraId="0B1125C6" w14:textId="77777777" w:rsidTr="1A90146C">
        <w:tc>
          <w:tcPr>
            <w:tcW w:w="2610" w:type="dxa"/>
          </w:tcPr>
          <w:p w14:paraId="0D4A3409" w14:textId="3EA3C901" w:rsidR="00082635" w:rsidRDefault="00C40725">
            <w:bookmarkStart w:id="0" w:name="_Hlk164339182"/>
            <w:r>
              <w:t>Intervention</w:t>
            </w:r>
          </w:p>
        </w:tc>
        <w:tc>
          <w:tcPr>
            <w:tcW w:w="6406" w:type="dxa"/>
          </w:tcPr>
          <w:p w14:paraId="72BB008D" w14:textId="7A5D74A4" w:rsidR="00F92C7B" w:rsidRPr="003B2B8C" w:rsidRDefault="003B2B8C" w:rsidP="1A90146C">
            <w:pPr>
              <w:pStyle w:val="paragraph"/>
              <w:spacing w:before="0" w:beforeAutospacing="0" w:after="0" w:afterAutospacing="0"/>
              <w:textAlignment w:val="baseline"/>
              <w:rPr>
                <w:rStyle w:val="normaltextrun"/>
                <w:rFonts w:asciiTheme="minorHAnsi" w:eastAsiaTheme="minorEastAsia" w:hAnsiTheme="minorHAnsi" w:cstheme="minorHAnsi"/>
                <w:b/>
                <w:bCs/>
                <w:sz w:val="22"/>
                <w:szCs w:val="22"/>
                <w:lang w:val="en-US"/>
              </w:rPr>
            </w:pPr>
            <w:r w:rsidRPr="003B2B8C">
              <w:rPr>
                <w:rStyle w:val="normaltextrun"/>
                <w:rFonts w:asciiTheme="minorHAnsi" w:eastAsiaTheme="minorEastAsia" w:hAnsiTheme="minorHAnsi" w:cstheme="minorHAnsi"/>
                <w:b/>
                <w:bCs/>
                <w:sz w:val="22"/>
                <w:szCs w:val="22"/>
                <w:lang w:val="en-US"/>
              </w:rPr>
              <w:t xml:space="preserve">062. </w:t>
            </w:r>
            <w:r w:rsidR="64FC562F" w:rsidRPr="003B2B8C">
              <w:rPr>
                <w:rStyle w:val="normaltextrun"/>
                <w:rFonts w:asciiTheme="minorHAnsi" w:eastAsiaTheme="minorEastAsia" w:hAnsiTheme="minorHAnsi" w:cstheme="minorHAnsi"/>
                <w:b/>
                <w:bCs/>
                <w:sz w:val="22"/>
                <w:szCs w:val="22"/>
                <w:lang w:val="en-US"/>
              </w:rPr>
              <w:t>Circumcision</w:t>
            </w:r>
            <w:r w:rsidR="4E8691B2" w:rsidRPr="003B2B8C">
              <w:rPr>
                <w:rStyle w:val="normaltextrun"/>
                <w:rFonts w:asciiTheme="minorHAnsi" w:eastAsiaTheme="minorEastAsia" w:hAnsiTheme="minorHAnsi" w:cstheme="minorHAnsi"/>
                <w:b/>
                <w:bCs/>
                <w:sz w:val="22"/>
                <w:szCs w:val="22"/>
                <w:lang w:val="en-US"/>
              </w:rPr>
              <w:t xml:space="preserve"> (all ages)</w:t>
            </w:r>
          </w:p>
        </w:tc>
      </w:tr>
      <w:tr w:rsidR="00082635" w14:paraId="4607A061" w14:textId="77777777" w:rsidTr="1A90146C">
        <w:tc>
          <w:tcPr>
            <w:tcW w:w="2610" w:type="dxa"/>
          </w:tcPr>
          <w:p w14:paraId="2BE2DCD8" w14:textId="169702F0" w:rsidR="00082635" w:rsidRDefault="00C40725">
            <w:r>
              <w:t>For the treatment of:</w:t>
            </w:r>
          </w:p>
        </w:tc>
        <w:tc>
          <w:tcPr>
            <w:tcW w:w="6406" w:type="dxa"/>
          </w:tcPr>
          <w:p w14:paraId="393F21FC" w14:textId="41FEDFE2" w:rsidR="00467760" w:rsidRDefault="466CEDD2" w:rsidP="002466B7">
            <w:r>
              <w:t>Foreskin conditions</w:t>
            </w:r>
          </w:p>
        </w:tc>
      </w:tr>
      <w:tr w:rsidR="00082635" w14:paraId="1062A7C2" w14:textId="77777777" w:rsidTr="1A90146C">
        <w:trPr>
          <w:trHeight w:val="1289"/>
        </w:trPr>
        <w:tc>
          <w:tcPr>
            <w:tcW w:w="2610" w:type="dxa"/>
          </w:tcPr>
          <w:p w14:paraId="2DA08F4B" w14:textId="11510286" w:rsidR="00082635" w:rsidRDefault="00C40725">
            <w:r>
              <w:t>Commissioning position</w:t>
            </w:r>
          </w:p>
        </w:tc>
        <w:tc>
          <w:tcPr>
            <w:tcW w:w="6406" w:type="dxa"/>
          </w:tcPr>
          <w:p w14:paraId="24FBFD01" w14:textId="543B86F3" w:rsidR="00BF521D" w:rsidRDefault="2A9830AE" w:rsidP="00BF521D">
            <w:r>
              <w:t>This intervention is commissioned if</w:t>
            </w:r>
            <w:r w:rsidR="28B2DDD3">
              <w:t xml:space="preserve"> the person has</w:t>
            </w:r>
            <w:r w:rsidR="00BF521D">
              <w:t>:</w:t>
            </w:r>
          </w:p>
          <w:p w14:paraId="664FFD6C" w14:textId="143E8B3C" w:rsidR="00BF521D" w:rsidRDefault="5E75698E" w:rsidP="00BF521D">
            <w:pPr>
              <w:pStyle w:val="ListParagraph"/>
              <w:numPr>
                <w:ilvl w:val="0"/>
                <w:numId w:val="19"/>
              </w:numPr>
            </w:pPr>
            <w:r>
              <w:t>t</w:t>
            </w:r>
            <w:r w:rsidR="7A056CA9">
              <w:t xml:space="preserve">raumatic foreskin injury </w:t>
            </w:r>
            <w:r w:rsidR="267AE7ED">
              <w:t>where reconstruction is not feasible</w:t>
            </w:r>
          </w:p>
          <w:p w14:paraId="6DF9803A" w14:textId="4E23F28D" w:rsidR="00BF521D" w:rsidRDefault="00BF521D" w:rsidP="00BF521D">
            <w:pPr>
              <w:pStyle w:val="ListParagraph"/>
              <w:numPr>
                <w:ilvl w:val="0"/>
                <w:numId w:val="19"/>
              </w:numPr>
            </w:pPr>
            <w:r>
              <w:t>Balanitis Xerotica Obliterans</w:t>
            </w:r>
          </w:p>
          <w:p w14:paraId="1DD24FFD" w14:textId="0633C34B" w:rsidR="00BF521D" w:rsidRDefault="29916361" w:rsidP="00BF521D">
            <w:pPr>
              <w:pStyle w:val="ListParagraph"/>
              <w:numPr>
                <w:ilvl w:val="0"/>
                <w:numId w:val="19"/>
              </w:numPr>
            </w:pPr>
            <w:r>
              <w:t>s</w:t>
            </w:r>
            <w:r w:rsidR="425490EB">
              <w:t>eve</w:t>
            </w:r>
            <w:r w:rsidR="6C1C332B">
              <w:t>re r</w:t>
            </w:r>
            <w:r w:rsidR="00BF521D">
              <w:t xml:space="preserve">ecurrent </w:t>
            </w:r>
            <w:r w:rsidR="033A0109">
              <w:t xml:space="preserve">episodes of </w:t>
            </w:r>
            <w:r w:rsidR="00BF521D">
              <w:t>balanoposthitis</w:t>
            </w:r>
          </w:p>
          <w:p w14:paraId="7E37A54D" w14:textId="6F4FEED7" w:rsidR="00BF521D" w:rsidRDefault="353DA19C" w:rsidP="19FCCE05">
            <w:pPr>
              <w:pStyle w:val="ListParagraph"/>
              <w:numPr>
                <w:ilvl w:val="0"/>
                <w:numId w:val="19"/>
              </w:numPr>
            </w:pPr>
            <w:r>
              <w:t>recurrent febrile Urinary Tract Infections associated with an abnormal urinary tract</w:t>
            </w:r>
          </w:p>
          <w:p w14:paraId="2CB334DE" w14:textId="0D6AA4D6" w:rsidR="00BF521D" w:rsidRDefault="2FF000B8" w:rsidP="19FCCE05">
            <w:r>
              <w:t>OR</w:t>
            </w:r>
          </w:p>
          <w:p w14:paraId="28563A48" w14:textId="15093797" w:rsidR="00BF521D" w:rsidRDefault="2FF000B8" w:rsidP="19FCCE05">
            <w:pPr>
              <w:pStyle w:val="ListParagraph"/>
              <w:numPr>
                <w:ilvl w:val="0"/>
                <w:numId w:val="1"/>
              </w:numPr>
            </w:pPr>
            <w:r>
              <w:t>as part of repair of hypospadias</w:t>
            </w:r>
          </w:p>
          <w:p w14:paraId="426CEFB4" w14:textId="2BC80BF2" w:rsidR="00BF521D" w:rsidRPr="00E3216D" w:rsidRDefault="2DCC5AFB" w:rsidP="19FCCE05">
            <w:r>
              <w:t>OR</w:t>
            </w:r>
          </w:p>
          <w:p w14:paraId="723F34B6" w14:textId="03BB99EA" w:rsidR="00BF521D" w:rsidRPr="00E3216D" w:rsidRDefault="2DCC5AFB" w:rsidP="19FCCE05">
            <w:pPr>
              <w:pStyle w:val="ListParagraph"/>
              <w:numPr>
                <w:ilvl w:val="0"/>
                <w:numId w:val="1"/>
              </w:numPr>
            </w:pPr>
            <w:r>
              <w:t>for phimosis in children approaching puberty</w:t>
            </w:r>
            <w:r w:rsidR="349E4DA8">
              <w:t xml:space="preserve"> that persists </w:t>
            </w:r>
            <w:r>
              <w:t>following at least a six-week course of high-dose topical</w:t>
            </w:r>
            <w:r w:rsidR="00BF521D">
              <w:br/>
            </w:r>
            <w:r>
              <w:t>steroid.</w:t>
            </w:r>
          </w:p>
          <w:p w14:paraId="1C338389" w14:textId="2EFC451B" w:rsidR="00BF521D" w:rsidRPr="00E3216D" w:rsidRDefault="00BF521D" w:rsidP="19FCCE05"/>
          <w:p w14:paraId="05773FFC" w14:textId="0B8E5B91" w:rsidR="00BF521D" w:rsidRPr="00E3216D" w:rsidRDefault="25BFB10A" w:rsidP="19FCCE05">
            <w:r>
              <w:t>All patients must have a formally documented discussion of the risks and benefits of foreskin preserving surgery versus penile circumcision using a shared decision-making framework.</w:t>
            </w:r>
          </w:p>
          <w:p w14:paraId="08151CFA" w14:textId="12E6108D" w:rsidR="00BF521D" w:rsidRPr="00E3216D" w:rsidRDefault="00BF521D" w:rsidP="00BF521D"/>
          <w:p w14:paraId="03A5F2DD" w14:textId="0C6464DC" w:rsidR="00BF521D" w:rsidRPr="00E3216D" w:rsidRDefault="3F7537CB" w:rsidP="19FCCE05">
            <w:r>
              <w:t>Circumcision is not commissioned for cultural, religious, or cosmetic reasons.</w:t>
            </w:r>
          </w:p>
        </w:tc>
      </w:tr>
      <w:tr w:rsidR="00416BEF" w14:paraId="3FEC9845" w14:textId="77777777" w:rsidTr="1A90146C">
        <w:tc>
          <w:tcPr>
            <w:tcW w:w="2610" w:type="dxa"/>
          </w:tcPr>
          <w:p w14:paraId="33CA7C0B" w14:textId="27CBFCBB" w:rsidR="00416BEF" w:rsidRDefault="00416BEF" w:rsidP="00416BEF">
            <w:r>
              <w:t>Summary of Rationale</w:t>
            </w:r>
          </w:p>
        </w:tc>
        <w:tc>
          <w:tcPr>
            <w:tcW w:w="6406" w:type="dxa"/>
          </w:tcPr>
          <w:p w14:paraId="47697994" w14:textId="4C6DE4A8" w:rsidR="00416BEF" w:rsidRPr="00416BEF" w:rsidRDefault="5321DBBB" w:rsidP="19FCCE05">
            <w:r w:rsidRPr="19FCCE05">
              <w:t>Most foreskin conditions can be managed with simple advice and reassurance. While major morbidity and mortality following medical penile circumcision is very rare, these could be reduced and potentially avoided if surgical indications were more stringently applied.</w:t>
            </w:r>
          </w:p>
          <w:p w14:paraId="041C85B2" w14:textId="728328A0" w:rsidR="00416BEF" w:rsidRPr="00416BEF" w:rsidRDefault="00416BEF" w:rsidP="19FCCE05"/>
          <w:p w14:paraId="5795D2C1" w14:textId="4C6DD1B2" w:rsidR="00416BEF" w:rsidRPr="00416BEF" w:rsidRDefault="4E2FFCE0" w:rsidP="19FCCE05">
            <w:r w:rsidRPr="19FCCE05">
              <w:t>Phimosis is normal in babies and young children as the foreskin and glans of the penis are initially fused. The percentage of children with full retraction of the foreskin increases with age.</w:t>
            </w:r>
          </w:p>
          <w:p w14:paraId="348202F2" w14:textId="6D776B87" w:rsidR="00416BEF" w:rsidRPr="00416BEF" w:rsidRDefault="00416BEF" w:rsidP="19FCCE05"/>
          <w:p w14:paraId="7A057F2B" w14:textId="689B6B35" w:rsidR="00416BEF" w:rsidRPr="00416BEF" w:rsidRDefault="37D50CF4" w:rsidP="19FCCE05">
            <w:r w:rsidRPr="19FCCE05">
              <w:t xml:space="preserve">It is important to note that young children, especially those aged under five years are unable to give informed consent or assent and therefore it is especially important that surgeons and parents consider the evidence base and consider </w:t>
            </w:r>
            <w:proofErr w:type="gramStart"/>
            <w:r w:rsidRPr="19FCCE05">
              <w:t>less</w:t>
            </w:r>
            <w:proofErr w:type="gramEnd"/>
            <w:r w:rsidRPr="19FCCE05">
              <w:t xml:space="preserve"> radical options when making the decision to perform penile circumcision, which cannot be reversed once performed.</w:t>
            </w:r>
          </w:p>
        </w:tc>
      </w:tr>
      <w:tr w:rsidR="00416BEF" w14:paraId="7DF6CEF0" w14:textId="77777777" w:rsidTr="1A90146C">
        <w:tc>
          <w:tcPr>
            <w:tcW w:w="2610" w:type="dxa"/>
          </w:tcPr>
          <w:p w14:paraId="729A6E73" w14:textId="1FCFD067" w:rsidR="00416BEF" w:rsidRDefault="00416BEF" w:rsidP="00416BEF">
            <w:r>
              <w:t>References</w:t>
            </w:r>
          </w:p>
        </w:tc>
        <w:tc>
          <w:tcPr>
            <w:tcW w:w="6406" w:type="dxa"/>
          </w:tcPr>
          <w:p w14:paraId="53793895" w14:textId="1C43DE7A" w:rsidR="00BF521D" w:rsidRDefault="722D1E25" w:rsidP="19FCCE05">
            <w:pPr>
              <w:rPr>
                <w:lang w:val="en-US"/>
              </w:rPr>
            </w:pPr>
            <w:hyperlink r:id="rId10">
              <w:r w:rsidRPr="19FCCE05">
                <w:rPr>
                  <w:rStyle w:val="Hyperlink"/>
                  <w:lang w:val="en-US"/>
                </w:rPr>
                <w:t>Management of foreskin conditions (BAPS)</w:t>
              </w:r>
            </w:hyperlink>
          </w:p>
          <w:p w14:paraId="298C1462" w14:textId="57869EFB" w:rsidR="00BF521D" w:rsidRDefault="0EA02E6D" w:rsidP="00416BEF">
            <w:pPr>
              <w:rPr>
                <w:lang w:val="en-US"/>
              </w:rPr>
            </w:pPr>
            <w:hyperlink r:id="rId11">
              <w:r w:rsidRPr="19FCCE05">
                <w:rPr>
                  <w:rStyle w:val="Hyperlink"/>
                  <w:lang w:val="en-US"/>
                </w:rPr>
                <w:t>EBI Penile Circumcision (AOMRC)</w:t>
              </w:r>
            </w:hyperlink>
          </w:p>
        </w:tc>
      </w:tr>
      <w:tr w:rsidR="00416BEF" w14:paraId="7E9E8A9A" w14:textId="77777777" w:rsidTr="1A90146C">
        <w:tc>
          <w:tcPr>
            <w:tcW w:w="2610" w:type="dxa"/>
          </w:tcPr>
          <w:p w14:paraId="006DB724" w14:textId="5352A3C8" w:rsidR="00416BEF" w:rsidRDefault="00416BEF" w:rsidP="00416BEF">
            <w:r>
              <w:t>Effective from:</w:t>
            </w:r>
          </w:p>
        </w:tc>
        <w:tc>
          <w:tcPr>
            <w:tcW w:w="6406" w:type="dxa"/>
          </w:tcPr>
          <w:p w14:paraId="0C178D90" w14:textId="4C1A6087" w:rsidR="00416BEF" w:rsidRDefault="00416BEF" w:rsidP="00416BEF">
            <w:r>
              <w:t>J</w:t>
            </w:r>
            <w:r w:rsidR="32EF3D70">
              <w:t>anuary</w:t>
            </w:r>
            <w:r>
              <w:t xml:space="preserve"> 202</w:t>
            </w:r>
            <w:r w:rsidR="1BAC2720">
              <w:t>5</w:t>
            </w:r>
          </w:p>
        </w:tc>
      </w:tr>
      <w:tr w:rsidR="00416BEF" w14:paraId="11AB6822" w14:textId="77777777" w:rsidTr="1A90146C">
        <w:tc>
          <w:tcPr>
            <w:tcW w:w="2610" w:type="dxa"/>
          </w:tcPr>
          <w:p w14:paraId="2338319E" w14:textId="1049B664" w:rsidR="00416BEF" w:rsidRDefault="00416BEF" w:rsidP="00416BEF">
            <w:r>
              <w:t>Policy Review Date</w:t>
            </w:r>
          </w:p>
        </w:tc>
        <w:tc>
          <w:tcPr>
            <w:tcW w:w="6406" w:type="dxa"/>
          </w:tcPr>
          <w:p w14:paraId="3DD4396A" w14:textId="2362E01D" w:rsidR="00416BEF" w:rsidRDefault="00416BEF" w:rsidP="00416BEF">
            <w:r>
              <w:t>J</w:t>
            </w:r>
            <w:r w:rsidR="0B46676F">
              <w:t>anuary</w:t>
            </w:r>
            <w:r>
              <w:t xml:space="preserve"> 202</w:t>
            </w:r>
            <w:r w:rsidR="38943DE3">
              <w:t>8</w:t>
            </w:r>
          </w:p>
        </w:tc>
      </w:tr>
      <w:bookmarkEnd w:id="0"/>
    </w:tbl>
    <w:p w14:paraId="0ED5111D" w14:textId="77777777" w:rsidR="00F92C7B" w:rsidRDefault="00F92C7B" w:rsidP="00E55A6F"/>
    <w:sectPr w:rsidR="00F92C7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F1E48" w14:textId="77777777" w:rsidR="00B82DD4" w:rsidRDefault="00B82DD4" w:rsidP="00082635">
      <w:pPr>
        <w:spacing w:after="0" w:line="240" w:lineRule="auto"/>
      </w:pPr>
      <w:r>
        <w:separator/>
      </w:r>
    </w:p>
  </w:endnote>
  <w:endnote w:type="continuationSeparator" w:id="0">
    <w:p w14:paraId="25A9BCB3" w14:textId="77777777" w:rsidR="00B82DD4" w:rsidRDefault="00B82DD4" w:rsidP="00082635">
      <w:pPr>
        <w:spacing w:after="0" w:line="240" w:lineRule="auto"/>
      </w:pPr>
      <w:r>
        <w:continuationSeparator/>
      </w:r>
    </w:p>
  </w:endnote>
  <w:endnote w:type="continuationNotice" w:id="1">
    <w:p w14:paraId="00DFDD75" w14:textId="77777777" w:rsidR="00B82DD4" w:rsidRDefault="00B82D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02555B8" w14:paraId="008DF30D" w14:textId="77777777" w:rsidTr="302555B8">
      <w:trPr>
        <w:trHeight w:val="300"/>
      </w:trPr>
      <w:tc>
        <w:tcPr>
          <w:tcW w:w="3005" w:type="dxa"/>
        </w:tcPr>
        <w:p w14:paraId="5057A052" w14:textId="400FA522" w:rsidR="302555B8" w:rsidRDefault="302555B8" w:rsidP="302555B8">
          <w:pPr>
            <w:pStyle w:val="Header"/>
            <w:ind w:left="-115"/>
          </w:pPr>
        </w:p>
      </w:tc>
      <w:tc>
        <w:tcPr>
          <w:tcW w:w="3005" w:type="dxa"/>
        </w:tcPr>
        <w:p w14:paraId="604CA60C" w14:textId="1B74C0BB" w:rsidR="302555B8" w:rsidRDefault="302555B8" w:rsidP="302555B8">
          <w:pPr>
            <w:pStyle w:val="Header"/>
            <w:jc w:val="center"/>
          </w:pPr>
        </w:p>
      </w:tc>
      <w:tc>
        <w:tcPr>
          <w:tcW w:w="3005" w:type="dxa"/>
        </w:tcPr>
        <w:p w14:paraId="7AAAB3A4" w14:textId="7221A976" w:rsidR="302555B8" w:rsidRDefault="302555B8" w:rsidP="302555B8">
          <w:pPr>
            <w:pStyle w:val="Header"/>
            <w:ind w:right="-115"/>
            <w:jc w:val="right"/>
          </w:pPr>
        </w:p>
      </w:tc>
    </w:tr>
  </w:tbl>
  <w:p w14:paraId="5AF8AE40" w14:textId="735DEB3D" w:rsidR="302555B8" w:rsidRDefault="302555B8" w:rsidP="30255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F064D" w14:textId="77777777" w:rsidR="00B82DD4" w:rsidRDefault="00B82DD4" w:rsidP="00082635">
      <w:pPr>
        <w:spacing w:after="0" w:line="240" w:lineRule="auto"/>
      </w:pPr>
      <w:r>
        <w:separator/>
      </w:r>
    </w:p>
  </w:footnote>
  <w:footnote w:type="continuationSeparator" w:id="0">
    <w:p w14:paraId="3E504DFC" w14:textId="77777777" w:rsidR="00B82DD4" w:rsidRDefault="00B82DD4" w:rsidP="00082635">
      <w:pPr>
        <w:spacing w:after="0" w:line="240" w:lineRule="auto"/>
      </w:pPr>
      <w:r>
        <w:continuationSeparator/>
      </w:r>
    </w:p>
  </w:footnote>
  <w:footnote w:type="continuationNotice" w:id="1">
    <w:p w14:paraId="294A7EC9" w14:textId="77777777" w:rsidR="00B82DD4" w:rsidRDefault="00B82D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F6D77" w14:textId="25809ACD" w:rsidR="00082635" w:rsidRDefault="00082635">
    <w:pPr>
      <w:pStyle w:val="Header"/>
    </w:pPr>
    <w:r>
      <w:rPr>
        <w:noProof/>
      </w:rPr>
      <w:drawing>
        <wp:inline distT="0" distB="0" distL="0" distR="0" wp14:anchorId="5F15A884" wp14:editId="56413D17">
          <wp:extent cx="2908300" cy="554990"/>
          <wp:effectExtent l="0" t="0" r="6350" b="0"/>
          <wp:docPr id="946757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8300" cy="554990"/>
                  </a:xfrm>
                  <a:prstGeom prst="rect">
                    <a:avLst/>
                  </a:prstGeom>
                  <a:noFill/>
                </pic:spPr>
              </pic:pic>
            </a:graphicData>
          </a:graphic>
        </wp:inline>
      </w:drawing>
    </w:r>
    <w:r>
      <w:tab/>
    </w:r>
    <w:r>
      <w:rPr>
        <w:noProof/>
      </w:rPr>
      <w:drawing>
        <wp:inline distT="0" distB="0" distL="0" distR="0" wp14:anchorId="3B4F9FF5" wp14:editId="26F1CE35">
          <wp:extent cx="1572895" cy="841375"/>
          <wp:effectExtent l="0" t="0" r="8255" b="0"/>
          <wp:docPr id="4993855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2895" cy="8413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34E1"/>
    <w:multiLevelType w:val="hybridMultilevel"/>
    <w:tmpl w:val="D324C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C6631"/>
    <w:multiLevelType w:val="hybridMultilevel"/>
    <w:tmpl w:val="427E2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1249FD"/>
    <w:multiLevelType w:val="hybridMultilevel"/>
    <w:tmpl w:val="6442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808AE"/>
    <w:multiLevelType w:val="multilevel"/>
    <w:tmpl w:val="4700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BC311A"/>
    <w:multiLevelType w:val="multilevel"/>
    <w:tmpl w:val="5582EEB2"/>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FA3521"/>
    <w:multiLevelType w:val="hybridMultilevel"/>
    <w:tmpl w:val="01A8E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75BDC"/>
    <w:multiLevelType w:val="hybridMultilevel"/>
    <w:tmpl w:val="9396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E517D8"/>
    <w:multiLevelType w:val="hybridMultilevel"/>
    <w:tmpl w:val="FB44F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491C58"/>
    <w:multiLevelType w:val="hybridMultilevel"/>
    <w:tmpl w:val="1E1C8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7B2C80"/>
    <w:multiLevelType w:val="hybridMultilevel"/>
    <w:tmpl w:val="D1E2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1977FB"/>
    <w:multiLevelType w:val="hybridMultilevel"/>
    <w:tmpl w:val="56E62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8D0EC0"/>
    <w:multiLevelType w:val="multilevel"/>
    <w:tmpl w:val="FB8A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41952C"/>
    <w:multiLevelType w:val="hybridMultilevel"/>
    <w:tmpl w:val="1BB2EF32"/>
    <w:lvl w:ilvl="0" w:tplc="DD2EBE40">
      <w:start w:val="1"/>
      <w:numFmt w:val="bullet"/>
      <w:lvlText w:val=""/>
      <w:lvlJc w:val="left"/>
      <w:pPr>
        <w:ind w:left="720" w:hanging="360"/>
      </w:pPr>
      <w:rPr>
        <w:rFonts w:ascii="Symbol" w:hAnsi="Symbol" w:hint="default"/>
      </w:rPr>
    </w:lvl>
    <w:lvl w:ilvl="1" w:tplc="41524498">
      <w:start w:val="1"/>
      <w:numFmt w:val="bullet"/>
      <w:lvlText w:val="o"/>
      <w:lvlJc w:val="left"/>
      <w:pPr>
        <w:ind w:left="1440" w:hanging="360"/>
      </w:pPr>
      <w:rPr>
        <w:rFonts w:ascii="Courier New" w:hAnsi="Courier New" w:hint="default"/>
      </w:rPr>
    </w:lvl>
    <w:lvl w:ilvl="2" w:tplc="E0141614">
      <w:start w:val="1"/>
      <w:numFmt w:val="bullet"/>
      <w:lvlText w:val=""/>
      <w:lvlJc w:val="left"/>
      <w:pPr>
        <w:ind w:left="2160" w:hanging="360"/>
      </w:pPr>
      <w:rPr>
        <w:rFonts w:ascii="Wingdings" w:hAnsi="Wingdings" w:hint="default"/>
      </w:rPr>
    </w:lvl>
    <w:lvl w:ilvl="3" w:tplc="50F06776">
      <w:start w:val="1"/>
      <w:numFmt w:val="bullet"/>
      <w:lvlText w:val=""/>
      <w:lvlJc w:val="left"/>
      <w:pPr>
        <w:ind w:left="2880" w:hanging="360"/>
      </w:pPr>
      <w:rPr>
        <w:rFonts w:ascii="Symbol" w:hAnsi="Symbol" w:hint="default"/>
      </w:rPr>
    </w:lvl>
    <w:lvl w:ilvl="4" w:tplc="B18860D0">
      <w:start w:val="1"/>
      <w:numFmt w:val="bullet"/>
      <w:lvlText w:val="o"/>
      <w:lvlJc w:val="left"/>
      <w:pPr>
        <w:ind w:left="3600" w:hanging="360"/>
      </w:pPr>
      <w:rPr>
        <w:rFonts w:ascii="Courier New" w:hAnsi="Courier New" w:hint="default"/>
      </w:rPr>
    </w:lvl>
    <w:lvl w:ilvl="5" w:tplc="81E0DC9E">
      <w:start w:val="1"/>
      <w:numFmt w:val="bullet"/>
      <w:lvlText w:val=""/>
      <w:lvlJc w:val="left"/>
      <w:pPr>
        <w:ind w:left="4320" w:hanging="360"/>
      </w:pPr>
      <w:rPr>
        <w:rFonts w:ascii="Wingdings" w:hAnsi="Wingdings" w:hint="default"/>
      </w:rPr>
    </w:lvl>
    <w:lvl w:ilvl="6" w:tplc="3A78834E">
      <w:start w:val="1"/>
      <w:numFmt w:val="bullet"/>
      <w:lvlText w:val=""/>
      <w:lvlJc w:val="left"/>
      <w:pPr>
        <w:ind w:left="5040" w:hanging="360"/>
      </w:pPr>
      <w:rPr>
        <w:rFonts w:ascii="Symbol" w:hAnsi="Symbol" w:hint="default"/>
      </w:rPr>
    </w:lvl>
    <w:lvl w:ilvl="7" w:tplc="ABCC21FA">
      <w:start w:val="1"/>
      <w:numFmt w:val="bullet"/>
      <w:lvlText w:val="o"/>
      <w:lvlJc w:val="left"/>
      <w:pPr>
        <w:ind w:left="5760" w:hanging="360"/>
      </w:pPr>
      <w:rPr>
        <w:rFonts w:ascii="Courier New" w:hAnsi="Courier New" w:hint="default"/>
      </w:rPr>
    </w:lvl>
    <w:lvl w:ilvl="8" w:tplc="FF0ADFD8">
      <w:start w:val="1"/>
      <w:numFmt w:val="bullet"/>
      <w:lvlText w:val=""/>
      <w:lvlJc w:val="left"/>
      <w:pPr>
        <w:ind w:left="6480" w:hanging="360"/>
      </w:pPr>
      <w:rPr>
        <w:rFonts w:ascii="Wingdings" w:hAnsi="Wingdings" w:hint="default"/>
      </w:rPr>
    </w:lvl>
  </w:abstractNum>
  <w:abstractNum w:abstractNumId="13" w15:restartNumberingAfterBreak="0">
    <w:nsid w:val="624B24BC"/>
    <w:multiLevelType w:val="hybridMultilevel"/>
    <w:tmpl w:val="E2B86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F42381"/>
    <w:multiLevelType w:val="multilevel"/>
    <w:tmpl w:val="8ED4C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F5418F"/>
    <w:multiLevelType w:val="hybridMultilevel"/>
    <w:tmpl w:val="28D03698"/>
    <w:lvl w:ilvl="0" w:tplc="57FA7C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EE3E29"/>
    <w:multiLevelType w:val="multilevel"/>
    <w:tmpl w:val="D62E6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7415E9"/>
    <w:multiLevelType w:val="multilevel"/>
    <w:tmpl w:val="986E2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561130"/>
    <w:multiLevelType w:val="hybridMultilevel"/>
    <w:tmpl w:val="21A6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360611"/>
    <w:multiLevelType w:val="multilevel"/>
    <w:tmpl w:val="F364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9815049">
    <w:abstractNumId w:val="12"/>
  </w:num>
  <w:num w:numId="2" w16cid:durableId="718356401">
    <w:abstractNumId w:val="6"/>
  </w:num>
  <w:num w:numId="3" w16cid:durableId="1193499217">
    <w:abstractNumId w:val="1"/>
  </w:num>
  <w:num w:numId="4" w16cid:durableId="1481119074">
    <w:abstractNumId w:val="2"/>
  </w:num>
  <w:num w:numId="5" w16cid:durableId="1585725535">
    <w:abstractNumId w:val="15"/>
  </w:num>
  <w:num w:numId="6" w16cid:durableId="602492333">
    <w:abstractNumId w:val="17"/>
  </w:num>
  <w:num w:numId="7" w16cid:durableId="1210337628">
    <w:abstractNumId w:val="11"/>
  </w:num>
  <w:num w:numId="8" w16cid:durableId="766192865">
    <w:abstractNumId w:val="13"/>
  </w:num>
  <w:num w:numId="9" w16cid:durableId="894510114">
    <w:abstractNumId w:val="18"/>
  </w:num>
  <w:num w:numId="10" w16cid:durableId="1426196454">
    <w:abstractNumId w:val="3"/>
  </w:num>
  <w:num w:numId="11" w16cid:durableId="658578550">
    <w:abstractNumId w:val="16"/>
  </w:num>
  <w:num w:numId="12" w16cid:durableId="1933128075">
    <w:abstractNumId w:val="14"/>
  </w:num>
  <w:num w:numId="13" w16cid:durableId="816608577">
    <w:abstractNumId w:val="0"/>
  </w:num>
  <w:num w:numId="14" w16cid:durableId="1569463882">
    <w:abstractNumId w:val="8"/>
  </w:num>
  <w:num w:numId="15" w16cid:durableId="201282633">
    <w:abstractNumId w:val="9"/>
  </w:num>
  <w:num w:numId="16" w16cid:durableId="1786925749">
    <w:abstractNumId w:val="19"/>
  </w:num>
  <w:num w:numId="17" w16cid:durableId="658577614">
    <w:abstractNumId w:val="4"/>
  </w:num>
  <w:num w:numId="18" w16cid:durableId="1477382413">
    <w:abstractNumId w:val="10"/>
  </w:num>
  <w:num w:numId="19" w16cid:durableId="40594373">
    <w:abstractNumId w:val="7"/>
  </w:num>
  <w:num w:numId="20" w16cid:durableId="5931687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635"/>
    <w:rsid w:val="00082635"/>
    <w:rsid w:val="000840EF"/>
    <w:rsid w:val="0016613C"/>
    <w:rsid w:val="00167D81"/>
    <w:rsid w:val="001905C8"/>
    <w:rsid w:val="00222A0D"/>
    <w:rsid w:val="002466B7"/>
    <w:rsid w:val="00287A90"/>
    <w:rsid w:val="002A2E37"/>
    <w:rsid w:val="003174C9"/>
    <w:rsid w:val="00376614"/>
    <w:rsid w:val="003B2B8C"/>
    <w:rsid w:val="003D61D1"/>
    <w:rsid w:val="003D7C85"/>
    <w:rsid w:val="003F5EDE"/>
    <w:rsid w:val="00416BEF"/>
    <w:rsid w:val="00467760"/>
    <w:rsid w:val="00504D10"/>
    <w:rsid w:val="00537960"/>
    <w:rsid w:val="005467E7"/>
    <w:rsid w:val="00581112"/>
    <w:rsid w:val="00585C42"/>
    <w:rsid w:val="0066D150"/>
    <w:rsid w:val="00672BA9"/>
    <w:rsid w:val="00675DCB"/>
    <w:rsid w:val="007455F9"/>
    <w:rsid w:val="00766477"/>
    <w:rsid w:val="00800C79"/>
    <w:rsid w:val="00861D44"/>
    <w:rsid w:val="00865CD1"/>
    <w:rsid w:val="008B221A"/>
    <w:rsid w:val="008F5FA3"/>
    <w:rsid w:val="0099416C"/>
    <w:rsid w:val="009E4D1D"/>
    <w:rsid w:val="00A66546"/>
    <w:rsid w:val="00AA65AF"/>
    <w:rsid w:val="00AC1A0A"/>
    <w:rsid w:val="00B24B75"/>
    <w:rsid w:val="00B466BB"/>
    <w:rsid w:val="00B82DD4"/>
    <w:rsid w:val="00BC6294"/>
    <w:rsid w:val="00BF521D"/>
    <w:rsid w:val="00C03C24"/>
    <w:rsid w:val="00C40725"/>
    <w:rsid w:val="00C640A9"/>
    <w:rsid w:val="00C707E4"/>
    <w:rsid w:val="00CB2568"/>
    <w:rsid w:val="00D2490C"/>
    <w:rsid w:val="00D7057A"/>
    <w:rsid w:val="00DF681A"/>
    <w:rsid w:val="00E3216D"/>
    <w:rsid w:val="00E55A6F"/>
    <w:rsid w:val="00E57275"/>
    <w:rsid w:val="00E72557"/>
    <w:rsid w:val="00E74AC8"/>
    <w:rsid w:val="00E936A3"/>
    <w:rsid w:val="00EB2B3D"/>
    <w:rsid w:val="00F75948"/>
    <w:rsid w:val="00F90925"/>
    <w:rsid w:val="00F92C7B"/>
    <w:rsid w:val="033A0109"/>
    <w:rsid w:val="08C78AB9"/>
    <w:rsid w:val="08DB1DC6"/>
    <w:rsid w:val="096CB34F"/>
    <w:rsid w:val="0B46676F"/>
    <w:rsid w:val="0C795812"/>
    <w:rsid w:val="0D33A326"/>
    <w:rsid w:val="0D5C7A03"/>
    <w:rsid w:val="0EA02E6D"/>
    <w:rsid w:val="14AF44C5"/>
    <w:rsid w:val="1698FF5C"/>
    <w:rsid w:val="19FCCE05"/>
    <w:rsid w:val="1A90146C"/>
    <w:rsid w:val="1AD5134A"/>
    <w:rsid w:val="1B0C0525"/>
    <w:rsid w:val="1BAC2720"/>
    <w:rsid w:val="1BE37C0C"/>
    <w:rsid w:val="1D99B336"/>
    <w:rsid w:val="1E6C4905"/>
    <w:rsid w:val="24BE775C"/>
    <w:rsid w:val="25BFB10A"/>
    <w:rsid w:val="267AE7ED"/>
    <w:rsid w:val="28B2DDD3"/>
    <w:rsid w:val="292C22CE"/>
    <w:rsid w:val="29916361"/>
    <w:rsid w:val="29ABC160"/>
    <w:rsid w:val="2A9830AE"/>
    <w:rsid w:val="2DCC5AFB"/>
    <w:rsid w:val="2FB69DB4"/>
    <w:rsid w:val="2FF000B8"/>
    <w:rsid w:val="302555B8"/>
    <w:rsid w:val="31103E1F"/>
    <w:rsid w:val="32586FEC"/>
    <w:rsid w:val="32EF3D70"/>
    <w:rsid w:val="349E4DA8"/>
    <w:rsid w:val="353DA19C"/>
    <w:rsid w:val="37D50CF4"/>
    <w:rsid w:val="38943DE3"/>
    <w:rsid w:val="3AB543DD"/>
    <w:rsid w:val="3EF3A6C9"/>
    <w:rsid w:val="3F7537CB"/>
    <w:rsid w:val="425490EB"/>
    <w:rsid w:val="466CEDD2"/>
    <w:rsid w:val="4871C93D"/>
    <w:rsid w:val="495C942C"/>
    <w:rsid w:val="4E0C5A69"/>
    <w:rsid w:val="4E1D75B5"/>
    <w:rsid w:val="4E2FFCE0"/>
    <w:rsid w:val="4E8691B2"/>
    <w:rsid w:val="50086B36"/>
    <w:rsid w:val="5063AB4C"/>
    <w:rsid w:val="509D439C"/>
    <w:rsid w:val="5321DBBB"/>
    <w:rsid w:val="554E66AA"/>
    <w:rsid w:val="57930687"/>
    <w:rsid w:val="58477CC9"/>
    <w:rsid w:val="5E75698E"/>
    <w:rsid w:val="6036B959"/>
    <w:rsid w:val="6219A62C"/>
    <w:rsid w:val="630D8841"/>
    <w:rsid w:val="63244F9E"/>
    <w:rsid w:val="64FC562F"/>
    <w:rsid w:val="65BC0E6A"/>
    <w:rsid w:val="67332E00"/>
    <w:rsid w:val="68BC0A47"/>
    <w:rsid w:val="6AEB6CCC"/>
    <w:rsid w:val="6C1C332B"/>
    <w:rsid w:val="6D35FCBF"/>
    <w:rsid w:val="704AFB44"/>
    <w:rsid w:val="71025C5D"/>
    <w:rsid w:val="722D1E25"/>
    <w:rsid w:val="745A9414"/>
    <w:rsid w:val="7664EE4F"/>
    <w:rsid w:val="77014B4C"/>
    <w:rsid w:val="7758EDA8"/>
    <w:rsid w:val="7A056CA9"/>
    <w:rsid w:val="7EC4C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A6270"/>
  <w15:chartTrackingRefBased/>
  <w15:docId w15:val="{A0592958-E5CF-411D-ADB6-35077DF6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635"/>
  </w:style>
  <w:style w:type="paragraph" w:styleId="Footer">
    <w:name w:val="footer"/>
    <w:basedOn w:val="Normal"/>
    <w:link w:val="FooterChar"/>
    <w:uiPriority w:val="99"/>
    <w:unhideWhenUsed/>
    <w:rsid w:val="00082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635"/>
  </w:style>
  <w:style w:type="table" w:styleId="TableGrid">
    <w:name w:val="Table Grid"/>
    <w:basedOn w:val="TableNormal"/>
    <w:uiPriority w:val="39"/>
    <w:rsid w:val="00082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0725"/>
    <w:pPr>
      <w:ind w:left="720"/>
      <w:contextualSpacing/>
    </w:pPr>
  </w:style>
  <w:style w:type="paragraph" w:styleId="Revision">
    <w:name w:val="Revision"/>
    <w:hidden/>
    <w:uiPriority w:val="99"/>
    <w:semiHidden/>
    <w:rsid w:val="007455F9"/>
    <w:pPr>
      <w:spacing w:after="0" w:line="240" w:lineRule="auto"/>
    </w:pPr>
  </w:style>
  <w:style w:type="character" w:styleId="Hyperlink">
    <w:name w:val="Hyperlink"/>
    <w:basedOn w:val="DefaultParagraphFont"/>
    <w:uiPriority w:val="99"/>
    <w:unhideWhenUsed/>
    <w:rsid w:val="00F92C7B"/>
    <w:rPr>
      <w:color w:val="0000FF"/>
      <w:u w:val="single"/>
    </w:rPr>
  </w:style>
  <w:style w:type="character" w:customStyle="1" w:styleId="normaltextrun">
    <w:name w:val="normaltextrun"/>
    <w:basedOn w:val="DefaultParagraphFont"/>
    <w:rsid w:val="00B24B75"/>
  </w:style>
  <w:style w:type="character" w:customStyle="1" w:styleId="eop">
    <w:name w:val="eop"/>
    <w:basedOn w:val="DefaultParagraphFont"/>
    <w:rsid w:val="00B24B75"/>
  </w:style>
  <w:style w:type="paragraph" w:customStyle="1" w:styleId="paragraph">
    <w:name w:val="paragraph"/>
    <w:basedOn w:val="Normal"/>
    <w:rsid w:val="00B24B7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xxmsonormal">
    <w:name w:val="xxxmsonormal"/>
    <w:basedOn w:val="Normal"/>
    <w:rsid w:val="005467E7"/>
    <w:pPr>
      <w:spacing w:before="100" w:beforeAutospacing="1" w:after="100" w:afterAutospacing="1" w:line="240" w:lineRule="auto"/>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30399">
      <w:bodyDiv w:val="1"/>
      <w:marLeft w:val="0"/>
      <w:marRight w:val="0"/>
      <w:marTop w:val="0"/>
      <w:marBottom w:val="0"/>
      <w:divBdr>
        <w:top w:val="none" w:sz="0" w:space="0" w:color="auto"/>
        <w:left w:val="none" w:sz="0" w:space="0" w:color="auto"/>
        <w:bottom w:val="none" w:sz="0" w:space="0" w:color="auto"/>
        <w:right w:val="none" w:sz="0" w:space="0" w:color="auto"/>
      </w:divBdr>
      <w:divsChild>
        <w:div w:id="1104567705">
          <w:marLeft w:val="0"/>
          <w:marRight w:val="0"/>
          <w:marTop w:val="0"/>
          <w:marBottom w:val="0"/>
          <w:divBdr>
            <w:top w:val="none" w:sz="0" w:space="0" w:color="auto"/>
            <w:left w:val="none" w:sz="0" w:space="0" w:color="auto"/>
            <w:bottom w:val="none" w:sz="0" w:space="0" w:color="auto"/>
            <w:right w:val="none" w:sz="0" w:space="0" w:color="auto"/>
          </w:divBdr>
        </w:div>
        <w:div w:id="311251867">
          <w:marLeft w:val="0"/>
          <w:marRight w:val="0"/>
          <w:marTop w:val="0"/>
          <w:marBottom w:val="0"/>
          <w:divBdr>
            <w:top w:val="none" w:sz="0" w:space="0" w:color="auto"/>
            <w:left w:val="none" w:sz="0" w:space="0" w:color="auto"/>
            <w:bottom w:val="none" w:sz="0" w:space="0" w:color="auto"/>
            <w:right w:val="none" w:sz="0" w:space="0" w:color="auto"/>
          </w:divBdr>
        </w:div>
      </w:divsChild>
    </w:div>
    <w:div w:id="662051743">
      <w:bodyDiv w:val="1"/>
      <w:marLeft w:val="0"/>
      <w:marRight w:val="0"/>
      <w:marTop w:val="0"/>
      <w:marBottom w:val="0"/>
      <w:divBdr>
        <w:top w:val="none" w:sz="0" w:space="0" w:color="auto"/>
        <w:left w:val="none" w:sz="0" w:space="0" w:color="auto"/>
        <w:bottom w:val="none" w:sz="0" w:space="0" w:color="auto"/>
        <w:right w:val="none" w:sz="0" w:space="0" w:color="auto"/>
      </w:divBdr>
    </w:div>
    <w:div w:id="855384259">
      <w:bodyDiv w:val="1"/>
      <w:marLeft w:val="0"/>
      <w:marRight w:val="0"/>
      <w:marTop w:val="0"/>
      <w:marBottom w:val="0"/>
      <w:divBdr>
        <w:top w:val="none" w:sz="0" w:space="0" w:color="auto"/>
        <w:left w:val="none" w:sz="0" w:space="0" w:color="auto"/>
        <w:bottom w:val="none" w:sz="0" w:space="0" w:color="auto"/>
        <w:right w:val="none" w:sz="0" w:space="0" w:color="auto"/>
      </w:divBdr>
    </w:div>
    <w:div w:id="1084569492">
      <w:bodyDiv w:val="1"/>
      <w:marLeft w:val="0"/>
      <w:marRight w:val="0"/>
      <w:marTop w:val="0"/>
      <w:marBottom w:val="0"/>
      <w:divBdr>
        <w:top w:val="none" w:sz="0" w:space="0" w:color="auto"/>
        <w:left w:val="none" w:sz="0" w:space="0" w:color="auto"/>
        <w:bottom w:val="none" w:sz="0" w:space="0" w:color="auto"/>
        <w:right w:val="none" w:sz="0" w:space="0" w:color="auto"/>
      </w:divBdr>
      <w:divsChild>
        <w:div w:id="37164777">
          <w:marLeft w:val="0"/>
          <w:marRight w:val="0"/>
          <w:marTop w:val="0"/>
          <w:marBottom w:val="0"/>
          <w:divBdr>
            <w:top w:val="none" w:sz="0" w:space="0" w:color="auto"/>
            <w:left w:val="none" w:sz="0" w:space="0" w:color="auto"/>
            <w:bottom w:val="none" w:sz="0" w:space="0" w:color="auto"/>
            <w:right w:val="none" w:sz="0" w:space="0" w:color="auto"/>
          </w:divBdr>
        </w:div>
        <w:div w:id="999503297">
          <w:marLeft w:val="0"/>
          <w:marRight w:val="0"/>
          <w:marTop w:val="0"/>
          <w:marBottom w:val="0"/>
          <w:divBdr>
            <w:top w:val="none" w:sz="0" w:space="0" w:color="auto"/>
            <w:left w:val="none" w:sz="0" w:space="0" w:color="auto"/>
            <w:bottom w:val="none" w:sz="0" w:space="0" w:color="auto"/>
            <w:right w:val="none" w:sz="0" w:space="0" w:color="auto"/>
          </w:divBdr>
        </w:div>
      </w:divsChild>
    </w:div>
    <w:div w:id="1742212089">
      <w:bodyDiv w:val="1"/>
      <w:marLeft w:val="0"/>
      <w:marRight w:val="0"/>
      <w:marTop w:val="0"/>
      <w:marBottom w:val="0"/>
      <w:divBdr>
        <w:top w:val="none" w:sz="0" w:space="0" w:color="auto"/>
        <w:left w:val="none" w:sz="0" w:space="0" w:color="auto"/>
        <w:bottom w:val="none" w:sz="0" w:space="0" w:color="auto"/>
        <w:right w:val="none" w:sz="0" w:space="0" w:color="auto"/>
      </w:divBdr>
      <w:divsChild>
        <w:div w:id="1063794962">
          <w:marLeft w:val="0"/>
          <w:marRight w:val="0"/>
          <w:marTop w:val="0"/>
          <w:marBottom w:val="0"/>
          <w:divBdr>
            <w:top w:val="none" w:sz="0" w:space="0" w:color="auto"/>
            <w:left w:val="none" w:sz="0" w:space="0" w:color="auto"/>
            <w:bottom w:val="none" w:sz="0" w:space="0" w:color="auto"/>
            <w:right w:val="none" w:sz="0" w:space="0" w:color="auto"/>
          </w:divBdr>
        </w:div>
        <w:div w:id="982084058">
          <w:marLeft w:val="0"/>
          <w:marRight w:val="0"/>
          <w:marTop w:val="0"/>
          <w:marBottom w:val="0"/>
          <w:divBdr>
            <w:top w:val="none" w:sz="0" w:space="0" w:color="auto"/>
            <w:left w:val="none" w:sz="0" w:space="0" w:color="auto"/>
            <w:bottom w:val="none" w:sz="0" w:space="0" w:color="auto"/>
            <w:right w:val="none" w:sz="0" w:space="0" w:color="auto"/>
          </w:divBdr>
        </w:div>
      </w:divsChild>
    </w:div>
    <w:div w:id="1864516556">
      <w:bodyDiv w:val="1"/>
      <w:marLeft w:val="0"/>
      <w:marRight w:val="0"/>
      <w:marTop w:val="0"/>
      <w:marBottom w:val="0"/>
      <w:divBdr>
        <w:top w:val="none" w:sz="0" w:space="0" w:color="auto"/>
        <w:left w:val="none" w:sz="0" w:space="0" w:color="auto"/>
        <w:bottom w:val="none" w:sz="0" w:space="0" w:color="auto"/>
        <w:right w:val="none" w:sz="0" w:space="0" w:color="auto"/>
      </w:divBdr>
      <w:divsChild>
        <w:div w:id="336660829">
          <w:marLeft w:val="0"/>
          <w:marRight w:val="0"/>
          <w:marTop w:val="0"/>
          <w:marBottom w:val="0"/>
          <w:divBdr>
            <w:top w:val="none" w:sz="0" w:space="0" w:color="auto"/>
            <w:left w:val="none" w:sz="0" w:space="0" w:color="auto"/>
            <w:bottom w:val="none" w:sz="0" w:space="0" w:color="auto"/>
            <w:right w:val="none" w:sz="0" w:space="0" w:color="auto"/>
          </w:divBdr>
        </w:div>
        <w:div w:id="200090930">
          <w:marLeft w:val="0"/>
          <w:marRight w:val="0"/>
          <w:marTop w:val="0"/>
          <w:marBottom w:val="0"/>
          <w:divBdr>
            <w:top w:val="none" w:sz="0" w:space="0" w:color="auto"/>
            <w:left w:val="none" w:sz="0" w:space="0" w:color="auto"/>
            <w:bottom w:val="none" w:sz="0" w:space="0" w:color="auto"/>
            <w:right w:val="none" w:sz="0" w:space="0" w:color="auto"/>
          </w:divBdr>
        </w:div>
      </w:divsChild>
    </w:div>
    <w:div w:id="2024817881">
      <w:bodyDiv w:val="1"/>
      <w:marLeft w:val="0"/>
      <w:marRight w:val="0"/>
      <w:marTop w:val="0"/>
      <w:marBottom w:val="0"/>
      <w:divBdr>
        <w:top w:val="none" w:sz="0" w:space="0" w:color="auto"/>
        <w:left w:val="none" w:sz="0" w:space="0" w:color="auto"/>
        <w:bottom w:val="none" w:sz="0" w:space="0" w:color="auto"/>
        <w:right w:val="none" w:sz="0" w:space="0" w:color="auto"/>
      </w:divBdr>
      <w:divsChild>
        <w:div w:id="974219275">
          <w:marLeft w:val="0"/>
          <w:marRight w:val="0"/>
          <w:marTop w:val="0"/>
          <w:marBottom w:val="0"/>
          <w:divBdr>
            <w:top w:val="none" w:sz="0" w:space="0" w:color="auto"/>
            <w:left w:val="none" w:sz="0" w:space="0" w:color="auto"/>
            <w:bottom w:val="none" w:sz="0" w:space="0" w:color="auto"/>
            <w:right w:val="none" w:sz="0" w:space="0" w:color="auto"/>
          </w:divBdr>
        </w:div>
        <w:div w:id="971132682">
          <w:marLeft w:val="0"/>
          <w:marRight w:val="0"/>
          <w:marTop w:val="0"/>
          <w:marBottom w:val="0"/>
          <w:divBdr>
            <w:top w:val="none" w:sz="0" w:space="0" w:color="auto"/>
            <w:left w:val="none" w:sz="0" w:space="0" w:color="auto"/>
            <w:bottom w:val="none" w:sz="0" w:space="0" w:color="auto"/>
            <w:right w:val="none" w:sz="0" w:space="0" w:color="auto"/>
          </w:divBdr>
        </w:div>
        <w:div w:id="1080131185">
          <w:marLeft w:val="0"/>
          <w:marRight w:val="0"/>
          <w:marTop w:val="0"/>
          <w:marBottom w:val="0"/>
          <w:divBdr>
            <w:top w:val="none" w:sz="0" w:space="0" w:color="auto"/>
            <w:left w:val="none" w:sz="0" w:space="0" w:color="auto"/>
            <w:bottom w:val="none" w:sz="0" w:space="0" w:color="auto"/>
            <w:right w:val="none" w:sz="0" w:space="0" w:color="auto"/>
          </w:divBdr>
        </w:div>
        <w:div w:id="1939874605">
          <w:marLeft w:val="0"/>
          <w:marRight w:val="0"/>
          <w:marTop w:val="0"/>
          <w:marBottom w:val="0"/>
          <w:divBdr>
            <w:top w:val="none" w:sz="0" w:space="0" w:color="auto"/>
            <w:left w:val="none" w:sz="0" w:space="0" w:color="auto"/>
            <w:bottom w:val="none" w:sz="0" w:space="0" w:color="auto"/>
            <w:right w:val="none" w:sz="0" w:space="0" w:color="auto"/>
          </w:divBdr>
        </w:div>
        <w:div w:id="93284794">
          <w:marLeft w:val="0"/>
          <w:marRight w:val="0"/>
          <w:marTop w:val="0"/>
          <w:marBottom w:val="0"/>
          <w:divBdr>
            <w:top w:val="none" w:sz="0" w:space="0" w:color="auto"/>
            <w:left w:val="none" w:sz="0" w:space="0" w:color="auto"/>
            <w:bottom w:val="none" w:sz="0" w:space="0" w:color="auto"/>
            <w:right w:val="none" w:sz="0" w:space="0" w:color="auto"/>
          </w:divBdr>
        </w:div>
        <w:div w:id="557711760">
          <w:marLeft w:val="0"/>
          <w:marRight w:val="0"/>
          <w:marTop w:val="0"/>
          <w:marBottom w:val="0"/>
          <w:divBdr>
            <w:top w:val="none" w:sz="0" w:space="0" w:color="auto"/>
            <w:left w:val="none" w:sz="0" w:space="0" w:color="auto"/>
            <w:bottom w:val="none" w:sz="0" w:space="0" w:color="auto"/>
            <w:right w:val="none" w:sz="0" w:space="0" w:color="auto"/>
          </w:divBdr>
        </w:div>
        <w:div w:id="111636726">
          <w:marLeft w:val="0"/>
          <w:marRight w:val="0"/>
          <w:marTop w:val="0"/>
          <w:marBottom w:val="0"/>
          <w:divBdr>
            <w:top w:val="none" w:sz="0" w:space="0" w:color="auto"/>
            <w:left w:val="none" w:sz="0" w:space="0" w:color="auto"/>
            <w:bottom w:val="none" w:sz="0" w:space="0" w:color="auto"/>
            <w:right w:val="none" w:sz="0" w:space="0" w:color="auto"/>
          </w:divBdr>
        </w:div>
        <w:div w:id="1130703359">
          <w:marLeft w:val="0"/>
          <w:marRight w:val="0"/>
          <w:marTop w:val="0"/>
          <w:marBottom w:val="0"/>
          <w:divBdr>
            <w:top w:val="none" w:sz="0" w:space="0" w:color="auto"/>
            <w:left w:val="none" w:sz="0" w:space="0" w:color="auto"/>
            <w:bottom w:val="none" w:sz="0" w:space="0" w:color="auto"/>
            <w:right w:val="none" w:sz="0" w:space="0" w:color="auto"/>
          </w:divBdr>
        </w:div>
        <w:div w:id="552810139">
          <w:marLeft w:val="0"/>
          <w:marRight w:val="0"/>
          <w:marTop w:val="0"/>
          <w:marBottom w:val="0"/>
          <w:divBdr>
            <w:top w:val="none" w:sz="0" w:space="0" w:color="auto"/>
            <w:left w:val="none" w:sz="0" w:space="0" w:color="auto"/>
            <w:bottom w:val="none" w:sz="0" w:space="0" w:color="auto"/>
            <w:right w:val="none" w:sz="0" w:space="0" w:color="auto"/>
          </w:divBdr>
        </w:div>
        <w:div w:id="1398362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bi.aomrc.org.uk/interventions/list-3-draf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baps.org.uk/wp-content/uploads/2017/03/MANAGEMENT-OF-FORESKIN-CONDITION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3" ma:contentTypeDescription="Create a new document." ma:contentTypeScope="" ma:versionID="48d392da81d8762aa77edee72ffe0213">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965def166fed93582d57d0e45edce60f"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element ref="ns3:I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IAA" ma:index="30" nillable="true" ma:displayName="IAA" ma:format="Dropdown" ma:list="UserInfo" ma:SharePointGroup="0" ma:internalName="IA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a82410-35a1-48d9-a432-e298e5b95e46">
      <Terms xmlns="http://schemas.microsoft.com/office/infopath/2007/PartnerControls"/>
    </lcf76f155ced4ddcb4097134ff3c332f>
    <TaxCatchAll xmlns="1365388d-8e0b-4df5-a0a3-cd102b49988e" xsi:nil="true"/>
    <_ip_UnifiedCompliancePolicyUIAction xmlns="http://schemas.microsoft.com/sharepoint/v3" xsi:nil="true"/>
    <InformationAssetOwner xmlns="f6a82410-35a1-48d9-a432-e298e5b95e46">
      <UserInfo>
        <DisplayName/>
        <AccountId xsi:nil="true"/>
        <AccountType/>
      </UserInfo>
    </InformationAssetOwner>
    <_ip_UnifiedCompliancePolicyProperties xmlns="http://schemas.microsoft.com/sharepoint/v3" xsi:nil="true"/>
    <Comments xmlns="f6a82410-35a1-48d9-a432-e298e5b95e46" xsi:nil="true"/>
    <IAA xmlns="f6a82410-35a1-48d9-a432-e298e5b95e46">
      <UserInfo>
        <DisplayName/>
        <AccountId xsi:nil="true"/>
        <AccountType/>
      </UserInfo>
    </IAA>
  </documentManagement>
</p:properties>
</file>

<file path=customXml/itemProps1.xml><?xml version="1.0" encoding="utf-8"?>
<ds:datastoreItem xmlns:ds="http://schemas.openxmlformats.org/officeDocument/2006/customXml" ds:itemID="{796607CC-166E-4EC7-B09A-01287445AE49}">
  <ds:schemaRefs>
    <ds:schemaRef ds:uri="http://schemas.microsoft.com/sharepoint/v3/contenttype/forms"/>
  </ds:schemaRefs>
</ds:datastoreItem>
</file>

<file path=customXml/itemProps2.xml><?xml version="1.0" encoding="utf-8"?>
<ds:datastoreItem xmlns:ds="http://schemas.openxmlformats.org/officeDocument/2006/customXml" ds:itemID="{0CBCD7BC-CAB7-4677-94C3-AD1F6A529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5388d-8e0b-4df5-a0a3-cd102b49988e"/>
    <ds:schemaRef ds:uri="f6a82410-35a1-48d9-a432-e298e5b95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DBBECD-3A68-4C9B-A58F-0B6D7B30AB3F}">
  <ds:schemaRefs>
    <ds:schemaRef ds:uri="http://schemas.microsoft.com/office/2006/metadata/properties"/>
    <ds:schemaRef ds:uri="http://schemas.microsoft.com/office/infopath/2007/PartnerControls"/>
    <ds:schemaRef ds:uri="f6a82410-35a1-48d9-a432-e298e5b95e46"/>
    <ds:schemaRef ds:uri="1365388d-8e0b-4df5-a0a3-cd102b49988e"/>
    <ds:schemaRef ds:uri="http://schemas.microsoft.com/sharepoint/v3"/>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1684</Characters>
  <Application>Microsoft Office Word</Application>
  <DocSecurity>0</DocSecurity>
  <Lines>14</Lines>
  <Paragraphs>3</Paragraphs>
  <ScaleCrop>false</ScaleCrop>
  <Company>North Lincolnshire Council</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Ellerton</dc:creator>
  <cp:keywords/>
  <dc:description/>
  <cp:lastModifiedBy>BLACK, Rebecca (NHS HUMBER AND NORTH YORKSHIRE ICB - 02Y)</cp:lastModifiedBy>
  <cp:revision>2</cp:revision>
  <dcterms:created xsi:type="dcterms:W3CDTF">2024-12-31T13:38:00Z</dcterms:created>
  <dcterms:modified xsi:type="dcterms:W3CDTF">2024-12-31T13:38:00Z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