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16" w:type="dxa"/>
        <w:tblLook w:val="04A0" w:firstRow="1" w:lastRow="0" w:firstColumn="1" w:lastColumn="0" w:noHBand="0" w:noVBand="1"/>
      </w:tblPr>
      <w:tblGrid>
        <w:gridCol w:w="2430"/>
        <w:gridCol w:w="6586"/>
      </w:tblGrid>
      <w:tr w:rsidR="00082635" w14:paraId="0B1125C6" w14:textId="77777777" w:rsidTr="64D5BD54">
        <w:tc>
          <w:tcPr>
            <w:tcW w:w="2430" w:type="dxa"/>
          </w:tcPr>
          <w:p w14:paraId="0D4A3409" w14:textId="3EA3C901" w:rsidR="00082635" w:rsidRDefault="00C40725">
            <w:bookmarkStart w:id="0" w:name="_Hlk164339182"/>
            <w:r>
              <w:t>Intervention</w:t>
            </w:r>
          </w:p>
        </w:tc>
        <w:tc>
          <w:tcPr>
            <w:tcW w:w="6586" w:type="dxa"/>
          </w:tcPr>
          <w:p w14:paraId="72BB008D" w14:textId="74FF1EFE" w:rsidR="00F92C7B" w:rsidRDefault="6C07955C" w:rsidP="0AC6F7C6">
            <w:pPr>
              <w:pStyle w:val="paragraph"/>
              <w:spacing w:before="0" w:beforeAutospacing="0" w:after="0" w:afterAutospacing="0"/>
              <w:textAlignment w:val="baseline"/>
              <w:rPr>
                <w:b/>
                <w:bCs/>
              </w:rPr>
            </w:pPr>
            <w:r w:rsidRPr="64D5BD54">
              <w:rPr>
                <w:rFonts w:asciiTheme="minorHAnsi" w:eastAsiaTheme="minorEastAsia" w:hAnsiTheme="minorHAnsi" w:cstheme="minorBidi"/>
                <w:b/>
                <w:bCs/>
                <w:sz w:val="22"/>
                <w:szCs w:val="22"/>
                <w:lang w:val="en-US" w:eastAsia="en-US"/>
              </w:rPr>
              <w:t xml:space="preserve">076. </w:t>
            </w:r>
            <w:r w:rsidR="000801DF" w:rsidRPr="64D5BD54">
              <w:rPr>
                <w:rFonts w:asciiTheme="minorHAnsi" w:eastAsiaTheme="minorEastAsia" w:hAnsiTheme="minorHAnsi" w:cstheme="minorBidi"/>
                <w:b/>
                <w:bCs/>
                <w:sz w:val="22"/>
                <w:szCs w:val="22"/>
                <w:lang w:val="en-US" w:eastAsia="en-US"/>
              </w:rPr>
              <w:t>Cataract Surgery</w:t>
            </w:r>
            <w:r w:rsidR="006F6774" w:rsidRPr="64D5BD54">
              <w:rPr>
                <w:rFonts w:asciiTheme="minorHAnsi" w:eastAsiaTheme="minorEastAsia" w:hAnsiTheme="minorHAnsi" w:cstheme="minorBidi"/>
                <w:b/>
                <w:bCs/>
                <w:sz w:val="22"/>
                <w:szCs w:val="22"/>
                <w:lang w:val="en-US" w:eastAsia="en-US"/>
              </w:rPr>
              <w:t xml:space="preserve"> </w:t>
            </w:r>
            <w:r w:rsidR="006F6774" w:rsidRPr="64D5BD54">
              <w:rPr>
                <w:rFonts w:asciiTheme="minorHAnsi" w:eastAsiaTheme="minorEastAsia" w:hAnsiTheme="minorHAnsi" w:cstheme="minorBidi"/>
                <w:b/>
                <w:bCs/>
                <w:sz w:val="22"/>
                <w:szCs w:val="22"/>
                <w:lang w:eastAsia="en-US"/>
              </w:rPr>
              <w:t>in Adults</w:t>
            </w:r>
          </w:p>
        </w:tc>
      </w:tr>
      <w:tr w:rsidR="00082635" w14:paraId="4607A061" w14:textId="77777777" w:rsidTr="64D5BD54">
        <w:tc>
          <w:tcPr>
            <w:tcW w:w="2430" w:type="dxa"/>
          </w:tcPr>
          <w:p w14:paraId="2BE2DCD8" w14:textId="169702F0" w:rsidR="00082635" w:rsidRDefault="00C40725">
            <w:r>
              <w:t>For the treatment of:</w:t>
            </w:r>
          </w:p>
        </w:tc>
        <w:tc>
          <w:tcPr>
            <w:tcW w:w="6586" w:type="dxa"/>
          </w:tcPr>
          <w:p w14:paraId="393F21FC" w14:textId="7180C75D" w:rsidR="00467760" w:rsidRDefault="4A761546" w:rsidP="002466B7">
            <w:r w:rsidRPr="0AC6F7C6">
              <w:rPr>
                <w:rFonts w:eastAsiaTheme="minorEastAsia"/>
              </w:rPr>
              <w:t>Cataract</w:t>
            </w:r>
          </w:p>
        </w:tc>
      </w:tr>
      <w:tr w:rsidR="00082635" w14:paraId="1062A7C2" w14:textId="77777777" w:rsidTr="64D5BD54">
        <w:trPr>
          <w:trHeight w:val="1289"/>
        </w:trPr>
        <w:tc>
          <w:tcPr>
            <w:tcW w:w="2430" w:type="dxa"/>
          </w:tcPr>
          <w:p w14:paraId="2DA08F4B" w14:textId="11510286" w:rsidR="00082635" w:rsidRDefault="00C40725">
            <w:r>
              <w:t>Commissioning position</w:t>
            </w:r>
          </w:p>
        </w:tc>
        <w:tc>
          <w:tcPr>
            <w:tcW w:w="6586" w:type="dxa"/>
          </w:tcPr>
          <w:p w14:paraId="0EC96BD7" w14:textId="72EFE71F" w:rsidR="00223786" w:rsidRDefault="18524722" w:rsidP="00223786">
            <w:r>
              <w:t>This intervention is routinely commissioned and does not require prior approval.</w:t>
            </w:r>
          </w:p>
          <w:p w14:paraId="240B6C60" w14:textId="2A4AC8E1" w:rsidR="00223786" w:rsidRDefault="00223786" w:rsidP="00223786"/>
          <w:p w14:paraId="6BA10CEC" w14:textId="09358628" w:rsidR="00223786" w:rsidRDefault="00223786" w:rsidP="00223786">
            <w:r>
              <w:t>The</w:t>
            </w:r>
            <w:r w:rsidR="3E5DED26">
              <w:t xml:space="preserve"> person should be</w:t>
            </w:r>
            <w:r>
              <w:t xml:space="preserve"> referr</w:t>
            </w:r>
            <w:r w:rsidR="660277A1">
              <w:t>ed by a</w:t>
            </w:r>
            <w:r>
              <w:t xml:space="preserve"> primary care optometrist</w:t>
            </w:r>
            <w:r w:rsidR="2E136264">
              <w:t>, who</w:t>
            </w:r>
            <w:r>
              <w:t xml:space="preserve"> should formally document shared decision making with the patient and/or their family and carers if appropriate. As a minimum</w:t>
            </w:r>
            <w:r w:rsidR="6A4FAF90">
              <w:t>,</w:t>
            </w:r>
            <w:r>
              <w:t xml:space="preserve"> referral should include:</w:t>
            </w:r>
          </w:p>
          <w:p w14:paraId="7CF9266D" w14:textId="29C5B920" w:rsidR="00223786" w:rsidRDefault="00223786" w:rsidP="00223786">
            <w:pPr>
              <w:pStyle w:val="ListParagraph"/>
              <w:numPr>
                <w:ilvl w:val="0"/>
                <w:numId w:val="19"/>
              </w:numPr>
            </w:pPr>
            <w:r>
              <w:t>How the cataract affects the person</w:t>
            </w:r>
            <w:r w:rsidR="20F98A62">
              <w:t>’</w:t>
            </w:r>
            <w:r>
              <w:t>s vision and quality of life</w:t>
            </w:r>
          </w:p>
          <w:p w14:paraId="251AAF7D" w14:textId="72743AE7" w:rsidR="00223786" w:rsidRDefault="00223786" w:rsidP="00223786">
            <w:pPr>
              <w:pStyle w:val="ListParagraph"/>
              <w:numPr>
                <w:ilvl w:val="0"/>
                <w:numId w:val="19"/>
              </w:numPr>
            </w:pPr>
            <w:r>
              <w:t>Whether one or both eyes are affected</w:t>
            </w:r>
          </w:p>
          <w:p w14:paraId="7AFD1403" w14:textId="1858181F" w:rsidR="00223786" w:rsidRDefault="00223786" w:rsidP="00223786">
            <w:pPr>
              <w:pStyle w:val="ListParagraph"/>
              <w:numPr>
                <w:ilvl w:val="0"/>
                <w:numId w:val="19"/>
              </w:numPr>
            </w:pPr>
            <w:r>
              <w:t>What cataract surgery involves, including possible risks and benefits?</w:t>
            </w:r>
          </w:p>
          <w:p w14:paraId="00A95E14" w14:textId="17B0656D" w:rsidR="00223786" w:rsidRDefault="00223786" w:rsidP="00223786">
            <w:pPr>
              <w:pStyle w:val="ListParagraph"/>
              <w:numPr>
                <w:ilvl w:val="0"/>
                <w:numId w:val="19"/>
              </w:numPr>
            </w:pPr>
            <w:r>
              <w:t>How the persons quality of life may be affected if they choose not to have cataract surgery</w:t>
            </w:r>
          </w:p>
          <w:p w14:paraId="71E2C981" w14:textId="24FDDB52" w:rsidR="00223786" w:rsidRDefault="00223786" w:rsidP="00223786">
            <w:pPr>
              <w:pStyle w:val="ListParagraph"/>
              <w:numPr>
                <w:ilvl w:val="0"/>
                <w:numId w:val="19"/>
              </w:numPr>
            </w:pPr>
            <w:r>
              <w:t>Whether the person wants to have cataract surgery.</w:t>
            </w:r>
          </w:p>
          <w:p w14:paraId="0685F503" w14:textId="3122748D" w:rsidR="00130392" w:rsidRDefault="00130392" w:rsidP="0D423325"/>
          <w:p w14:paraId="5FDEED1F" w14:textId="3BB8DB72" w:rsidR="00130392" w:rsidRDefault="40149F0D" w:rsidP="00F865C7">
            <w:r>
              <w:t>In line with NICE guidance, s</w:t>
            </w:r>
            <w:r w:rsidR="00130392">
              <w:t>urgery for cataract extraction</w:t>
            </w:r>
            <w:r w:rsidR="722424D0">
              <w:t xml:space="preserve"> is not restricted on the basis of visual acuity.</w:t>
            </w:r>
          </w:p>
          <w:p w14:paraId="7DEB6CA4" w14:textId="4A7E9CA7" w:rsidR="0D423325" w:rsidRDefault="0D423325"/>
          <w:p w14:paraId="240A43BC" w14:textId="2494BA04" w:rsidR="7F7DD32E" w:rsidRDefault="7F7DD32E" w:rsidP="0D423325">
            <w:r w:rsidRPr="0D423325">
              <w:rPr>
                <w:rFonts w:ascii="Calibri" w:eastAsia="Calibri" w:hAnsi="Calibri" w:cs="Calibri"/>
              </w:rPr>
              <w:t>Providers should have processes in place to provide regular feedback to referrers; for example, Fife utilised biannual meetings with their optometrists to support better referrals and shared understanding of the pathway</w:t>
            </w:r>
            <w:r w:rsidR="188B39C6" w:rsidRPr="0D423325">
              <w:rPr>
                <w:rFonts w:ascii="Calibri" w:eastAsia="Calibri" w:hAnsi="Calibri" w:cs="Calibri"/>
              </w:rPr>
              <w:t>.</w:t>
            </w:r>
          </w:p>
          <w:p w14:paraId="2B1329FE" w14:textId="77777777" w:rsidR="00F865C7" w:rsidRDefault="00F865C7" w:rsidP="00F865C7"/>
          <w:p w14:paraId="044897EA" w14:textId="2E70E02A" w:rsidR="00223786" w:rsidRDefault="00223786" w:rsidP="00F865C7">
            <w:pPr>
              <w:rPr>
                <w:b/>
                <w:bCs/>
                <w:u w:val="single"/>
              </w:rPr>
            </w:pPr>
            <w:r w:rsidRPr="1C806B28">
              <w:rPr>
                <w:b/>
                <w:bCs/>
                <w:u w:val="single"/>
              </w:rPr>
              <w:t>Second Eye Cataract Surgery</w:t>
            </w:r>
          </w:p>
          <w:p w14:paraId="52D4287C" w14:textId="00833D1A" w:rsidR="1C806B28" w:rsidRDefault="1C806B28"/>
          <w:p w14:paraId="03A5F2DD" w14:textId="1B3B09D4" w:rsidR="00130392" w:rsidRPr="00E3216D" w:rsidRDefault="00223786" w:rsidP="00F865C7">
            <w:r>
              <w:t>Second eye surgery will follow the same criteria.</w:t>
            </w:r>
            <w:r w:rsidR="00233B46">
              <w:t xml:space="preserve"> The eye with the worse visual acuity should </w:t>
            </w:r>
            <w:r w:rsidR="4C42951B">
              <w:t xml:space="preserve">normally </w:t>
            </w:r>
            <w:r w:rsidR="00233B46">
              <w:t>be operated on first.</w:t>
            </w:r>
          </w:p>
        </w:tc>
      </w:tr>
      <w:tr w:rsidR="00416BEF" w14:paraId="3FEC9845" w14:textId="77777777" w:rsidTr="64D5BD54">
        <w:tc>
          <w:tcPr>
            <w:tcW w:w="2430" w:type="dxa"/>
          </w:tcPr>
          <w:p w14:paraId="33CA7C0B" w14:textId="27CBFCBB" w:rsidR="00416BEF" w:rsidRDefault="00416BEF" w:rsidP="00416BEF">
            <w:r>
              <w:t>Summary of Rationale</w:t>
            </w:r>
          </w:p>
        </w:tc>
        <w:tc>
          <w:tcPr>
            <w:tcW w:w="6586" w:type="dxa"/>
          </w:tcPr>
          <w:p w14:paraId="1E57303F" w14:textId="64D84126" w:rsidR="2FCD1D1E" w:rsidRDefault="2FCD1D1E" w:rsidP="0D423325">
            <w:r w:rsidRPr="0D423325">
              <w:rPr>
                <w:rFonts w:ascii="Calibri" w:eastAsia="Calibri" w:hAnsi="Calibri" w:cs="Calibri"/>
              </w:rPr>
              <w:t>Cost-utility analyses of cataract surgery, and second eye surgery have shown it to be good value, and cataract surgery also has indirect societal and health-economic advantages in improving well-being, reducing isolation and premature need for care while also reducing falls and road traffic accidents</w:t>
            </w:r>
          </w:p>
          <w:p w14:paraId="09DD2B0E" w14:textId="2CE32295" w:rsidR="0D423325" w:rsidRDefault="0D423325" w:rsidP="0D423325"/>
          <w:p w14:paraId="7C17BA69" w14:textId="57F21C3A" w:rsidR="00F865C7" w:rsidRPr="00416BEF" w:rsidRDefault="289D2B48" w:rsidP="0D423325">
            <w:r w:rsidRPr="0D423325">
              <w:t xml:space="preserve">Patients who are referred need to be reasonable candidates for surgery and have a desire to undergo the operative procedure. </w:t>
            </w:r>
            <w:r w:rsidR="3ADABE23" w:rsidRPr="0D423325">
              <w:t>Historically,</w:t>
            </w:r>
            <w:r w:rsidRPr="0D423325">
              <w:t xml:space="preserve"> refer</w:t>
            </w:r>
            <w:r w:rsidR="16956007" w:rsidRPr="0D423325">
              <w:t>red patients</w:t>
            </w:r>
            <w:r w:rsidRPr="0D423325">
              <w:t xml:space="preserve"> often, when they have had an informed discussion, do not wish to undergo surgery, which has produced huge variability in conversion rates (from direct cataract referral to undergoing surgery) nationwide, with rates ranging from 40-92%. The reason for poor conversion rates can be due to many factors including commissioning of services, incomplete training, and lack of engagement of primary care staff on shared decision making. The ideal conversion rate to cataract surgery is not agreed, but rates of more than 80% can be achieved by referral guidelines and efficient forms, as recommended by the Royal College of Ophthalmologists.</w:t>
            </w:r>
          </w:p>
          <w:p w14:paraId="1FC28A00" w14:textId="74D94B82" w:rsidR="00F865C7" w:rsidRPr="00416BEF" w:rsidRDefault="00F865C7" w:rsidP="0D423325"/>
          <w:p w14:paraId="2DDF1352" w14:textId="34997A8F" w:rsidR="00F865C7" w:rsidRPr="00416BEF" w:rsidRDefault="289D2B48" w:rsidP="0D423325">
            <w:r w:rsidRPr="0D423325">
              <w:lastRenderedPageBreak/>
              <w:t>Shared decision</w:t>
            </w:r>
            <w:r w:rsidR="7ECAA9A3" w:rsidRPr="0D423325">
              <w:t>-</w:t>
            </w:r>
            <w:r w:rsidRPr="0D423325">
              <w:t>making tools have been proven to improve conversion rates and lead to better patient experience and clinical outcomes. Their use is endorsed by the Department of Health policy ‘Equity and Excellence: liberating the NHS’ highlighting the importance of the patient’s opinion and choice with regards to their care. This guidance uses evidence to propose that all referral pathways for cataract surgery should include shared decision</w:t>
            </w:r>
            <w:r w:rsidR="3680F7B1" w:rsidRPr="0D423325">
              <w:t>-</w:t>
            </w:r>
            <w:r w:rsidRPr="0D423325">
              <w:t>making tools.</w:t>
            </w:r>
          </w:p>
          <w:p w14:paraId="7D7C644F" w14:textId="1AACC157" w:rsidR="00F865C7" w:rsidRPr="00416BEF" w:rsidRDefault="00F865C7" w:rsidP="0D423325"/>
          <w:p w14:paraId="7A057F2B" w14:textId="00AD3975" w:rsidR="00F865C7" w:rsidRPr="00416BEF" w:rsidRDefault="289D2B48" w:rsidP="0D423325">
            <w:r w:rsidRPr="0D423325">
              <w:t>NICE guidance has clearly stated since 2017 that referrals for cataract surgery should not be restricted purely on the basis of a measure of visual acuity, and this is strongly endorsed by the Royal College of Ophthalmologists.</w:t>
            </w:r>
          </w:p>
        </w:tc>
      </w:tr>
      <w:tr w:rsidR="00416BEF" w14:paraId="7DF6CEF0" w14:textId="77777777" w:rsidTr="64D5BD54">
        <w:tc>
          <w:tcPr>
            <w:tcW w:w="2430" w:type="dxa"/>
          </w:tcPr>
          <w:p w14:paraId="729A6E73" w14:textId="1FCFD067" w:rsidR="00416BEF" w:rsidRDefault="00416BEF" w:rsidP="00416BEF">
            <w:r>
              <w:lastRenderedPageBreak/>
              <w:t>References</w:t>
            </w:r>
          </w:p>
        </w:tc>
        <w:tc>
          <w:tcPr>
            <w:tcW w:w="6586" w:type="dxa"/>
          </w:tcPr>
          <w:p w14:paraId="1054359C" w14:textId="30264B8C" w:rsidR="00233B46" w:rsidRDefault="1CC9D8D5" w:rsidP="0D423325">
            <w:pPr>
              <w:rPr>
                <w:rFonts w:eastAsiaTheme="minorEastAsia"/>
              </w:rPr>
            </w:pPr>
            <w:hyperlink r:id="rId10">
              <w:r w:rsidRPr="0AC6F7C6">
                <w:rPr>
                  <w:rStyle w:val="Hyperlink"/>
                  <w:rFonts w:eastAsiaTheme="minorEastAsia"/>
                </w:rPr>
                <w:t>EBI Shared decision making for cataract surgery (AOMRC)</w:t>
              </w:r>
            </w:hyperlink>
          </w:p>
          <w:p w14:paraId="5465C975" w14:textId="4162C87E" w:rsidR="00233B46" w:rsidRDefault="2FC7CF29" w:rsidP="0D423325">
            <w:pPr>
              <w:rPr>
                <w:rFonts w:ascii="Calibri" w:eastAsia="Calibri" w:hAnsi="Calibri" w:cs="Calibri"/>
              </w:rPr>
            </w:pPr>
            <w:hyperlink r:id="rId11">
              <w:r w:rsidRPr="0D423325">
                <w:rPr>
                  <w:rStyle w:val="Hyperlink"/>
                  <w:rFonts w:ascii="Calibri" w:eastAsia="Calibri" w:hAnsi="Calibri" w:cs="Calibri"/>
                </w:rPr>
                <w:t>NHS_Cataracts_decision_tool</w:t>
              </w:r>
            </w:hyperlink>
          </w:p>
          <w:p w14:paraId="48056708" w14:textId="7B2D3A41" w:rsidR="00233B46" w:rsidRDefault="0CEAF6B6" w:rsidP="0D423325">
            <w:pPr>
              <w:rPr>
                <w:rFonts w:eastAsiaTheme="minorEastAsia"/>
              </w:rPr>
            </w:pPr>
            <w:hyperlink r:id="rId12">
              <w:r w:rsidRPr="0AC6F7C6">
                <w:rPr>
                  <w:rStyle w:val="Hyperlink"/>
                  <w:rFonts w:eastAsiaTheme="minorEastAsia"/>
                </w:rPr>
                <w:t>NG77 Cataracts in adults (NICE)</w:t>
              </w:r>
            </w:hyperlink>
          </w:p>
          <w:p w14:paraId="5BEAAB5B" w14:textId="20DFA004" w:rsidR="00130392" w:rsidRPr="00233B46" w:rsidRDefault="0CEAF6B6" w:rsidP="0D423325">
            <w:pPr>
              <w:rPr>
                <w:rFonts w:eastAsiaTheme="minorEastAsia"/>
              </w:rPr>
            </w:pPr>
            <w:hyperlink r:id="rId13">
              <w:r w:rsidRPr="0AC6F7C6">
                <w:rPr>
                  <w:rStyle w:val="Hyperlink"/>
                  <w:rFonts w:eastAsiaTheme="minorEastAsia"/>
                </w:rPr>
                <w:t>The Way Forward-Cataract (RCOphth)</w:t>
              </w:r>
            </w:hyperlink>
          </w:p>
          <w:p w14:paraId="7210298C" w14:textId="639333A6" w:rsidR="00130392" w:rsidRPr="00233B46" w:rsidRDefault="68C8A4AD" w:rsidP="0D423325">
            <w:pPr>
              <w:rPr>
                <w:rFonts w:ascii="Calibri" w:eastAsia="Calibri" w:hAnsi="Calibri" w:cs="Calibri"/>
              </w:rPr>
            </w:pPr>
            <w:hyperlink r:id="rId14">
              <w:r w:rsidRPr="0AC6F7C6">
                <w:rPr>
                  <w:rStyle w:val="Hyperlink"/>
                  <w:rFonts w:ascii="Calibri" w:eastAsia="Calibri" w:hAnsi="Calibri" w:cs="Calibri"/>
                </w:rPr>
                <w:t>Cataract</w:t>
              </w:r>
              <w:r w:rsidR="5E18A8AE" w:rsidRPr="0AC6F7C6">
                <w:rPr>
                  <w:rStyle w:val="Hyperlink"/>
                  <w:rFonts w:ascii="Calibri" w:eastAsia="Calibri" w:hAnsi="Calibri" w:cs="Calibri"/>
                </w:rPr>
                <w:t xml:space="preserve"> Commissioning Guide January 2018 (RCOphth)</w:t>
              </w:r>
            </w:hyperlink>
          </w:p>
          <w:p w14:paraId="298C1462" w14:textId="752FE7EA" w:rsidR="00130392" w:rsidRPr="00233B46" w:rsidRDefault="044FA8D8" w:rsidP="0D423325">
            <w:pPr>
              <w:rPr>
                <w:rFonts w:ascii="Calibri" w:eastAsia="Calibri" w:hAnsi="Calibri" w:cs="Calibri"/>
              </w:rPr>
            </w:pPr>
            <w:hyperlink r:id="rId15">
              <w:r w:rsidRPr="0AC6F7C6">
                <w:rPr>
                  <w:rStyle w:val="Hyperlink"/>
                  <w:rFonts w:ascii="Calibri" w:eastAsia="Calibri" w:hAnsi="Calibri" w:cs="Calibri"/>
                </w:rPr>
                <w:t>High</w:t>
              </w:r>
              <w:r w:rsidR="1E076B0C" w:rsidRPr="0AC6F7C6">
                <w:rPr>
                  <w:rStyle w:val="Hyperlink"/>
                  <w:rFonts w:ascii="Calibri" w:eastAsia="Calibri" w:hAnsi="Calibri" w:cs="Calibri"/>
                </w:rPr>
                <w:t xml:space="preserve"> Flow Cataract Surgery_V2 (RCOphth)</w:t>
              </w:r>
            </w:hyperlink>
          </w:p>
        </w:tc>
      </w:tr>
      <w:tr w:rsidR="00416BEF" w14:paraId="7E9E8A9A" w14:textId="77777777" w:rsidTr="64D5BD54">
        <w:tc>
          <w:tcPr>
            <w:tcW w:w="2430" w:type="dxa"/>
          </w:tcPr>
          <w:p w14:paraId="006DB724" w14:textId="5352A3C8" w:rsidR="00416BEF" w:rsidRDefault="00416BEF" w:rsidP="00416BEF">
            <w:r>
              <w:t>Effective from:</w:t>
            </w:r>
          </w:p>
        </w:tc>
        <w:tc>
          <w:tcPr>
            <w:tcW w:w="6586" w:type="dxa"/>
          </w:tcPr>
          <w:p w14:paraId="0C178D90" w14:textId="2C6D348A" w:rsidR="00416BEF" w:rsidRDefault="00233B46" w:rsidP="00416BEF">
            <w:r>
              <w:t>Jan</w:t>
            </w:r>
            <w:r w:rsidR="64A67482">
              <w:t>uary</w:t>
            </w:r>
            <w:r>
              <w:t xml:space="preserve"> 2025</w:t>
            </w:r>
          </w:p>
        </w:tc>
      </w:tr>
      <w:tr w:rsidR="00416BEF" w14:paraId="11AB6822" w14:textId="77777777" w:rsidTr="64D5BD54">
        <w:tc>
          <w:tcPr>
            <w:tcW w:w="2430" w:type="dxa"/>
          </w:tcPr>
          <w:p w14:paraId="2338319E" w14:textId="1049B664" w:rsidR="00416BEF" w:rsidRDefault="00416BEF" w:rsidP="00416BEF">
            <w:r>
              <w:t>Policy Review Date</w:t>
            </w:r>
          </w:p>
        </w:tc>
        <w:tc>
          <w:tcPr>
            <w:tcW w:w="6586" w:type="dxa"/>
          </w:tcPr>
          <w:p w14:paraId="3DD4396A" w14:textId="75E3425D" w:rsidR="00416BEF" w:rsidRDefault="00416BEF" w:rsidP="00416BEF">
            <w:r>
              <w:t>J</w:t>
            </w:r>
            <w:r w:rsidR="2F7D95BC">
              <w:t>anuary</w:t>
            </w:r>
            <w:r>
              <w:t xml:space="preserve"> 202</w:t>
            </w:r>
            <w:r w:rsidR="00233B46">
              <w:t>8</w:t>
            </w:r>
          </w:p>
        </w:tc>
      </w:tr>
      <w:bookmarkEnd w:id="0"/>
    </w:tbl>
    <w:p w14:paraId="0ED5111D" w14:textId="77777777" w:rsidR="00F92C7B" w:rsidRDefault="00F92C7B" w:rsidP="00E55A6F"/>
    <w:sectPr w:rsidR="00F92C7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23A9" w14:textId="77777777" w:rsidR="009F07D3" w:rsidRDefault="009F07D3" w:rsidP="00082635">
      <w:pPr>
        <w:spacing w:after="0" w:line="240" w:lineRule="auto"/>
      </w:pPr>
      <w:r>
        <w:separator/>
      </w:r>
    </w:p>
  </w:endnote>
  <w:endnote w:type="continuationSeparator" w:id="0">
    <w:p w14:paraId="0D57E1B8" w14:textId="77777777" w:rsidR="009F07D3" w:rsidRDefault="009F07D3" w:rsidP="00082635">
      <w:pPr>
        <w:spacing w:after="0" w:line="240" w:lineRule="auto"/>
      </w:pPr>
      <w:r>
        <w:continuationSeparator/>
      </w:r>
    </w:p>
  </w:endnote>
  <w:endnote w:type="continuationNotice" w:id="1">
    <w:p w14:paraId="2CF355B2" w14:textId="77777777" w:rsidR="009F07D3" w:rsidRDefault="009F0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2555B8" w14:paraId="008DF30D" w14:textId="77777777" w:rsidTr="302555B8">
      <w:trPr>
        <w:trHeight w:val="300"/>
      </w:trPr>
      <w:tc>
        <w:tcPr>
          <w:tcW w:w="3005" w:type="dxa"/>
        </w:tcPr>
        <w:p w14:paraId="5057A052" w14:textId="400FA522" w:rsidR="302555B8" w:rsidRDefault="302555B8" w:rsidP="302555B8">
          <w:pPr>
            <w:pStyle w:val="Header"/>
            <w:ind w:left="-115"/>
          </w:pPr>
        </w:p>
      </w:tc>
      <w:tc>
        <w:tcPr>
          <w:tcW w:w="3005" w:type="dxa"/>
        </w:tcPr>
        <w:p w14:paraId="604CA60C" w14:textId="1B74C0BB" w:rsidR="302555B8" w:rsidRDefault="302555B8" w:rsidP="302555B8">
          <w:pPr>
            <w:pStyle w:val="Header"/>
            <w:jc w:val="center"/>
          </w:pPr>
        </w:p>
      </w:tc>
      <w:tc>
        <w:tcPr>
          <w:tcW w:w="3005" w:type="dxa"/>
        </w:tcPr>
        <w:p w14:paraId="7AAAB3A4" w14:textId="7221A976" w:rsidR="302555B8" w:rsidRDefault="302555B8" w:rsidP="302555B8">
          <w:pPr>
            <w:pStyle w:val="Header"/>
            <w:ind w:right="-115"/>
            <w:jc w:val="right"/>
          </w:pPr>
        </w:p>
      </w:tc>
    </w:tr>
  </w:tbl>
  <w:p w14:paraId="5AF8AE40" w14:textId="735DEB3D" w:rsidR="302555B8" w:rsidRDefault="302555B8" w:rsidP="3025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59DED" w14:textId="77777777" w:rsidR="009F07D3" w:rsidRDefault="009F07D3" w:rsidP="00082635">
      <w:pPr>
        <w:spacing w:after="0" w:line="240" w:lineRule="auto"/>
      </w:pPr>
      <w:r>
        <w:separator/>
      </w:r>
    </w:p>
  </w:footnote>
  <w:footnote w:type="continuationSeparator" w:id="0">
    <w:p w14:paraId="79267CCF" w14:textId="77777777" w:rsidR="009F07D3" w:rsidRDefault="009F07D3" w:rsidP="00082635">
      <w:pPr>
        <w:spacing w:after="0" w:line="240" w:lineRule="auto"/>
      </w:pPr>
      <w:r>
        <w:continuationSeparator/>
      </w:r>
    </w:p>
  </w:footnote>
  <w:footnote w:type="continuationNotice" w:id="1">
    <w:p w14:paraId="0C907124" w14:textId="77777777" w:rsidR="009F07D3" w:rsidRDefault="009F0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6D77" w14:textId="25809ACD" w:rsidR="00082635" w:rsidRDefault="00082635">
    <w:pPr>
      <w:pStyle w:val="Header"/>
    </w:pPr>
    <w:r>
      <w:rPr>
        <w:noProof/>
      </w:rPr>
      <w:drawing>
        <wp:inline distT="0" distB="0" distL="0" distR="0" wp14:anchorId="5F15A884" wp14:editId="56413D17">
          <wp:extent cx="2908300" cy="554990"/>
          <wp:effectExtent l="0" t="0" r="6350" b="0"/>
          <wp:docPr id="94675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inline>
      </w:drawing>
    </w:r>
    <w:r>
      <w:tab/>
    </w:r>
    <w:r>
      <w:rPr>
        <w:noProof/>
      </w:rPr>
      <w:drawing>
        <wp:inline distT="0" distB="0" distL="0" distR="0" wp14:anchorId="3B4F9FF5" wp14:editId="26F1CE35">
          <wp:extent cx="1572895" cy="841375"/>
          <wp:effectExtent l="0" t="0" r="8255" b="0"/>
          <wp:docPr id="499385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8413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4E1"/>
    <w:multiLevelType w:val="hybridMultilevel"/>
    <w:tmpl w:val="D324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6631"/>
    <w:multiLevelType w:val="hybridMultilevel"/>
    <w:tmpl w:val="427E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249FD"/>
    <w:multiLevelType w:val="hybridMultilevel"/>
    <w:tmpl w:val="644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808AE"/>
    <w:multiLevelType w:val="multilevel"/>
    <w:tmpl w:val="470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BC311A"/>
    <w:multiLevelType w:val="multilevel"/>
    <w:tmpl w:val="5582EE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B75BDC"/>
    <w:multiLevelType w:val="hybridMultilevel"/>
    <w:tmpl w:val="939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91C58"/>
    <w:multiLevelType w:val="hybridMultilevel"/>
    <w:tmpl w:val="1E1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B2C80"/>
    <w:multiLevelType w:val="hybridMultilevel"/>
    <w:tmpl w:val="D1E2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977FB"/>
    <w:multiLevelType w:val="hybridMultilevel"/>
    <w:tmpl w:val="56E6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0EC0"/>
    <w:multiLevelType w:val="multilevel"/>
    <w:tmpl w:val="FB8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37FC9"/>
    <w:multiLevelType w:val="hybridMultilevel"/>
    <w:tmpl w:val="2238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A1F78"/>
    <w:multiLevelType w:val="hybridMultilevel"/>
    <w:tmpl w:val="DA76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E7197"/>
    <w:multiLevelType w:val="hybridMultilevel"/>
    <w:tmpl w:val="515A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B24BC"/>
    <w:multiLevelType w:val="hybridMultilevel"/>
    <w:tmpl w:val="E2B8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42381"/>
    <w:multiLevelType w:val="multilevel"/>
    <w:tmpl w:val="8ED4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53898"/>
    <w:multiLevelType w:val="hybridMultilevel"/>
    <w:tmpl w:val="9D04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3E29"/>
    <w:multiLevelType w:val="multilevel"/>
    <w:tmpl w:val="D62E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415E9"/>
    <w:multiLevelType w:val="multilevel"/>
    <w:tmpl w:val="986E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561130"/>
    <w:multiLevelType w:val="hybridMultilevel"/>
    <w:tmpl w:val="21A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60611"/>
    <w:multiLevelType w:val="multilevel"/>
    <w:tmpl w:val="F36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356401">
    <w:abstractNumId w:val="5"/>
  </w:num>
  <w:num w:numId="2" w16cid:durableId="1193499217">
    <w:abstractNumId w:val="1"/>
  </w:num>
  <w:num w:numId="3" w16cid:durableId="1481119074">
    <w:abstractNumId w:val="2"/>
  </w:num>
  <w:num w:numId="4" w16cid:durableId="1585725535">
    <w:abstractNumId w:val="15"/>
  </w:num>
  <w:num w:numId="5" w16cid:durableId="602492333">
    <w:abstractNumId w:val="18"/>
  </w:num>
  <w:num w:numId="6" w16cid:durableId="1210337628">
    <w:abstractNumId w:val="9"/>
  </w:num>
  <w:num w:numId="7" w16cid:durableId="766192865">
    <w:abstractNumId w:val="13"/>
  </w:num>
  <w:num w:numId="8" w16cid:durableId="894510114">
    <w:abstractNumId w:val="19"/>
  </w:num>
  <w:num w:numId="9" w16cid:durableId="1426196454">
    <w:abstractNumId w:val="3"/>
  </w:num>
  <w:num w:numId="10" w16cid:durableId="658578550">
    <w:abstractNumId w:val="17"/>
  </w:num>
  <w:num w:numId="11" w16cid:durableId="1933128075">
    <w:abstractNumId w:val="14"/>
  </w:num>
  <w:num w:numId="12" w16cid:durableId="816608577">
    <w:abstractNumId w:val="0"/>
  </w:num>
  <w:num w:numId="13" w16cid:durableId="1569463882">
    <w:abstractNumId w:val="6"/>
  </w:num>
  <w:num w:numId="14" w16cid:durableId="201282633">
    <w:abstractNumId w:val="7"/>
  </w:num>
  <w:num w:numId="15" w16cid:durableId="1786925749">
    <w:abstractNumId w:val="20"/>
  </w:num>
  <w:num w:numId="16" w16cid:durableId="658577614">
    <w:abstractNumId w:val="4"/>
  </w:num>
  <w:num w:numId="17" w16cid:durableId="1477382413">
    <w:abstractNumId w:val="8"/>
  </w:num>
  <w:num w:numId="18" w16cid:durableId="729352784">
    <w:abstractNumId w:val="11"/>
  </w:num>
  <w:num w:numId="19" w16cid:durableId="1970164470">
    <w:abstractNumId w:val="16"/>
  </w:num>
  <w:num w:numId="20" w16cid:durableId="1829323188">
    <w:abstractNumId w:val="12"/>
  </w:num>
  <w:num w:numId="21" w16cid:durableId="1125998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5"/>
    <w:rsid w:val="000201B0"/>
    <w:rsid w:val="000801DF"/>
    <w:rsid w:val="00082635"/>
    <w:rsid w:val="000840EF"/>
    <w:rsid w:val="000E61A3"/>
    <w:rsid w:val="00130392"/>
    <w:rsid w:val="00151ADE"/>
    <w:rsid w:val="00167D81"/>
    <w:rsid w:val="00222A0D"/>
    <w:rsid w:val="00223786"/>
    <w:rsid w:val="00233B46"/>
    <w:rsid w:val="002466B7"/>
    <w:rsid w:val="00287A90"/>
    <w:rsid w:val="003174C9"/>
    <w:rsid w:val="00320AC3"/>
    <w:rsid w:val="00376614"/>
    <w:rsid w:val="00397625"/>
    <w:rsid w:val="003D61D1"/>
    <w:rsid w:val="003D7C85"/>
    <w:rsid w:val="003F5EDE"/>
    <w:rsid w:val="004116E0"/>
    <w:rsid w:val="00416BEF"/>
    <w:rsid w:val="00467760"/>
    <w:rsid w:val="00504D10"/>
    <w:rsid w:val="005467E7"/>
    <w:rsid w:val="00581112"/>
    <w:rsid w:val="00585C42"/>
    <w:rsid w:val="005F6587"/>
    <w:rsid w:val="0066D150"/>
    <w:rsid w:val="006F6774"/>
    <w:rsid w:val="007455F9"/>
    <w:rsid w:val="00746DB0"/>
    <w:rsid w:val="00766477"/>
    <w:rsid w:val="007D50D9"/>
    <w:rsid w:val="00800C79"/>
    <w:rsid w:val="00865CD1"/>
    <w:rsid w:val="008A600A"/>
    <w:rsid w:val="008B221A"/>
    <w:rsid w:val="008C7546"/>
    <w:rsid w:val="0099416C"/>
    <w:rsid w:val="009A6CCA"/>
    <w:rsid w:val="009E4D1D"/>
    <w:rsid w:val="009F07D3"/>
    <w:rsid w:val="00A66546"/>
    <w:rsid w:val="00A90F7C"/>
    <w:rsid w:val="00AA65AF"/>
    <w:rsid w:val="00AC1A0A"/>
    <w:rsid w:val="00B24B75"/>
    <w:rsid w:val="00B466BB"/>
    <w:rsid w:val="00BC6294"/>
    <w:rsid w:val="00C03C24"/>
    <w:rsid w:val="00C24F63"/>
    <w:rsid w:val="00C328A7"/>
    <w:rsid w:val="00C40725"/>
    <w:rsid w:val="00C640A9"/>
    <w:rsid w:val="00C707E4"/>
    <w:rsid w:val="00CB2568"/>
    <w:rsid w:val="00D2490C"/>
    <w:rsid w:val="00D7057A"/>
    <w:rsid w:val="00DF681A"/>
    <w:rsid w:val="00E3216D"/>
    <w:rsid w:val="00E55A6F"/>
    <w:rsid w:val="00E57275"/>
    <w:rsid w:val="00E72557"/>
    <w:rsid w:val="00E74AC8"/>
    <w:rsid w:val="00E936A3"/>
    <w:rsid w:val="00EB2B3D"/>
    <w:rsid w:val="00F002EE"/>
    <w:rsid w:val="00F038EB"/>
    <w:rsid w:val="00F14B1D"/>
    <w:rsid w:val="00F75948"/>
    <w:rsid w:val="00F865C7"/>
    <w:rsid w:val="00F92C7B"/>
    <w:rsid w:val="03A38658"/>
    <w:rsid w:val="03EFD034"/>
    <w:rsid w:val="044FA8D8"/>
    <w:rsid w:val="0AC6F7C6"/>
    <w:rsid w:val="0CEAF6B6"/>
    <w:rsid w:val="0D423325"/>
    <w:rsid w:val="111EFDAE"/>
    <w:rsid w:val="11773038"/>
    <w:rsid w:val="133D5D97"/>
    <w:rsid w:val="166C607C"/>
    <w:rsid w:val="16956007"/>
    <w:rsid w:val="18524722"/>
    <w:rsid w:val="188B39C6"/>
    <w:rsid w:val="18B0E47F"/>
    <w:rsid w:val="1BE37C0C"/>
    <w:rsid w:val="1C806B28"/>
    <w:rsid w:val="1CC9D8D5"/>
    <w:rsid w:val="1E076B0C"/>
    <w:rsid w:val="1F452E08"/>
    <w:rsid w:val="20F98A62"/>
    <w:rsid w:val="22C2EAE0"/>
    <w:rsid w:val="289D2B48"/>
    <w:rsid w:val="2BF97858"/>
    <w:rsid w:val="2E136264"/>
    <w:rsid w:val="2F7D95BC"/>
    <w:rsid w:val="2FC7CF29"/>
    <w:rsid w:val="2FCD1D1E"/>
    <w:rsid w:val="302555B8"/>
    <w:rsid w:val="3209FFC8"/>
    <w:rsid w:val="329E7DB1"/>
    <w:rsid w:val="32A878F7"/>
    <w:rsid w:val="34FF801F"/>
    <w:rsid w:val="364C8D02"/>
    <w:rsid w:val="3680F7B1"/>
    <w:rsid w:val="370A139E"/>
    <w:rsid w:val="3ADABE23"/>
    <w:rsid w:val="3AE05525"/>
    <w:rsid w:val="3C1C5346"/>
    <w:rsid w:val="3E5DED26"/>
    <w:rsid w:val="40149F0D"/>
    <w:rsid w:val="441D8E22"/>
    <w:rsid w:val="44DACD4E"/>
    <w:rsid w:val="46563035"/>
    <w:rsid w:val="4A761546"/>
    <w:rsid w:val="4C42951B"/>
    <w:rsid w:val="4CD8EA69"/>
    <w:rsid w:val="4E00688C"/>
    <w:rsid w:val="4E0C5A69"/>
    <w:rsid w:val="4E1D75B5"/>
    <w:rsid w:val="543BFAAA"/>
    <w:rsid w:val="58477CC9"/>
    <w:rsid w:val="5847B0C3"/>
    <w:rsid w:val="5E18A8AE"/>
    <w:rsid w:val="64A67482"/>
    <w:rsid w:val="64D5BD54"/>
    <w:rsid w:val="660277A1"/>
    <w:rsid w:val="68C8A4AD"/>
    <w:rsid w:val="6A2AA073"/>
    <w:rsid w:val="6A4FAF90"/>
    <w:rsid w:val="6AB55226"/>
    <w:rsid w:val="6BBF840B"/>
    <w:rsid w:val="6BE7BF12"/>
    <w:rsid w:val="6C07955C"/>
    <w:rsid w:val="6C521EE3"/>
    <w:rsid w:val="6E134345"/>
    <w:rsid w:val="70B0949E"/>
    <w:rsid w:val="70C04395"/>
    <w:rsid w:val="70C7715E"/>
    <w:rsid w:val="722424D0"/>
    <w:rsid w:val="7355CC4B"/>
    <w:rsid w:val="750AA357"/>
    <w:rsid w:val="7BAE06F9"/>
    <w:rsid w:val="7BBF1F6F"/>
    <w:rsid w:val="7BCAF19F"/>
    <w:rsid w:val="7ECAA9A3"/>
    <w:rsid w:val="7F7DD3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270"/>
  <w15:chartTrackingRefBased/>
  <w15:docId w15:val="{822B62B9-3114-4C56-BACF-3B2B6B7B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35"/>
  </w:style>
  <w:style w:type="paragraph" w:styleId="Footer">
    <w:name w:val="footer"/>
    <w:basedOn w:val="Normal"/>
    <w:link w:val="FooterChar"/>
    <w:uiPriority w:val="99"/>
    <w:unhideWhenUsed/>
    <w:rsid w:val="0008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35"/>
  </w:style>
  <w:style w:type="table" w:styleId="TableGrid">
    <w:name w:val="Table Grid"/>
    <w:basedOn w:val="TableNormal"/>
    <w:uiPriority w:val="39"/>
    <w:rsid w:val="000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725"/>
    <w:pPr>
      <w:ind w:left="720"/>
      <w:contextualSpacing/>
    </w:pPr>
  </w:style>
  <w:style w:type="paragraph" w:styleId="Revision">
    <w:name w:val="Revision"/>
    <w:hidden/>
    <w:uiPriority w:val="99"/>
    <w:semiHidden/>
    <w:rsid w:val="007455F9"/>
    <w:pPr>
      <w:spacing w:after="0" w:line="240" w:lineRule="auto"/>
    </w:pPr>
  </w:style>
  <w:style w:type="character" w:styleId="Hyperlink">
    <w:name w:val="Hyperlink"/>
    <w:basedOn w:val="DefaultParagraphFont"/>
    <w:uiPriority w:val="99"/>
    <w:unhideWhenUsed/>
    <w:rsid w:val="00F92C7B"/>
    <w:rPr>
      <w:color w:val="0000FF"/>
      <w:u w:val="single"/>
    </w:rPr>
  </w:style>
  <w:style w:type="character" w:customStyle="1" w:styleId="normaltextrun">
    <w:name w:val="normaltextrun"/>
    <w:basedOn w:val="DefaultParagraphFont"/>
    <w:rsid w:val="00B24B75"/>
  </w:style>
  <w:style w:type="character" w:customStyle="1" w:styleId="eop">
    <w:name w:val="eop"/>
    <w:basedOn w:val="DefaultParagraphFont"/>
    <w:rsid w:val="00B24B75"/>
  </w:style>
  <w:style w:type="paragraph" w:customStyle="1" w:styleId="paragraph">
    <w:name w:val="paragraph"/>
    <w:basedOn w:val="Normal"/>
    <w:rsid w:val="00B24B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xmsonormal">
    <w:name w:val="xxxmsonormal"/>
    <w:basedOn w:val="Normal"/>
    <w:rsid w:val="005467E7"/>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233B46"/>
  </w:style>
  <w:style w:type="character" w:styleId="Emphasis">
    <w:name w:val="Emphasis"/>
    <w:basedOn w:val="DefaultParagraphFont"/>
    <w:uiPriority w:val="20"/>
    <w:qFormat/>
    <w:rsid w:val="00233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399">
      <w:bodyDiv w:val="1"/>
      <w:marLeft w:val="0"/>
      <w:marRight w:val="0"/>
      <w:marTop w:val="0"/>
      <w:marBottom w:val="0"/>
      <w:divBdr>
        <w:top w:val="none" w:sz="0" w:space="0" w:color="auto"/>
        <w:left w:val="none" w:sz="0" w:space="0" w:color="auto"/>
        <w:bottom w:val="none" w:sz="0" w:space="0" w:color="auto"/>
        <w:right w:val="none" w:sz="0" w:space="0" w:color="auto"/>
      </w:divBdr>
      <w:divsChild>
        <w:div w:id="311251867">
          <w:marLeft w:val="0"/>
          <w:marRight w:val="0"/>
          <w:marTop w:val="0"/>
          <w:marBottom w:val="0"/>
          <w:divBdr>
            <w:top w:val="none" w:sz="0" w:space="0" w:color="auto"/>
            <w:left w:val="none" w:sz="0" w:space="0" w:color="auto"/>
            <w:bottom w:val="none" w:sz="0" w:space="0" w:color="auto"/>
            <w:right w:val="none" w:sz="0" w:space="0" w:color="auto"/>
          </w:divBdr>
        </w:div>
        <w:div w:id="1104567705">
          <w:marLeft w:val="0"/>
          <w:marRight w:val="0"/>
          <w:marTop w:val="0"/>
          <w:marBottom w:val="0"/>
          <w:divBdr>
            <w:top w:val="none" w:sz="0" w:space="0" w:color="auto"/>
            <w:left w:val="none" w:sz="0" w:space="0" w:color="auto"/>
            <w:bottom w:val="none" w:sz="0" w:space="0" w:color="auto"/>
            <w:right w:val="none" w:sz="0" w:space="0" w:color="auto"/>
          </w:divBdr>
        </w:div>
      </w:divsChild>
    </w:div>
    <w:div w:id="662051743">
      <w:bodyDiv w:val="1"/>
      <w:marLeft w:val="0"/>
      <w:marRight w:val="0"/>
      <w:marTop w:val="0"/>
      <w:marBottom w:val="0"/>
      <w:divBdr>
        <w:top w:val="none" w:sz="0" w:space="0" w:color="auto"/>
        <w:left w:val="none" w:sz="0" w:space="0" w:color="auto"/>
        <w:bottom w:val="none" w:sz="0" w:space="0" w:color="auto"/>
        <w:right w:val="none" w:sz="0" w:space="0" w:color="auto"/>
      </w:divBdr>
    </w:div>
    <w:div w:id="855384259">
      <w:bodyDiv w:val="1"/>
      <w:marLeft w:val="0"/>
      <w:marRight w:val="0"/>
      <w:marTop w:val="0"/>
      <w:marBottom w:val="0"/>
      <w:divBdr>
        <w:top w:val="none" w:sz="0" w:space="0" w:color="auto"/>
        <w:left w:val="none" w:sz="0" w:space="0" w:color="auto"/>
        <w:bottom w:val="none" w:sz="0" w:space="0" w:color="auto"/>
        <w:right w:val="none" w:sz="0" w:space="0" w:color="auto"/>
      </w:divBdr>
    </w:div>
    <w:div w:id="1084569492">
      <w:bodyDiv w:val="1"/>
      <w:marLeft w:val="0"/>
      <w:marRight w:val="0"/>
      <w:marTop w:val="0"/>
      <w:marBottom w:val="0"/>
      <w:divBdr>
        <w:top w:val="none" w:sz="0" w:space="0" w:color="auto"/>
        <w:left w:val="none" w:sz="0" w:space="0" w:color="auto"/>
        <w:bottom w:val="none" w:sz="0" w:space="0" w:color="auto"/>
        <w:right w:val="none" w:sz="0" w:space="0" w:color="auto"/>
      </w:divBdr>
      <w:divsChild>
        <w:div w:id="37164777">
          <w:marLeft w:val="0"/>
          <w:marRight w:val="0"/>
          <w:marTop w:val="0"/>
          <w:marBottom w:val="0"/>
          <w:divBdr>
            <w:top w:val="none" w:sz="0" w:space="0" w:color="auto"/>
            <w:left w:val="none" w:sz="0" w:space="0" w:color="auto"/>
            <w:bottom w:val="none" w:sz="0" w:space="0" w:color="auto"/>
            <w:right w:val="none" w:sz="0" w:space="0" w:color="auto"/>
          </w:divBdr>
        </w:div>
        <w:div w:id="999503297">
          <w:marLeft w:val="0"/>
          <w:marRight w:val="0"/>
          <w:marTop w:val="0"/>
          <w:marBottom w:val="0"/>
          <w:divBdr>
            <w:top w:val="none" w:sz="0" w:space="0" w:color="auto"/>
            <w:left w:val="none" w:sz="0" w:space="0" w:color="auto"/>
            <w:bottom w:val="none" w:sz="0" w:space="0" w:color="auto"/>
            <w:right w:val="none" w:sz="0" w:space="0" w:color="auto"/>
          </w:divBdr>
        </w:div>
      </w:divsChild>
    </w:div>
    <w:div w:id="1742212089">
      <w:bodyDiv w:val="1"/>
      <w:marLeft w:val="0"/>
      <w:marRight w:val="0"/>
      <w:marTop w:val="0"/>
      <w:marBottom w:val="0"/>
      <w:divBdr>
        <w:top w:val="none" w:sz="0" w:space="0" w:color="auto"/>
        <w:left w:val="none" w:sz="0" w:space="0" w:color="auto"/>
        <w:bottom w:val="none" w:sz="0" w:space="0" w:color="auto"/>
        <w:right w:val="none" w:sz="0" w:space="0" w:color="auto"/>
      </w:divBdr>
      <w:divsChild>
        <w:div w:id="982084058">
          <w:marLeft w:val="0"/>
          <w:marRight w:val="0"/>
          <w:marTop w:val="0"/>
          <w:marBottom w:val="0"/>
          <w:divBdr>
            <w:top w:val="none" w:sz="0" w:space="0" w:color="auto"/>
            <w:left w:val="none" w:sz="0" w:space="0" w:color="auto"/>
            <w:bottom w:val="none" w:sz="0" w:space="0" w:color="auto"/>
            <w:right w:val="none" w:sz="0" w:space="0" w:color="auto"/>
          </w:divBdr>
        </w:div>
        <w:div w:id="1063794962">
          <w:marLeft w:val="0"/>
          <w:marRight w:val="0"/>
          <w:marTop w:val="0"/>
          <w:marBottom w:val="0"/>
          <w:divBdr>
            <w:top w:val="none" w:sz="0" w:space="0" w:color="auto"/>
            <w:left w:val="none" w:sz="0" w:space="0" w:color="auto"/>
            <w:bottom w:val="none" w:sz="0" w:space="0" w:color="auto"/>
            <w:right w:val="none" w:sz="0" w:space="0" w:color="auto"/>
          </w:divBdr>
        </w:div>
      </w:divsChild>
    </w:div>
    <w:div w:id="1864516556">
      <w:bodyDiv w:val="1"/>
      <w:marLeft w:val="0"/>
      <w:marRight w:val="0"/>
      <w:marTop w:val="0"/>
      <w:marBottom w:val="0"/>
      <w:divBdr>
        <w:top w:val="none" w:sz="0" w:space="0" w:color="auto"/>
        <w:left w:val="none" w:sz="0" w:space="0" w:color="auto"/>
        <w:bottom w:val="none" w:sz="0" w:space="0" w:color="auto"/>
        <w:right w:val="none" w:sz="0" w:space="0" w:color="auto"/>
      </w:divBdr>
      <w:divsChild>
        <w:div w:id="200090930">
          <w:marLeft w:val="0"/>
          <w:marRight w:val="0"/>
          <w:marTop w:val="0"/>
          <w:marBottom w:val="0"/>
          <w:divBdr>
            <w:top w:val="none" w:sz="0" w:space="0" w:color="auto"/>
            <w:left w:val="none" w:sz="0" w:space="0" w:color="auto"/>
            <w:bottom w:val="none" w:sz="0" w:space="0" w:color="auto"/>
            <w:right w:val="none" w:sz="0" w:space="0" w:color="auto"/>
          </w:divBdr>
        </w:div>
        <w:div w:id="336660829">
          <w:marLeft w:val="0"/>
          <w:marRight w:val="0"/>
          <w:marTop w:val="0"/>
          <w:marBottom w:val="0"/>
          <w:divBdr>
            <w:top w:val="none" w:sz="0" w:space="0" w:color="auto"/>
            <w:left w:val="none" w:sz="0" w:space="0" w:color="auto"/>
            <w:bottom w:val="none" w:sz="0" w:space="0" w:color="auto"/>
            <w:right w:val="none" w:sz="0" w:space="0" w:color="auto"/>
          </w:divBdr>
        </w:div>
      </w:divsChild>
    </w:div>
    <w:div w:id="2024817881">
      <w:bodyDiv w:val="1"/>
      <w:marLeft w:val="0"/>
      <w:marRight w:val="0"/>
      <w:marTop w:val="0"/>
      <w:marBottom w:val="0"/>
      <w:divBdr>
        <w:top w:val="none" w:sz="0" w:space="0" w:color="auto"/>
        <w:left w:val="none" w:sz="0" w:space="0" w:color="auto"/>
        <w:bottom w:val="none" w:sz="0" w:space="0" w:color="auto"/>
        <w:right w:val="none" w:sz="0" w:space="0" w:color="auto"/>
      </w:divBdr>
      <w:divsChild>
        <w:div w:id="93284794">
          <w:marLeft w:val="0"/>
          <w:marRight w:val="0"/>
          <w:marTop w:val="0"/>
          <w:marBottom w:val="0"/>
          <w:divBdr>
            <w:top w:val="none" w:sz="0" w:space="0" w:color="auto"/>
            <w:left w:val="none" w:sz="0" w:space="0" w:color="auto"/>
            <w:bottom w:val="none" w:sz="0" w:space="0" w:color="auto"/>
            <w:right w:val="none" w:sz="0" w:space="0" w:color="auto"/>
          </w:divBdr>
        </w:div>
        <w:div w:id="111636726">
          <w:marLeft w:val="0"/>
          <w:marRight w:val="0"/>
          <w:marTop w:val="0"/>
          <w:marBottom w:val="0"/>
          <w:divBdr>
            <w:top w:val="none" w:sz="0" w:space="0" w:color="auto"/>
            <w:left w:val="none" w:sz="0" w:space="0" w:color="auto"/>
            <w:bottom w:val="none" w:sz="0" w:space="0" w:color="auto"/>
            <w:right w:val="none" w:sz="0" w:space="0" w:color="auto"/>
          </w:divBdr>
        </w:div>
        <w:div w:id="552810139">
          <w:marLeft w:val="0"/>
          <w:marRight w:val="0"/>
          <w:marTop w:val="0"/>
          <w:marBottom w:val="0"/>
          <w:divBdr>
            <w:top w:val="none" w:sz="0" w:space="0" w:color="auto"/>
            <w:left w:val="none" w:sz="0" w:space="0" w:color="auto"/>
            <w:bottom w:val="none" w:sz="0" w:space="0" w:color="auto"/>
            <w:right w:val="none" w:sz="0" w:space="0" w:color="auto"/>
          </w:divBdr>
        </w:div>
        <w:div w:id="557711760">
          <w:marLeft w:val="0"/>
          <w:marRight w:val="0"/>
          <w:marTop w:val="0"/>
          <w:marBottom w:val="0"/>
          <w:divBdr>
            <w:top w:val="none" w:sz="0" w:space="0" w:color="auto"/>
            <w:left w:val="none" w:sz="0" w:space="0" w:color="auto"/>
            <w:bottom w:val="none" w:sz="0" w:space="0" w:color="auto"/>
            <w:right w:val="none" w:sz="0" w:space="0" w:color="auto"/>
          </w:divBdr>
        </w:div>
        <w:div w:id="971132682">
          <w:marLeft w:val="0"/>
          <w:marRight w:val="0"/>
          <w:marTop w:val="0"/>
          <w:marBottom w:val="0"/>
          <w:divBdr>
            <w:top w:val="none" w:sz="0" w:space="0" w:color="auto"/>
            <w:left w:val="none" w:sz="0" w:space="0" w:color="auto"/>
            <w:bottom w:val="none" w:sz="0" w:space="0" w:color="auto"/>
            <w:right w:val="none" w:sz="0" w:space="0" w:color="auto"/>
          </w:divBdr>
        </w:div>
        <w:div w:id="974219275">
          <w:marLeft w:val="0"/>
          <w:marRight w:val="0"/>
          <w:marTop w:val="0"/>
          <w:marBottom w:val="0"/>
          <w:divBdr>
            <w:top w:val="none" w:sz="0" w:space="0" w:color="auto"/>
            <w:left w:val="none" w:sz="0" w:space="0" w:color="auto"/>
            <w:bottom w:val="none" w:sz="0" w:space="0" w:color="auto"/>
            <w:right w:val="none" w:sz="0" w:space="0" w:color="auto"/>
          </w:divBdr>
        </w:div>
        <w:div w:id="1080131185">
          <w:marLeft w:val="0"/>
          <w:marRight w:val="0"/>
          <w:marTop w:val="0"/>
          <w:marBottom w:val="0"/>
          <w:divBdr>
            <w:top w:val="none" w:sz="0" w:space="0" w:color="auto"/>
            <w:left w:val="none" w:sz="0" w:space="0" w:color="auto"/>
            <w:bottom w:val="none" w:sz="0" w:space="0" w:color="auto"/>
            <w:right w:val="none" w:sz="0" w:space="0" w:color="auto"/>
          </w:divBdr>
        </w:div>
        <w:div w:id="1130703359">
          <w:marLeft w:val="0"/>
          <w:marRight w:val="0"/>
          <w:marTop w:val="0"/>
          <w:marBottom w:val="0"/>
          <w:divBdr>
            <w:top w:val="none" w:sz="0" w:space="0" w:color="auto"/>
            <w:left w:val="none" w:sz="0" w:space="0" w:color="auto"/>
            <w:bottom w:val="none" w:sz="0" w:space="0" w:color="auto"/>
            <w:right w:val="none" w:sz="0" w:space="0" w:color="auto"/>
          </w:divBdr>
        </w:div>
        <w:div w:id="1398362955">
          <w:marLeft w:val="0"/>
          <w:marRight w:val="0"/>
          <w:marTop w:val="0"/>
          <w:marBottom w:val="0"/>
          <w:divBdr>
            <w:top w:val="none" w:sz="0" w:space="0" w:color="auto"/>
            <w:left w:val="none" w:sz="0" w:space="0" w:color="auto"/>
            <w:bottom w:val="none" w:sz="0" w:space="0" w:color="auto"/>
            <w:right w:val="none" w:sz="0" w:space="0" w:color="auto"/>
          </w:divBdr>
        </w:div>
        <w:div w:id="193987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ophth.ac.uk/wp-content/uploads/2021/12/RCOphth-The-Way-Forward-Cataract-30011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guidance/ng7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wp-content/uploads/2022/07/Making-a-decision-about-cataracts.pdf" TargetMode="External"/><Relationship Id="rId5" Type="http://schemas.openxmlformats.org/officeDocument/2006/relationships/styles" Target="styles.xml"/><Relationship Id="rId15" Type="http://schemas.openxmlformats.org/officeDocument/2006/relationships/hyperlink" Target="https://www.rcophth.ac.uk/wp-content/uploads/2022/02/High-Flow-Cataract-Surgery_V2.pdf" TargetMode="External"/><Relationship Id="rId10" Type="http://schemas.openxmlformats.org/officeDocument/2006/relationships/hyperlink" Target="https://ebi.aomrc.org.uk/interventions/shared-decision-making-for-cataract-surge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rriculum.rcophth.ac.uk/wp-content/uploads/2018/02/Cataract-Commissioning-Guide-January-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82410-35a1-48d9-a432-e298e5b95e46">
      <Terms xmlns="http://schemas.microsoft.com/office/infopath/2007/PartnerControls"/>
    </lcf76f155ced4ddcb4097134ff3c332f>
    <TaxCatchAll xmlns="1365388d-8e0b-4df5-a0a3-cd102b49988e" xsi:nil="true"/>
    <_ip_UnifiedCompliancePolicyUIAction xmlns="http://schemas.microsoft.com/sharepoint/v3" xsi:nil="true"/>
    <InformationAssetOwner xmlns="f6a82410-35a1-48d9-a432-e298e5b95e46">
      <UserInfo>
        <DisplayName/>
        <AccountId xsi:nil="true"/>
        <AccountType/>
      </UserInfo>
    </InformationAssetOwner>
    <_ip_UnifiedCompliancePolicyProperties xmlns="http://schemas.microsoft.com/sharepoint/v3"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796607CC-166E-4EC7-B09A-01287445AE49}">
  <ds:schemaRefs>
    <ds:schemaRef ds:uri="http://schemas.microsoft.com/sharepoint/v3/contenttype/forms"/>
  </ds:schemaRefs>
</ds:datastoreItem>
</file>

<file path=customXml/itemProps2.xml><?xml version="1.0" encoding="utf-8"?>
<ds:datastoreItem xmlns:ds="http://schemas.openxmlformats.org/officeDocument/2006/customXml" ds:itemID="{16B688BE-0779-4024-9F63-A7C34048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BBECD-3A68-4C9B-A58F-0B6D7B30AB3F}">
  <ds:schemaRefs>
    <ds:schemaRef ds:uri="http://schemas.microsoft.com/office/2006/metadata/properties"/>
    <ds:schemaRef ds:uri="http://schemas.microsoft.com/office/infopath/2007/PartnerControls"/>
    <ds:schemaRef ds:uri="f6a82410-35a1-48d9-a432-e298e5b95e46"/>
    <ds:schemaRef ds:uri="1365388d-8e0b-4df5-a0a3-cd102b49988e"/>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North Lincolnshire Council</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Ellerton</dc:creator>
  <cp:keywords/>
  <dc:description/>
  <cp:lastModifiedBy>BLACK, Rebecca (NHS HUMBER AND NORTH YORKSHIRE ICB - 02Y)</cp:lastModifiedBy>
  <cp:revision>2</cp:revision>
  <dcterms:created xsi:type="dcterms:W3CDTF">2024-12-31T15:57:00Z</dcterms:created>
  <dcterms:modified xsi:type="dcterms:W3CDTF">2024-12-31T15:57:00Z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