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700"/>
        <w:gridCol w:w="6316"/>
      </w:tblGrid>
      <w:tr w:rsidR="00082635" w14:paraId="0B1125C6" w14:textId="77777777" w:rsidTr="02F4D05A">
        <w:tc>
          <w:tcPr>
            <w:tcW w:w="2700" w:type="dxa"/>
          </w:tcPr>
          <w:p w14:paraId="0D4A3409" w14:textId="3EA3C901" w:rsidR="00082635" w:rsidRDefault="00C40725">
            <w:bookmarkStart w:id="0" w:name="_Hlk164339182"/>
            <w:r>
              <w:t>Intervention</w:t>
            </w:r>
          </w:p>
        </w:tc>
        <w:tc>
          <w:tcPr>
            <w:tcW w:w="6316" w:type="dxa"/>
          </w:tcPr>
          <w:p w14:paraId="72BB008D" w14:textId="1BF275AF" w:rsidR="00F92C7B" w:rsidRPr="00A47E1F" w:rsidRDefault="644281AA" w:rsidP="522E67A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2F4D05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077. </w:t>
            </w:r>
            <w:r w:rsidR="00925022" w:rsidRPr="02F4D05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Endoscopic thoracic </w:t>
            </w:r>
            <w:r w:rsidR="007F0260" w:rsidRPr="02F4D05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sympathectomy (ETS)</w:t>
            </w:r>
          </w:p>
        </w:tc>
      </w:tr>
      <w:tr w:rsidR="00082635" w14:paraId="4607A061" w14:textId="77777777" w:rsidTr="02F4D05A">
        <w:tc>
          <w:tcPr>
            <w:tcW w:w="2700" w:type="dxa"/>
          </w:tcPr>
          <w:p w14:paraId="2BE2DCD8" w14:textId="169702F0" w:rsidR="00082635" w:rsidRDefault="00C40725">
            <w:r>
              <w:t>For the treatment of:</w:t>
            </w:r>
          </w:p>
        </w:tc>
        <w:tc>
          <w:tcPr>
            <w:tcW w:w="6316" w:type="dxa"/>
          </w:tcPr>
          <w:p w14:paraId="393F21FC" w14:textId="19813536" w:rsidR="00467760" w:rsidRPr="00A47E1F" w:rsidRDefault="6E25A28F" w:rsidP="522E67A5">
            <w:pPr>
              <w:rPr>
                <w:rStyle w:val="normaltextrun"/>
              </w:rPr>
            </w:pPr>
            <w:r w:rsidRPr="522E67A5">
              <w:rPr>
                <w:rStyle w:val="normaltextrun"/>
                <w:rFonts w:eastAsiaTheme="minorEastAsia"/>
              </w:rPr>
              <w:t>H</w:t>
            </w:r>
            <w:r w:rsidR="00925022" w:rsidRPr="522E67A5">
              <w:rPr>
                <w:rStyle w:val="normaltextrun"/>
                <w:rFonts w:eastAsiaTheme="minorEastAsia"/>
              </w:rPr>
              <w:t>yperhidrosis</w:t>
            </w:r>
          </w:p>
        </w:tc>
      </w:tr>
      <w:tr w:rsidR="00082635" w14:paraId="1062A7C2" w14:textId="77777777" w:rsidTr="02F4D05A">
        <w:trPr>
          <w:trHeight w:val="1289"/>
        </w:trPr>
        <w:tc>
          <w:tcPr>
            <w:tcW w:w="2700" w:type="dxa"/>
          </w:tcPr>
          <w:p w14:paraId="2DA08F4B" w14:textId="11510286" w:rsidR="00082635" w:rsidRDefault="00C40725">
            <w:r>
              <w:t>Commissioning position</w:t>
            </w:r>
          </w:p>
        </w:tc>
        <w:tc>
          <w:tcPr>
            <w:tcW w:w="6316" w:type="dxa"/>
          </w:tcPr>
          <w:p w14:paraId="2F64DF61" w14:textId="5C0D030C" w:rsidR="00FD4204" w:rsidRDefault="33D64193" w:rsidP="0B8EA9A2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This intervention is commissioned if</w:t>
            </w:r>
            <w:r w:rsidR="00FD4204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:</w:t>
            </w:r>
          </w:p>
          <w:p w14:paraId="11660327" w14:textId="4DACAE35" w:rsidR="00FD4204" w:rsidRDefault="2EA4B0E6" w:rsidP="00FD4204">
            <w:pPr>
              <w:pStyle w:val="ListParagraph"/>
              <w:numPr>
                <w:ilvl w:val="0"/>
                <w:numId w:val="19"/>
              </w:num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the person is s</w:t>
            </w:r>
            <w:r w:rsidR="00FD4204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uffering from severe and debilitating primary </w:t>
            </w:r>
            <w:r w:rsidR="2A1F11FD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focal </w:t>
            </w:r>
            <w:r w:rsidR="00FD4204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hyperhidrosis</w:t>
            </w:r>
            <w:r w:rsidR="77530713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of the upper limb</w:t>
            </w:r>
            <w:r w:rsidR="182588AE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AND</w:t>
            </w:r>
          </w:p>
          <w:p w14:paraId="72D399C8" w14:textId="7BACD413" w:rsidR="00FD4204" w:rsidRPr="00FD4204" w:rsidRDefault="182588AE" w:rsidP="00FD4204">
            <w:pPr>
              <w:pStyle w:val="ListParagraph"/>
              <w:numPr>
                <w:ilvl w:val="0"/>
                <w:numId w:val="19"/>
              </w:num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the symptoms are r</w:t>
            </w:r>
            <w:r w:rsidR="00FD4204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efractory to other treatments </w:t>
            </w:r>
            <w:r w:rsidR="36DAEC2F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(</w:t>
            </w:r>
            <w:r w:rsidR="00FD4204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which may include topical agents, oral medication, botulinum injections and iontophoresis</w:t>
            </w:r>
            <w:r w:rsidR="05DF615A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).</w:t>
            </w:r>
          </w:p>
          <w:p w14:paraId="07C5DA3B" w14:textId="5BFE8D77" w:rsidR="00FD4204" w:rsidRPr="00FD4204" w:rsidRDefault="00FD4204" w:rsidP="0B8EA9A2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03A5F2DD" w14:textId="282E3A1C" w:rsidR="00FD4204" w:rsidRPr="00FD4204" w:rsidRDefault="668BD5A6" w:rsidP="0B8EA9A2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B8EA9A2">
              <w:rPr>
                <w:rStyle w:val="normaltextrun"/>
                <w:rFonts w:ascii="Calibri" w:hAnsi="Calibri" w:cs="Calibri"/>
                <w:color w:val="000000" w:themeColor="text1"/>
              </w:rPr>
              <w:t>This intervention is not commissioned for generalised hyperhidrosis or focal hyperhidrosis of areas other than the upper limb.</w:t>
            </w:r>
          </w:p>
        </w:tc>
      </w:tr>
      <w:tr w:rsidR="00416BEF" w14:paraId="3FEC9845" w14:textId="77777777" w:rsidTr="02F4D05A">
        <w:tc>
          <w:tcPr>
            <w:tcW w:w="2700" w:type="dxa"/>
          </w:tcPr>
          <w:p w14:paraId="33CA7C0B" w14:textId="27CBFCBB" w:rsidR="00416BEF" w:rsidRDefault="00416BEF" w:rsidP="00416BEF">
            <w:r>
              <w:t>Summary of Rationale</w:t>
            </w:r>
          </w:p>
        </w:tc>
        <w:tc>
          <w:tcPr>
            <w:tcW w:w="6316" w:type="dxa"/>
          </w:tcPr>
          <w:p w14:paraId="7A5EA976" w14:textId="01782762" w:rsidR="00527042" w:rsidRPr="00A47E1F" w:rsidRDefault="641CDA5F" w:rsidP="0B8EA9A2">
            <w:pPr>
              <w:rPr>
                <w:rFonts w:eastAsiaTheme="minorEastAsia"/>
              </w:rPr>
            </w:pPr>
            <w:r w:rsidRPr="0B8EA9A2">
              <w:rPr>
                <w:rFonts w:eastAsiaTheme="minorEastAsia"/>
              </w:rPr>
              <w:t>Sympathectomy has been shown to be effective for palmar sweating but is less effective for axillary symptoms.</w:t>
            </w:r>
          </w:p>
          <w:p w14:paraId="3CAC9F15" w14:textId="21D317EE" w:rsidR="00527042" w:rsidRPr="00A47E1F" w:rsidRDefault="00527042" w:rsidP="0B8EA9A2">
            <w:pPr>
              <w:rPr>
                <w:rFonts w:eastAsiaTheme="minorEastAsia"/>
              </w:rPr>
            </w:pPr>
          </w:p>
          <w:p w14:paraId="5D2E56DA" w14:textId="59585680" w:rsidR="00527042" w:rsidRPr="00A47E1F" w:rsidRDefault="763B271D" w:rsidP="0B8EA9A2">
            <w:pPr>
              <w:rPr>
                <w:rFonts w:eastAsiaTheme="minorEastAsia"/>
              </w:rPr>
            </w:pPr>
            <w:r w:rsidRPr="0B8EA9A2">
              <w:rPr>
                <w:rFonts w:eastAsiaTheme="minorEastAsia"/>
              </w:rPr>
              <w:t>Clinicians proposing this intervention must explain that:</w:t>
            </w:r>
          </w:p>
          <w:p w14:paraId="39406CC4" w14:textId="64C50BF8" w:rsidR="00527042" w:rsidRPr="00A47E1F" w:rsidRDefault="763B271D" w:rsidP="0B8EA9A2">
            <w:pPr>
              <w:pStyle w:val="ListParagraph"/>
              <w:numPr>
                <w:ilvl w:val="0"/>
                <w:numId w:val="1"/>
              </w:numPr>
            </w:pPr>
            <w:r w:rsidRPr="0B8EA9A2">
              <w:rPr>
                <w:rFonts w:eastAsiaTheme="minorEastAsia"/>
              </w:rPr>
              <w:t>there is a risk of serious complications</w:t>
            </w:r>
          </w:p>
          <w:p w14:paraId="2F5DF239" w14:textId="5DF8B5FC" w:rsidR="00527042" w:rsidRPr="00A47E1F" w:rsidRDefault="763B271D" w:rsidP="0B8EA9A2">
            <w:pPr>
              <w:pStyle w:val="ListParagraph"/>
              <w:numPr>
                <w:ilvl w:val="0"/>
                <w:numId w:val="1"/>
              </w:numPr>
            </w:pPr>
            <w:r w:rsidRPr="0B8EA9A2">
              <w:rPr>
                <w:rFonts w:eastAsiaTheme="minorEastAsia"/>
              </w:rPr>
              <w:t>hyperhidrosis elsewhere on the body is usual after the procedure: this can be severe and distressing, and some patients regret having had the procedure (especially because of subsequent and persistent hyperhidrosis elsewhere)</w:t>
            </w:r>
          </w:p>
          <w:p w14:paraId="620491F3" w14:textId="48D98843" w:rsidR="00527042" w:rsidRPr="00A47E1F" w:rsidRDefault="763B271D" w:rsidP="0B8EA9A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0B8EA9A2">
              <w:rPr>
                <w:rFonts w:eastAsiaTheme="minorEastAsia"/>
              </w:rPr>
              <w:t>the procedure sometimes does not reduce upper limb hyperhidrosis.</w:t>
            </w:r>
          </w:p>
          <w:p w14:paraId="3EE170A4" w14:textId="02D31015" w:rsidR="00527042" w:rsidRPr="00A47E1F" w:rsidRDefault="00527042" w:rsidP="0B8EA9A2">
            <w:pPr>
              <w:rPr>
                <w:rFonts w:eastAsiaTheme="minorEastAsia"/>
              </w:rPr>
            </w:pPr>
          </w:p>
          <w:p w14:paraId="1001567B" w14:textId="0BAA73CF" w:rsidR="00527042" w:rsidRPr="00A47E1F" w:rsidRDefault="763B271D" w:rsidP="0B8EA9A2">
            <w:r w:rsidRPr="0B8EA9A2">
              <w:rPr>
                <w:rFonts w:eastAsiaTheme="minorEastAsia"/>
              </w:rPr>
              <w:t>Clinicians should also provide patients considering the procedure with clear written information.</w:t>
            </w:r>
          </w:p>
          <w:p w14:paraId="257F73A1" w14:textId="53280321" w:rsidR="00527042" w:rsidRPr="00A47E1F" w:rsidRDefault="00527042" w:rsidP="0B8EA9A2">
            <w:pPr>
              <w:rPr>
                <w:rFonts w:eastAsiaTheme="minorEastAsia"/>
              </w:rPr>
            </w:pPr>
          </w:p>
          <w:p w14:paraId="18A5F4F3" w14:textId="5294D136" w:rsidR="00527042" w:rsidRPr="00A47E1F" w:rsidRDefault="7A8AC32A" w:rsidP="0B8EA9A2">
            <w:r w:rsidRPr="0B8EA9A2">
              <w:rPr>
                <w:rFonts w:eastAsiaTheme="minorEastAsia"/>
              </w:rPr>
              <w:t>In view of the risk of side effects, this procedure should only be considered in patients suffering from severe and debilitating primary hyperhidrosis that has been refractory to other treatments.</w:t>
            </w:r>
          </w:p>
          <w:p w14:paraId="2430A1B3" w14:textId="0D240088" w:rsidR="00527042" w:rsidRPr="00A47E1F" w:rsidRDefault="00527042" w:rsidP="0B8EA9A2">
            <w:pPr>
              <w:rPr>
                <w:rFonts w:eastAsiaTheme="minorEastAsia"/>
              </w:rPr>
            </w:pPr>
          </w:p>
          <w:p w14:paraId="7A057F2B" w14:textId="38E8B457" w:rsidR="00527042" w:rsidRPr="00A47E1F" w:rsidRDefault="7A8AC32A" w:rsidP="0B8EA9A2">
            <w:pPr>
              <w:rPr>
                <w:rFonts w:eastAsiaTheme="minorEastAsia"/>
              </w:rPr>
            </w:pPr>
            <w:r w:rsidRPr="0B8EA9A2">
              <w:rPr>
                <w:rFonts w:eastAsiaTheme="minorEastAsia"/>
              </w:rPr>
              <w:t>This procedure should only be undertaken by clinicians trained and experienced in thoracic endoscopy, and there should be the capacity to deal with intraoperative complications.</w:t>
            </w:r>
          </w:p>
        </w:tc>
      </w:tr>
      <w:tr w:rsidR="00416BEF" w14:paraId="7DF6CEF0" w14:textId="77777777" w:rsidTr="02F4D05A">
        <w:tc>
          <w:tcPr>
            <w:tcW w:w="2700" w:type="dxa"/>
          </w:tcPr>
          <w:p w14:paraId="729A6E73" w14:textId="1FCFD067" w:rsidR="00416BEF" w:rsidRDefault="00416BEF" w:rsidP="00416BEF">
            <w:r>
              <w:t>References</w:t>
            </w:r>
          </w:p>
        </w:tc>
        <w:tc>
          <w:tcPr>
            <w:tcW w:w="6316" w:type="dxa"/>
          </w:tcPr>
          <w:p w14:paraId="395032D8" w14:textId="354CED4E" w:rsidR="00FD4204" w:rsidRPr="00A47E1F" w:rsidRDefault="747B3BAB" w:rsidP="0B8EA9A2">
            <w:pPr>
              <w:rPr>
                <w:rFonts w:ascii="Calibri" w:eastAsia="Calibri" w:hAnsi="Calibri" w:cs="Calibri"/>
              </w:rPr>
            </w:pPr>
            <w:hyperlink r:id="rId10">
              <w:r w:rsidRPr="0B8EA9A2">
                <w:rPr>
                  <w:rStyle w:val="Hyperlink"/>
                  <w:rFonts w:ascii="Calibri" w:eastAsia="Calibri" w:hAnsi="Calibri" w:cs="Calibri"/>
                </w:rPr>
                <w:t>IPG487 Endoscopic thoracic sympathectomy for primary hyperhidrosis of the upper limb (NICE)</w:t>
              </w:r>
            </w:hyperlink>
          </w:p>
          <w:p w14:paraId="1F7CE390" w14:textId="2D483F0D" w:rsidR="00FD4204" w:rsidRPr="00A47E1F" w:rsidRDefault="4A504F1A" w:rsidP="1A4BA577">
            <w:pPr>
              <w:rPr>
                <w:rFonts w:ascii="Calibri" w:eastAsia="Calibri" w:hAnsi="Calibri" w:cs="Calibri"/>
              </w:rPr>
            </w:pPr>
            <w:hyperlink r:id="rId11">
              <w:r w:rsidRPr="1A4BA577">
                <w:rPr>
                  <w:rStyle w:val="Hyperlink"/>
                  <w:rFonts w:ascii="Calibri" w:eastAsia="Calibri" w:hAnsi="Calibri" w:cs="Calibri"/>
                </w:rPr>
                <w:t>CKS Hyperhidrosis (NICE)</w:t>
              </w:r>
            </w:hyperlink>
          </w:p>
          <w:p w14:paraId="298C1462" w14:textId="0108F1BE" w:rsidR="00FD4204" w:rsidRPr="00A47E1F" w:rsidRDefault="170E1689" w:rsidP="0B8EA9A2">
            <w:pPr>
              <w:rPr>
                <w:rFonts w:ascii="Calibri" w:eastAsia="Calibri" w:hAnsi="Calibri" w:cs="Calibri"/>
              </w:rPr>
            </w:pPr>
            <w:hyperlink r:id="rId12">
              <w:r w:rsidRPr="1A4BA577">
                <w:rPr>
                  <w:rStyle w:val="Hyperlink"/>
                  <w:rFonts w:ascii="Calibri" w:eastAsia="Calibri" w:hAnsi="Calibri" w:cs="Calibri"/>
                </w:rPr>
                <w:t xml:space="preserve">Primary Focal </w:t>
              </w:r>
              <w:r w:rsidR="386BA969" w:rsidRPr="1A4BA577">
                <w:rPr>
                  <w:rStyle w:val="Hyperlink"/>
                  <w:rFonts w:ascii="Calibri" w:eastAsia="Calibri" w:hAnsi="Calibri" w:cs="Calibri"/>
                </w:rPr>
                <w:t>Hyperhidrosis</w:t>
              </w:r>
              <w:r w:rsidRPr="1A4BA577">
                <w:rPr>
                  <w:rStyle w:val="Hyperlink"/>
                  <w:rFonts w:ascii="Calibri" w:eastAsia="Calibri" w:hAnsi="Calibri" w:cs="Calibri"/>
                </w:rPr>
                <w:t xml:space="preserve"> (International Hyperhidrosis Society)</w:t>
              </w:r>
            </w:hyperlink>
          </w:p>
        </w:tc>
      </w:tr>
      <w:tr w:rsidR="00416BEF" w14:paraId="7E9E8A9A" w14:textId="77777777" w:rsidTr="02F4D05A">
        <w:tc>
          <w:tcPr>
            <w:tcW w:w="2700" w:type="dxa"/>
          </w:tcPr>
          <w:p w14:paraId="006DB724" w14:textId="5352A3C8" w:rsidR="00416BEF" w:rsidRDefault="00416BEF" w:rsidP="00416BEF">
            <w:r>
              <w:t>Effective from:</w:t>
            </w:r>
          </w:p>
        </w:tc>
        <w:tc>
          <w:tcPr>
            <w:tcW w:w="6316" w:type="dxa"/>
          </w:tcPr>
          <w:p w14:paraId="0C178D90" w14:textId="1F94A15C" w:rsidR="00416BEF" w:rsidRPr="00A47E1F" w:rsidRDefault="00FD4204" w:rsidP="00416BEF">
            <w:r>
              <w:t>January</w:t>
            </w:r>
            <w:r w:rsidR="00416BEF" w:rsidRPr="00A47E1F">
              <w:t xml:space="preserve"> 202</w:t>
            </w:r>
            <w:r>
              <w:t>5</w:t>
            </w:r>
          </w:p>
        </w:tc>
      </w:tr>
      <w:tr w:rsidR="00416BEF" w14:paraId="11AB6822" w14:textId="77777777" w:rsidTr="02F4D05A">
        <w:tc>
          <w:tcPr>
            <w:tcW w:w="2700" w:type="dxa"/>
          </w:tcPr>
          <w:p w14:paraId="2338319E" w14:textId="1049B664" w:rsidR="00416BEF" w:rsidRDefault="00416BEF" w:rsidP="00416BEF">
            <w:r>
              <w:t>Policy Review Date</w:t>
            </w:r>
          </w:p>
        </w:tc>
        <w:tc>
          <w:tcPr>
            <w:tcW w:w="6316" w:type="dxa"/>
          </w:tcPr>
          <w:p w14:paraId="3DD4396A" w14:textId="6F0608D7" w:rsidR="00416BEF" w:rsidRPr="00A47E1F" w:rsidRDefault="2299AF23" w:rsidP="00416BEF">
            <w:r>
              <w:t>January</w:t>
            </w:r>
            <w:r w:rsidR="00416BEF">
              <w:t xml:space="preserve"> 202</w:t>
            </w:r>
            <w:r w:rsidR="00FD4204">
              <w:t>8</w:t>
            </w:r>
          </w:p>
        </w:tc>
      </w:tr>
      <w:bookmarkEnd w:id="0"/>
    </w:tbl>
    <w:p w14:paraId="0ED5111D" w14:textId="77777777" w:rsidR="00F92C7B" w:rsidRDefault="00F92C7B" w:rsidP="00E55A6F"/>
    <w:sectPr w:rsidR="00F92C7B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B5A0A" w14:textId="77777777" w:rsidR="00FD3F33" w:rsidRDefault="00FD3F33" w:rsidP="00082635">
      <w:pPr>
        <w:spacing w:after="0" w:line="240" w:lineRule="auto"/>
      </w:pPr>
      <w:r>
        <w:separator/>
      </w:r>
    </w:p>
  </w:endnote>
  <w:endnote w:type="continuationSeparator" w:id="0">
    <w:p w14:paraId="6C0AC0DA" w14:textId="77777777" w:rsidR="00FD3F33" w:rsidRDefault="00FD3F33" w:rsidP="00082635">
      <w:pPr>
        <w:spacing w:after="0" w:line="240" w:lineRule="auto"/>
      </w:pPr>
      <w:r>
        <w:continuationSeparator/>
      </w:r>
    </w:p>
  </w:endnote>
  <w:endnote w:type="continuationNotice" w:id="1">
    <w:p w14:paraId="452686BC" w14:textId="77777777" w:rsidR="00FD3F33" w:rsidRDefault="00FD3F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02555B8" w14:paraId="008DF30D" w14:textId="77777777" w:rsidTr="302555B8">
      <w:trPr>
        <w:trHeight w:val="300"/>
      </w:trPr>
      <w:tc>
        <w:tcPr>
          <w:tcW w:w="3005" w:type="dxa"/>
        </w:tcPr>
        <w:p w14:paraId="5057A052" w14:textId="400FA522" w:rsidR="302555B8" w:rsidRDefault="302555B8" w:rsidP="302555B8">
          <w:pPr>
            <w:pStyle w:val="Header"/>
            <w:ind w:left="-115"/>
          </w:pPr>
        </w:p>
      </w:tc>
      <w:tc>
        <w:tcPr>
          <w:tcW w:w="3005" w:type="dxa"/>
        </w:tcPr>
        <w:p w14:paraId="604CA60C" w14:textId="1B74C0BB" w:rsidR="302555B8" w:rsidRDefault="302555B8" w:rsidP="302555B8">
          <w:pPr>
            <w:pStyle w:val="Header"/>
            <w:jc w:val="center"/>
          </w:pPr>
        </w:p>
      </w:tc>
      <w:tc>
        <w:tcPr>
          <w:tcW w:w="3005" w:type="dxa"/>
        </w:tcPr>
        <w:p w14:paraId="7AAAB3A4" w14:textId="7221A976" w:rsidR="302555B8" w:rsidRDefault="302555B8" w:rsidP="302555B8">
          <w:pPr>
            <w:pStyle w:val="Header"/>
            <w:ind w:right="-115"/>
            <w:jc w:val="right"/>
          </w:pPr>
        </w:p>
      </w:tc>
    </w:tr>
  </w:tbl>
  <w:p w14:paraId="5AF8AE40" w14:textId="735DEB3D" w:rsidR="302555B8" w:rsidRDefault="302555B8" w:rsidP="302555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8428F" w14:textId="77777777" w:rsidR="00FD3F33" w:rsidRDefault="00FD3F33" w:rsidP="00082635">
      <w:pPr>
        <w:spacing w:after="0" w:line="240" w:lineRule="auto"/>
      </w:pPr>
      <w:r>
        <w:separator/>
      </w:r>
    </w:p>
  </w:footnote>
  <w:footnote w:type="continuationSeparator" w:id="0">
    <w:p w14:paraId="4E2A2D63" w14:textId="77777777" w:rsidR="00FD3F33" w:rsidRDefault="00FD3F33" w:rsidP="00082635">
      <w:pPr>
        <w:spacing w:after="0" w:line="240" w:lineRule="auto"/>
      </w:pPr>
      <w:r>
        <w:continuationSeparator/>
      </w:r>
    </w:p>
  </w:footnote>
  <w:footnote w:type="continuationNotice" w:id="1">
    <w:p w14:paraId="24CA012D" w14:textId="77777777" w:rsidR="00FD3F33" w:rsidRDefault="00FD3F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F6D77" w14:textId="25809ACD" w:rsidR="00082635" w:rsidRDefault="00082635">
    <w:pPr>
      <w:pStyle w:val="Header"/>
    </w:pPr>
    <w:r>
      <w:rPr>
        <w:noProof/>
      </w:rPr>
      <w:drawing>
        <wp:inline distT="0" distB="0" distL="0" distR="0" wp14:anchorId="5F15A884" wp14:editId="56413D17">
          <wp:extent cx="2908300" cy="554990"/>
          <wp:effectExtent l="0" t="0" r="6350" b="0"/>
          <wp:docPr id="9467572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30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3B4F9FF5" wp14:editId="26F1CE35">
          <wp:extent cx="1572895" cy="841375"/>
          <wp:effectExtent l="0" t="0" r="8255" b="0"/>
          <wp:docPr id="49938555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534E1"/>
    <w:multiLevelType w:val="hybridMultilevel"/>
    <w:tmpl w:val="D324C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C6631"/>
    <w:multiLevelType w:val="hybridMultilevel"/>
    <w:tmpl w:val="427E2E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1249FD"/>
    <w:multiLevelType w:val="hybridMultilevel"/>
    <w:tmpl w:val="6442B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A2733"/>
    <w:multiLevelType w:val="hybridMultilevel"/>
    <w:tmpl w:val="089208EE"/>
    <w:lvl w:ilvl="0" w:tplc="F7A28E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6C94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6C91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1ACA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58BD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431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FE9A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4426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DCD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F41DE"/>
    <w:multiLevelType w:val="hybridMultilevel"/>
    <w:tmpl w:val="2472B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808AE"/>
    <w:multiLevelType w:val="multilevel"/>
    <w:tmpl w:val="47005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BC311A"/>
    <w:multiLevelType w:val="multilevel"/>
    <w:tmpl w:val="5582E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AB75BDC"/>
    <w:multiLevelType w:val="hybridMultilevel"/>
    <w:tmpl w:val="93967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91C58"/>
    <w:multiLevelType w:val="hybridMultilevel"/>
    <w:tmpl w:val="1E1C8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B2C80"/>
    <w:multiLevelType w:val="hybridMultilevel"/>
    <w:tmpl w:val="D1E24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1977FB"/>
    <w:multiLevelType w:val="hybridMultilevel"/>
    <w:tmpl w:val="56E62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D0EC0"/>
    <w:multiLevelType w:val="multilevel"/>
    <w:tmpl w:val="FB8A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24B24BC"/>
    <w:multiLevelType w:val="hybridMultilevel"/>
    <w:tmpl w:val="E2B86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42381"/>
    <w:multiLevelType w:val="multilevel"/>
    <w:tmpl w:val="8ED4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8F5418F"/>
    <w:multiLevelType w:val="hybridMultilevel"/>
    <w:tmpl w:val="28D03698"/>
    <w:lvl w:ilvl="0" w:tplc="57FA7C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EE3E29"/>
    <w:multiLevelType w:val="multilevel"/>
    <w:tmpl w:val="D62E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E7415E9"/>
    <w:multiLevelType w:val="multilevel"/>
    <w:tmpl w:val="986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2561130"/>
    <w:multiLevelType w:val="hybridMultilevel"/>
    <w:tmpl w:val="21A65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360611"/>
    <w:multiLevelType w:val="multilevel"/>
    <w:tmpl w:val="F364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15530118">
    <w:abstractNumId w:val="3"/>
  </w:num>
  <w:num w:numId="2" w16cid:durableId="718356401">
    <w:abstractNumId w:val="7"/>
  </w:num>
  <w:num w:numId="3" w16cid:durableId="1193499217">
    <w:abstractNumId w:val="1"/>
  </w:num>
  <w:num w:numId="4" w16cid:durableId="1481119074">
    <w:abstractNumId w:val="2"/>
  </w:num>
  <w:num w:numId="5" w16cid:durableId="1585725535">
    <w:abstractNumId w:val="14"/>
  </w:num>
  <w:num w:numId="6" w16cid:durableId="602492333">
    <w:abstractNumId w:val="16"/>
  </w:num>
  <w:num w:numId="7" w16cid:durableId="1210337628">
    <w:abstractNumId w:val="11"/>
  </w:num>
  <w:num w:numId="8" w16cid:durableId="766192865">
    <w:abstractNumId w:val="12"/>
  </w:num>
  <w:num w:numId="9" w16cid:durableId="894510114">
    <w:abstractNumId w:val="17"/>
  </w:num>
  <w:num w:numId="10" w16cid:durableId="1426196454">
    <w:abstractNumId w:val="5"/>
  </w:num>
  <w:num w:numId="11" w16cid:durableId="658578550">
    <w:abstractNumId w:val="15"/>
  </w:num>
  <w:num w:numId="12" w16cid:durableId="1933128075">
    <w:abstractNumId w:val="13"/>
  </w:num>
  <w:num w:numId="13" w16cid:durableId="816608577">
    <w:abstractNumId w:val="0"/>
  </w:num>
  <w:num w:numId="14" w16cid:durableId="1569463882">
    <w:abstractNumId w:val="8"/>
  </w:num>
  <w:num w:numId="15" w16cid:durableId="201282633">
    <w:abstractNumId w:val="9"/>
  </w:num>
  <w:num w:numId="16" w16cid:durableId="1786925749">
    <w:abstractNumId w:val="18"/>
  </w:num>
  <w:num w:numId="17" w16cid:durableId="658577614">
    <w:abstractNumId w:val="6"/>
  </w:num>
  <w:num w:numId="18" w16cid:durableId="1477382413">
    <w:abstractNumId w:val="10"/>
  </w:num>
  <w:num w:numId="19" w16cid:durableId="9274692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635"/>
    <w:rsid w:val="00013EBB"/>
    <w:rsid w:val="00082635"/>
    <w:rsid w:val="000840EF"/>
    <w:rsid w:val="000F2EEC"/>
    <w:rsid w:val="00167D81"/>
    <w:rsid w:val="00222A0D"/>
    <w:rsid w:val="00230855"/>
    <w:rsid w:val="002466B7"/>
    <w:rsid w:val="00287A90"/>
    <w:rsid w:val="00294EB6"/>
    <w:rsid w:val="002A2664"/>
    <w:rsid w:val="003174C9"/>
    <w:rsid w:val="00376614"/>
    <w:rsid w:val="003C012D"/>
    <w:rsid w:val="003C43C7"/>
    <w:rsid w:val="003D61D1"/>
    <w:rsid w:val="003D7C85"/>
    <w:rsid w:val="003F5EDE"/>
    <w:rsid w:val="00416BEF"/>
    <w:rsid w:val="00467760"/>
    <w:rsid w:val="00504D10"/>
    <w:rsid w:val="00527042"/>
    <w:rsid w:val="005467E7"/>
    <w:rsid w:val="005653F2"/>
    <w:rsid w:val="00581112"/>
    <w:rsid w:val="00585C42"/>
    <w:rsid w:val="005C6441"/>
    <w:rsid w:val="00632439"/>
    <w:rsid w:val="006359C8"/>
    <w:rsid w:val="006551B4"/>
    <w:rsid w:val="0066D150"/>
    <w:rsid w:val="00680B55"/>
    <w:rsid w:val="00707108"/>
    <w:rsid w:val="00743853"/>
    <w:rsid w:val="007455F9"/>
    <w:rsid w:val="00766477"/>
    <w:rsid w:val="007C7F99"/>
    <w:rsid w:val="007F0260"/>
    <w:rsid w:val="00800C79"/>
    <w:rsid w:val="008246DA"/>
    <w:rsid w:val="00865CD1"/>
    <w:rsid w:val="008935AA"/>
    <w:rsid w:val="008B221A"/>
    <w:rsid w:val="008E3D3C"/>
    <w:rsid w:val="00925022"/>
    <w:rsid w:val="009787A4"/>
    <w:rsid w:val="0099416C"/>
    <w:rsid w:val="009E4D1D"/>
    <w:rsid w:val="00A27FC5"/>
    <w:rsid w:val="00A47E1F"/>
    <w:rsid w:val="00A62119"/>
    <w:rsid w:val="00A64BC4"/>
    <w:rsid w:val="00A66546"/>
    <w:rsid w:val="00AA65AF"/>
    <w:rsid w:val="00AC1A0A"/>
    <w:rsid w:val="00B24B75"/>
    <w:rsid w:val="00B44AB6"/>
    <w:rsid w:val="00B466BB"/>
    <w:rsid w:val="00B46EEB"/>
    <w:rsid w:val="00B61664"/>
    <w:rsid w:val="00BC0857"/>
    <w:rsid w:val="00BC6294"/>
    <w:rsid w:val="00C03C24"/>
    <w:rsid w:val="00C316D4"/>
    <w:rsid w:val="00C40725"/>
    <w:rsid w:val="00C640A9"/>
    <w:rsid w:val="00C707E4"/>
    <w:rsid w:val="00C766DD"/>
    <w:rsid w:val="00CB2568"/>
    <w:rsid w:val="00D11E68"/>
    <w:rsid w:val="00D2490C"/>
    <w:rsid w:val="00D7057A"/>
    <w:rsid w:val="00DF681A"/>
    <w:rsid w:val="00E072AE"/>
    <w:rsid w:val="00E3216D"/>
    <w:rsid w:val="00E55A6F"/>
    <w:rsid w:val="00E57275"/>
    <w:rsid w:val="00E72557"/>
    <w:rsid w:val="00E74AC8"/>
    <w:rsid w:val="00E936A3"/>
    <w:rsid w:val="00E9706F"/>
    <w:rsid w:val="00EB2B3D"/>
    <w:rsid w:val="00F75948"/>
    <w:rsid w:val="00F92C7B"/>
    <w:rsid w:val="00FD3F33"/>
    <w:rsid w:val="00FD4204"/>
    <w:rsid w:val="00FF2F9B"/>
    <w:rsid w:val="02C3C12B"/>
    <w:rsid w:val="02F4D05A"/>
    <w:rsid w:val="051B9A45"/>
    <w:rsid w:val="05DF615A"/>
    <w:rsid w:val="0B8EA9A2"/>
    <w:rsid w:val="1225A94B"/>
    <w:rsid w:val="170E1689"/>
    <w:rsid w:val="182588AE"/>
    <w:rsid w:val="1A4BA577"/>
    <w:rsid w:val="1BC8F1B8"/>
    <w:rsid w:val="1BE37C0C"/>
    <w:rsid w:val="1C13B2B1"/>
    <w:rsid w:val="1CB33FC6"/>
    <w:rsid w:val="1F3E03AA"/>
    <w:rsid w:val="20819D17"/>
    <w:rsid w:val="2299AF23"/>
    <w:rsid w:val="2929433B"/>
    <w:rsid w:val="2A1F11FD"/>
    <w:rsid w:val="2B8BB4B6"/>
    <w:rsid w:val="2EA4B0E6"/>
    <w:rsid w:val="302555B8"/>
    <w:rsid w:val="33D64193"/>
    <w:rsid w:val="343B1674"/>
    <w:rsid w:val="36DAEC2F"/>
    <w:rsid w:val="386BA969"/>
    <w:rsid w:val="3F265D91"/>
    <w:rsid w:val="44E821C6"/>
    <w:rsid w:val="45554C89"/>
    <w:rsid w:val="49C3F575"/>
    <w:rsid w:val="4A504F1A"/>
    <w:rsid w:val="4E0C5A69"/>
    <w:rsid w:val="4E1D75B5"/>
    <w:rsid w:val="522E67A5"/>
    <w:rsid w:val="58477CC9"/>
    <w:rsid w:val="641CDA5F"/>
    <w:rsid w:val="644281AA"/>
    <w:rsid w:val="668BD5A6"/>
    <w:rsid w:val="6D79F6F2"/>
    <w:rsid w:val="6DBE712B"/>
    <w:rsid w:val="6E25A28F"/>
    <w:rsid w:val="72CA039D"/>
    <w:rsid w:val="747B3BAB"/>
    <w:rsid w:val="75B511A8"/>
    <w:rsid w:val="763B271D"/>
    <w:rsid w:val="77530713"/>
    <w:rsid w:val="7A8AC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4A6270"/>
  <w15:chartTrackingRefBased/>
  <w15:docId w15:val="{A0592958-E5CF-411D-ADB6-35077DF6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635"/>
  </w:style>
  <w:style w:type="paragraph" w:styleId="Footer">
    <w:name w:val="footer"/>
    <w:basedOn w:val="Normal"/>
    <w:link w:val="FooterChar"/>
    <w:uiPriority w:val="99"/>
    <w:unhideWhenUsed/>
    <w:rsid w:val="00082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635"/>
  </w:style>
  <w:style w:type="table" w:styleId="TableGrid">
    <w:name w:val="Table Grid"/>
    <w:basedOn w:val="TableNormal"/>
    <w:uiPriority w:val="39"/>
    <w:rsid w:val="00082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0725"/>
    <w:pPr>
      <w:ind w:left="720"/>
      <w:contextualSpacing/>
    </w:pPr>
  </w:style>
  <w:style w:type="paragraph" w:styleId="Revision">
    <w:name w:val="Revision"/>
    <w:hidden/>
    <w:uiPriority w:val="99"/>
    <w:semiHidden/>
    <w:rsid w:val="007455F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92C7B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B24B75"/>
  </w:style>
  <w:style w:type="character" w:customStyle="1" w:styleId="eop">
    <w:name w:val="eop"/>
    <w:basedOn w:val="DefaultParagraphFont"/>
    <w:rsid w:val="00B24B75"/>
  </w:style>
  <w:style w:type="paragraph" w:customStyle="1" w:styleId="paragraph">
    <w:name w:val="paragraph"/>
    <w:basedOn w:val="Normal"/>
    <w:rsid w:val="00B24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xxmsonormal">
    <w:name w:val="xxxmsonormal"/>
    <w:basedOn w:val="Normal"/>
    <w:rsid w:val="005467E7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47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weathelp.org/treatments-hcp/clinical-guidelines/primary-focal-hyperhidrosis/primary-focal-axillary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ks.nice.org.uk/topics/hyperhidrosis/management/managemen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nice.org.uk/guidance/ipg487/chapter/1-Recommendation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7180B59FCBE449E03EB1FD08F5A6A" ma:contentTypeVersion="23" ma:contentTypeDescription="Create a new document." ma:contentTypeScope="" ma:versionID="48d392da81d8762aa77edee72ffe0213">
  <xsd:schema xmlns:xsd="http://www.w3.org/2001/XMLSchema" xmlns:xs="http://www.w3.org/2001/XMLSchema" xmlns:p="http://schemas.microsoft.com/office/2006/metadata/properties" xmlns:ns1="http://schemas.microsoft.com/sharepoint/v3" xmlns:ns2="1365388d-8e0b-4df5-a0a3-cd102b49988e" xmlns:ns3="f6a82410-35a1-48d9-a432-e298e5b95e46" targetNamespace="http://schemas.microsoft.com/office/2006/metadata/properties" ma:root="true" ma:fieldsID="965def166fed93582d57d0e45edce60f" ns1:_="" ns2:_="" ns3:_="">
    <xsd:import namespace="http://schemas.microsoft.com/sharepoint/v3"/>
    <xsd:import namespace="1365388d-8e0b-4df5-a0a3-cd102b49988e"/>
    <xsd:import namespace="f6a82410-35a1-48d9-a432-e298e5b95e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  <xsd:element ref="ns3:Comments" minOccurs="0"/>
                <xsd:element ref="ns3:lcf76f155ced4ddcb4097134ff3c332f" minOccurs="0"/>
                <xsd:element ref="ns2:TaxCatchAll" minOccurs="0"/>
                <xsd:element ref="ns3:InformationAssetOwne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IA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5388d-8e0b-4df5-a0a3-cd102b4998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5315965-592d-4197-93ef-99919b253d80}" ma:internalName="TaxCatchAll" ma:showField="CatchAllData" ma:web="1365388d-8e0b-4df5-a0a3-cd102b4998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82410-35a1-48d9-a432-e298e5b95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omments" ma:index="22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formationAssetOwner" ma:index="26" nillable="true" ma:displayName="Information Asset Owner" ma:format="Dropdown" ma:list="UserInfo" ma:SharePointGroup="0" ma:internalName="InformationAssetOwn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AA" ma:index="30" nillable="true" ma:displayName="IAA" ma:format="Dropdown" ma:list="UserInfo" ma:SharePointGroup="0" ma:internalName="IA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a82410-35a1-48d9-a432-e298e5b95e46">
      <Terms xmlns="http://schemas.microsoft.com/office/infopath/2007/PartnerControls"/>
    </lcf76f155ced4ddcb4097134ff3c332f>
    <TaxCatchAll xmlns="1365388d-8e0b-4df5-a0a3-cd102b49988e" xsi:nil="true"/>
    <_ip_UnifiedCompliancePolicyUIAction xmlns="http://schemas.microsoft.com/sharepoint/v3" xsi:nil="true"/>
    <InformationAssetOwner xmlns="f6a82410-35a1-48d9-a432-e298e5b95e46">
      <UserInfo>
        <DisplayName/>
        <AccountId xsi:nil="true"/>
        <AccountType/>
      </UserInfo>
    </InformationAssetOwner>
    <_ip_UnifiedCompliancePolicyProperties xmlns="http://schemas.microsoft.com/sharepoint/v3" xsi:nil="true"/>
    <Comments xmlns="f6a82410-35a1-48d9-a432-e298e5b95e46" xsi:nil="true"/>
    <IAA xmlns="f6a82410-35a1-48d9-a432-e298e5b95e46">
      <UserInfo>
        <DisplayName/>
        <AccountId xsi:nil="true"/>
        <AccountType/>
      </UserInfo>
    </IAA>
  </documentManagement>
</p:properties>
</file>

<file path=customXml/itemProps1.xml><?xml version="1.0" encoding="utf-8"?>
<ds:datastoreItem xmlns:ds="http://schemas.openxmlformats.org/officeDocument/2006/customXml" ds:itemID="{796607CC-166E-4EC7-B09A-01287445AE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29BFA-44A5-445B-BC63-5C1546860A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65388d-8e0b-4df5-a0a3-cd102b49988e"/>
    <ds:schemaRef ds:uri="f6a82410-35a1-48d9-a432-e298e5b95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DBBECD-3A68-4C9B-A58F-0B6D7B30AB3F}">
  <ds:schemaRefs>
    <ds:schemaRef ds:uri="http://schemas.microsoft.com/office/2006/metadata/properties"/>
    <ds:schemaRef ds:uri="http://schemas.microsoft.com/office/infopath/2007/PartnerControls"/>
    <ds:schemaRef ds:uri="f6a82410-35a1-48d9-a432-e298e5b95e46"/>
    <ds:schemaRef ds:uri="1365388d-8e0b-4df5-a0a3-cd102b49988e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1782</Characters>
  <Application>Microsoft Office Word</Application>
  <DocSecurity>0</DocSecurity>
  <Lines>14</Lines>
  <Paragraphs>4</Paragraphs>
  <ScaleCrop>false</ScaleCrop>
  <Company>North Lincolnshire Council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Ellerton</dc:creator>
  <cp:keywords/>
  <dc:description/>
  <cp:lastModifiedBy>BLACK, Rebecca (NHS HUMBER AND NORTH YORKSHIRE ICB - 02Y)</cp:lastModifiedBy>
  <cp:revision>2</cp:revision>
  <dcterms:created xsi:type="dcterms:W3CDTF">2024-12-31T16:00:00Z</dcterms:created>
  <dcterms:modified xsi:type="dcterms:W3CDTF">2024-12-31T16:00:00Z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0x010100F3E7180B59FCBE449E03EB1FD08F5A6A</vt:lpwstr>
  </property>
  <property fmtid="{D5CDD505-2E9C-101B-9397-08002B2CF9AE}" pid="3" name="MediaServiceImageTags">
    <vt:lpwstr/>
  </property>
</Properties>
</file>