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95"/>
        <w:gridCol w:w="6421"/>
      </w:tblGrid>
      <w:tr w:rsidR="00082635" w14:paraId="0B1125C6" w14:textId="77777777" w:rsidTr="66CBE7D8">
        <w:tc>
          <w:tcPr>
            <w:tcW w:w="2595" w:type="dxa"/>
          </w:tcPr>
          <w:p w14:paraId="0D4A3409" w14:textId="3EA3C901" w:rsidR="00082635" w:rsidRDefault="00C40725">
            <w:bookmarkStart w:id="0" w:name="_Hlk164339182"/>
            <w:r>
              <w:t>Intervention</w:t>
            </w:r>
          </w:p>
        </w:tc>
        <w:tc>
          <w:tcPr>
            <w:tcW w:w="6421" w:type="dxa"/>
          </w:tcPr>
          <w:p w14:paraId="72BB008D" w14:textId="09184DC3" w:rsidR="00F92C7B" w:rsidRPr="00A47E1F" w:rsidRDefault="377E777B" w:rsidP="66CBE7D8">
            <w:pPr>
              <w:pStyle w:val="paragraph"/>
              <w:spacing w:before="0" w:beforeAutospacing="0" w:after="0" w:afterAutospacing="0"/>
              <w:textAlignment w:val="baseline"/>
            </w:pPr>
            <w:r w:rsidRPr="66CBE7D8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078. </w:t>
            </w:r>
            <w:r w:rsidR="550CED2A" w:rsidRPr="66CBE7D8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H</w:t>
            </w:r>
            <w:r w:rsidR="1F449C67" w:rsidRPr="66CBE7D8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ysterectomy for menorrhagia</w:t>
            </w:r>
          </w:p>
        </w:tc>
      </w:tr>
      <w:tr w:rsidR="00082635" w14:paraId="4607A061" w14:textId="77777777" w:rsidTr="66CBE7D8">
        <w:tc>
          <w:tcPr>
            <w:tcW w:w="2595" w:type="dxa"/>
          </w:tcPr>
          <w:p w14:paraId="2BE2DCD8" w14:textId="169702F0" w:rsidR="00082635" w:rsidRDefault="00C40725">
            <w:r>
              <w:t>For the treatment of:</w:t>
            </w:r>
          </w:p>
        </w:tc>
        <w:tc>
          <w:tcPr>
            <w:tcW w:w="6421" w:type="dxa"/>
          </w:tcPr>
          <w:p w14:paraId="393F21FC" w14:textId="2598C00F" w:rsidR="00467760" w:rsidRPr="00A47E1F" w:rsidRDefault="009C908C" w:rsidP="42EEAAF2">
            <w:pPr>
              <w:rPr>
                <w:rStyle w:val="normaltextrun"/>
              </w:rPr>
            </w:pPr>
            <w:r w:rsidRPr="66CBE7D8">
              <w:rPr>
                <w:rStyle w:val="normaltextrun"/>
              </w:rPr>
              <w:t>M</w:t>
            </w:r>
            <w:r w:rsidRPr="66CBE7D8">
              <w:rPr>
                <w:rFonts w:eastAsiaTheme="minorEastAsia"/>
              </w:rPr>
              <w:t>enorrhagia</w:t>
            </w:r>
          </w:p>
        </w:tc>
      </w:tr>
      <w:tr w:rsidR="00082635" w14:paraId="1062A7C2" w14:textId="77777777" w:rsidTr="00A123BC">
        <w:trPr>
          <w:trHeight w:val="2374"/>
        </w:trPr>
        <w:tc>
          <w:tcPr>
            <w:tcW w:w="2595" w:type="dxa"/>
          </w:tcPr>
          <w:p w14:paraId="2DA08F4B" w14:textId="11510286" w:rsidR="00082635" w:rsidRDefault="00C40725">
            <w:r>
              <w:t>Commissioning position</w:t>
            </w:r>
          </w:p>
        </w:tc>
        <w:tc>
          <w:tcPr>
            <w:tcW w:w="6421" w:type="dxa"/>
          </w:tcPr>
          <w:p w14:paraId="264D0938" w14:textId="107C2555" w:rsidR="00F36E9C" w:rsidRDefault="2F2FD73C" w:rsidP="42EEAAF2">
            <w:r>
              <w:t>This intervention</w:t>
            </w:r>
            <w:r w:rsidR="246C98F2">
              <w:t xml:space="preserve"> is commissioned</w:t>
            </w:r>
            <w:r w:rsidR="58E01E7E">
              <w:t xml:space="preserve"> if</w:t>
            </w:r>
            <w:r w:rsidR="246C98F2">
              <w:t>:</w:t>
            </w:r>
          </w:p>
          <w:p w14:paraId="2110A899" w14:textId="4DC3BC25" w:rsidR="00F36E9C" w:rsidRDefault="3412F37F" w:rsidP="00F36E9C">
            <w:pPr>
              <w:pStyle w:val="ListParagraph"/>
              <w:numPr>
                <w:ilvl w:val="0"/>
                <w:numId w:val="21"/>
              </w:numPr>
            </w:pPr>
            <w:r>
              <w:t>o</w:t>
            </w:r>
            <w:r w:rsidR="246C98F2">
              <w:t xml:space="preserve">ther treatment options have failed or </w:t>
            </w:r>
            <w:r w:rsidR="09DEB65E">
              <w:t xml:space="preserve">are </w:t>
            </w:r>
            <w:r w:rsidR="062A203F">
              <w:t>contraindicated</w:t>
            </w:r>
            <w:r w:rsidR="288E6319">
              <w:t xml:space="preserve"> AND</w:t>
            </w:r>
          </w:p>
          <w:p w14:paraId="368F0377" w14:textId="50EDFBAE" w:rsidR="00F36E9C" w:rsidRDefault="522790F1" w:rsidP="00F36E9C">
            <w:pPr>
              <w:pStyle w:val="ListParagraph"/>
              <w:numPr>
                <w:ilvl w:val="0"/>
                <w:numId w:val="21"/>
              </w:numPr>
            </w:pPr>
            <w:r>
              <w:t>t</w:t>
            </w:r>
            <w:r w:rsidR="288E6319">
              <w:t>here is a</w:t>
            </w:r>
            <w:r w:rsidR="246C98F2">
              <w:t xml:space="preserve"> wish for amenorrhoea</w:t>
            </w:r>
            <w:r w:rsidR="2FF0A138">
              <w:t xml:space="preserve"> AND</w:t>
            </w:r>
          </w:p>
          <w:p w14:paraId="6B3B0D74" w14:textId="739584BD" w:rsidR="00F36E9C" w:rsidRDefault="0CD0ED28" w:rsidP="00F36E9C">
            <w:pPr>
              <w:pStyle w:val="ListParagraph"/>
              <w:numPr>
                <w:ilvl w:val="0"/>
                <w:numId w:val="21"/>
              </w:numPr>
            </w:pPr>
            <w:r>
              <w:t>t</w:t>
            </w:r>
            <w:r w:rsidR="246C98F2">
              <w:t>he</w:t>
            </w:r>
            <w:r w:rsidR="1B874FDA">
              <w:t xml:space="preserve"> individual</w:t>
            </w:r>
            <w:r w:rsidR="66A41357">
              <w:t xml:space="preserve"> requests it after being</w:t>
            </w:r>
            <w:r w:rsidR="246C98F2">
              <w:t xml:space="preserve"> fully counselled </w:t>
            </w:r>
            <w:r w:rsidR="4FA2FBBA">
              <w:t>about</w:t>
            </w:r>
            <w:r w:rsidR="246C98F2">
              <w:t xml:space="preserve"> the </w:t>
            </w:r>
            <w:r w:rsidR="1F3F5F11">
              <w:t>related risks AND</w:t>
            </w:r>
          </w:p>
          <w:p w14:paraId="03A5F2DD" w14:textId="341FBAE8" w:rsidR="00F36E9C" w:rsidRPr="00A47E1F" w:rsidRDefault="2FD01F78" w:rsidP="66CBE7D8">
            <w:pPr>
              <w:pStyle w:val="ListParagraph"/>
              <w:numPr>
                <w:ilvl w:val="0"/>
                <w:numId w:val="21"/>
              </w:numPr>
            </w:pPr>
            <w:r>
              <w:t>t</w:t>
            </w:r>
            <w:r w:rsidR="246C98F2">
              <w:t xml:space="preserve">he </w:t>
            </w:r>
            <w:r w:rsidR="59931F78">
              <w:t>individual</w:t>
            </w:r>
            <w:r w:rsidR="246C98F2">
              <w:t xml:space="preserve"> no longer </w:t>
            </w:r>
            <w:r w:rsidR="062A203F">
              <w:t>wish</w:t>
            </w:r>
            <w:r w:rsidR="12C12FC6">
              <w:t>es</w:t>
            </w:r>
            <w:r w:rsidR="246C98F2">
              <w:t xml:space="preserve"> to retain </w:t>
            </w:r>
            <w:r w:rsidR="10850A20">
              <w:t>their</w:t>
            </w:r>
            <w:r w:rsidR="246C98F2">
              <w:t xml:space="preserve"> uterus and </w:t>
            </w:r>
            <w:r w:rsidR="062A203F">
              <w:t>fertility.</w:t>
            </w:r>
          </w:p>
        </w:tc>
      </w:tr>
      <w:tr w:rsidR="00416BEF" w14:paraId="3FEC9845" w14:textId="77777777" w:rsidTr="00A123BC">
        <w:trPr>
          <w:trHeight w:val="3683"/>
        </w:trPr>
        <w:tc>
          <w:tcPr>
            <w:tcW w:w="2595" w:type="dxa"/>
          </w:tcPr>
          <w:p w14:paraId="33CA7C0B" w14:textId="27CBFCBB" w:rsidR="00416BEF" w:rsidRDefault="00416BEF" w:rsidP="00416BEF">
            <w:r>
              <w:t>Summary of Rationale</w:t>
            </w:r>
          </w:p>
        </w:tc>
        <w:tc>
          <w:tcPr>
            <w:tcW w:w="6421" w:type="dxa"/>
          </w:tcPr>
          <w:p w14:paraId="4A47C916" w14:textId="03E57476" w:rsidR="00527042" w:rsidRPr="00A47E1F" w:rsidRDefault="2CD72B90" w:rsidP="66CBE7D8">
            <w:r w:rsidRPr="66CBE7D8">
              <w:t>Hysterectomy should not be used as a first-line treatment for heavy menstrual bleeding</w:t>
            </w:r>
            <w:r w:rsidR="31F05F1C" w:rsidRPr="66CBE7D8">
              <w:t>.</w:t>
            </w:r>
            <w:r w:rsidR="0EA80B2E" w:rsidRPr="66CBE7D8">
              <w:t xml:space="preserve"> </w:t>
            </w:r>
            <w:r w:rsidR="36388AE9" w:rsidRPr="66CBE7D8">
              <w:t xml:space="preserve">Both the immediate and late risks of the operation </w:t>
            </w:r>
            <w:r w:rsidR="3BB73D97" w:rsidRPr="66CBE7D8">
              <w:t xml:space="preserve">must be </w:t>
            </w:r>
            <w:r w:rsidR="36388AE9" w:rsidRPr="66CBE7D8">
              <w:t>discussed, which include effects on sexuality and fertility, bladder function, treatment complications and psychological impact.</w:t>
            </w:r>
            <w:r w:rsidR="01617625" w:rsidRPr="66CBE7D8">
              <w:t xml:space="preserve"> Use of a patient decision support tool is recommended.</w:t>
            </w:r>
          </w:p>
          <w:p w14:paraId="122CD4E8" w14:textId="31C20E1A" w:rsidR="00527042" w:rsidRPr="00A47E1F" w:rsidRDefault="00527042" w:rsidP="66CBE7D8"/>
          <w:p w14:paraId="7A057F2B" w14:textId="534306E1" w:rsidR="00527042" w:rsidRPr="00A47E1F" w:rsidRDefault="01617625" w:rsidP="66CBE7D8">
            <w:r w:rsidRPr="66CBE7D8">
              <w:t>H</w:t>
            </w:r>
            <w:r w:rsidR="0EA80B2E" w:rsidRPr="66CBE7D8">
              <w:t>owever</w:t>
            </w:r>
            <w:r w:rsidR="02F08979" w:rsidRPr="66CBE7D8">
              <w:t>, the</w:t>
            </w:r>
            <w:r w:rsidR="0EA80B2E" w:rsidRPr="66CBE7D8">
              <w:t xml:space="preserve"> NICE and EBI recommendation is that healthcare professionals understand what matters most to each individual and support their personal priorities and choices.</w:t>
            </w:r>
            <w:r w:rsidR="62D07ED0" w:rsidRPr="66CBE7D8">
              <w:t xml:space="preserve"> Similarly, if </w:t>
            </w:r>
            <w:r w:rsidR="7021E70F" w:rsidRPr="66CBE7D8">
              <w:t>deciding</w:t>
            </w:r>
            <w:r w:rsidR="62D07ED0" w:rsidRPr="66CBE7D8">
              <w:t xml:space="preserve"> to undertake hysterectomy, the route</w:t>
            </w:r>
            <w:r w:rsidR="3DFFB262" w:rsidRPr="66CBE7D8">
              <w:t xml:space="preserve"> </w:t>
            </w:r>
            <w:r w:rsidR="62D07ED0" w:rsidRPr="66CBE7D8">
              <w:t>(laparoscopy, laparotomy or vaginal) must be discussed with the woman, and her preferences</w:t>
            </w:r>
            <w:r w:rsidR="3EAFF9D9" w:rsidRPr="66CBE7D8">
              <w:t xml:space="preserve"> </w:t>
            </w:r>
            <w:r w:rsidR="370FA5D4" w:rsidRPr="66CBE7D8">
              <w:t>considered</w:t>
            </w:r>
            <w:r w:rsidR="62D07ED0" w:rsidRPr="66CBE7D8">
              <w:t>.</w:t>
            </w:r>
          </w:p>
        </w:tc>
      </w:tr>
      <w:tr w:rsidR="00416BEF" w14:paraId="7DF6CEF0" w14:textId="77777777" w:rsidTr="66CBE7D8">
        <w:tc>
          <w:tcPr>
            <w:tcW w:w="2595" w:type="dxa"/>
          </w:tcPr>
          <w:p w14:paraId="729A6E73" w14:textId="1FCFD067" w:rsidR="00416BEF" w:rsidRDefault="00416BEF" w:rsidP="00416BEF">
            <w:r>
              <w:t>References</w:t>
            </w:r>
          </w:p>
        </w:tc>
        <w:tc>
          <w:tcPr>
            <w:tcW w:w="6421" w:type="dxa"/>
          </w:tcPr>
          <w:p w14:paraId="20F411F9" w14:textId="5C758C09" w:rsidR="00F36E9C" w:rsidRPr="00F36E9C" w:rsidRDefault="610FD973" w:rsidP="42EEAAF2">
            <w:pPr>
              <w:rPr>
                <w:rFonts w:ascii="Calibri" w:eastAsia="Calibri" w:hAnsi="Calibri" w:cs="Calibri"/>
              </w:rPr>
            </w:pPr>
            <w:hyperlink r:id="rId10">
              <w:r w:rsidRPr="66CBE7D8">
                <w:rPr>
                  <w:rStyle w:val="Hyperlink"/>
                  <w:rFonts w:ascii="Calibri" w:eastAsia="Calibri" w:hAnsi="Calibri" w:cs="Calibri"/>
                </w:rPr>
                <w:t>EBI Hysterectomy for heavy menstrual bleeding (AOMRC)</w:t>
              </w:r>
            </w:hyperlink>
          </w:p>
          <w:p w14:paraId="2EA085D0" w14:textId="4AF06D9D" w:rsidR="00F36E9C" w:rsidRPr="00F36E9C" w:rsidRDefault="41502F20" w:rsidP="66CBE7D8">
            <w:pPr>
              <w:rPr>
                <w:rFonts w:ascii="Calibri" w:eastAsia="Calibri" w:hAnsi="Calibri" w:cs="Calibri"/>
              </w:rPr>
            </w:pPr>
            <w:hyperlink r:id="rId11">
              <w:r w:rsidRPr="66CBE7D8">
                <w:rPr>
                  <w:rStyle w:val="Hyperlink"/>
                  <w:rFonts w:ascii="Calibri" w:eastAsia="Calibri" w:hAnsi="Calibri" w:cs="Calibri"/>
                </w:rPr>
                <w:t>NG 88 Heavy menstrual bleeding: assessment and management (NICE)</w:t>
              </w:r>
            </w:hyperlink>
          </w:p>
          <w:p w14:paraId="298C1462" w14:textId="78935A48" w:rsidR="00F36E9C" w:rsidRPr="00F36E9C" w:rsidRDefault="74E46EF0" w:rsidP="42EEAAF2">
            <w:pPr>
              <w:rPr>
                <w:rFonts w:ascii="Calibri" w:eastAsia="Calibri" w:hAnsi="Calibri" w:cs="Calibri"/>
              </w:rPr>
            </w:pPr>
            <w:hyperlink r:id="rId12">
              <w:r w:rsidRPr="66CBE7D8">
                <w:rPr>
                  <w:rStyle w:val="Hyperlink"/>
                  <w:rFonts w:ascii="Calibri" w:eastAsia="Calibri" w:hAnsi="Calibri" w:cs="Calibri"/>
                </w:rPr>
                <w:t>Patient Decision Support Tool - Treatments for heavy periods (NHSE)</w:t>
              </w:r>
            </w:hyperlink>
          </w:p>
        </w:tc>
      </w:tr>
      <w:tr w:rsidR="00416BEF" w14:paraId="7E9E8A9A" w14:textId="77777777" w:rsidTr="66CBE7D8">
        <w:tc>
          <w:tcPr>
            <w:tcW w:w="2595" w:type="dxa"/>
          </w:tcPr>
          <w:p w14:paraId="006DB724" w14:textId="5352A3C8" w:rsidR="00416BEF" w:rsidRDefault="00416BEF" w:rsidP="00416BEF">
            <w:r>
              <w:t>Effective from:</w:t>
            </w:r>
          </w:p>
        </w:tc>
        <w:tc>
          <w:tcPr>
            <w:tcW w:w="6421" w:type="dxa"/>
          </w:tcPr>
          <w:p w14:paraId="0C178D90" w14:textId="5FC4C456" w:rsidR="00416BEF" w:rsidRPr="00A47E1F" w:rsidRDefault="00F36E9C" w:rsidP="00416BEF">
            <w:r>
              <w:t>January 2025</w:t>
            </w:r>
          </w:p>
        </w:tc>
      </w:tr>
      <w:tr w:rsidR="00416BEF" w14:paraId="11AB6822" w14:textId="77777777" w:rsidTr="66CBE7D8">
        <w:tc>
          <w:tcPr>
            <w:tcW w:w="2595" w:type="dxa"/>
          </w:tcPr>
          <w:p w14:paraId="2338319E" w14:textId="1049B664" w:rsidR="00416BEF" w:rsidRDefault="00416BEF" w:rsidP="00416BEF">
            <w:r>
              <w:t>Policy Review Date</w:t>
            </w:r>
          </w:p>
        </w:tc>
        <w:tc>
          <w:tcPr>
            <w:tcW w:w="6421" w:type="dxa"/>
          </w:tcPr>
          <w:p w14:paraId="3DD4396A" w14:textId="00166FD8" w:rsidR="00416BEF" w:rsidRPr="00A47E1F" w:rsidRDefault="00F36E9C" w:rsidP="00416BEF">
            <w:r>
              <w:t>January 2028</w:t>
            </w:r>
          </w:p>
        </w:tc>
      </w:tr>
      <w:bookmarkEnd w:id="0"/>
    </w:tbl>
    <w:p w14:paraId="0ED5111D" w14:textId="77777777" w:rsidR="00F92C7B" w:rsidRDefault="00F92C7B" w:rsidP="00E55A6F"/>
    <w:sectPr w:rsidR="00F92C7B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45B3A" w14:textId="77777777" w:rsidR="0071041E" w:rsidRDefault="0071041E" w:rsidP="00082635">
      <w:pPr>
        <w:spacing w:after="0" w:line="240" w:lineRule="auto"/>
      </w:pPr>
      <w:r>
        <w:separator/>
      </w:r>
    </w:p>
  </w:endnote>
  <w:endnote w:type="continuationSeparator" w:id="0">
    <w:p w14:paraId="19B8018B" w14:textId="77777777" w:rsidR="0071041E" w:rsidRDefault="0071041E" w:rsidP="00082635">
      <w:pPr>
        <w:spacing w:after="0" w:line="240" w:lineRule="auto"/>
      </w:pPr>
      <w:r>
        <w:continuationSeparator/>
      </w:r>
    </w:p>
  </w:endnote>
  <w:endnote w:type="continuationNotice" w:id="1">
    <w:p w14:paraId="38F37DE4" w14:textId="77777777" w:rsidR="0071041E" w:rsidRDefault="00710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555B8" w14:paraId="008DF30D" w14:textId="77777777" w:rsidTr="302555B8">
      <w:trPr>
        <w:trHeight w:val="300"/>
      </w:trPr>
      <w:tc>
        <w:tcPr>
          <w:tcW w:w="3005" w:type="dxa"/>
        </w:tcPr>
        <w:p w14:paraId="5057A052" w14:textId="400FA522" w:rsidR="302555B8" w:rsidRDefault="302555B8" w:rsidP="302555B8">
          <w:pPr>
            <w:pStyle w:val="Header"/>
            <w:ind w:left="-115"/>
          </w:pPr>
        </w:p>
      </w:tc>
      <w:tc>
        <w:tcPr>
          <w:tcW w:w="3005" w:type="dxa"/>
        </w:tcPr>
        <w:p w14:paraId="604CA60C" w14:textId="1B74C0BB" w:rsidR="302555B8" w:rsidRDefault="302555B8" w:rsidP="302555B8">
          <w:pPr>
            <w:pStyle w:val="Header"/>
            <w:jc w:val="center"/>
          </w:pPr>
        </w:p>
      </w:tc>
      <w:tc>
        <w:tcPr>
          <w:tcW w:w="3005" w:type="dxa"/>
        </w:tcPr>
        <w:p w14:paraId="7AAAB3A4" w14:textId="7221A976" w:rsidR="302555B8" w:rsidRDefault="302555B8" w:rsidP="302555B8">
          <w:pPr>
            <w:pStyle w:val="Header"/>
            <w:ind w:right="-115"/>
            <w:jc w:val="right"/>
          </w:pPr>
        </w:p>
      </w:tc>
    </w:tr>
  </w:tbl>
  <w:p w14:paraId="5AF8AE40" w14:textId="735DEB3D" w:rsidR="302555B8" w:rsidRDefault="302555B8" w:rsidP="3025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87360" w14:textId="77777777" w:rsidR="0071041E" w:rsidRDefault="0071041E" w:rsidP="00082635">
      <w:pPr>
        <w:spacing w:after="0" w:line="240" w:lineRule="auto"/>
      </w:pPr>
      <w:r>
        <w:separator/>
      </w:r>
    </w:p>
  </w:footnote>
  <w:footnote w:type="continuationSeparator" w:id="0">
    <w:p w14:paraId="35360C90" w14:textId="77777777" w:rsidR="0071041E" w:rsidRDefault="0071041E" w:rsidP="00082635">
      <w:pPr>
        <w:spacing w:after="0" w:line="240" w:lineRule="auto"/>
      </w:pPr>
      <w:r>
        <w:continuationSeparator/>
      </w:r>
    </w:p>
  </w:footnote>
  <w:footnote w:type="continuationNotice" w:id="1">
    <w:p w14:paraId="31EF917A" w14:textId="77777777" w:rsidR="0071041E" w:rsidRDefault="007104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4E1"/>
    <w:multiLevelType w:val="hybridMultilevel"/>
    <w:tmpl w:val="D324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526B"/>
    <w:multiLevelType w:val="hybridMultilevel"/>
    <w:tmpl w:val="326E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3F80"/>
    <w:multiLevelType w:val="hybridMultilevel"/>
    <w:tmpl w:val="967C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08AE"/>
    <w:multiLevelType w:val="multilevel"/>
    <w:tmpl w:val="470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C311A"/>
    <w:multiLevelType w:val="multilevel"/>
    <w:tmpl w:val="5582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F217F"/>
    <w:multiLevelType w:val="hybridMultilevel"/>
    <w:tmpl w:val="98D4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7788C"/>
    <w:multiLevelType w:val="hybridMultilevel"/>
    <w:tmpl w:val="DEE8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91C58"/>
    <w:multiLevelType w:val="hybridMultilevel"/>
    <w:tmpl w:val="1E1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B2C80"/>
    <w:multiLevelType w:val="hybridMultilevel"/>
    <w:tmpl w:val="D1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977FB"/>
    <w:multiLevelType w:val="hybridMultilevel"/>
    <w:tmpl w:val="56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D0EC0"/>
    <w:multiLevelType w:val="multilevel"/>
    <w:tmpl w:val="FB8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75652E"/>
    <w:multiLevelType w:val="hybridMultilevel"/>
    <w:tmpl w:val="DF4A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B24BC"/>
    <w:multiLevelType w:val="hybridMultilevel"/>
    <w:tmpl w:val="E2B8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42381"/>
    <w:multiLevelType w:val="multilevel"/>
    <w:tmpl w:val="8E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E3E29"/>
    <w:multiLevelType w:val="multilevel"/>
    <w:tmpl w:val="D62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7415E9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561130"/>
    <w:multiLevelType w:val="hybridMultilevel"/>
    <w:tmpl w:val="21A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60611"/>
    <w:multiLevelType w:val="multilevel"/>
    <w:tmpl w:val="F36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8356401">
    <w:abstractNumId w:val="7"/>
  </w:num>
  <w:num w:numId="2" w16cid:durableId="1193499217">
    <w:abstractNumId w:val="2"/>
  </w:num>
  <w:num w:numId="3" w16cid:durableId="1481119074">
    <w:abstractNumId w:val="3"/>
  </w:num>
  <w:num w:numId="4" w16cid:durableId="1585725535">
    <w:abstractNumId w:val="17"/>
  </w:num>
  <w:num w:numId="5" w16cid:durableId="602492333">
    <w:abstractNumId w:val="19"/>
  </w:num>
  <w:num w:numId="6" w16cid:durableId="1210337628">
    <w:abstractNumId w:val="13"/>
  </w:num>
  <w:num w:numId="7" w16cid:durableId="766192865">
    <w:abstractNumId w:val="15"/>
  </w:num>
  <w:num w:numId="8" w16cid:durableId="894510114">
    <w:abstractNumId w:val="20"/>
  </w:num>
  <w:num w:numId="9" w16cid:durableId="1426196454">
    <w:abstractNumId w:val="5"/>
  </w:num>
  <w:num w:numId="10" w16cid:durableId="658578550">
    <w:abstractNumId w:val="18"/>
  </w:num>
  <w:num w:numId="11" w16cid:durableId="1933128075">
    <w:abstractNumId w:val="16"/>
  </w:num>
  <w:num w:numId="12" w16cid:durableId="816608577">
    <w:abstractNumId w:val="0"/>
  </w:num>
  <w:num w:numId="13" w16cid:durableId="1569463882">
    <w:abstractNumId w:val="10"/>
  </w:num>
  <w:num w:numId="14" w16cid:durableId="201282633">
    <w:abstractNumId w:val="11"/>
  </w:num>
  <w:num w:numId="15" w16cid:durableId="1786925749">
    <w:abstractNumId w:val="21"/>
  </w:num>
  <w:num w:numId="16" w16cid:durableId="658577614">
    <w:abstractNumId w:val="6"/>
  </w:num>
  <w:num w:numId="17" w16cid:durableId="1477382413">
    <w:abstractNumId w:val="12"/>
  </w:num>
  <w:num w:numId="18" w16cid:durableId="1863662864">
    <w:abstractNumId w:val="14"/>
  </w:num>
  <w:num w:numId="19" w16cid:durableId="172886607">
    <w:abstractNumId w:val="9"/>
  </w:num>
  <w:num w:numId="20" w16cid:durableId="1447890411">
    <w:abstractNumId w:val="4"/>
  </w:num>
  <w:num w:numId="21" w16cid:durableId="734741189">
    <w:abstractNumId w:val="8"/>
  </w:num>
  <w:num w:numId="22" w16cid:durableId="142915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13EBB"/>
    <w:rsid w:val="00082635"/>
    <w:rsid w:val="000840EF"/>
    <w:rsid w:val="00167D81"/>
    <w:rsid w:val="0017557B"/>
    <w:rsid w:val="00222A0D"/>
    <w:rsid w:val="00230855"/>
    <w:rsid w:val="002466B7"/>
    <w:rsid w:val="00287A90"/>
    <w:rsid w:val="002A2664"/>
    <w:rsid w:val="002F5A6D"/>
    <w:rsid w:val="003174C9"/>
    <w:rsid w:val="00376614"/>
    <w:rsid w:val="003C012D"/>
    <w:rsid w:val="003D1E17"/>
    <w:rsid w:val="003D61D1"/>
    <w:rsid w:val="003D7C85"/>
    <w:rsid w:val="003F5EDE"/>
    <w:rsid w:val="00416BEF"/>
    <w:rsid w:val="00467760"/>
    <w:rsid w:val="00481A0E"/>
    <w:rsid w:val="00504D10"/>
    <w:rsid w:val="00527042"/>
    <w:rsid w:val="005467E7"/>
    <w:rsid w:val="005653F2"/>
    <w:rsid w:val="00581112"/>
    <w:rsid w:val="00585C42"/>
    <w:rsid w:val="00632439"/>
    <w:rsid w:val="006359C8"/>
    <w:rsid w:val="0066D150"/>
    <w:rsid w:val="00680B55"/>
    <w:rsid w:val="006D25B2"/>
    <w:rsid w:val="00707108"/>
    <w:rsid w:val="0071041E"/>
    <w:rsid w:val="00743853"/>
    <w:rsid w:val="007455F9"/>
    <w:rsid w:val="00766477"/>
    <w:rsid w:val="00794295"/>
    <w:rsid w:val="007C7F99"/>
    <w:rsid w:val="00800C79"/>
    <w:rsid w:val="008246DA"/>
    <w:rsid w:val="00865CD1"/>
    <w:rsid w:val="00876054"/>
    <w:rsid w:val="008B221A"/>
    <w:rsid w:val="008E3D3C"/>
    <w:rsid w:val="00963904"/>
    <w:rsid w:val="0099246C"/>
    <w:rsid w:val="0099416C"/>
    <w:rsid w:val="009A3ABD"/>
    <w:rsid w:val="009C4D5F"/>
    <w:rsid w:val="009C908C"/>
    <w:rsid w:val="009E4D1D"/>
    <w:rsid w:val="00A123BC"/>
    <w:rsid w:val="00A27FC5"/>
    <w:rsid w:val="00A47E1F"/>
    <w:rsid w:val="00A62119"/>
    <w:rsid w:val="00A64BC4"/>
    <w:rsid w:val="00A66546"/>
    <w:rsid w:val="00AA65AF"/>
    <w:rsid w:val="00AC1A0A"/>
    <w:rsid w:val="00B24B75"/>
    <w:rsid w:val="00B35D62"/>
    <w:rsid w:val="00B44AB6"/>
    <w:rsid w:val="00B466BB"/>
    <w:rsid w:val="00B61664"/>
    <w:rsid w:val="00BC0857"/>
    <w:rsid w:val="00BC6294"/>
    <w:rsid w:val="00C03C24"/>
    <w:rsid w:val="00C316D4"/>
    <w:rsid w:val="00C40725"/>
    <w:rsid w:val="00C640A9"/>
    <w:rsid w:val="00C707E4"/>
    <w:rsid w:val="00C766DD"/>
    <w:rsid w:val="00CB2568"/>
    <w:rsid w:val="00D11E68"/>
    <w:rsid w:val="00D2490C"/>
    <w:rsid w:val="00D7057A"/>
    <w:rsid w:val="00DF681A"/>
    <w:rsid w:val="00E072AE"/>
    <w:rsid w:val="00E3216D"/>
    <w:rsid w:val="00E34384"/>
    <w:rsid w:val="00E55A6F"/>
    <w:rsid w:val="00E57275"/>
    <w:rsid w:val="00E72557"/>
    <w:rsid w:val="00E74AC8"/>
    <w:rsid w:val="00E9134B"/>
    <w:rsid w:val="00E936A3"/>
    <w:rsid w:val="00E9706F"/>
    <w:rsid w:val="00EB2B3D"/>
    <w:rsid w:val="00F36E9C"/>
    <w:rsid w:val="00F75948"/>
    <w:rsid w:val="00F92C7B"/>
    <w:rsid w:val="00FB4D2C"/>
    <w:rsid w:val="00FF2F9B"/>
    <w:rsid w:val="01617625"/>
    <w:rsid w:val="02F08979"/>
    <w:rsid w:val="062A203F"/>
    <w:rsid w:val="09DEB65E"/>
    <w:rsid w:val="0CD0ED28"/>
    <w:rsid w:val="0EA80B2E"/>
    <w:rsid w:val="0F2E2981"/>
    <w:rsid w:val="0FCF7D61"/>
    <w:rsid w:val="10850A20"/>
    <w:rsid w:val="125305AD"/>
    <w:rsid w:val="12C12FC6"/>
    <w:rsid w:val="17931422"/>
    <w:rsid w:val="18B89DA1"/>
    <w:rsid w:val="19D49917"/>
    <w:rsid w:val="1A20A731"/>
    <w:rsid w:val="1B874FDA"/>
    <w:rsid w:val="1BE37C0C"/>
    <w:rsid w:val="1F3F5F11"/>
    <w:rsid w:val="1F449C67"/>
    <w:rsid w:val="1FBE7A4F"/>
    <w:rsid w:val="208F133B"/>
    <w:rsid w:val="2235366C"/>
    <w:rsid w:val="246C98F2"/>
    <w:rsid w:val="26AC9167"/>
    <w:rsid w:val="27005142"/>
    <w:rsid w:val="27E39C0B"/>
    <w:rsid w:val="28580D84"/>
    <w:rsid w:val="288E6319"/>
    <w:rsid w:val="297A953E"/>
    <w:rsid w:val="29E24C79"/>
    <w:rsid w:val="2A52D3E4"/>
    <w:rsid w:val="2CD72B90"/>
    <w:rsid w:val="2F2FD73C"/>
    <w:rsid w:val="2FD01F78"/>
    <w:rsid w:val="2FF0A138"/>
    <w:rsid w:val="302555B8"/>
    <w:rsid w:val="31F05F1C"/>
    <w:rsid w:val="3412F37F"/>
    <w:rsid w:val="35DF7475"/>
    <w:rsid w:val="36388AE9"/>
    <w:rsid w:val="3705E851"/>
    <w:rsid w:val="370FA5D4"/>
    <w:rsid w:val="37412382"/>
    <w:rsid w:val="377E777B"/>
    <w:rsid w:val="37EDE55D"/>
    <w:rsid w:val="3BB73D97"/>
    <w:rsid w:val="3C8DE0CC"/>
    <w:rsid w:val="3DFFB262"/>
    <w:rsid w:val="3EAFF9D9"/>
    <w:rsid w:val="41502F20"/>
    <w:rsid w:val="42EEAAF2"/>
    <w:rsid w:val="43528F9A"/>
    <w:rsid w:val="44D67CF7"/>
    <w:rsid w:val="4555F93D"/>
    <w:rsid w:val="46E7C2CE"/>
    <w:rsid w:val="4731B7AC"/>
    <w:rsid w:val="4AAC305E"/>
    <w:rsid w:val="4B4D9444"/>
    <w:rsid w:val="4DEFD6F8"/>
    <w:rsid w:val="4E0C5A69"/>
    <w:rsid w:val="4E1D75B5"/>
    <w:rsid w:val="4E72F38C"/>
    <w:rsid w:val="4FA2FBBA"/>
    <w:rsid w:val="50C472D2"/>
    <w:rsid w:val="5168E75B"/>
    <w:rsid w:val="522790F1"/>
    <w:rsid w:val="53B93E78"/>
    <w:rsid w:val="550CED2A"/>
    <w:rsid w:val="553EE365"/>
    <w:rsid w:val="570D010F"/>
    <w:rsid w:val="58477CC9"/>
    <w:rsid w:val="58C97F1B"/>
    <w:rsid w:val="58E01E7E"/>
    <w:rsid w:val="59931F78"/>
    <w:rsid w:val="5E43B175"/>
    <w:rsid w:val="610FD973"/>
    <w:rsid w:val="62616A35"/>
    <w:rsid w:val="62D07ED0"/>
    <w:rsid w:val="662BB571"/>
    <w:rsid w:val="667746BE"/>
    <w:rsid w:val="66A41357"/>
    <w:rsid w:val="66CBE7D8"/>
    <w:rsid w:val="67B885CE"/>
    <w:rsid w:val="6B66C7CB"/>
    <w:rsid w:val="6BE395C8"/>
    <w:rsid w:val="6CC3CACF"/>
    <w:rsid w:val="7021E70F"/>
    <w:rsid w:val="7119E523"/>
    <w:rsid w:val="720C43F3"/>
    <w:rsid w:val="7253E47D"/>
    <w:rsid w:val="74E46EF0"/>
    <w:rsid w:val="7817DCF5"/>
    <w:rsid w:val="78228740"/>
    <w:rsid w:val="79A21B44"/>
    <w:rsid w:val="7EC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A0592958-E5CF-411D-ADB6-35077DF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24B75"/>
  </w:style>
  <w:style w:type="character" w:customStyle="1" w:styleId="eop">
    <w:name w:val="eop"/>
    <w:basedOn w:val="DefaultParagraphFont"/>
    <w:rsid w:val="00B24B75"/>
  </w:style>
  <w:style w:type="paragraph" w:customStyle="1" w:styleId="paragraph">
    <w:name w:val="paragraph"/>
    <w:basedOn w:val="Normal"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msonormal">
    <w:name w:val="xxxmsonormal"/>
    <w:basedOn w:val="Normal"/>
    <w:rsid w:val="005467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.nhs.uk/wp-content/uploads/2023/11/PRN00250-dst-making-a-decision-about-heavy-preiod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ng8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bi.aomrc.org.uk/interventions/hysterectomy-for-heavy-menstrual-bleed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82410-35a1-48d9-a432-e298e5b95e46">
      <Terms xmlns="http://schemas.microsoft.com/office/infopath/2007/PartnerControls"/>
    </lcf76f155ced4ddcb4097134ff3c332f>
    <TaxCatchAll xmlns="1365388d-8e0b-4df5-a0a3-cd102b49988e" xsi:nil="true"/>
    <_ip_UnifiedCompliancePolicyUIAction xmlns="http://schemas.microsoft.com/sharepoint/v3" xsi:nil="true"/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Comments xmlns="f6a82410-35a1-48d9-a432-e298e5b95e46" xsi:nil="true"/>
    <IAA xmlns="f6a82410-35a1-48d9-a432-e298e5b95e46">
      <UserInfo>
        <DisplayName/>
        <AccountId xsi:nil="true"/>
        <AccountType/>
      </UserInfo>
    </I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3" ma:contentTypeDescription="Create a new document." ma:contentTypeScope="" ma:versionID="48d392da81d8762aa77edee72ffe0213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965def166fed93582d57d0e45edce60f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I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AA" ma:index="30" nillable="true" ma:displayName="IAA" ma:format="Dropdown" ma:list="UserInfo" ma:SharePointGroup="0" ma:internalName="IA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BBECD-3A68-4C9B-A58F-0B6D7B30AB3F}">
  <ds:schemaRefs>
    <ds:schemaRef ds:uri="http://schemas.microsoft.com/office/2006/metadata/properties"/>
    <ds:schemaRef ds:uri="http://schemas.microsoft.com/office/infopath/2007/PartnerControls"/>
    <ds:schemaRef ds:uri="f6a82410-35a1-48d9-a432-e298e5b95e46"/>
    <ds:schemaRef ds:uri="1365388d-8e0b-4df5-a0a3-cd102b49988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33BA2C-0BAA-4269-BDEF-FD08E497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65388d-8e0b-4df5-a0a3-cd102b49988e"/>
    <ds:schemaRef ds:uri="f6a82410-35a1-48d9-a432-e298e5b95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North Lincolnshire Council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BLACK, Rebecca (NHS HUMBER AND NORTH YORKSHIRE ICB - 02Y)</cp:lastModifiedBy>
  <cp:revision>2</cp:revision>
  <dcterms:created xsi:type="dcterms:W3CDTF">2024-12-31T16:07:00Z</dcterms:created>
  <dcterms:modified xsi:type="dcterms:W3CDTF">2024-12-31T16:07:00Z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  <property fmtid="{D5CDD505-2E9C-101B-9397-08002B2CF9AE}" pid="3" name="MediaServiceImageTags">
    <vt:lpwstr/>
  </property>
</Properties>
</file>