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ACA3" w14:textId="41208990" w:rsidR="001B0BFE" w:rsidRDefault="001B0BFE">
      <w:pPr>
        <w:pStyle w:val="BodyText"/>
        <w:rPr>
          <w:rFonts w:ascii="Times New Roman"/>
          <w:sz w:val="20"/>
        </w:rPr>
      </w:pPr>
    </w:p>
    <w:p w14:paraId="1CF40D73" w14:textId="77777777" w:rsidR="001B0BFE" w:rsidRDefault="001B0BFE">
      <w:pPr>
        <w:pStyle w:val="BodyText"/>
        <w:rPr>
          <w:b/>
          <w:sz w:val="26"/>
        </w:rPr>
      </w:pPr>
    </w:p>
    <w:p w14:paraId="59B4B61D" w14:textId="77777777" w:rsidR="001B0BFE" w:rsidRDefault="001B0BFE">
      <w:pPr>
        <w:pStyle w:val="BodyText"/>
        <w:rPr>
          <w:b/>
          <w:sz w:val="26"/>
        </w:rPr>
      </w:pPr>
    </w:p>
    <w:p w14:paraId="04BB5F5D" w14:textId="77777777" w:rsidR="001B0BFE" w:rsidRDefault="001B0BFE">
      <w:pPr>
        <w:pStyle w:val="BodyText"/>
        <w:rPr>
          <w:b/>
          <w:sz w:val="26"/>
        </w:rPr>
      </w:pPr>
    </w:p>
    <w:p w14:paraId="23462AAF" w14:textId="77777777" w:rsidR="001B0BFE" w:rsidRDefault="001B0BFE">
      <w:pPr>
        <w:pStyle w:val="BodyText"/>
        <w:spacing w:before="8"/>
        <w:rPr>
          <w:b/>
          <w:sz w:val="31"/>
        </w:rPr>
      </w:pPr>
    </w:p>
    <w:p w14:paraId="55E04261" w14:textId="79543A67" w:rsidR="001B0BFE" w:rsidRDefault="00270628">
      <w:pPr>
        <w:spacing w:before="1"/>
        <w:ind w:left="124" w:right="87"/>
        <w:jc w:val="center"/>
        <w:rPr>
          <w:b/>
          <w:sz w:val="48"/>
        </w:rPr>
      </w:pPr>
      <w:r>
        <w:rPr>
          <w:b/>
          <w:sz w:val="48"/>
        </w:rPr>
        <w:t xml:space="preserve">Procurement </w:t>
      </w:r>
      <w:r w:rsidR="00EC709A">
        <w:rPr>
          <w:b/>
          <w:sz w:val="48"/>
        </w:rPr>
        <w:t>Policy</w:t>
      </w:r>
    </w:p>
    <w:p w14:paraId="5EF0232B" w14:textId="77777777" w:rsidR="001B0BFE" w:rsidRDefault="001B0BFE">
      <w:pPr>
        <w:pStyle w:val="BodyText"/>
        <w:rPr>
          <w:b/>
          <w:sz w:val="22"/>
        </w:rPr>
      </w:pPr>
    </w:p>
    <w:p w14:paraId="3D820083" w14:textId="77777777" w:rsidR="001B0BFE" w:rsidRDefault="001B0BFE">
      <w:pPr>
        <w:pStyle w:val="BodyText"/>
        <w:rPr>
          <w:b/>
          <w:sz w:val="22"/>
        </w:rPr>
      </w:pPr>
    </w:p>
    <w:p w14:paraId="3F5A7DE7" w14:textId="74658153" w:rsidR="001B0BFE" w:rsidRDefault="00F830BB">
      <w:pPr>
        <w:spacing w:before="169"/>
        <w:ind w:left="124" w:right="87"/>
        <w:jc w:val="center"/>
        <w:rPr>
          <w:b/>
          <w:sz w:val="36"/>
        </w:rPr>
      </w:pPr>
      <w:r>
        <w:rPr>
          <w:b/>
          <w:sz w:val="36"/>
        </w:rPr>
        <w:t>February 2025</w:t>
      </w:r>
    </w:p>
    <w:p w14:paraId="1EB7A1C1" w14:textId="77777777" w:rsidR="001B0BFE" w:rsidRDefault="001B0BFE">
      <w:pPr>
        <w:pStyle w:val="BodyText"/>
        <w:rPr>
          <w:sz w:val="20"/>
        </w:rPr>
      </w:pPr>
    </w:p>
    <w:p w14:paraId="05C53B17" w14:textId="77777777" w:rsidR="001B0BFE" w:rsidRDefault="001B0BFE">
      <w:pPr>
        <w:pStyle w:val="BodyText"/>
        <w:spacing w:before="11"/>
        <w:rPr>
          <w:sz w:val="27"/>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9"/>
        <w:gridCol w:w="5468"/>
      </w:tblGrid>
      <w:tr w:rsidR="001B0BFE" w14:paraId="54254513" w14:textId="77777777">
        <w:trPr>
          <w:trHeight w:val="414"/>
        </w:trPr>
        <w:tc>
          <w:tcPr>
            <w:tcW w:w="4119" w:type="dxa"/>
            <w:shd w:val="clear" w:color="auto" w:fill="B8CCE3"/>
          </w:tcPr>
          <w:p w14:paraId="7A7889E3" w14:textId="77777777" w:rsidR="001B0BFE" w:rsidRDefault="00EC709A">
            <w:pPr>
              <w:pStyle w:val="TableParagraph"/>
              <w:ind w:left="107"/>
              <w:rPr>
                <w:b/>
                <w:sz w:val="24"/>
              </w:rPr>
            </w:pPr>
            <w:r>
              <w:rPr>
                <w:b/>
                <w:sz w:val="24"/>
              </w:rPr>
              <w:t>Authorship:</w:t>
            </w:r>
          </w:p>
        </w:tc>
        <w:tc>
          <w:tcPr>
            <w:tcW w:w="5468" w:type="dxa"/>
            <w:shd w:val="clear" w:color="auto" w:fill="B8CCE3"/>
          </w:tcPr>
          <w:p w14:paraId="7D4ED3EE" w14:textId="2F19F607" w:rsidR="001B0BFE" w:rsidRDefault="001819E3">
            <w:pPr>
              <w:pStyle w:val="TableParagraph"/>
              <w:ind w:left="107"/>
              <w:rPr>
                <w:sz w:val="24"/>
              </w:rPr>
            </w:pPr>
            <w:r>
              <w:rPr>
                <w:sz w:val="24"/>
              </w:rPr>
              <w:t>Finance Directorate</w:t>
            </w:r>
          </w:p>
        </w:tc>
      </w:tr>
      <w:tr w:rsidR="001B0BFE" w14:paraId="2E046BBF" w14:textId="77777777">
        <w:trPr>
          <w:trHeight w:val="412"/>
        </w:trPr>
        <w:tc>
          <w:tcPr>
            <w:tcW w:w="4119" w:type="dxa"/>
            <w:shd w:val="clear" w:color="auto" w:fill="DBE4F0"/>
          </w:tcPr>
          <w:p w14:paraId="34D7CE3B" w14:textId="77777777" w:rsidR="001B0BFE" w:rsidRDefault="00EC709A">
            <w:pPr>
              <w:pStyle w:val="TableParagraph"/>
              <w:ind w:left="107"/>
              <w:rPr>
                <w:b/>
                <w:sz w:val="24"/>
              </w:rPr>
            </w:pPr>
            <w:r>
              <w:rPr>
                <w:b/>
                <w:sz w:val="24"/>
              </w:rPr>
              <w:t>Committee Approved:</w:t>
            </w:r>
          </w:p>
        </w:tc>
        <w:tc>
          <w:tcPr>
            <w:tcW w:w="5468" w:type="dxa"/>
            <w:shd w:val="clear" w:color="auto" w:fill="DBE4F0"/>
          </w:tcPr>
          <w:p w14:paraId="560F8F97" w14:textId="7C510515" w:rsidR="001B0BFE" w:rsidRPr="00FC7CC7" w:rsidRDefault="00F830BB">
            <w:pPr>
              <w:pStyle w:val="TableParagraph"/>
              <w:ind w:left="107"/>
              <w:rPr>
                <w:sz w:val="24"/>
              </w:rPr>
            </w:pPr>
            <w:r>
              <w:rPr>
                <w:sz w:val="24"/>
              </w:rPr>
              <w:t>Finance, Performance and Delivery Committee</w:t>
            </w:r>
          </w:p>
        </w:tc>
      </w:tr>
      <w:tr w:rsidR="001B0BFE" w14:paraId="1DEC4AE2" w14:textId="77777777">
        <w:trPr>
          <w:trHeight w:val="414"/>
        </w:trPr>
        <w:tc>
          <w:tcPr>
            <w:tcW w:w="4119" w:type="dxa"/>
            <w:shd w:val="clear" w:color="auto" w:fill="B8CCE3"/>
          </w:tcPr>
          <w:p w14:paraId="7AA65AB2" w14:textId="77777777" w:rsidR="001B0BFE" w:rsidRDefault="00EC709A">
            <w:pPr>
              <w:pStyle w:val="TableParagraph"/>
              <w:spacing w:before="2"/>
              <w:ind w:left="107"/>
              <w:rPr>
                <w:b/>
                <w:sz w:val="24"/>
              </w:rPr>
            </w:pPr>
            <w:r>
              <w:rPr>
                <w:b/>
                <w:sz w:val="24"/>
              </w:rPr>
              <w:t>Approved date:</w:t>
            </w:r>
          </w:p>
        </w:tc>
        <w:tc>
          <w:tcPr>
            <w:tcW w:w="5468" w:type="dxa"/>
            <w:shd w:val="clear" w:color="auto" w:fill="B8CCE3"/>
          </w:tcPr>
          <w:p w14:paraId="5AF25679" w14:textId="73A602D0" w:rsidR="001B0BFE" w:rsidRPr="00FC7CC7" w:rsidRDefault="00CE431A">
            <w:pPr>
              <w:pStyle w:val="TableParagraph"/>
              <w:spacing w:before="2"/>
              <w:ind w:left="107"/>
              <w:rPr>
                <w:sz w:val="24"/>
              </w:rPr>
            </w:pPr>
            <w:r>
              <w:rPr>
                <w:sz w:val="24"/>
              </w:rPr>
              <w:t>February 2025</w:t>
            </w:r>
          </w:p>
        </w:tc>
      </w:tr>
      <w:tr w:rsidR="001B0BFE" w14:paraId="1C0D2AD1" w14:textId="77777777">
        <w:trPr>
          <w:trHeight w:val="414"/>
        </w:trPr>
        <w:tc>
          <w:tcPr>
            <w:tcW w:w="4119" w:type="dxa"/>
            <w:shd w:val="clear" w:color="auto" w:fill="DBE4F0"/>
          </w:tcPr>
          <w:p w14:paraId="0D017B4C" w14:textId="77777777" w:rsidR="001B0BFE" w:rsidRDefault="00EC709A">
            <w:pPr>
              <w:pStyle w:val="TableParagraph"/>
              <w:ind w:left="107"/>
              <w:rPr>
                <w:b/>
                <w:sz w:val="24"/>
              </w:rPr>
            </w:pPr>
            <w:r>
              <w:rPr>
                <w:b/>
                <w:sz w:val="24"/>
              </w:rPr>
              <w:t>Review Date:</w:t>
            </w:r>
          </w:p>
        </w:tc>
        <w:tc>
          <w:tcPr>
            <w:tcW w:w="5468" w:type="dxa"/>
            <w:shd w:val="clear" w:color="auto" w:fill="DBE4F0"/>
          </w:tcPr>
          <w:p w14:paraId="0CE3D91F" w14:textId="7A449F03" w:rsidR="001B0BFE" w:rsidRPr="00FC7CC7" w:rsidRDefault="00FC7CC7">
            <w:pPr>
              <w:pStyle w:val="TableParagraph"/>
              <w:ind w:left="107"/>
              <w:rPr>
                <w:sz w:val="24"/>
              </w:rPr>
            </w:pPr>
            <w:r w:rsidRPr="00FC7CC7">
              <w:rPr>
                <w:sz w:val="24"/>
              </w:rPr>
              <w:t>March 202</w:t>
            </w:r>
            <w:r w:rsidR="00F830BB">
              <w:rPr>
                <w:sz w:val="24"/>
              </w:rPr>
              <w:t>6</w:t>
            </w:r>
          </w:p>
        </w:tc>
      </w:tr>
      <w:tr w:rsidR="001B0BFE" w14:paraId="3C519062" w14:textId="77777777">
        <w:trPr>
          <w:trHeight w:val="412"/>
        </w:trPr>
        <w:tc>
          <w:tcPr>
            <w:tcW w:w="4119" w:type="dxa"/>
            <w:shd w:val="clear" w:color="auto" w:fill="B8CCE3"/>
          </w:tcPr>
          <w:p w14:paraId="40306260" w14:textId="77777777" w:rsidR="001B0BFE" w:rsidRDefault="00EC709A">
            <w:pPr>
              <w:pStyle w:val="TableParagraph"/>
              <w:ind w:left="107"/>
              <w:rPr>
                <w:b/>
                <w:sz w:val="24"/>
              </w:rPr>
            </w:pPr>
            <w:r>
              <w:rPr>
                <w:b/>
                <w:sz w:val="24"/>
              </w:rPr>
              <w:t>Equality Impact Assessment:</w:t>
            </w:r>
          </w:p>
        </w:tc>
        <w:tc>
          <w:tcPr>
            <w:tcW w:w="5468" w:type="dxa"/>
            <w:shd w:val="clear" w:color="auto" w:fill="B8CCE3"/>
          </w:tcPr>
          <w:p w14:paraId="1B3ADD89" w14:textId="2B16FD45" w:rsidR="001B0BFE" w:rsidRPr="001819E3" w:rsidRDefault="00951CAA">
            <w:pPr>
              <w:pStyle w:val="TableParagraph"/>
              <w:ind w:left="107"/>
              <w:rPr>
                <w:sz w:val="24"/>
                <w:highlight w:val="yellow"/>
              </w:rPr>
            </w:pPr>
            <w:r>
              <w:rPr>
                <w:sz w:val="24"/>
              </w:rPr>
              <w:t>Not required as no material change</w:t>
            </w:r>
          </w:p>
        </w:tc>
      </w:tr>
      <w:tr w:rsidR="001B0BFE" w14:paraId="3D4DC9AE" w14:textId="77777777">
        <w:trPr>
          <w:trHeight w:val="1106"/>
        </w:trPr>
        <w:tc>
          <w:tcPr>
            <w:tcW w:w="4119" w:type="dxa"/>
            <w:shd w:val="clear" w:color="auto" w:fill="B8CCE3"/>
          </w:tcPr>
          <w:p w14:paraId="201CE19C" w14:textId="77777777" w:rsidR="001B0BFE" w:rsidRDefault="00EC709A">
            <w:pPr>
              <w:pStyle w:val="TableParagraph"/>
              <w:spacing w:before="2"/>
              <w:ind w:left="107"/>
              <w:rPr>
                <w:b/>
                <w:sz w:val="24"/>
              </w:rPr>
            </w:pPr>
            <w:r>
              <w:rPr>
                <w:b/>
                <w:sz w:val="24"/>
              </w:rPr>
              <w:t>Target Audience:</w:t>
            </w:r>
          </w:p>
        </w:tc>
        <w:tc>
          <w:tcPr>
            <w:tcW w:w="5468" w:type="dxa"/>
            <w:shd w:val="clear" w:color="auto" w:fill="B8CCE3"/>
          </w:tcPr>
          <w:p w14:paraId="0F07E7A1" w14:textId="77777777" w:rsidR="001B0BFE" w:rsidRPr="001819E3" w:rsidRDefault="00EC709A">
            <w:pPr>
              <w:pStyle w:val="TableParagraph"/>
              <w:spacing w:before="2"/>
              <w:ind w:left="107" w:right="422"/>
              <w:rPr>
                <w:sz w:val="24"/>
                <w:highlight w:val="yellow"/>
              </w:rPr>
            </w:pPr>
            <w:r w:rsidRPr="001819E3">
              <w:rPr>
                <w:sz w:val="24"/>
              </w:rPr>
              <w:t>ICB and its Committees and Sub-Committees, ICB Staff, agency and temporary staff &amp; third parties under contract</w:t>
            </w:r>
          </w:p>
        </w:tc>
      </w:tr>
      <w:tr w:rsidR="001B0BFE" w14:paraId="1718BB6C" w14:textId="77777777">
        <w:trPr>
          <w:trHeight w:val="412"/>
        </w:trPr>
        <w:tc>
          <w:tcPr>
            <w:tcW w:w="4119" w:type="dxa"/>
            <w:shd w:val="clear" w:color="auto" w:fill="DBE4F0"/>
          </w:tcPr>
          <w:p w14:paraId="6C3EE8E8" w14:textId="77777777" w:rsidR="001B0BFE" w:rsidRDefault="00EC709A">
            <w:pPr>
              <w:pStyle w:val="TableParagraph"/>
              <w:ind w:left="107"/>
              <w:rPr>
                <w:b/>
                <w:sz w:val="24"/>
              </w:rPr>
            </w:pPr>
            <w:r>
              <w:rPr>
                <w:b/>
                <w:sz w:val="24"/>
              </w:rPr>
              <w:t>Policy Number:</w:t>
            </w:r>
          </w:p>
        </w:tc>
        <w:tc>
          <w:tcPr>
            <w:tcW w:w="5468" w:type="dxa"/>
            <w:shd w:val="clear" w:color="auto" w:fill="DBE4F0"/>
          </w:tcPr>
          <w:p w14:paraId="4479FE2C" w14:textId="19237D4E" w:rsidR="001B0BFE" w:rsidRPr="001819E3" w:rsidRDefault="00BD5A32">
            <w:pPr>
              <w:pStyle w:val="TableParagraph"/>
              <w:ind w:left="107"/>
              <w:rPr>
                <w:sz w:val="24"/>
                <w:highlight w:val="yellow"/>
              </w:rPr>
            </w:pPr>
            <w:r w:rsidRPr="00BD5A32">
              <w:rPr>
                <w:sz w:val="24"/>
              </w:rPr>
              <w:t>ICB</w:t>
            </w:r>
            <w:r w:rsidR="009C6C45">
              <w:rPr>
                <w:sz w:val="24"/>
              </w:rPr>
              <w:t>46</w:t>
            </w:r>
          </w:p>
        </w:tc>
      </w:tr>
      <w:tr w:rsidR="001B0BFE" w14:paraId="1E7DB475" w14:textId="77777777">
        <w:trPr>
          <w:trHeight w:val="551"/>
        </w:trPr>
        <w:tc>
          <w:tcPr>
            <w:tcW w:w="4119" w:type="dxa"/>
            <w:shd w:val="clear" w:color="auto" w:fill="B8CCE3"/>
          </w:tcPr>
          <w:p w14:paraId="2ADAE51E" w14:textId="77777777" w:rsidR="001B0BFE" w:rsidRDefault="00EC709A">
            <w:pPr>
              <w:pStyle w:val="TableParagraph"/>
              <w:ind w:left="107"/>
              <w:rPr>
                <w:b/>
                <w:sz w:val="24"/>
              </w:rPr>
            </w:pPr>
            <w:r>
              <w:rPr>
                <w:b/>
                <w:sz w:val="24"/>
              </w:rPr>
              <w:t>Version Number:</w:t>
            </w:r>
          </w:p>
        </w:tc>
        <w:tc>
          <w:tcPr>
            <w:tcW w:w="5468" w:type="dxa"/>
            <w:shd w:val="clear" w:color="auto" w:fill="B8CCE3"/>
          </w:tcPr>
          <w:p w14:paraId="2A94834C" w14:textId="36C6DEC9" w:rsidR="001B0BFE" w:rsidRPr="001819E3" w:rsidRDefault="00F830BB">
            <w:pPr>
              <w:pStyle w:val="TableParagraph"/>
              <w:ind w:left="107"/>
              <w:rPr>
                <w:sz w:val="24"/>
                <w:highlight w:val="yellow"/>
              </w:rPr>
            </w:pPr>
            <w:r>
              <w:rPr>
                <w:sz w:val="24"/>
              </w:rPr>
              <w:t>3</w:t>
            </w:r>
            <w:r w:rsidR="00FC7CC7" w:rsidRPr="00AE508A">
              <w:rPr>
                <w:sz w:val="24"/>
              </w:rPr>
              <w:t>.0</w:t>
            </w:r>
          </w:p>
        </w:tc>
      </w:tr>
    </w:tbl>
    <w:p w14:paraId="5780A8AC" w14:textId="77777777" w:rsidR="001B0BFE" w:rsidRDefault="001B0BFE">
      <w:pPr>
        <w:pStyle w:val="BodyText"/>
        <w:rPr>
          <w:sz w:val="20"/>
        </w:rPr>
      </w:pPr>
    </w:p>
    <w:p w14:paraId="7DD3A2DA" w14:textId="77777777" w:rsidR="001B0BFE" w:rsidRDefault="001B0BFE">
      <w:pPr>
        <w:pStyle w:val="BodyText"/>
        <w:spacing w:before="10"/>
        <w:rPr>
          <w:sz w:val="15"/>
        </w:rPr>
      </w:pPr>
    </w:p>
    <w:p w14:paraId="3B1B7344" w14:textId="2D4A57E6" w:rsidR="001B0BFE" w:rsidRDefault="00EC709A">
      <w:pPr>
        <w:spacing w:before="94"/>
        <w:ind w:left="717" w:right="685"/>
        <w:jc w:val="center"/>
        <w:rPr>
          <w:b/>
        </w:rPr>
      </w:pPr>
      <w:r>
        <w:rPr>
          <w:b/>
        </w:rPr>
        <w:t>The on-line version is the only version that is maintained. Any printed copies should, therefore, be viewed as ‘uncontrolled’ and as such may not necessarily contain the latest updates and amendments.</w:t>
      </w:r>
    </w:p>
    <w:p w14:paraId="2721CB1A" w14:textId="77777777" w:rsidR="001B0BFE" w:rsidRDefault="001B0BFE">
      <w:pPr>
        <w:jc w:val="center"/>
        <w:sectPr w:rsidR="001B0BFE">
          <w:headerReference w:type="default" r:id="rId10"/>
          <w:footerReference w:type="default" r:id="rId11"/>
          <w:pgSz w:w="11900" w:h="16850"/>
          <w:pgMar w:top="1600" w:right="440" w:bottom="840" w:left="740" w:header="244" w:footer="655" w:gutter="0"/>
          <w:cols w:space="720"/>
        </w:sectPr>
      </w:pPr>
    </w:p>
    <w:p w14:paraId="56795E4A" w14:textId="74105EEC" w:rsidR="001B0BFE" w:rsidRDefault="001B0BFE">
      <w:pPr>
        <w:pStyle w:val="BodyText"/>
        <w:spacing w:before="4"/>
        <w:rPr>
          <w:b/>
        </w:rPr>
      </w:pPr>
    </w:p>
    <w:p w14:paraId="09231F6B" w14:textId="77777777" w:rsidR="001B0BFE" w:rsidRDefault="00EC709A">
      <w:pPr>
        <w:spacing w:before="92"/>
        <w:ind w:left="124" w:right="566"/>
        <w:jc w:val="center"/>
        <w:rPr>
          <w:b/>
          <w:sz w:val="24"/>
        </w:rPr>
      </w:pPr>
      <w:r>
        <w:rPr>
          <w:b/>
          <w:sz w:val="24"/>
        </w:rPr>
        <w:t>POLICY AMENDMENTS</w:t>
      </w:r>
    </w:p>
    <w:p w14:paraId="2378F9E1" w14:textId="77777777" w:rsidR="001B0BFE" w:rsidRDefault="001B0BFE">
      <w:pPr>
        <w:pStyle w:val="BodyText"/>
        <w:spacing w:before="10"/>
        <w:rPr>
          <w:b/>
          <w:sz w:val="21"/>
        </w:rPr>
      </w:pPr>
    </w:p>
    <w:p w14:paraId="7316F471" w14:textId="77777777" w:rsidR="001B0BFE" w:rsidRDefault="00EC709A">
      <w:pPr>
        <w:ind w:left="392" w:right="1345"/>
      </w:pPr>
      <w:r>
        <w:t>Amendments to the Policy will be issued from time to time. A new amendment history will be issued with each change.</w:t>
      </w:r>
    </w:p>
    <w:p w14:paraId="52AC8CBC" w14:textId="77777777" w:rsidR="001B0BFE" w:rsidRDefault="001B0BFE">
      <w:pPr>
        <w:pStyle w:val="BodyText"/>
        <w:spacing w:before="2"/>
        <w:rPr>
          <w:sz w:val="22"/>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5"/>
        <w:gridCol w:w="2837"/>
        <w:gridCol w:w="1416"/>
        <w:gridCol w:w="1419"/>
        <w:gridCol w:w="1702"/>
      </w:tblGrid>
      <w:tr w:rsidR="001B0BFE" w14:paraId="6AB86C4C" w14:textId="77777777">
        <w:trPr>
          <w:trHeight w:val="460"/>
        </w:trPr>
        <w:tc>
          <w:tcPr>
            <w:tcW w:w="1418" w:type="dxa"/>
            <w:shd w:val="clear" w:color="auto" w:fill="B8CCE3"/>
          </w:tcPr>
          <w:p w14:paraId="409FE189" w14:textId="77777777" w:rsidR="001B0BFE" w:rsidRDefault="00EC709A">
            <w:pPr>
              <w:pStyle w:val="TableParagraph"/>
              <w:spacing w:before="3" w:line="230" w:lineRule="exact"/>
              <w:ind w:left="333" w:hanging="221"/>
              <w:rPr>
                <w:b/>
                <w:sz w:val="20"/>
              </w:rPr>
            </w:pPr>
            <w:r>
              <w:rPr>
                <w:b/>
                <w:sz w:val="20"/>
              </w:rPr>
              <w:t>New Version Number</w:t>
            </w:r>
          </w:p>
        </w:tc>
        <w:tc>
          <w:tcPr>
            <w:tcW w:w="1275" w:type="dxa"/>
            <w:shd w:val="clear" w:color="auto" w:fill="B8CCE3"/>
          </w:tcPr>
          <w:p w14:paraId="509C2B6C" w14:textId="77777777" w:rsidR="001B0BFE" w:rsidRDefault="00EC709A">
            <w:pPr>
              <w:pStyle w:val="TableParagraph"/>
              <w:spacing w:line="229" w:lineRule="exact"/>
              <w:ind w:left="108"/>
              <w:rPr>
                <w:b/>
                <w:sz w:val="20"/>
              </w:rPr>
            </w:pPr>
            <w:r>
              <w:rPr>
                <w:b/>
                <w:sz w:val="20"/>
              </w:rPr>
              <w:t>Issued by</w:t>
            </w:r>
          </w:p>
        </w:tc>
        <w:tc>
          <w:tcPr>
            <w:tcW w:w="2837" w:type="dxa"/>
            <w:shd w:val="clear" w:color="auto" w:fill="B8CCE3"/>
          </w:tcPr>
          <w:p w14:paraId="123AA23B" w14:textId="77777777" w:rsidR="001B0BFE" w:rsidRDefault="00EC709A">
            <w:pPr>
              <w:pStyle w:val="TableParagraph"/>
              <w:spacing w:line="229" w:lineRule="exact"/>
              <w:ind w:left="110"/>
              <w:rPr>
                <w:b/>
                <w:sz w:val="20"/>
              </w:rPr>
            </w:pPr>
            <w:r>
              <w:rPr>
                <w:b/>
                <w:sz w:val="20"/>
              </w:rPr>
              <w:t>Nature of Amendment</w:t>
            </w:r>
          </w:p>
        </w:tc>
        <w:tc>
          <w:tcPr>
            <w:tcW w:w="1416" w:type="dxa"/>
            <w:shd w:val="clear" w:color="auto" w:fill="B8CCE3"/>
          </w:tcPr>
          <w:p w14:paraId="6E6E7CA9" w14:textId="77777777" w:rsidR="001B0BFE" w:rsidRDefault="00EC709A">
            <w:pPr>
              <w:pStyle w:val="TableParagraph"/>
              <w:spacing w:before="3" w:line="230" w:lineRule="exact"/>
              <w:ind w:left="108" w:right="239"/>
              <w:rPr>
                <w:b/>
                <w:sz w:val="20"/>
              </w:rPr>
            </w:pPr>
            <w:r>
              <w:rPr>
                <w:b/>
                <w:w w:val="95"/>
                <w:sz w:val="20"/>
              </w:rPr>
              <w:t xml:space="preserve">Approving </w:t>
            </w:r>
            <w:r>
              <w:rPr>
                <w:b/>
                <w:sz w:val="20"/>
              </w:rPr>
              <w:t>Body</w:t>
            </w:r>
          </w:p>
        </w:tc>
        <w:tc>
          <w:tcPr>
            <w:tcW w:w="1419" w:type="dxa"/>
            <w:shd w:val="clear" w:color="auto" w:fill="B8CCE3"/>
          </w:tcPr>
          <w:p w14:paraId="1FB14753" w14:textId="77777777" w:rsidR="001B0BFE" w:rsidRDefault="00EC709A">
            <w:pPr>
              <w:pStyle w:val="TableParagraph"/>
              <w:spacing w:before="3" w:line="230" w:lineRule="exact"/>
              <w:ind w:left="110" w:right="228"/>
              <w:rPr>
                <w:b/>
                <w:sz w:val="20"/>
              </w:rPr>
            </w:pPr>
            <w:r>
              <w:rPr>
                <w:b/>
                <w:w w:val="95"/>
                <w:sz w:val="20"/>
              </w:rPr>
              <w:t xml:space="preserve">Approval </w:t>
            </w:r>
            <w:r>
              <w:rPr>
                <w:b/>
                <w:sz w:val="20"/>
              </w:rPr>
              <w:t>Date</w:t>
            </w:r>
          </w:p>
        </w:tc>
        <w:tc>
          <w:tcPr>
            <w:tcW w:w="1702" w:type="dxa"/>
            <w:shd w:val="clear" w:color="auto" w:fill="B8CCE3"/>
          </w:tcPr>
          <w:p w14:paraId="6F09EC3A" w14:textId="77777777" w:rsidR="001B0BFE" w:rsidRDefault="00EC709A">
            <w:pPr>
              <w:pStyle w:val="TableParagraph"/>
              <w:spacing w:before="3" w:line="230" w:lineRule="exact"/>
              <w:ind w:left="108"/>
              <w:rPr>
                <w:b/>
                <w:sz w:val="20"/>
              </w:rPr>
            </w:pPr>
            <w:r>
              <w:rPr>
                <w:b/>
                <w:sz w:val="20"/>
              </w:rPr>
              <w:t>Date Published on Website</w:t>
            </w:r>
          </w:p>
        </w:tc>
      </w:tr>
      <w:tr w:rsidR="001B0BFE" w14:paraId="35E1603C" w14:textId="77777777">
        <w:trPr>
          <w:trHeight w:val="691"/>
        </w:trPr>
        <w:tc>
          <w:tcPr>
            <w:tcW w:w="1418" w:type="dxa"/>
          </w:tcPr>
          <w:p w14:paraId="7AB14A19" w14:textId="6925D062" w:rsidR="001B0BFE" w:rsidRPr="00F228DD" w:rsidRDefault="00F228DD" w:rsidP="00F228DD">
            <w:pPr>
              <w:pStyle w:val="TableParagraph"/>
              <w:jc w:val="center"/>
              <w:rPr>
                <w:sz w:val="20"/>
              </w:rPr>
            </w:pPr>
            <w:r w:rsidRPr="00F228DD">
              <w:rPr>
                <w:sz w:val="20"/>
              </w:rPr>
              <w:t>1.0</w:t>
            </w:r>
          </w:p>
        </w:tc>
        <w:tc>
          <w:tcPr>
            <w:tcW w:w="1275" w:type="dxa"/>
          </w:tcPr>
          <w:p w14:paraId="7E74A6D3" w14:textId="4357F12C" w:rsidR="001B0BFE" w:rsidRPr="00F228DD" w:rsidRDefault="00F228DD" w:rsidP="00F830BB">
            <w:pPr>
              <w:pStyle w:val="TableParagraph"/>
              <w:rPr>
                <w:sz w:val="20"/>
              </w:rPr>
            </w:pPr>
            <w:r w:rsidRPr="00F228DD">
              <w:rPr>
                <w:sz w:val="20"/>
              </w:rPr>
              <w:t>Director of Finance and Investment</w:t>
            </w:r>
          </w:p>
        </w:tc>
        <w:tc>
          <w:tcPr>
            <w:tcW w:w="2837" w:type="dxa"/>
          </w:tcPr>
          <w:p w14:paraId="5C30F5B2" w14:textId="120700CE" w:rsidR="001B0BFE" w:rsidRPr="00F228DD" w:rsidRDefault="00F228DD" w:rsidP="00F830BB">
            <w:pPr>
              <w:pStyle w:val="TableParagraph"/>
              <w:ind w:left="21"/>
              <w:rPr>
                <w:sz w:val="20"/>
              </w:rPr>
            </w:pPr>
            <w:r w:rsidRPr="00F228DD">
              <w:rPr>
                <w:sz w:val="20"/>
              </w:rPr>
              <w:t>New document</w:t>
            </w:r>
          </w:p>
        </w:tc>
        <w:tc>
          <w:tcPr>
            <w:tcW w:w="1416" w:type="dxa"/>
          </w:tcPr>
          <w:p w14:paraId="5D4E900B" w14:textId="0AFBF05B" w:rsidR="001B0BFE" w:rsidRPr="00F228DD" w:rsidRDefault="00F228DD" w:rsidP="00F830BB">
            <w:pPr>
              <w:pStyle w:val="TableParagraph"/>
              <w:ind w:left="21"/>
              <w:rPr>
                <w:sz w:val="20"/>
              </w:rPr>
            </w:pPr>
            <w:r w:rsidRPr="00F228DD">
              <w:rPr>
                <w:sz w:val="20"/>
              </w:rPr>
              <w:t>Finance, Performance and Delivery Committee</w:t>
            </w:r>
          </w:p>
        </w:tc>
        <w:tc>
          <w:tcPr>
            <w:tcW w:w="1419" w:type="dxa"/>
          </w:tcPr>
          <w:p w14:paraId="29F8E2CB" w14:textId="01DD976A" w:rsidR="001B0BFE" w:rsidRPr="00F228DD" w:rsidRDefault="00F228DD" w:rsidP="00F830BB">
            <w:pPr>
              <w:pStyle w:val="TableParagraph"/>
              <w:ind w:left="21"/>
              <w:rPr>
                <w:sz w:val="20"/>
              </w:rPr>
            </w:pPr>
            <w:r w:rsidRPr="00F228DD">
              <w:rPr>
                <w:sz w:val="20"/>
              </w:rPr>
              <w:t>March 2023</w:t>
            </w:r>
          </w:p>
        </w:tc>
        <w:tc>
          <w:tcPr>
            <w:tcW w:w="1702" w:type="dxa"/>
          </w:tcPr>
          <w:p w14:paraId="4C2155B2" w14:textId="71532B17" w:rsidR="001B0BFE" w:rsidRPr="00F228DD" w:rsidRDefault="00B7664A" w:rsidP="00F830BB">
            <w:pPr>
              <w:pStyle w:val="TableParagraph"/>
              <w:ind w:left="21"/>
              <w:rPr>
                <w:sz w:val="20"/>
              </w:rPr>
            </w:pPr>
            <w:r>
              <w:rPr>
                <w:sz w:val="20"/>
              </w:rPr>
              <w:t>March 2023</w:t>
            </w:r>
          </w:p>
        </w:tc>
      </w:tr>
      <w:tr w:rsidR="00BD5A32" w14:paraId="0B5EF0F5" w14:textId="77777777" w:rsidTr="00B7664A">
        <w:trPr>
          <w:trHeight w:val="690"/>
        </w:trPr>
        <w:tc>
          <w:tcPr>
            <w:tcW w:w="1418" w:type="dxa"/>
          </w:tcPr>
          <w:p w14:paraId="2235BE15" w14:textId="29EF9AC2" w:rsidR="00BD5A32" w:rsidRDefault="00BD5A32" w:rsidP="00BD5A32">
            <w:pPr>
              <w:pStyle w:val="TableParagraph"/>
              <w:jc w:val="center"/>
              <w:rPr>
                <w:rFonts w:ascii="Times New Roman"/>
                <w:sz w:val="20"/>
              </w:rPr>
            </w:pPr>
            <w:r>
              <w:rPr>
                <w:sz w:val="20"/>
              </w:rPr>
              <w:t>2</w:t>
            </w:r>
            <w:r w:rsidRPr="00F228DD">
              <w:rPr>
                <w:sz w:val="20"/>
              </w:rPr>
              <w:t>.0</w:t>
            </w:r>
          </w:p>
        </w:tc>
        <w:tc>
          <w:tcPr>
            <w:tcW w:w="1275" w:type="dxa"/>
          </w:tcPr>
          <w:p w14:paraId="02C9EEC5" w14:textId="4D8F693E" w:rsidR="00BD5A32" w:rsidRDefault="004C1619" w:rsidP="00F830BB">
            <w:pPr>
              <w:pStyle w:val="TableParagraph"/>
              <w:rPr>
                <w:rFonts w:ascii="Times New Roman"/>
                <w:sz w:val="20"/>
              </w:rPr>
            </w:pPr>
            <w:r w:rsidRPr="004C1619">
              <w:rPr>
                <w:sz w:val="20"/>
              </w:rPr>
              <w:t>Director of Finance and Investment</w:t>
            </w:r>
          </w:p>
        </w:tc>
        <w:tc>
          <w:tcPr>
            <w:tcW w:w="2837" w:type="dxa"/>
            <w:shd w:val="clear" w:color="auto" w:fill="auto"/>
          </w:tcPr>
          <w:p w14:paraId="17D9A574" w14:textId="3DC42FC0" w:rsidR="00BD5A32" w:rsidRDefault="00BD5A32" w:rsidP="00F830BB">
            <w:pPr>
              <w:pStyle w:val="TableParagraph"/>
              <w:ind w:left="21"/>
              <w:rPr>
                <w:rFonts w:ascii="Times New Roman"/>
                <w:sz w:val="20"/>
              </w:rPr>
            </w:pPr>
            <w:r>
              <w:rPr>
                <w:sz w:val="20"/>
              </w:rPr>
              <w:t>Revised</w:t>
            </w:r>
            <w:r w:rsidRPr="00F228DD">
              <w:rPr>
                <w:sz w:val="20"/>
              </w:rPr>
              <w:t xml:space="preserve"> document</w:t>
            </w:r>
            <w:r w:rsidR="009C6C45">
              <w:rPr>
                <w:sz w:val="20"/>
              </w:rPr>
              <w:t xml:space="preserve"> to reflect the introduction of the Provider Selection Regime which comes into effect from 01 January 2024</w:t>
            </w:r>
          </w:p>
        </w:tc>
        <w:tc>
          <w:tcPr>
            <w:tcW w:w="1416" w:type="dxa"/>
            <w:shd w:val="clear" w:color="auto" w:fill="auto"/>
          </w:tcPr>
          <w:p w14:paraId="13AD1B3A" w14:textId="35F21E92" w:rsidR="00BD5A32" w:rsidRDefault="004C1619" w:rsidP="00F830BB">
            <w:pPr>
              <w:pStyle w:val="TableParagraph"/>
              <w:ind w:left="21"/>
              <w:rPr>
                <w:rFonts w:ascii="Times New Roman"/>
                <w:sz w:val="20"/>
              </w:rPr>
            </w:pPr>
            <w:r w:rsidRPr="00B7664A">
              <w:rPr>
                <w:sz w:val="20"/>
              </w:rPr>
              <w:t>ICB Board</w:t>
            </w:r>
          </w:p>
        </w:tc>
        <w:tc>
          <w:tcPr>
            <w:tcW w:w="1419" w:type="dxa"/>
          </w:tcPr>
          <w:p w14:paraId="72FA4082" w14:textId="5B932450" w:rsidR="00BD5A32" w:rsidRDefault="00BD5A32" w:rsidP="00F830BB">
            <w:pPr>
              <w:pStyle w:val="TableParagraph"/>
              <w:ind w:left="21"/>
              <w:rPr>
                <w:rFonts w:ascii="Times New Roman"/>
                <w:sz w:val="20"/>
              </w:rPr>
            </w:pPr>
            <w:r>
              <w:rPr>
                <w:sz w:val="20"/>
              </w:rPr>
              <w:t>December</w:t>
            </w:r>
            <w:r w:rsidRPr="00F228DD">
              <w:rPr>
                <w:sz w:val="20"/>
              </w:rPr>
              <w:t xml:space="preserve"> 2023</w:t>
            </w:r>
          </w:p>
        </w:tc>
        <w:tc>
          <w:tcPr>
            <w:tcW w:w="1702" w:type="dxa"/>
          </w:tcPr>
          <w:p w14:paraId="05899D29" w14:textId="5EC6E25E" w:rsidR="00BD5A32" w:rsidRPr="00B7664A" w:rsidRDefault="009C6C45" w:rsidP="00F830BB">
            <w:pPr>
              <w:pStyle w:val="TableParagraph"/>
              <w:ind w:left="21"/>
              <w:rPr>
                <w:sz w:val="20"/>
              </w:rPr>
            </w:pPr>
            <w:r>
              <w:rPr>
                <w:sz w:val="20"/>
              </w:rPr>
              <w:t>January 2024</w:t>
            </w:r>
          </w:p>
        </w:tc>
      </w:tr>
      <w:tr w:rsidR="001B0BFE" w14:paraId="73817B34" w14:textId="77777777">
        <w:trPr>
          <w:trHeight w:val="697"/>
        </w:trPr>
        <w:tc>
          <w:tcPr>
            <w:tcW w:w="1418" w:type="dxa"/>
          </w:tcPr>
          <w:p w14:paraId="544EB048" w14:textId="59632DC8" w:rsidR="001B0BFE" w:rsidRPr="00F830BB" w:rsidRDefault="00F830BB" w:rsidP="00F830BB">
            <w:pPr>
              <w:pStyle w:val="TableParagraph"/>
              <w:jc w:val="center"/>
              <w:rPr>
                <w:sz w:val="20"/>
              </w:rPr>
            </w:pPr>
            <w:r w:rsidRPr="00F830BB">
              <w:rPr>
                <w:sz w:val="20"/>
              </w:rPr>
              <w:t>3.0</w:t>
            </w:r>
          </w:p>
        </w:tc>
        <w:tc>
          <w:tcPr>
            <w:tcW w:w="1275" w:type="dxa"/>
          </w:tcPr>
          <w:p w14:paraId="69CDACB8" w14:textId="082C9124" w:rsidR="001B0BFE" w:rsidRPr="00F830BB" w:rsidRDefault="00F830BB">
            <w:pPr>
              <w:pStyle w:val="TableParagraph"/>
              <w:rPr>
                <w:sz w:val="20"/>
              </w:rPr>
            </w:pPr>
            <w:r w:rsidRPr="00F830BB">
              <w:rPr>
                <w:sz w:val="20"/>
              </w:rPr>
              <w:t>Director of Finance and Investment</w:t>
            </w:r>
          </w:p>
        </w:tc>
        <w:tc>
          <w:tcPr>
            <w:tcW w:w="2837" w:type="dxa"/>
          </w:tcPr>
          <w:p w14:paraId="126804A2" w14:textId="3B874111" w:rsidR="001B0BFE" w:rsidRPr="00F830BB" w:rsidRDefault="00F830BB" w:rsidP="00F830BB">
            <w:pPr>
              <w:pStyle w:val="TableParagraph"/>
              <w:ind w:left="21"/>
              <w:rPr>
                <w:sz w:val="20"/>
              </w:rPr>
            </w:pPr>
            <w:r w:rsidRPr="00F830BB">
              <w:rPr>
                <w:sz w:val="20"/>
              </w:rPr>
              <w:t>Revised document to reflect the introduction of the Procurement Act 2023 which comes into effect from 24 February 2025</w:t>
            </w:r>
          </w:p>
        </w:tc>
        <w:tc>
          <w:tcPr>
            <w:tcW w:w="1416" w:type="dxa"/>
          </w:tcPr>
          <w:p w14:paraId="3B868302" w14:textId="6057E853" w:rsidR="001B0BFE" w:rsidRPr="00F830BB" w:rsidRDefault="00F830BB">
            <w:pPr>
              <w:pStyle w:val="TableParagraph"/>
              <w:rPr>
                <w:sz w:val="20"/>
              </w:rPr>
            </w:pPr>
            <w:r w:rsidRPr="00F830BB">
              <w:rPr>
                <w:sz w:val="20"/>
              </w:rPr>
              <w:t>Finance, Performance and Delivery Committee</w:t>
            </w:r>
          </w:p>
        </w:tc>
        <w:tc>
          <w:tcPr>
            <w:tcW w:w="1419" w:type="dxa"/>
          </w:tcPr>
          <w:p w14:paraId="325CBA7F" w14:textId="75D28547" w:rsidR="001B0BFE" w:rsidRPr="00F830BB" w:rsidRDefault="00CE431A">
            <w:pPr>
              <w:pStyle w:val="TableParagraph"/>
              <w:rPr>
                <w:sz w:val="20"/>
                <w:highlight w:val="yellow"/>
              </w:rPr>
            </w:pPr>
            <w:r w:rsidRPr="00CE431A">
              <w:rPr>
                <w:sz w:val="20"/>
              </w:rPr>
              <w:t>February 2025</w:t>
            </w:r>
          </w:p>
        </w:tc>
        <w:tc>
          <w:tcPr>
            <w:tcW w:w="1702" w:type="dxa"/>
          </w:tcPr>
          <w:p w14:paraId="2A6B5AA7" w14:textId="4DDA06E3" w:rsidR="001B0BFE" w:rsidRPr="00F830BB" w:rsidRDefault="00F830BB">
            <w:pPr>
              <w:pStyle w:val="TableParagraph"/>
              <w:rPr>
                <w:sz w:val="20"/>
                <w:highlight w:val="yellow"/>
              </w:rPr>
            </w:pPr>
            <w:r w:rsidRPr="00E06FC9">
              <w:rPr>
                <w:sz w:val="20"/>
              </w:rPr>
              <w:t>February 2025</w:t>
            </w:r>
          </w:p>
        </w:tc>
      </w:tr>
      <w:tr w:rsidR="001B0BFE" w14:paraId="7B227FE3" w14:textId="77777777">
        <w:trPr>
          <w:trHeight w:val="707"/>
        </w:trPr>
        <w:tc>
          <w:tcPr>
            <w:tcW w:w="1418" w:type="dxa"/>
          </w:tcPr>
          <w:p w14:paraId="49605F1E" w14:textId="77777777" w:rsidR="001B0BFE" w:rsidRDefault="001B0BFE">
            <w:pPr>
              <w:pStyle w:val="TableParagraph"/>
              <w:rPr>
                <w:rFonts w:ascii="Times New Roman"/>
                <w:sz w:val="20"/>
              </w:rPr>
            </w:pPr>
          </w:p>
        </w:tc>
        <w:tc>
          <w:tcPr>
            <w:tcW w:w="1275" w:type="dxa"/>
          </w:tcPr>
          <w:p w14:paraId="112DEB07" w14:textId="77777777" w:rsidR="001B0BFE" w:rsidRDefault="001B0BFE">
            <w:pPr>
              <w:pStyle w:val="TableParagraph"/>
              <w:rPr>
                <w:rFonts w:ascii="Times New Roman"/>
                <w:sz w:val="20"/>
              </w:rPr>
            </w:pPr>
          </w:p>
        </w:tc>
        <w:tc>
          <w:tcPr>
            <w:tcW w:w="2837" w:type="dxa"/>
          </w:tcPr>
          <w:p w14:paraId="299E18F4" w14:textId="77777777" w:rsidR="001B0BFE" w:rsidRDefault="001B0BFE">
            <w:pPr>
              <w:pStyle w:val="TableParagraph"/>
              <w:rPr>
                <w:rFonts w:ascii="Times New Roman"/>
                <w:sz w:val="20"/>
              </w:rPr>
            </w:pPr>
          </w:p>
        </w:tc>
        <w:tc>
          <w:tcPr>
            <w:tcW w:w="1416" w:type="dxa"/>
          </w:tcPr>
          <w:p w14:paraId="312FFEF7" w14:textId="77777777" w:rsidR="001B0BFE" w:rsidRDefault="001B0BFE">
            <w:pPr>
              <w:pStyle w:val="TableParagraph"/>
              <w:rPr>
                <w:rFonts w:ascii="Times New Roman"/>
                <w:sz w:val="20"/>
              </w:rPr>
            </w:pPr>
          </w:p>
        </w:tc>
        <w:tc>
          <w:tcPr>
            <w:tcW w:w="1419" w:type="dxa"/>
          </w:tcPr>
          <w:p w14:paraId="195517A9" w14:textId="77777777" w:rsidR="001B0BFE" w:rsidRDefault="001B0BFE">
            <w:pPr>
              <w:pStyle w:val="TableParagraph"/>
              <w:rPr>
                <w:rFonts w:ascii="Times New Roman"/>
                <w:sz w:val="20"/>
              </w:rPr>
            </w:pPr>
          </w:p>
        </w:tc>
        <w:tc>
          <w:tcPr>
            <w:tcW w:w="1702" w:type="dxa"/>
          </w:tcPr>
          <w:p w14:paraId="70795E45" w14:textId="77777777" w:rsidR="001B0BFE" w:rsidRDefault="001B0BFE">
            <w:pPr>
              <w:pStyle w:val="TableParagraph"/>
              <w:rPr>
                <w:rFonts w:ascii="Times New Roman"/>
                <w:sz w:val="20"/>
              </w:rPr>
            </w:pPr>
          </w:p>
        </w:tc>
      </w:tr>
    </w:tbl>
    <w:p w14:paraId="75912D5C" w14:textId="77777777" w:rsidR="001B0BFE" w:rsidRDefault="001B0BFE">
      <w:pPr>
        <w:rPr>
          <w:rFonts w:ascii="Times New Roman"/>
          <w:sz w:val="20"/>
        </w:rPr>
        <w:sectPr w:rsidR="001B0BFE" w:rsidSect="004E08E8">
          <w:headerReference w:type="even" r:id="rId12"/>
          <w:headerReference w:type="default" r:id="rId13"/>
          <w:footerReference w:type="default" r:id="rId14"/>
          <w:headerReference w:type="first" r:id="rId15"/>
          <w:pgSz w:w="11900" w:h="16850"/>
          <w:pgMar w:top="1600" w:right="440" w:bottom="1000" w:left="740" w:header="244" w:footer="807" w:gutter="0"/>
          <w:cols w:space="720"/>
        </w:sectPr>
      </w:pPr>
    </w:p>
    <w:p w14:paraId="5D86130A" w14:textId="4EFB9FED" w:rsidR="001B0BFE" w:rsidRDefault="001B0BFE">
      <w:pPr>
        <w:pStyle w:val="BodyText"/>
        <w:spacing w:before="4"/>
      </w:pPr>
    </w:p>
    <w:sdt>
      <w:sdtPr>
        <w:rPr>
          <w:rFonts w:ascii="Arial" w:eastAsia="Arial" w:hAnsi="Arial" w:cs="Arial"/>
          <w:color w:val="auto"/>
          <w:sz w:val="22"/>
          <w:szCs w:val="22"/>
          <w:lang w:val="en-GB" w:eastAsia="en-GB" w:bidi="en-GB"/>
        </w:rPr>
        <w:id w:val="-1397738330"/>
        <w:docPartObj>
          <w:docPartGallery w:val="Table of Contents"/>
          <w:docPartUnique/>
        </w:docPartObj>
      </w:sdtPr>
      <w:sdtEndPr>
        <w:rPr>
          <w:b/>
          <w:bCs/>
          <w:noProof/>
        </w:rPr>
      </w:sdtEndPr>
      <w:sdtContent>
        <w:p w14:paraId="4B244CF4" w14:textId="77777777" w:rsidR="00515EAD" w:rsidRPr="00EC65BF" w:rsidRDefault="00515EAD" w:rsidP="000D4B4C">
          <w:pPr>
            <w:pStyle w:val="TOCHeading"/>
            <w:numPr>
              <w:ilvl w:val="0"/>
              <w:numId w:val="0"/>
            </w:numPr>
            <w:rPr>
              <w:rFonts w:ascii="Arial" w:hAnsi="Arial" w:cs="Arial"/>
              <w:b/>
              <w:bCs/>
              <w:color w:val="auto"/>
            </w:rPr>
          </w:pPr>
          <w:r w:rsidRPr="00EC65BF">
            <w:rPr>
              <w:rFonts w:ascii="Arial" w:hAnsi="Arial" w:cs="Arial"/>
              <w:b/>
              <w:bCs/>
              <w:color w:val="auto"/>
            </w:rPr>
            <w:t>Contents</w:t>
          </w:r>
        </w:p>
        <w:p w14:paraId="65A98D5F" w14:textId="23AD9B30" w:rsidR="009F5CAC" w:rsidRDefault="00515EAD">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r w:rsidRPr="00326B98">
            <w:fldChar w:fldCharType="begin"/>
          </w:r>
          <w:r w:rsidRPr="00326B98">
            <w:instrText xml:space="preserve"> TOC \o "1-3" \h \z \u </w:instrText>
          </w:r>
          <w:r w:rsidRPr="00326B98">
            <w:fldChar w:fldCharType="separate"/>
          </w:r>
          <w:hyperlink w:anchor="_Toc190529404" w:history="1">
            <w:r w:rsidR="009F5CAC" w:rsidRPr="002B3206">
              <w:rPr>
                <w:rStyle w:val="Hyperlink"/>
                <w:noProof/>
              </w:rPr>
              <w:t>1.0</w:t>
            </w:r>
            <w:r w:rsidR="009F5CAC">
              <w:rPr>
                <w:rFonts w:asciiTheme="minorHAnsi" w:eastAsiaTheme="minorEastAsia" w:hAnsiTheme="minorHAnsi" w:cstheme="minorBidi"/>
                <w:noProof/>
                <w:kern w:val="2"/>
                <w:lang w:bidi="ar-SA"/>
                <w14:ligatures w14:val="standardContextual"/>
              </w:rPr>
              <w:tab/>
            </w:r>
            <w:r w:rsidR="009F5CAC" w:rsidRPr="002B3206">
              <w:rPr>
                <w:rStyle w:val="Hyperlink"/>
                <w:noProof/>
              </w:rPr>
              <w:t>Introduction</w:t>
            </w:r>
            <w:r w:rsidR="009F5CAC">
              <w:rPr>
                <w:noProof/>
                <w:webHidden/>
              </w:rPr>
              <w:tab/>
            </w:r>
            <w:r w:rsidR="009F5CAC">
              <w:rPr>
                <w:noProof/>
                <w:webHidden/>
              </w:rPr>
              <w:fldChar w:fldCharType="begin"/>
            </w:r>
            <w:r w:rsidR="009F5CAC">
              <w:rPr>
                <w:noProof/>
                <w:webHidden/>
              </w:rPr>
              <w:instrText xml:space="preserve"> PAGEREF _Toc190529404 \h </w:instrText>
            </w:r>
            <w:r w:rsidR="009F5CAC">
              <w:rPr>
                <w:noProof/>
                <w:webHidden/>
              </w:rPr>
            </w:r>
            <w:r w:rsidR="009F5CAC">
              <w:rPr>
                <w:noProof/>
                <w:webHidden/>
              </w:rPr>
              <w:fldChar w:fldCharType="separate"/>
            </w:r>
            <w:r w:rsidR="009F5CAC">
              <w:rPr>
                <w:noProof/>
                <w:webHidden/>
              </w:rPr>
              <w:t>4</w:t>
            </w:r>
            <w:r w:rsidR="009F5CAC">
              <w:rPr>
                <w:noProof/>
                <w:webHidden/>
              </w:rPr>
              <w:fldChar w:fldCharType="end"/>
            </w:r>
          </w:hyperlink>
        </w:p>
        <w:p w14:paraId="34A16621" w14:textId="0E19FDCF"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05" w:history="1">
            <w:r w:rsidRPr="002B3206">
              <w:rPr>
                <w:rStyle w:val="Hyperlink"/>
                <w:noProof/>
              </w:rPr>
              <w:t>2.0</w:t>
            </w:r>
            <w:r>
              <w:rPr>
                <w:rFonts w:asciiTheme="minorHAnsi" w:eastAsiaTheme="minorEastAsia" w:hAnsiTheme="minorHAnsi" w:cstheme="minorBidi"/>
                <w:noProof/>
                <w:kern w:val="2"/>
                <w:lang w:bidi="ar-SA"/>
                <w14:ligatures w14:val="standardContextual"/>
              </w:rPr>
              <w:tab/>
            </w:r>
            <w:r w:rsidRPr="002B3206">
              <w:rPr>
                <w:rStyle w:val="Hyperlink"/>
                <w:noProof/>
              </w:rPr>
              <w:t>Purpose</w:t>
            </w:r>
            <w:r>
              <w:rPr>
                <w:noProof/>
                <w:webHidden/>
              </w:rPr>
              <w:tab/>
            </w:r>
            <w:r>
              <w:rPr>
                <w:noProof/>
                <w:webHidden/>
              </w:rPr>
              <w:fldChar w:fldCharType="begin"/>
            </w:r>
            <w:r>
              <w:rPr>
                <w:noProof/>
                <w:webHidden/>
              </w:rPr>
              <w:instrText xml:space="preserve"> PAGEREF _Toc190529405 \h </w:instrText>
            </w:r>
            <w:r>
              <w:rPr>
                <w:noProof/>
                <w:webHidden/>
              </w:rPr>
            </w:r>
            <w:r>
              <w:rPr>
                <w:noProof/>
                <w:webHidden/>
              </w:rPr>
              <w:fldChar w:fldCharType="separate"/>
            </w:r>
            <w:r>
              <w:rPr>
                <w:noProof/>
                <w:webHidden/>
              </w:rPr>
              <w:t>4</w:t>
            </w:r>
            <w:r>
              <w:rPr>
                <w:noProof/>
                <w:webHidden/>
              </w:rPr>
              <w:fldChar w:fldCharType="end"/>
            </w:r>
          </w:hyperlink>
        </w:p>
        <w:p w14:paraId="2ED7DA0E" w14:textId="19FEB6AE"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06" w:history="1">
            <w:r w:rsidRPr="002B3206">
              <w:rPr>
                <w:rStyle w:val="Hyperlink"/>
                <w:noProof/>
              </w:rPr>
              <w:t>3.0</w:t>
            </w:r>
            <w:r>
              <w:rPr>
                <w:rFonts w:asciiTheme="minorHAnsi" w:eastAsiaTheme="minorEastAsia" w:hAnsiTheme="minorHAnsi" w:cstheme="minorBidi"/>
                <w:noProof/>
                <w:kern w:val="2"/>
                <w:lang w:bidi="ar-SA"/>
                <w14:ligatures w14:val="standardContextual"/>
              </w:rPr>
              <w:tab/>
            </w:r>
            <w:r w:rsidRPr="002B3206">
              <w:rPr>
                <w:rStyle w:val="Hyperlink"/>
                <w:noProof/>
              </w:rPr>
              <w:t>Definitions / Explanation of Terms</w:t>
            </w:r>
            <w:r>
              <w:rPr>
                <w:noProof/>
                <w:webHidden/>
              </w:rPr>
              <w:tab/>
            </w:r>
            <w:r>
              <w:rPr>
                <w:noProof/>
                <w:webHidden/>
              </w:rPr>
              <w:fldChar w:fldCharType="begin"/>
            </w:r>
            <w:r>
              <w:rPr>
                <w:noProof/>
                <w:webHidden/>
              </w:rPr>
              <w:instrText xml:space="preserve"> PAGEREF _Toc190529406 \h </w:instrText>
            </w:r>
            <w:r>
              <w:rPr>
                <w:noProof/>
                <w:webHidden/>
              </w:rPr>
            </w:r>
            <w:r>
              <w:rPr>
                <w:noProof/>
                <w:webHidden/>
              </w:rPr>
              <w:fldChar w:fldCharType="separate"/>
            </w:r>
            <w:r>
              <w:rPr>
                <w:noProof/>
                <w:webHidden/>
              </w:rPr>
              <w:t>4</w:t>
            </w:r>
            <w:r>
              <w:rPr>
                <w:noProof/>
                <w:webHidden/>
              </w:rPr>
              <w:fldChar w:fldCharType="end"/>
            </w:r>
          </w:hyperlink>
        </w:p>
        <w:p w14:paraId="29D50B4D" w14:textId="0C5BD7C4"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07" w:history="1">
            <w:r w:rsidRPr="002B3206">
              <w:rPr>
                <w:rStyle w:val="Hyperlink"/>
                <w:noProof/>
              </w:rPr>
              <w:t>4.0</w:t>
            </w:r>
            <w:r>
              <w:rPr>
                <w:rFonts w:asciiTheme="minorHAnsi" w:eastAsiaTheme="minorEastAsia" w:hAnsiTheme="minorHAnsi" w:cstheme="minorBidi"/>
                <w:noProof/>
                <w:kern w:val="2"/>
                <w:lang w:bidi="ar-SA"/>
                <w14:ligatures w14:val="standardContextual"/>
              </w:rPr>
              <w:tab/>
            </w:r>
            <w:r w:rsidRPr="002B3206">
              <w:rPr>
                <w:rStyle w:val="Hyperlink"/>
                <w:noProof/>
              </w:rPr>
              <w:t>Scope of the Policy</w:t>
            </w:r>
            <w:r>
              <w:rPr>
                <w:noProof/>
                <w:webHidden/>
              </w:rPr>
              <w:tab/>
            </w:r>
            <w:r>
              <w:rPr>
                <w:noProof/>
                <w:webHidden/>
              </w:rPr>
              <w:fldChar w:fldCharType="begin"/>
            </w:r>
            <w:r>
              <w:rPr>
                <w:noProof/>
                <w:webHidden/>
              </w:rPr>
              <w:instrText xml:space="preserve"> PAGEREF _Toc190529407 \h </w:instrText>
            </w:r>
            <w:r>
              <w:rPr>
                <w:noProof/>
                <w:webHidden/>
              </w:rPr>
            </w:r>
            <w:r>
              <w:rPr>
                <w:noProof/>
                <w:webHidden/>
              </w:rPr>
              <w:fldChar w:fldCharType="separate"/>
            </w:r>
            <w:r>
              <w:rPr>
                <w:noProof/>
                <w:webHidden/>
              </w:rPr>
              <w:t>5</w:t>
            </w:r>
            <w:r>
              <w:rPr>
                <w:noProof/>
                <w:webHidden/>
              </w:rPr>
              <w:fldChar w:fldCharType="end"/>
            </w:r>
          </w:hyperlink>
        </w:p>
        <w:p w14:paraId="6D1F55FF" w14:textId="2E00D4C9"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08" w:history="1">
            <w:r w:rsidRPr="002B3206">
              <w:rPr>
                <w:rStyle w:val="Hyperlink"/>
                <w:noProof/>
              </w:rPr>
              <w:t>5.0</w:t>
            </w:r>
            <w:r>
              <w:rPr>
                <w:rFonts w:asciiTheme="minorHAnsi" w:eastAsiaTheme="minorEastAsia" w:hAnsiTheme="minorHAnsi" w:cstheme="minorBidi"/>
                <w:noProof/>
                <w:kern w:val="2"/>
                <w:lang w:bidi="ar-SA"/>
                <w14:ligatures w14:val="standardContextual"/>
              </w:rPr>
              <w:tab/>
            </w:r>
            <w:r w:rsidRPr="002B3206">
              <w:rPr>
                <w:rStyle w:val="Hyperlink"/>
                <w:noProof/>
              </w:rPr>
              <w:t>Duties / Accountabilities and Responsibilities</w:t>
            </w:r>
            <w:r>
              <w:rPr>
                <w:noProof/>
                <w:webHidden/>
              </w:rPr>
              <w:tab/>
            </w:r>
            <w:r>
              <w:rPr>
                <w:noProof/>
                <w:webHidden/>
              </w:rPr>
              <w:fldChar w:fldCharType="begin"/>
            </w:r>
            <w:r>
              <w:rPr>
                <w:noProof/>
                <w:webHidden/>
              </w:rPr>
              <w:instrText xml:space="preserve"> PAGEREF _Toc190529408 \h </w:instrText>
            </w:r>
            <w:r>
              <w:rPr>
                <w:noProof/>
                <w:webHidden/>
              </w:rPr>
            </w:r>
            <w:r>
              <w:rPr>
                <w:noProof/>
                <w:webHidden/>
              </w:rPr>
              <w:fldChar w:fldCharType="separate"/>
            </w:r>
            <w:r>
              <w:rPr>
                <w:noProof/>
                <w:webHidden/>
              </w:rPr>
              <w:t>6</w:t>
            </w:r>
            <w:r>
              <w:rPr>
                <w:noProof/>
                <w:webHidden/>
              </w:rPr>
              <w:fldChar w:fldCharType="end"/>
            </w:r>
          </w:hyperlink>
        </w:p>
        <w:p w14:paraId="66330D59" w14:textId="53CAD208"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09" w:history="1">
            <w:r w:rsidRPr="002B3206">
              <w:rPr>
                <w:rStyle w:val="Hyperlink"/>
                <w:noProof/>
              </w:rPr>
              <w:t>6.0</w:t>
            </w:r>
            <w:r>
              <w:rPr>
                <w:rFonts w:asciiTheme="minorHAnsi" w:eastAsiaTheme="minorEastAsia" w:hAnsiTheme="minorHAnsi" w:cstheme="minorBidi"/>
                <w:noProof/>
                <w:kern w:val="2"/>
                <w:lang w:bidi="ar-SA"/>
                <w14:ligatures w14:val="standardContextual"/>
              </w:rPr>
              <w:tab/>
            </w:r>
            <w:r w:rsidRPr="002B3206">
              <w:rPr>
                <w:rStyle w:val="Hyperlink"/>
                <w:noProof/>
              </w:rPr>
              <w:t>Procurement Policy Requirements</w:t>
            </w:r>
            <w:r>
              <w:rPr>
                <w:noProof/>
                <w:webHidden/>
              </w:rPr>
              <w:tab/>
            </w:r>
            <w:r>
              <w:rPr>
                <w:noProof/>
                <w:webHidden/>
              </w:rPr>
              <w:fldChar w:fldCharType="begin"/>
            </w:r>
            <w:r>
              <w:rPr>
                <w:noProof/>
                <w:webHidden/>
              </w:rPr>
              <w:instrText xml:space="preserve"> PAGEREF _Toc190529409 \h </w:instrText>
            </w:r>
            <w:r>
              <w:rPr>
                <w:noProof/>
                <w:webHidden/>
              </w:rPr>
            </w:r>
            <w:r>
              <w:rPr>
                <w:noProof/>
                <w:webHidden/>
              </w:rPr>
              <w:fldChar w:fldCharType="separate"/>
            </w:r>
            <w:r>
              <w:rPr>
                <w:noProof/>
                <w:webHidden/>
              </w:rPr>
              <w:t>7</w:t>
            </w:r>
            <w:r>
              <w:rPr>
                <w:noProof/>
                <w:webHidden/>
              </w:rPr>
              <w:fldChar w:fldCharType="end"/>
            </w:r>
          </w:hyperlink>
        </w:p>
        <w:p w14:paraId="4F93F6F5" w14:textId="3DC9F06D"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10" w:history="1">
            <w:r w:rsidRPr="002B3206">
              <w:rPr>
                <w:rStyle w:val="Hyperlink"/>
                <w:noProof/>
              </w:rPr>
              <w:t>7.0</w:t>
            </w:r>
            <w:r>
              <w:rPr>
                <w:rFonts w:asciiTheme="minorHAnsi" w:eastAsiaTheme="minorEastAsia" w:hAnsiTheme="minorHAnsi" w:cstheme="minorBidi"/>
                <w:noProof/>
                <w:kern w:val="2"/>
                <w:lang w:bidi="ar-SA"/>
                <w14:ligatures w14:val="standardContextual"/>
              </w:rPr>
              <w:tab/>
            </w:r>
            <w:r w:rsidRPr="002B3206">
              <w:rPr>
                <w:rStyle w:val="Hyperlink"/>
                <w:noProof/>
              </w:rPr>
              <w:t>Procurement of Health Care Services</w:t>
            </w:r>
            <w:r>
              <w:rPr>
                <w:noProof/>
                <w:webHidden/>
              </w:rPr>
              <w:tab/>
            </w:r>
            <w:r>
              <w:rPr>
                <w:noProof/>
                <w:webHidden/>
              </w:rPr>
              <w:fldChar w:fldCharType="begin"/>
            </w:r>
            <w:r>
              <w:rPr>
                <w:noProof/>
                <w:webHidden/>
              </w:rPr>
              <w:instrText xml:space="preserve"> PAGEREF _Toc190529410 \h </w:instrText>
            </w:r>
            <w:r>
              <w:rPr>
                <w:noProof/>
                <w:webHidden/>
              </w:rPr>
            </w:r>
            <w:r>
              <w:rPr>
                <w:noProof/>
                <w:webHidden/>
              </w:rPr>
              <w:fldChar w:fldCharType="separate"/>
            </w:r>
            <w:r>
              <w:rPr>
                <w:noProof/>
                <w:webHidden/>
              </w:rPr>
              <w:t>10</w:t>
            </w:r>
            <w:r>
              <w:rPr>
                <w:noProof/>
                <w:webHidden/>
              </w:rPr>
              <w:fldChar w:fldCharType="end"/>
            </w:r>
          </w:hyperlink>
        </w:p>
        <w:p w14:paraId="7A75F6DB" w14:textId="0A6ED5AA"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11" w:history="1">
            <w:r w:rsidRPr="002B3206">
              <w:rPr>
                <w:rStyle w:val="Hyperlink"/>
                <w:noProof/>
              </w:rPr>
              <w:t>8.0</w:t>
            </w:r>
            <w:r>
              <w:rPr>
                <w:rFonts w:asciiTheme="minorHAnsi" w:eastAsiaTheme="minorEastAsia" w:hAnsiTheme="minorHAnsi" w:cstheme="minorBidi"/>
                <w:noProof/>
                <w:kern w:val="2"/>
                <w:lang w:bidi="ar-SA"/>
                <w14:ligatures w14:val="standardContextual"/>
              </w:rPr>
              <w:tab/>
            </w:r>
            <w:r w:rsidRPr="002B3206">
              <w:rPr>
                <w:rStyle w:val="Hyperlink"/>
                <w:noProof/>
              </w:rPr>
              <w:t>Procurements of Non Healthcare Services</w:t>
            </w:r>
            <w:r>
              <w:rPr>
                <w:noProof/>
                <w:webHidden/>
              </w:rPr>
              <w:tab/>
            </w:r>
            <w:r>
              <w:rPr>
                <w:noProof/>
                <w:webHidden/>
              </w:rPr>
              <w:fldChar w:fldCharType="begin"/>
            </w:r>
            <w:r>
              <w:rPr>
                <w:noProof/>
                <w:webHidden/>
              </w:rPr>
              <w:instrText xml:space="preserve"> PAGEREF _Toc190529411 \h </w:instrText>
            </w:r>
            <w:r>
              <w:rPr>
                <w:noProof/>
                <w:webHidden/>
              </w:rPr>
            </w:r>
            <w:r>
              <w:rPr>
                <w:noProof/>
                <w:webHidden/>
              </w:rPr>
              <w:fldChar w:fldCharType="separate"/>
            </w:r>
            <w:r>
              <w:rPr>
                <w:noProof/>
                <w:webHidden/>
              </w:rPr>
              <w:t>17</w:t>
            </w:r>
            <w:r>
              <w:rPr>
                <w:noProof/>
                <w:webHidden/>
              </w:rPr>
              <w:fldChar w:fldCharType="end"/>
            </w:r>
          </w:hyperlink>
        </w:p>
        <w:p w14:paraId="1A8C384E" w14:textId="40A55C0D" w:rsidR="009F5CAC" w:rsidRDefault="009F5CAC">
          <w:pPr>
            <w:pStyle w:val="TOC1"/>
            <w:tabs>
              <w:tab w:val="left" w:pos="1200"/>
              <w:tab w:val="right" w:leader="dot" w:pos="9882"/>
            </w:tabs>
            <w:rPr>
              <w:rFonts w:asciiTheme="minorHAnsi" w:eastAsiaTheme="minorEastAsia" w:hAnsiTheme="minorHAnsi" w:cstheme="minorBidi"/>
              <w:noProof/>
              <w:kern w:val="2"/>
              <w:lang w:bidi="ar-SA"/>
              <w14:ligatures w14:val="standardContextual"/>
            </w:rPr>
          </w:pPr>
          <w:hyperlink w:anchor="_Toc190529412" w:history="1">
            <w:r w:rsidRPr="002B3206">
              <w:rPr>
                <w:rStyle w:val="Hyperlink"/>
                <w:rFonts w:eastAsia="Times New Roman"/>
                <w:noProof/>
              </w:rPr>
              <w:t>9.0</w:t>
            </w:r>
            <w:r>
              <w:rPr>
                <w:rFonts w:asciiTheme="minorHAnsi" w:eastAsiaTheme="minorEastAsia" w:hAnsiTheme="minorHAnsi" w:cstheme="minorBidi"/>
                <w:noProof/>
                <w:kern w:val="2"/>
                <w:lang w:bidi="ar-SA"/>
                <w14:ligatures w14:val="standardContextual"/>
              </w:rPr>
              <w:tab/>
            </w:r>
            <w:r w:rsidRPr="002B3206">
              <w:rPr>
                <w:rStyle w:val="Hyperlink"/>
                <w:rFonts w:eastAsia="Times New Roman"/>
                <w:noProof/>
              </w:rPr>
              <w:t>Procurement via Framework Agreements</w:t>
            </w:r>
            <w:r>
              <w:rPr>
                <w:noProof/>
                <w:webHidden/>
              </w:rPr>
              <w:tab/>
            </w:r>
            <w:r>
              <w:rPr>
                <w:noProof/>
                <w:webHidden/>
              </w:rPr>
              <w:fldChar w:fldCharType="begin"/>
            </w:r>
            <w:r>
              <w:rPr>
                <w:noProof/>
                <w:webHidden/>
              </w:rPr>
              <w:instrText xml:space="preserve"> PAGEREF _Toc190529412 \h </w:instrText>
            </w:r>
            <w:r>
              <w:rPr>
                <w:noProof/>
                <w:webHidden/>
              </w:rPr>
            </w:r>
            <w:r>
              <w:rPr>
                <w:noProof/>
                <w:webHidden/>
              </w:rPr>
              <w:fldChar w:fldCharType="separate"/>
            </w:r>
            <w:r>
              <w:rPr>
                <w:noProof/>
                <w:webHidden/>
              </w:rPr>
              <w:t>21</w:t>
            </w:r>
            <w:r>
              <w:rPr>
                <w:noProof/>
                <w:webHidden/>
              </w:rPr>
              <w:fldChar w:fldCharType="end"/>
            </w:r>
          </w:hyperlink>
        </w:p>
        <w:p w14:paraId="1058CED9" w14:textId="20198F36"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3" w:history="1">
            <w:r w:rsidRPr="002B3206">
              <w:rPr>
                <w:rStyle w:val="Hyperlink"/>
                <w:rFonts w:eastAsia="Times New Roman"/>
                <w:noProof/>
              </w:rPr>
              <w:t>10.0</w:t>
            </w:r>
            <w:r>
              <w:rPr>
                <w:rFonts w:asciiTheme="minorHAnsi" w:eastAsiaTheme="minorEastAsia" w:hAnsiTheme="minorHAnsi" w:cstheme="minorBidi"/>
                <w:noProof/>
                <w:kern w:val="2"/>
                <w:lang w:bidi="ar-SA"/>
                <w14:ligatures w14:val="standardContextual"/>
              </w:rPr>
              <w:tab/>
            </w:r>
            <w:r w:rsidRPr="002B3206">
              <w:rPr>
                <w:rStyle w:val="Hyperlink"/>
                <w:rFonts w:eastAsia="Times New Roman"/>
                <w:noProof/>
              </w:rPr>
              <w:t>Contract Award, Contract Signature and Contract Modification Decisions</w:t>
            </w:r>
            <w:r>
              <w:rPr>
                <w:noProof/>
                <w:webHidden/>
              </w:rPr>
              <w:tab/>
            </w:r>
            <w:r>
              <w:rPr>
                <w:noProof/>
                <w:webHidden/>
              </w:rPr>
              <w:fldChar w:fldCharType="begin"/>
            </w:r>
            <w:r>
              <w:rPr>
                <w:noProof/>
                <w:webHidden/>
              </w:rPr>
              <w:instrText xml:space="preserve"> PAGEREF _Toc190529413 \h </w:instrText>
            </w:r>
            <w:r>
              <w:rPr>
                <w:noProof/>
                <w:webHidden/>
              </w:rPr>
            </w:r>
            <w:r>
              <w:rPr>
                <w:noProof/>
                <w:webHidden/>
              </w:rPr>
              <w:fldChar w:fldCharType="separate"/>
            </w:r>
            <w:r>
              <w:rPr>
                <w:noProof/>
                <w:webHidden/>
              </w:rPr>
              <w:t>21</w:t>
            </w:r>
            <w:r>
              <w:rPr>
                <w:noProof/>
                <w:webHidden/>
              </w:rPr>
              <w:fldChar w:fldCharType="end"/>
            </w:r>
          </w:hyperlink>
        </w:p>
        <w:p w14:paraId="3A040B63" w14:textId="1E2D0F01"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4" w:history="1">
            <w:r w:rsidRPr="002B3206">
              <w:rPr>
                <w:rStyle w:val="Hyperlink"/>
                <w:rFonts w:eastAsia="Times New Roman"/>
                <w:noProof/>
              </w:rPr>
              <w:t>11.0</w:t>
            </w:r>
            <w:r>
              <w:rPr>
                <w:rFonts w:asciiTheme="minorHAnsi" w:eastAsiaTheme="minorEastAsia" w:hAnsiTheme="minorHAnsi" w:cstheme="minorBidi"/>
                <w:noProof/>
                <w:kern w:val="2"/>
                <w:lang w:bidi="ar-SA"/>
                <w14:ligatures w14:val="standardContextual"/>
              </w:rPr>
              <w:tab/>
            </w:r>
            <w:r w:rsidRPr="002B3206">
              <w:rPr>
                <w:rStyle w:val="Hyperlink"/>
                <w:rFonts w:eastAsia="Times New Roman"/>
                <w:noProof/>
              </w:rPr>
              <w:t>Public Sector Equality Duty</w:t>
            </w:r>
            <w:r>
              <w:rPr>
                <w:noProof/>
                <w:webHidden/>
              </w:rPr>
              <w:tab/>
            </w:r>
            <w:r>
              <w:rPr>
                <w:noProof/>
                <w:webHidden/>
              </w:rPr>
              <w:fldChar w:fldCharType="begin"/>
            </w:r>
            <w:r>
              <w:rPr>
                <w:noProof/>
                <w:webHidden/>
              </w:rPr>
              <w:instrText xml:space="preserve"> PAGEREF _Toc190529414 \h </w:instrText>
            </w:r>
            <w:r>
              <w:rPr>
                <w:noProof/>
                <w:webHidden/>
              </w:rPr>
            </w:r>
            <w:r>
              <w:rPr>
                <w:noProof/>
                <w:webHidden/>
              </w:rPr>
              <w:fldChar w:fldCharType="separate"/>
            </w:r>
            <w:r>
              <w:rPr>
                <w:noProof/>
                <w:webHidden/>
              </w:rPr>
              <w:t>22</w:t>
            </w:r>
            <w:r>
              <w:rPr>
                <w:noProof/>
                <w:webHidden/>
              </w:rPr>
              <w:fldChar w:fldCharType="end"/>
            </w:r>
          </w:hyperlink>
        </w:p>
        <w:p w14:paraId="4835A36A" w14:textId="3FE62E0E"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5" w:history="1">
            <w:r w:rsidRPr="002B3206">
              <w:rPr>
                <w:rStyle w:val="Hyperlink"/>
                <w:rFonts w:eastAsia="Times New Roman"/>
                <w:noProof/>
              </w:rPr>
              <w:t>12.0</w:t>
            </w:r>
            <w:r>
              <w:rPr>
                <w:rFonts w:asciiTheme="minorHAnsi" w:eastAsiaTheme="minorEastAsia" w:hAnsiTheme="minorHAnsi" w:cstheme="minorBidi"/>
                <w:noProof/>
                <w:kern w:val="2"/>
                <w:lang w:bidi="ar-SA"/>
                <w14:ligatures w14:val="standardContextual"/>
              </w:rPr>
              <w:tab/>
            </w:r>
            <w:r w:rsidRPr="002B3206">
              <w:rPr>
                <w:rStyle w:val="Hyperlink"/>
                <w:noProof/>
              </w:rPr>
              <w:t>Consultation</w:t>
            </w:r>
            <w:r>
              <w:rPr>
                <w:noProof/>
                <w:webHidden/>
              </w:rPr>
              <w:tab/>
            </w:r>
            <w:r>
              <w:rPr>
                <w:noProof/>
                <w:webHidden/>
              </w:rPr>
              <w:fldChar w:fldCharType="begin"/>
            </w:r>
            <w:r>
              <w:rPr>
                <w:noProof/>
                <w:webHidden/>
              </w:rPr>
              <w:instrText xml:space="preserve"> PAGEREF _Toc190529415 \h </w:instrText>
            </w:r>
            <w:r>
              <w:rPr>
                <w:noProof/>
                <w:webHidden/>
              </w:rPr>
            </w:r>
            <w:r>
              <w:rPr>
                <w:noProof/>
                <w:webHidden/>
              </w:rPr>
              <w:fldChar w:fldCharType="separate"/>
            </w:r>
            <w:r>
              <w:rPr>
                <w:noProof/>
                <w:webHidden/>
              </w:rPr>
              <w:t>22</w:t>
            </w:r>
            <w:r>
              <w:rPr>
                <w:noProof/>
                <w:webHidden/>
              </w:rPr>
              <w:fldChar w:fldCharType="end"/>
            </w:r>
          </w:hyperlink>
        </w:p>
        <w:p w14:paraId="4CCAFA2A" w14:textId="187D55FF"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6" w:history="1">
            <w:r w:rsidRPr="002B3206">
              <w:rPr>
                <w:rStyle w:val="Hyperlink"/>
                <w:rFonts w:eastAsia="Times New Roman"/>
                <w:noProof/>
              </w:rPr>
              <w:t>13.0</w:t>
            </w:r>
            <w:r>
              <w:rPr>
                <w:rFonts w:asciiTheme="minorHAnsi" w:eastAsiaTheme="minorEastAsia" w:hAnsiTheme="minorHAnsi" w:cstheme="minorBidi"/>
                <w:noProof/>
                <w:kern w:val="2"/>
                <w:lang w:bidi="ar-SA"/>
                <w14:ligatures w14:val="standardContextual"/>
              </w:rPr>
              <w:tab/>
            </w:r>
            <w:r w:rsidRPr="002B3206">
              <w:rPr>
                <w:rStyle w:val="Hyperlink"/>
                <w:noProof/>
              </w:rPr>
              <w:t>Training</w:t>
            </w:r>
            <w:r>
              <w:rPr>
                <w:noProof/>
                <w:webHidden/>
              </w:rPr>
              <w:tab/>
            </w:r>
            <w:r>
              <w:rPr>
                <w:noProof/>
                <w:webHidden/>
              </w:rPr>
              <w:fldChar w:fldCharType="begin"/>
            </w:r>
            <w:r>
              <w:rPr>
                <w:noProof/>
                <w:webHidden/>
              </w:rPr>
              <w:instrText xml:space="preserve"> PAGEREF _Toc190529416 \h </w:instrText>
            </w:r>
            <w:r>
              <w:rPr>
                <w:noProof/>
                <w:webHidden/>
              </w:rPr>
            </w:r>
            <w:r>
              <w:rPr>
                <w:noProof/>
                <w:webHidden/>
              </w:rPr>
              <w:fldChar w:fldCharType="separate"/>
            </w:r>
            <w:r>
              <w:rPr>
                <w:noProof/>
                <w:webHidden/>
              </w:rPr>
              <w:t>22</w:t>
            </w:r>
            <w:r>
              <w:rPr>
                <w:noProof/>
                <w:webHidden/>
              </w:rPr>
              <w:fldChar w:fldCharType="end"/>
            </w:r>
          </w:hyperlink>
        </w:p>
        <w:p w14:paraId="21EC033D" w14:textId="4A923D92"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7" w:history="1">
            <w:r w:rsidRPr="002B3206">
              <w:rPr>
                <w:rStyle w:val="Hyperlink"/>
                <w:rFonts w:eastAsia="Times New Roman"/>
                <w:noProof/>
              </w:rPr>
              <w:t>14.0</w:t>
            </w:r>
            <w:r>
              <w:rPr>
                <w:rFonts w:asciiTheme="minorHAnsi" w:eastAsiaTheme="minorEastAsia" w:hAnsiTheme="minorHAnsi" w:cstheme="minorBidi"/>
                <w:noProof/>
                <w:kern w:val="2"/>
                <w:lang w:bidi="ar-SA"/>
                <w14:ligatures w14:val="standardContextual"/>
              </w:rPr>
              <w:tab/>
            </w:r>
            <w:r w:rsidRPr="002B3206">
              <w:rPr>
                <w:rStyle w:val="Hyperlink"/>
                <w:noProof/>
              </w:rPr>
              <w:t>Monitoring Compliance with the Document</w:t>
            </w:r>
            <w:r>
              <w:rPr>
                <w:noProof/>
                <w:webHidden/>
              </w:rPr>
              <w:tab/>
            </w:r>
            <w:r>
              <w:rPr>
                <w:noProof/>
                <w:webHidden/>
              </w:rPr>
              <w:fldChar w:fldCharType="begin"/>
            </w:r>
            <w:r>
              <w:rPr>
                <w:noProof/>
                <w:webHidden/>
              </w:rPr>
              <w:instrText xml:space="preserve"> PAGEREF _Toc190529417 \h </w:instrText>
            </w:r>
            <w:r>
              <w:rPr>
                <w:noProof/>
                <w:webHidden/>
              </w:rPr>
            </w:r>
            <w:r>
              <w:rPr>
                <w:noProof/>
                <w:webHidden/>
              </w:rPr>
              <w:fldChar w:fldCharType="separate"/>
            </w:r>
            <w:r>
              <w:rPr>
                <w:noProof/>
                <w:webHidden/>
              </w:rPr>
              <w:t>22</w:t>
            </w:r>
            <w:r>
              <w:rPr>
                <w:noProof/>
                <w:webHidden/>
              </w:rPr>
              <w:fldChar w:fldCharType="end"/>
            </w:r>
          </w:hyperlink>
        </w:p>
        <w:p w14:paraId="7644F6CD" w14:textId="6127B619"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8" w:history="1">
            <w:r w:rsidRPr="002B3206">
              <w:rPr>
                <w:rStyle w:val="Hyperlink"/>
                <w:rFonts w:eastAsia="Times New Roman"/>
                <w:noProof/>
              </w:rPr>
              <w:t>15.0</w:t>
            </w:r>
            <w:r>
              <w:rPr>
                <w:rFonts w:asciiTheme="minorHAnsi" w:eastAsiaTheme="minorEastAsia" w:hAnsiTheme="minorHAnsi" w:cstheme="minorBidi"/>
                <w:noProof/>
                <w:kern w:val="2"/>
                <w:lang w:bidi="ar-SA"/>
                <w14:ligatures w14:val="standardContextual"/>
              </w:rPr>
              <w:tab/>
            </w:r>
            <w:r w:rsidRPr="002B3206">
              <w:rPr>
                <w:rStyle w:val="Hyperlink"/>
                <w:noProof/>
              </w:rPr>
              <w:t>Arrangements for Review</w:t>
            </w:r>
            <w:r>
              <w:rPr>
                <w:noProof/>
                <w:webHidden/>
              </w:rPr>
              <w:tab/>
            </w:r>
            <w:r>
              <w:rPr>
                <w:noProof/>
                <w:webHidden/>
              </w:rPr>
              <w:fldChar w:fldCharType="begin"/>
            </w:r>
            <w:r>
              <w:rPr>
                <w:noProof/>
                <w:webHidden/>
              </w:rPr>
              <w:instrText xml:space="preserve"> PAGEREF _Toc190529418 \h </w:instrText>
            </w:r>
            <w:r>
              <w:rPr>
                <w:noProof/>
                <w:webHidden/>
              </w:rPr>
            </w:r>
            <w:r>
              <w:rPr>
                <w:noProof/>
                <w:webHidden/>
              </w:rPr>
              <w:fldChar w:fldCharType="separate"/>
            </w:r>
            <w:r>
              <w:rPr>
                <w:noProof/>
                <w:webHidden/>
              </w:rPr>
              <w:t>22</w:t>
            </w:r>
            <w:r>
              <w:rPr>
                <w:noProof/>
                <w:webHidden/>
              </w:rPr>
              <w:fldChar w:fldCharType="end"/>
            </w:r>
          </w:hyperlink>
        </w:p>
        <w:p w14:paraId="4EBD06CA" w14:textId="29AFEDF2"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19" w:history="1">
            <w:r w:rsidRPr="002B3206">
              <w:rPr>
                <w:rStyle w:val="Hyperlink"/>
                <w:rFonts w:eastAsia="Times New Roman"/>
                <w:noProof/>
              </w:rPr>
              <w:t>16.0</w:t>
            </w:r>
            <w:r>
              <w:rPr>
                <w:rFonts w:asciiTheme="minorHAnsi" w:eastAsiaTheme="minorEastAsia" w:hAnsiTheme="minorHAnsi" w:cstheme="minorBidi"/>
                <w:noProof/>
                <w:kern w:val="2"/>
                <w:lang w:bidi="ar-SA"/>
                <w14:ligatures w14:val="standardContextual"/>
              </w:rPr>
              <w:tab/>
            </w:r>
            <w:r w:rsidRPr="002B3206">
              <w:rPr>
                <w:rStyle w:val="Hyperlink"/>
                <w:noProof/>
              </w:rPr>
              <w:t>Dissemination</w:t>
            </w:r>
            <w:r>
              <w:rPr>
                <w:noProof/>
                <w:webHidden/>
              </w:rPr>
              <w:tab/>
            </w:r>
            <w:r>
              <w:rPr>
                <w:noProof/>
                <w:webHidden/>
              </w:rPr>
              <w:fldChar w:fldCharType="begin"/>
            </w:r>
            <w:r>
              <w:rPr>
                <w:noProof/>
                <w:webHidden/>
              </w:rPr>
              <w:instrText xml:space="preserve"> PAGEREF _Toc190529419 \h </w:instrText>
            </w:r>
            <w:r>
              <w:rPr>
                <w:noProof/>
                <w:webHidden/>
              </w:rPr>
            </w:r>
            <w:r>
              <w:rPr>
                <w:noProof/>
                <w:webHidden/>
              </w:rPr>
              <w:fldChar w:fldCharType="separate"/>
            </w:r>
            <w:r>
              <w:rPr>
                <w:noProof/>
                <w:webHidden/>
              </w:rPr>
              <w:t>22</w:t>
            </w:r>
            <w:r>
              <w:rPr>
                <w:noProof/>
                <w:webHidden/>
              </w:rPr>
              <w:fldChar w:fldCharType="end"/>
            </w:r>
          </w:hyperlink>
        </w:p>
        <w:p w14:paraId="44BA5803" w14:textId="1915F72F"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20" w:history="1">
            <w:r w:rsidRPr="002B3206">
              <w:rPr>
                <w:rStyle w:val="Hyperlink"/>
                <w:rFonts w:eastAsia="Times New Roman"/>
                <w:noProof/>
              </w:rPr>
              <w:t>17.0</w:t>
            </w:r>
            <w:r>
              <w:rPr>
                <w:rFonts w:asciiTheme="minorHAnsi" w:eastAsiaTheme="minorEastAsia" w:hAnsiTheme="minorHAnsi" w:cstheme="minorBidi"/>
                <w:noProof/>
                <w:kern w:val="2"/>
                <w:lang w:bidi="ar-SA"/>
                <w14:ligatures w14:val="standardContextual"/>
              </w:rPr>
              <w:tab/>
            </w:r>
            <w:r w:rsidRPr="002B3206">
              <w:rPr>
                <w:rStyle w:val="Hyperlink"/>
                <w:rFonts w:eastAsia="Times New Roman"/>
                <w:noProof/>
              </w:rPr>
              <w:t>Associated ICB Governance Publications</w:t>
            </w:r>
            <w:r>
              <w:rPr>
                <w:noProof/>
                <w:webHidden/>
              </w:rPr>
              <w:tab/>
            </w:r>
            <w:r>
              <w:rPr>
                <w:noProof/>
                <w:webHidden/>
              </w:rPr>
              <w:fldChar w:fldCharType="begin"/>
            </w:r>
            <w:r>
              <w:rPr>
                <w:noProof/>
                <w:webHidden/>
              </w:rPr>
              <w:instrText xml:space="preserve"> PAGEREF _Toc190529420 \h </w:instrText>
            </w:r>
            <w:r>
              <w:rPr>
                <w:noProof/>
                <w:webHidden/>
              </w:rPr>
            </w:r>
            <w:r>
              <w:rPr>
                <w:noProof/>
                <w:webHidden/>
              </w:rPr>
              <w:fldChar w:fldCharType="separate"/>
            </w:r>
            <w:r>
              <w:rPr>
                <w:noProof/>
                <w:webHidden/>
              </w:rPr>
              <w:t>23</w:t>
            </w:r>
            <w:r>
              <w:rPr>
                <w:noProof/>
                <w:webHidden/>
              </w:rPr>
              <w:fldChar w:fldCharType="end"/>
            </w:r>
          </w:hyperlink>
        </w:p>
        <w:p w14:paraId="3BCF42C2" w14:textId="2423FF85"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21" w:history="1">
            <w:r w:rsidRPr="002B3206">
              <w:rPr>
                <w:rStyle w:val="Hyperlink"/>
                <w:rFonts w:eastAsia="Times New Roman"/>
                <w:noProof/>
              </w:rPr>
              <w:t>18.0</w:t>
            </w:r>
            <w:r>
              <w:rPr>
                <w:rFonts w:asciiTheme="minorHAnsi" w:eastAsiaTheme="minorEastAsia" w:hAnsiTheme="minorHAnsi" w:cstheme="minorBidi"/>
                <w:noProof/>
                <w:kern w:val="2"/>
                <w:lang w:bidi="ar-SA"/>
                <w14:ligatures w14:val="standardContextual"/>
              </w:rPr>
              <w:tab/>
            </w:r>
            <w:r w:rsidRPr="002B3206">
              <w:rPr>
                <w:rStyle w:val="Hyperlink"/>
                <w:rFonts w:eastAsia="Times New Roman"/>
                <w:noProof/>
              </w:rPr>
              <w:t>R</w:t>
            </w:r>
            <w:r w:rsidRPr="002B3206">
              <w:rPr>
                <w:rStyle w:val="Hyperlink"/>
                <w:noProof/>
              </w:rPr>
              <w:t>eferences</w:t>
            </w:r>
            <w:r>
              <w:rPr>
                <w:noProof/>
                <w:webHidden/>
              </w:rPr>
              <w:tab/>
            </w:r>
            <w:r>
              <w:rPr>
                <w:noProof/>
                <w:webHidden/>
              </w:rPr>
              <w:fldChar w:fldCharType="begin"/>
            </w:r>
            <w:r>
              <w:rPr>
                <w:noProof/>
                <w:webHidden/>
              </w:rPr>
              <w:instrText xml:space="preserve"> PAGEREF _Toc190529421 \h </w:instrText>
            </w:r>
            <w:r>
              <w:rPr>
                <w:noProof/>
                <w:webHidden/>
              </w:rPr>
            </w:r>
            <w:r>
              <w:rPr>
                <w:noProof/>
                <w:webHidden/>
              </w:rPr>
              <w:fldChar w:fldCharType="separate"/>
            </w:r>
            <w:r>
              <w:rPr>
                <w:noProof/>
                <w:webHidden/>
              </w:rPr>
              <w:t>23</w:t>
            </w:r>
            <w:r>
              <w:rPr>
                <w:noProof/>
                <w:webHidden/>
              </w:rPr>
              <w:fldChar w:fldCharType="end"/>
            </w:r>
          </w:hyperlink>
        </w:p>
        <w:p w14:paraId="1940D3E3" w14:textId="45E15B5C" w:rsidR="009F5CAC" w:rsidRDefault="009F5CAC">
          <w:pPr>
            <w:pStyle w:val="TOC1"/>
            <w:tabs>
              <w:tab w:val="left" w:pos="1440"/>
              <w:tab w:val="right" w:leader="dot" w:pos="9882"/>
            </w:tabs>
            <w:rPr>
              <w:rFonts w:asciiTheme="minorHAnsi" w:eastAsiaTheme="minorEastAsia" w:hAnsiTheme="minorHAnsi" w:cstheme="minorBidi"/>
              <w:noProof/>
              <w:kern w:val="2"/>
              <w:lang w:bidi="ar-SA"/>
              <w14:ligatures w14:val="standardContextual"/>
            </w:rPr>
          </w:pPr>
          <w:hyperlink w:anchor="_Toc190529422" w:history="1">
            <w:r w:rsidRPr="002B3206">
              <w:rPr>
                <w:rStyle w:val="Hyperlink"/>
                <w:rFonts w:eastAsia="Times New Roman"/>
                <w:noProof/>
              </w:rPr>
              <w:t>19.0</w:t>
            </w:r>
            <w:r>
              <w:rPr>
                <w:rFonts w:asciiTheme="minorHAnsi" w:eastAsiaTheme="minorEastAsia" w:hAnsiTheme="minorHAnsi" w:cstheme="minorBidi"/>
                <w:noProof/>
                <w:kern w:val="2"/>
                <w:lang w:bidi="ar-SA"/>
                <w14:ligatures w14:val="standardContextual"/>
              </w:rPr>
              <w:tab/>
            </w:r>
            <w:r w:rsidRPr="002B3206">
              <w:rPr>
                <w:rStyle w:val="Hyperlink"/>
                <w:noProof/>
              </w:rPr>
              <w:t>Appendices</w:t>
            </w:r>
            <w:r>
              <w:rPr>
                <w:noProof/>
                <w:webHidden/>
              </w:rPr>
              <w:tab/>
            </w:r>
            <w:r>
              <w:rPr>
                <w:noProof/>
                <w:webHidden/>
              </w:rPr>
              <w:fldChar w:fldCharType="begin"/>
            </w:r>
            <w:r>
              <w:rPr>
                <w:noProof/>
                <w:webHidden/>
              </w:rPr>
              <w:instrText xml:space="preserve"> PAGEREF _Toc190529422 \h </w:instrText>
            </w:r>
            <w:r>
              <w:rPr>
                <w:noProof/>
                <w:webHidden/>
              </w:rPr>
            </w:r>
            <w:r>
              <w:rPr>
                <w:noProof/>
                <w:webHidden/>
              </w:rPr>
              <w:fldChar w:fldCharType="separate"/>
            </w:r>
            <w:r>
              <w:rPr>
                <w:noProof/>
                <w:webHidden/>
              </w:rPr>
              <w:t>23</w:t>
            </w:r>
            <w:r>
              <w:rPr>
                <w:noProof/>
                <w:webHidden/>
              </w:rPr>
              <w:fldChar w:fldCharType="end"/>
            </w:r>
          </w:hyperlink>
        </w:p>
        <w:p w14:paraId="670D62E9" w14:textId="22FF91D1" w:rsidR="009F5CAC" w:rsidRDefault="009F5CAC">
          <w:pPr>
            <w:pStyle w:val="TOC1"/>
            <w:tabs>
              <w:tab w:val="right" w:leader="dot" w:pos="9882"/>
            </w:tabs>
            <w:rPr>
              <w:rFonts w:asciiTheme="minorHAnsi" w:eastAsiaTheme="minorEastAsia" w:hAnsiTheme="minorHAnsi" w:cstheme="minorBidi"/>
              <w:noProof/>
              <w:kern w:val="2"/>
              <w:lang w:bidi="ar-SA"/>
              <w14:ligatures w14:val="standardContextual"/>
            </w:rPr>
          </w:pPr>
          <w:hyperlink w:anchor="_Toc190529423" w:history="1">
            <w:r w:rsidRPr="002B3206">
              <w:rPr>
                <w:rStyle w:val="Hyperlink"/>
                <w:noProof/>
              </w:rPr>
              <w:t>APPENDIX A – Procurement Act 2023 Transparency Notices</w:t>
            </w:r>
            <w:r>
              <w:rPr>
                <w:noProof/>
                <w:webHidden/>
              </w:rPr>
              <w:tab/>
            </w:r>
            <w:r>
              <w:rPr>
                <w:noProof/>
                <w:webHidden/>
              </w:rPr>
              <w:fldChar w:fldCharType="begin"/>
            </w:r>
            <w:r>
              <w:rPr>
                <w:noProof/>
                <w:webHidden/>
              </w:rPr>
              <w:instrText xml:space="preserve"> PAGEREF _Toc190529423 \h </w:instrText>
            </w:r>
            <w:r>
              <w:rPr>
                <w:noProof/>
                <w:webHidden/>
              </w:rPr>
            </w:r>
            <w:r>
              <w:rPr>
                <w:noProof/>
                <w:webHidden/>
              </w:rPr>
              <w:fldChar w:fldCharType="separate"/>
            </w:r>
            <w:r>
              <w:rPr>
                <w:noProof/>
                <w:webHidden/>
              </w:rPr>
              <w:t>24</w:t>
            </w:r>
            <w:r>
              <w:rPr>
                <w:noProof/>
                <w:webHidden/>
              </w:rPr>
              <w:fldChar w:fldCharType="end"/>
            </w:r>
          </w:hyperlink>
        </w:p>
        <w:p w14:paraId="4AA91624" w14:textId="07986E5F" w:rsidR="00515EAD" w:rsidRDefault="00515EAD" w:rsidP="00AE508A">
          <w:pPr>
            <w:spacing w:line="276" w:lineRule="auto"/>
          </w:pPr>
          <w:r w:rsidRPr="00326B98">
            <w:rPr>
              <w:noProof/>
            </w:rPr>
            <w:fldChar w:fldCharType="end"/>
          </w:r>
        </w:p>
      </w:sdtContent>
    </w:sdt>
    <w:p w14:paraId="1AC903E4" w14:textId="77777777" w:rsidR="001B0BFE" w:rsidRPr="00D21A8A" w:rsidRDefault="001B0BFE">
      <w:pPr>
        <w:sectPr w:rsidR="001B0BFE" w:rsidRPr="00D21A8A" w:rsidSect="00017ECA">
          <w:pgSz w:w="11900" w:h="16850"/>
          <w:pgMar w:top="1600" w:right="1268" w:bottom="1020" w:left="740" w:header="244" w:footer="807" w:gutter="0"/>
          <w:cols w:space="720"/>
        </w:sectPr>
      </w:pPr>
    </w:p>
    <w:p w14:paraId="1BF824B1" w14:textId="587CA328" w:rsidR="001B0BFE" w:rsidRPr="004D6F55" w:rsidRDefault="00EC709A" w:rsidP="00870FCB">
      <w:pPr>
        <w:pStyle w:val="Heading1"/>
        <w:numPr>
          <w:ilvl w:val="0"/>
          <w:numId w:val="7"/>
        </w:numPr>
        <w:jc w:val="left"/>
      </w:pPr>
      <w:bookmarkStart w:id="0" w:name="_Toc190529404"/>
      <w:r w:rsidRPr="004D6F55">
        <w:t>Introduction</w:t>
      </w:r>
      <w:bookmarkEnd w:id="0"/>
    </w:p>
    <w:p w14:paraId="2EBB25D2" w14:textId="3E08E1ED" w:rsidR="00D21A8A" w:rsidRPr="00507ECC" w:rsidRDefault="00D21A8A" w:rsidP="003376A5">
      <w:pPr>
        <w:pStyle w:val="BodyText"/>
        <w:ind w:left="720" w:right="53"/>
        <w:rPr>
          <w:bCs/>
        </w:rPr>
      </w:pPr>
      <w:r w:rsidRPr="00507ECC">
        <w:t xml:space="preserve">The NHS Humber and North Yorkshire Integrated Care </w:t>
      </w:r>
      <w:r w:rsidRPr="00507ECC">
        <w:rPr>
          <w:bCs/>
        </w:rPr>
        <w:t>Board (ICB) is committed to procuring services that improve the health across our local community.</w:t>
      </w:r>
    </w:p>
    <w:p w14:paraId="0D8937AD" w14:textId="64299075" w:rsidR="00D21A8A" w:rsidRPr="00507ECC" w:rsidRDefault="00D21A8A" w:rsidP="003376A5">
      <w:pPr>
        <w:pStyle w:val="BodyText"/>
        <w:ind w:left="720" w:right="53"/>
        <w:rPr>
          <w:bCs/>
        </w:rPr>
      </w:pPr>
    </w:p>
    <w:p w14:paraId="2997C394" w14:textId="3924BA8D" w:rsidR="00D21A8A" w:rsidRPr="00507ECC" w:rsidRDefault="00D21A8A" w:rsidP="003376A5">
      <w:pPr>
        <w:pStyle w:val="BodyText"/>
        <w:ind w:left="720" w:right="53"/>
        <w:rPr>
          <w:bCs/>
        </w:rPr>
      </w:pPr>
      <w:r w:rsidRPr="00507ECC">
        <w:rPr>
          <w:bCs/>
        </w:rPr>
        <w:t xml:space="preserve">This policy </w:t>
      </w:r>
      <w:r w:rsidR="00D1754C">
        <w:rPr>
          <w:bCs/>
        </w:rPr>
        <w:t xml:space="preserve">is a key governance document for </w:t>
      </w:r>
      <w:r w:rsidR="008E173C">
        <w:rPr>
          <w:bCs/>
        </w:rPr>
        <w:t xml:space="preserve">NHS Humber and North Yorkshire </w:t>
      </w:r>
      <w:r w:rsidR="00D1754C">
        <w:rPr>
          <w:bCs/>
        </w:rPr>
        <w:t xml:space="preserve">ICB and supports the Standing Financial Instructions and is aligned to the Operational Scheme of Delegation. The Procurement Policy </w:t>
      </w:r>
      <w:r w:rsidR="00D45A97" w:rsidRPr="00507ECC">
        <w:rPr>
          <w:bCs/>
        </w:rPr>
        <w:t xml:space="preserve">sets out how </w:t>
      </w:r>
      <w:r w:rsidR="008E173C">
        <w:rPr>
          <w:bCs/>
        </w:rPr>
        <w:t>NHS Humber and North Yorkshire</w:t>
      </w:r>
      <w:r w:rsidR="00D45A97" w:rsidRPr="00507ECC">
        <w:rPr>
          <w:bCs/>
        </w:rPr>
        <w:t xml:space="preserve"> ICB undertakes procurement</w:t>
      </w:r>
      <w:r w:rsidR="00D1754C">
        <w:rPr>
          <w:bCs/>
        </w:rPr>
        <w:t>s</w:t>
      </w:r>
      <w:r w:rsidR="00D45A97" w:rsidRPr="00507ECC">
        <w:rPr>
          <w:bCs/>
        </w:rPr>
        <w:t xml:space="preserve"> and the associated decision making </w:t>
      </w:r>
      <w:proofErr w:type="gramStart"/>
      <w:r w:rsidR="00D45A97" w:rsidRPr="00507ECC">
        <w:rPr>
          <w:bCs/>
        </w:rPr>
        <w:t xml:space="preserve">with </w:t>
      </w:r>
      <w:r w:rsidR="00D1754C">
        <w:rPr>
          <w:bCs/>
        </w:rPr>
        <w:t>regard to</w:t>
      </w:r>
      <w:proofErr w:type="gramEnd"/>
      <w:r w:rsidR="00D1754C">
        <w:rPr>
          <w:bCs/>
        </w:rPr>
        <w:t xml:space="preserve"> </w:t>
      </w:r>
      <w:r w:rsidR="00D45A97" w:rsidRPr="00507ECC">
        <w:rPr>
          <w:bCs/>
        </w:rPr>
        <w:t>the relevant legislation, particularly the</w:t>
      </w:r>
      <w:r w:rsidR="00B7664A">
        <w:rPr>
          <w:bCs/>
        </w:rPr>
        <w:t xml:space="preserve"> Provider Selection Regime and the</w:t>
      </w:r>
      <w:r w:rsidR="00D45A97" w:rsidRPr="00507ECC">
        <w:rPr>
          <w:bCs/>
        </w:rPr>
        <w:t xml:space="preserve"> </w:t>
      </w:r>
      <w:r w:rsidR="00A6436C">
        <w:rPr>
          <w:bCs/>
        </w:rPr>
        <w:t>Procurement Act 2023</w:t>
      </w:r>
      <w:r w:rsidR="00D45A97" w:rsidRPr="00507ECC">
        <w:rPr>
          <w:bCs/>
        </w:rPr>
        <w:t>.</w:t>
      </w:r>
    </w:p>
    <w:p w14:paraId="08E89ADC" w14:textId="73C1F960" w:rsidR="001B0BFE" w:rsidRDefault="001B0BFE" w:rsidP="003376A5">
      <w:pPr>
        <w:pStyle w:val="BodyText"/>
        <w:spacing w:before="4"/>
        <w:ind w:left="720"/>
      </w:pPr>
    </w:p>
    <w:p w14:paraId="089DAE93" w14:textId="77777777" w:rsidR="00507ECC" w:rsidRPr="00507ECC" w:rsidRDefault="00507ECC" w:rsidP="003376A5">
      <w:pPr>
        <w:pStyle w:val="BodyText"/>
        <w:spacing w:before="4"/>
        <w:ind w:left="720"/>
      </w:pPr>
    </w:p>
    <w:p w14:paraId="5E8996CD" w14:textId="716B6B80" w:rsidR="001B0BFE" w:rsidRPr="00507ECC" w:rsidRDefault="00EC709A" w:rsidP="00870FCB">
      <w:pPr>
        <w:pStyle w:val="Heading1"/>
        <w:numPr>
          <w:ilvl w:val="0"/>
          <w:numId w:val="7"/>
        </w:numPr>
        <w:jc w:val="left"/>
      </w:pPr>
      <w:bookmarkStart w:id="1" w:name="_Toc190529405"/>
      <w:r w:rsidRPr="00507ECC">
        <w:t>Purpose</w:t>
      </w:r>
      <w:bookmarkEnd w:id="1"/>
    </w:p>
    <w:p w14:paraId="5ED71A43" w14:textId="26DC4ABF" w:rsidR="00D45A97" w:rsidRPr="004D6F55" w:rsidRDefault="00FC076A" w:rsidP="003376A5">
      <w:pPr>
        <w:pStyle w:val="BodyText"/>
        <w:spacing w:before="9"/>
        <w:ind w:left="720"/>
        <w:rPr>
          <w:bCs/>
          <w:szCs w:val="32"/>
        </w:rPr>
      </w:pPr>
      <w:r w:rsidRPr="004D6F55">
        <w:rPr>
          <w:bCs/>
          <w:szCs w:val="32"/>
        </w:rPr>
        <w:t xml:space="preserve">The purpose of this policy is to provide </w:t>
      </w:r>
      <w:r w:rsidR="008E173C">
        <w:rPr>
          <w:bCs/>
        </w:rPr>
        <w:t>NHS Humber and North Yorkshire</w:t>
      </w:r>
      <w:r w:rsidRPr="004D6F55">
        <w:rPr>
          <w:bCs/>
          <w:szCs w:val="32"/>
        </w:rPr>
        <w:t xml:space="preserve"> ICB with a document that describes how to approach procurement considerations, decision making, and processes to ensure that the contracts agreed by </w:t>
      </w:r>
      <w:r w:rsidR="008E173C">
        <w:rPr>
          <w:bCs/>
        </w:rPr>
        <w:t xml:space="preserve">NHS Humber and North Yorkshire </w:t>
      </w:r>
      <w:r w:rsidRPr="004D6F55">
        <w:rPr>
          <w:bCs/>
          <w:szCs w:val="32"/>
        </w:rPr>
        <w:t xml:space="preserve">ICB are robust and have regard to the relevant legislation, regulations and guidance. </w:t>
      </w:r>
    </w:p>
    <w:p w14:paraId="70CC347D" w14:textId="65069A84" w:rsidR="00FC076A" w:rsidRPr="004D6F55" w:rsidRDefault="00FC076A" w:rsidP="003376A5">
      <w:pPr>
        <w:pStyle w:val="BodyText"/>
        <w:spacing w:before="9"/>
        <w:ind w:left="720"/>
        <w:rPr>
          <w:bCs/>
          <w:szCs w:val="32"/>
        </w:rPr>
      </w:pPr>
    </w:p>
    <w:p w14:paraId="4962A493" w14:textId="5889C307" w:rsidR="00FC076A" w:rsidRPr="004D6F55" w:rsidRDefault="00FC076A" w:rsidP="003376A5">
      <w:pPr>
        <w:pStyle w:val="BodyText"/>
        <w:spacing w:before="9"/>
        <w:ind w:left="720"/>
        <w:rPr>
          <w:bCs/>
          <w:szCs w:val="32"/>
        </w:rPr>
      </w:pPr>
      <w:r w:rsidRPr="004D6F55">
        <w:rPr>
          <w:bCs/>
          <w:szCs w:val="32"/>
        </w:rPr>
        <w:t xml:space="preserve">This policy also </w:t>
      </w:r>
      <w:r w:rsidR="00507ECC" w:rsidRPr="004D6F55">
        <w:rPr>
          <w:bCs/>
          <w:szCs w:val="32"/>
        </w:rPr>
        <w:t>describes the wider context for procurement and contracting decision</w:t>
      </w:r>
      <w:r w:rsidR="009C0CCD">
        <w:rPr>
          <w:bCs/>
          <w:szCs w:val="32"/>
        </w:rPr>
        <w:t>s</w:t>
      </w:r>
      <w:r w:rsidR="00507ECC" w:rsidRPr="004D6F55">
        <w:rPr>
          <w:bCs/>
          <w:szCs w:val="32"/>
        </w:rPr>
        <w:t xml:space="preserve"> such as patient and public engagement and involvement as well as signposting to specialist technical support from within the</w:t>
      </w:r>
      <w:r w:rsidR="00586739">
        <w:rPr>
          <w:bCs/>
          <w:szCs w:val="32"/>
        </w:rPr>
        <w:t xml:space="preserve"> </w:t>
      </w:r>
      <w:r w:rsidR="00586739">
        <w:rPr>
          <w:bCs/>
        </w:rPr>
        <w:t>NHS Humber and North Yorkshire</w:t>
      </w:r>
      <w:r w:rsidR="00507ECC" w:rsidRPr="004D6F55">
        <w:rPr>
          <w:bCs/>
          <w:szCs w:val="32"/>
        </w:rPr>
        <w:t xml:space="preserve"> ICB team.</w:t>
      </w:r>
    </w:p>
    <w:p w14:paraId="21A9D64B" w14:textId="77777777" w:rsidR="00986F68" w:rsidRPr="003A05EC" w:rsidRDefault="00986F68" w:rsidP="003376A5">
      <w:pPr>
        <w:pStyle w:val="BodyText"/>
        <w:spacing w:before="3"/>
        <w:rPr>
          <w:bCs/>
          <w:sz w:val="32"/>
        </w:rPr>
      </w:pPr>
    </w:p>
    <w:p w14:paraId="7602399C" w14:textId="488BF597" w:rsidR="001B0BFE" w:rsidRPr="00507ECC" w:rsidRDefault="00EC709A" w:rsidP="00870FCB">
      <w:pPr>
        <w:pStyle w:val="Heading1"/>
        <w:numPr>
          <w:ilvl w:val="0"/>
          <w:numId w:val="7"/>
        </w:numPr>
        <w:jc w:val="left"/>
      </w:pPr>
      <w:bookmarkStart w:id="2" w:name="_Toc190529406"/>
      <w:r w:rsidRPr="00507ECC">
        <w:t>Definitions / Explanation of</w:t>
      </w:r>
      <w:r w:rsidRPr="003A05EC">
        <w:t xml:space="preserve"> </w:t>
      </w:r>
      <w:r w:rsidRPr="00507ECC">
        <w:t>Terms</w:t>
      </w:r>
      <w:bookmarkEnd w:id="2"/>
    </w:p>
    <w:p w14:paraId="4E691F9D" w14:textId="77777777" w:rsidR="001B0BFE" w:rsidRPr="00507ECC" w:rsidRDefault="001B0BFE" w:rsidP="003376A5">
      <w:pPr>
        <w:pStyle w:val="BodyText"/>
        <w:spacing w:before="9"/>
        <w:rPr>
          <w:b/>
          <w:sz w:val="20"/>
        </w:rPr>
      </w:pPr>
    </w:p>
    <w:tbl>
      <w:tblPr>
        <w:tblStyle w:val="TableGrid"/>
        <w:tblW w:w="0" w:type="auto"/>
        <w:tblInd w:w="988" w:type="dxa"/>
        <w:tblLook w:val="04A0" w:firstRow="1" w:lastRow="0" w:firstColumn="1" w:lastColumn="0" w:noHBand="0" w:noVBand="1"/>
      </w:tblPr>
      <w:tblGrid>
        <w:gridCol w:w="3118"/>
        <w:gridCol w:w="5114"/>
      </w:tblGrid>
      <w:tr w:rsidR="00C00BE7" w14:paraId="237BFB9A" w14:textId="77777777" w:rsidTr="00C00BE7">
        <w:tc>
          <w:tcPr>
            <w:tcW w:w="3118" w:type="dxa"/>
          </w:tcPr>
          <w:p w14:paraId="3CF0BC14" w14:textId="4C576156" w:rsidR="00C00BE7" w:rsidRDefault="00C00BE7" w:rsidP="003376A5">
            <w:pPr>
              <w:pStyle w:val="BodyText"/>
              <w:spacing w:before="3"/>
            </w:pPr>
            <w:r>
              <w:t>Conflict of Interest</w:t>
            </w:r>
          </w:p>
        </w:tc>
        <w:tc>
          <w:tcPr>
            <w:tcW w:w="5114" w:type="dxa"/>
          </w:tcPr>
          <w:p w14:paraId="124622CA" w14:textId="567A68C9" w:rsidR="00C00BE7" w:rsidRDefault="00C00BE7" w:rsidP="003376A5">
            <w:pPr>
              <w:pStyle w:val="BodyText"/>
              <w:spacing w:before="3"/>
            </w:pPr>
            <w:r>
              <w:t>A</w:t>
            </w:r>
            <w:r w:rsidRPr="00C00BE7">
              <w:t xml:space="preserve"> situation where </w:t>
            </w:r>
            <w:r w:rsidR="00986F68">
              <w:t xml:space="preserve">individuals </w:t>
            </w:r>
            <w:r w:rsidRPr="00C00BE7">
              <w:t>have a direct or indirect financial, economic or other personal interest which might be perceived to compromise their impartiality and independence in the procurement process</w:t>
            </w:r>
            <w:r w:rsidR="00986F68">
              <w:t>.</w:t>
            </w:r>
          </w:p>
          <w:p w14:paraId="7A6C300A" w14:textId="2448A747" w:rsidR="00C00BE7" w:rsidRDefault="00C00BE7" w:rsidP="003376A5">
            <w:pPr>
              <w:pStyle w:val="BodyText"/>
              <w:spacing w:before="3"/>
            </w:pPr>
          </w:p>
        </w:tc>
      </w:tr>
      <w:tr w:rsidR="00C00BE7" w14:paraId="16274A9E" w14:textId="77777777" w:rsidTr="00C00BE7">
        <w:tc>
          <w:tcPr>
            <w:tcW w:w="3118" w:type="dxa"/>
          </w:tcPr>
          <w:p w14:paraId="6670021C" w14:textId="795EB383" w:rsidR="00C00BE7" w:rsidRDefault="00C00BE7" w:rsidP="003376A5">
            <w:pPr>
              <w:pStyle w:val="BodyText"/>
              <w:spacing w:before="3"/>
            </w:pPr>
            <w:r>
              <w:t>Contract</w:t>
            </w:r>
          </w:p>
        </w:tc>
        <w:tc>
          <w:tcPr>
            <w:tcW w:w="5114" w:type="dxa"/>
          </w:tcPr>
          <w:p w14:paraId="488C5062" w14:textId="77777777" w:rsidR="00C00BE7" w:rsidRDefault="00E061F1" w:rsidP="003376A5">
            <w:pPr>
              <w:pStyle w:val="BodyText"/>
              <w:spacing w:before="3"/>
            </w:pPr>
            <w:r>
              <w:t>A binding agreement between two or more parties.</w:t>
            </w:r>
          </w:p>
          <w:p w14:paraId="720DCABB" w14:textId="5AE97076" w:rsidR="00E061F1" w:rsidRDefault="00E061F1" w:rsidP="003376A5">
            <w:pPr>
              <w:pStyle w:val="BodyText"/>
              <w:spacing w:before="3"/>
            </w:pPr>
          </w:p>
        </w:tc>
      </w:tr>
      <w:tr w:rsidR="00C00BE7" w14:paraId="6324C9B6" w14:textId="77777777" w:rsidTr="00C00BE7">
        <w:tc>
          <w:tcPr>
            <w:tcW w:w="3118" w:type="dxa"/>
          </w:tcPr>
          <w:p w14:paraId="7E5AAA45" w14:textId="37E18310" w:rsidR="00C00BE7" w:rsidRDefault="00C00BE7" w:rsidP="003376A5">
            <w:pPr>
              <w:pStyle w:val="BodyText"/>
              <w:spacing w:before="3"/>
            </w:pPr>
            <w:r>
              <w:t>Engagement</w:t>
            </w:r>
          </w:p>
        </w:tc>
        <w:tc>
          <w:tcPr>
            <w:tcW w:w="5114" w:type="dxa"/>
          </w:tcPr>
          <w:p w14:paraId="73786C52" w14:textId="0DC9C394" w:rsidR="00C00BE7" w:rsidRDefault="00E061F1" w:rsidP="003376A5">
            <w:pPr>
              <w:pStyle w:val="BodyText"/>
              <w:spacing w:before="3"/>
            </w:pPr>
            <w:r>
              <w:t>Individual or collective feedback from service users to inform, influence and improve future provision.</w:t>
            </w:r>
          </w:p>
          <w:p w14:paraId="7743125F" w14:textId="39C91D5E" w:rsidR="00E061F1" w:rsidRDefault="00E061F1" w:rsidP="003376A5">
            <w:pPr>
              <w:pStyle w:val="BodyText"/>
              <w:spacing w:before="3"/>
            </w:pPr>
          </w:p>
        </w:tc>
      </w:tr>
      <w:tr w:rsidR="00C00BE7" w14:paraId="502C072D" w14:textId="77777777" w:rsidTr="00C00BE7">
        <w:tc>
          <w:tcPr>
            <w:tcW w:w="3118" w:type="dxa"/>
          </w:tcPr>
          <w:p w14:paraId="155B270F" w14:textId="1BBA4192" w:rsidR="00C00BE7" w:rsidRDefault="00C00BE7" w:rsidP="003376A5">
            <w:pPr>
              <w:pStyle w:val="BodyText"/>
              <w:spacing w:before="3"/>
            </w:pPr>
            <w:r>
              <w:t>Framework Agreement</w:t>
            </w:r>
          </w:p>
        </w:tc>
        <w:tc>
          <w:tcPr>
            <w:tcW w:w="5114" w:type="dxa"/>
          </w:tcPr>
          <w:p w14:paraId="64F6190D" w14:textId="250B3C23" w:rsidR="00986F68" w:rsidRDefault="00E061F1" w:rsidP="003376A5">
            <w:pPr>
              <w:pStyle w:val="BodyText"/>
              <w:spacing w:before="3"/>
            </w:pPr>
            <w:r>
              <w:t>A</w:t>
            </w:r>
            <w:r w:rsidRPr="00E061F1">
              <w:t>n ‘umbrella’ agreement between one or more buyers and a single supplier or multiple suppliers.</w:t>
            </w:r>
          </w:p>
        </w:tc>
      </w:tr>
      <w:tr w:rsidR="00C00BE7" w14:paraId="50966933" w14:textId="77777777" w:rsidTr="00C00BE7">
        <w:tc>
          <w:tcPr>
            <w:tcW w:w="3118" w:type="dxa"/>
          </w:tcPr>
          <w:p w14:paraId="441C2210" w14:textId="2925B400" w:rsidR="00C00BE7" w:rsidRDefault="00C00BE7" w:rsidP="003376A5">
            <w:pPr>
              <w:pStyle w:val="BodyText"/>
              <w:spacing w:before="3"/>
            </w:pPr>
            <w:r>
              <w:t>Procurement</w:t>
            </w:r>
          </w:p>
        </w:tc>
        <w:tc>
          <w:tcPr>
            <w:tcW w:w="5114" w:type="dxa"/>
          </w:tcPr>
          <w:p w14:paraId="06539C0E" w14:textId="4BE4430F" w:rsidR="00986F68" w:rsidRDefault="00E061F1" w:rsidP="003376A5">
            <w:pPr>
              <w:pStyle w:val="BodyText"/>
              <w:spacing w:before="3"/>
            </w:pPr>
            <w:r>
              <w:t xml:space="preserve">Procurement activities include identifying and specifying the need, acquiring and managing the supply of goods or services from a third party, purchasing, contracting, contract and supplier management and supply chain management. </w:t>
            </w:r>
          </w:p>
        </w:tc>
      </w:tr>
      <w:tr w:rsidR="004D6F55" w14:paraId="358676DC" w14:textId="77777777" w:rsidTr="00C00BE7">
        <w:tc>
          <w:tcPr>
            <w:tcW w:w="3118" w:type="dxa"/>
          </w:tcPr>
          <w:p w14:paraId="03010C93" w14:textId="793A0777" w:rsidR="004D6F55" w:rsidRDefault="004D6F55" w:rsidP="003376A5">
            <w:pPr>
              <w:pStyle w:val="BodyText"/>
              <w:spacing w:before="3"/>
            </w:pPr>
            <w:r>
              <w:t>Provider</w:t>
            </w:r>
          </w:p>
        </w:tc>
        <w:tc>
          <w:tcPr>
            <w:tcW w:w="5114" w:type="dxa"/>
          </w:tcPr>
          <w:p w14:paraId="3C05A0A0" w14:textId="7F6FE4D4" w:rsidR="004D6F55" w:rsidRDefault="004D6F55" w:rsidP="003376A5">
            <w:pPr>
              <w:pStyle w:val="BodyText"/>
              <w:spacing w:before="3"/>
            </w:pPr>
            <w:r>
              <w:t>As defined by the NHS Standard Contract</w:t>
            </w:r>
            <w:r w:rsidR="002720C6">
              <w:t xml:space="preserve"> used for the provision of healthcare services</w:t>
            </w:r>
            <w:r>
              <w:t xml:space="preserve">, </w:t>
            </w:r>
            <w:r w:rsidRPr="004D6F55">
              <w:t xml:space="preserve">the party identified </w:t>
            </w:r>
            <w:r w:rsidR="002720C6">
              <w:t xml:space="preserve">to deliver </w:t>
            </w:r>
            <w:r w:rsidRPr="004D6F55">
              <w:t xml:space="preserve">such </w:t>
            </w:r>
            <w:r w:rsidR="002720C6">
              <w:t>services.</w:t>
            </w:r>
          </w:p>
          <w:p w14:paraId="5A4C2078" w14:textId="1B7D968F" w:rsidR="002720C6" w:rsidRDefault="002720C6" w:rsidP="003376A5">
            <w:pPr>
              <w:pStyle w:val="BodyText"/>
              <w:spacing w:before="3"/>
            </w:pPr>
          </w:p>
        </w:tc>
      </w:tr>
      <w:tr w:rsidR="00C00BE7" w14:paraId="23FFEC61" w14:textId="77777777" w:rsidTr="00C00BE7">
        <w:tc>
          <w:tcPr>
            <w:tcW w:w="3118" w:type="dxa"/>
          </w:tcPr>
          <w:p w14:paraId="2FFB12AB" w14:textId="5A6956A6" w:rsidR="00C00BE7" w:rsidRDefault="00C00BE7" w:rsidP="003376A5">
            <w:pPr>
              <w:pStyle w:val="BodyText"/>
              <w:spacing w:before="3"/>
            </w:pPr>
            <w:r>
              <w:t>Quotation</w:t>
            </w:r>
          </w:p>
        </w:tc>
        <w:tc>
          <w:tcPr>
            <w:tcW w:w="5114" w:type="dxa"/>
          </w:tcPr>
          <w:p w14:paraId="53172F81" w14:textId="77777777" w:rsidR="00C00BE7" w:rsidRDefault="00986F68" w:rsidP="003376A5">
            <w:pPr>
              <w:pStyle w:val="BodyText"/>
              <w:spacing w:before="3"/>
            </w:pPr>
            <w:r>
              <w:t>An abbreviated version of tender for lower value procurements.</w:t>
            </w:r>
          </w:p>
          <w:p w14:paraId="4E08004A" w14:textId="22E8ABE5" w:rsidR="00986F68" w:rsidRDefault="00986F68" w:rsidP="003376A5">
            <w:pPr>
              <w:pStyle w:val="BodyText"/>
              <w:spacing w:before="3"/>
            </w:pPr>
          </w:p>
        </w:tc>
      </w:tr>
      <w:tr w:rsidR="004D6F55" w14:paraId="1763399B" w14:textId="77777777" w:rsidTr="00C00BE7">
        <w:tc>
          <w:tcPr>
            <w:tcW w:w="3118" w:type="dxa"/>
          </w:tcPr>
          <w:p w14:paraId="71E56068" w14:textId="63F9CD1E" w:rsidR="004D6F55" w:rsidRDefault="004D6F55" w:rsidP="003376A5">
            <w:pPr>
              <w:pStyle w:val="BodyText"/>
              <w:spacing w:before="3"/>
            </w:pPr>
            <w:r>
              <w:t>Supplier</w:t>
            </w:r>
          </w:p>
        </w:tc>
        <w:tc>
          <w:tcPr>
            <w:tcW w:w="5114" w:type="dxa"/>
          </w:tcPr>
          <w:p w14:paraId="7A2AB624" w14:textId="1AA3C368" w:rsidR="004D6F55" w:rsidRDefault="004D6F55" w:rsidP="003376A5">
            <w:pPr>
              <w:pStyle w:val="BodyText"/>
              <w:spacing w:before="3"/>
            </w:pPr>
            <w:r>
              <w:t>As defined by the NHS Provision of Services Contract</w:t>
            </w:r>
            <w:r w:rsidR="002720C6">
              <w:t>, or Framework Call Off Agreement, used for the provision of non-healthcare service, the party identified to deliver such services.</w:t>
            </w:r>
          </w:p>
          <w:p w14:paraId="07B0741D" w14:textId="7FA50E83" w:rsidR="002720C6" w:rsidRPr="00986F68" w:rsidRDefault="002720C6" w:rsidP="003376A5">
            <w:pPr>
              <w:pStyle w:val="BodyText"/>
              <w:spacing w:before="3"/>
            </w:pPr>
          </w:p>
        </w:tc>
      </w:tr>
      <w:tr w:rsidR="00C00BE7" w14:paraId="536E4B74" w14:textId="77777777" w:rsidTr="00C00BE7">
        <w:tc>
          <w:tcPr>
            <w:tcW w:w="3118" w:type="dxa"/>
          </w:tcPr>
          <w:p w14:paraId="2C1C0262" w14:textId="60F0DD68" w:rsidR="00C00BE7" w:rsidRDefault="00C00BE7" w:rsidP="003376A5">
            <w:pPr>
              <w:pStyle w:val="BodyText"/>
              <w:spacing w:before="3"/>
            </w:pPr>
            <w:r>
              <w:t>Tender</w:t>
            </w:r>
          </w:p>
        </w:tc>
        <w:tc>
          <w:tcPr>
            <w:tcW w:w="5114" w:type="dxa"/>
          </w:tcPr>
          <w:p w14:paraId="6D6FD9FD" w14:textId="77777777" w:rsidR="00C00BE7" w:rsidRDefault="00986F68" w:rsidP="003376A5">
            <w:pPr>
              <w:pStyle w:val="BodyText"/>
              <w:spacing w:before="3"/>
            </w:pPr>
            <w:r w:rsidRPr="00986F68">
              <w:t xml:space="preserve">A document </w:t>
            </w:r>
            <w:r>
              <w:t>c</w:t>
            </w:r>
            <w:r w:rsidRPr="00986F68">
              <w:t xml:space="preserve">reated at the beginning stages of the procurement process. It is a request written by buyers detailing the goods or services that </w:t>
            </w:r>
            <w:r>
              <w:t xml:space="preserve">are </w:t>
            </w:r>
            <w:r w:rsidRPr="00986F68">
              <w:t>require</w:t>
            </w:r>
            <w:r>
              <w:t>d</w:t>
            </w:r>
            <w:r w:rsidRPr="00986F68">
              <w:t xml:space="preserve"> and the criteria on which they will award the contract to a supplier or suppliers.</w:t>
            </w:r>
          </w:p>
          <w:p w14:paraId="49942578" w14:textId="53CFFED3" w:rsidR="00986F68" w:rsidRDefault="00986F68" w:rsidP="003376A5">
            <w:pPr>
              <w:pStyle w:val="BodyText"/>
              <w:spacing w:before="3"/>
            </w:pPr>
          </w:p>
        </w:tc>
      </w:tr>
    </w:tbl>
    <w:p w14:paraId="2D61BF68" w14:textId="245FB858" w:rsidR="001B0BFE" w:rsidRDefault="001B0BFE" w:rsidP="003376A5">
      <w:pPr>
        <w:pStyle w:val="BodyText"/>
        <w:spacing w:before="3"/>
      </w:pPr>
    </w:p>
    <w:p w14:paraId="6C469A74" w14:textId="77777777" w:rsidR="00EF1964" w:rsidRDefault="00EF1964" w:rsidP="003376A5">
      <w:pPr>
        <w:pStyle w:val="BodyText"/>
        <w:spacing w:before="3"/>
      </w:pPr>
    </w:p>
    <w:p w14:paraId="5B737852" w14:textId="77777777" w:rsidR="00C00BE7" w:rsidRPr="00515EAD" w:rsidRDefault="00C00BE7" w:rsidP="003376A5">
      <w:pPr>
        <w:pStyle w:val="BodyText"/>
        <w:spacing w:before="3"/>
      </w:pPr>
    </w:p>
    <w:p w14:paraId="19F8CD3A" w14:textId="46877351" w:rsidR="001B0BFE" w:rsidRPr="00507ECC" w:rsidRDefault="00EC709A" w:rsidP="00870FCB">
      <w:pPr>
        <w:pStyle w:val="Heading1"/>
        <w:numPr>
          <w:ilvl w:val="0"/>
          <w:numId w:val="7"/>
        </w:numPr>
        <w:jc w:val="left"/>
      </w:pPr>
      <w:bookmarkStart w:id="3" w:name="_Toc190529407"/>
      <w:r w:rsidRPr="00507ECC">
        <w:t>Scope of the</w:t>
      </w:r>
      <w:r w:rsidRPr="003A05EC">
        <w:t xml:space="preserve"> </w:t>
      </w:r>
      <w:r w:rsidRPr="00507ECC">
        <w:t>Policy</w:t>
      </w:r>
      <w:bookmarkEnd w:id="3"/>
    </w:p>
    <w:p w14:paraId="1F5C88D0" w14:textId="13F1794A" w:rsidR="001B0BFE" w:rsidRPr="002720C6" w:rsidRDefault="00EC709A" w:rsidP="003376A5">
      <w:pPr>
        <w:pStyle w:val="BodyText"/>
        <w:spacing w:before="9"/>
        <w:ind w:left="720"/>
        <w:rPr>
          <w:bCs/>
          <w:szCs w:val="32"/>
        </w:rPr>
      </w:pPr>
      <w:r w:rsidRPr="002720C6">
        <w:rPr>
          <w:bCs/>
          <w:szCs w:val="32"/>
        </w:rPr>
        <w:t>The policy applies to NHS Humber and North Yorkshire</w:t>
      </w:r>
      <w:r w:rsidR="00D26911" w:rsidRPr="002720C6">
        <w:rPr>
          <w:bCs/>
          <w:szCs w:val="32"/>
        </w:rPr>
        <w:t xml:space="preserve"> ICB</w:t>
      </w:r>
      <w:r w:rsidRPr="002720C6">
        <w:rPr>
          <w:bCs/>
          <w:szCs w:val="32"/>
        </w:rPr>
        <w:t xml:space="preserve"> and all its employees and must be followed by all those who work for the organisation, those on temporary or honorary contracts, secondments, pool staff, contractors</w:t>
      </w:r>
      <w:r w:rsidR="00FE5767">
        <w:rPr>
          <w:bCs/>
          <w:szCs w:val="32"/>
        </w:rPr>
        <w:t>,</w:t>
      </w:r>
      <w:r w:rsidRPr="002720C6">
        <w:rPr>
          <w:bCs/>
          <w:szCs w:val="32"/>
        </w:rPr>
        <w:t xml:space="preserve"> and students.</w:t>
      </w:r>
    </w:p>
    <w:p w14:paraId="3BF94ED5" w14:textId="77777777" w:rsidR="001B0BFE" w:rsidRPr="003A05EC" w:rsidRDefault="001B0BFE" w:rsidP="003376A5">
      <w:pPr>
        <w:pStyle w:val="BodyText"/>
        <w:spacing w:before="9"/>
        <w:ind w:left="720"/>
        <w:rPr>
          <w:sz w:val="20"/>
        </w:rPr>
      </w:pPr>
    </w:p>
    <w:p w14:paraId="66520EDA" w14:textId="47E7B1D9" w:rsidR="001B0BFE" w:rsidRPr="002720C6" w:rsidRDefault="00515EAD" w:rsidP="003376A5">
      <w:pPr>
        <w:pStyle w:val="BodyText"/>
        <w:spacing w:before="9"/>
        <w:ind w:left="720"/>
        <w:rPr>
          <w:bCs/>
          <w:szCs w:val="32"/>
        </w:rPr>
      </w:pPr>
      <w:r w:rsidRPr="002720C6">
        <w:rPr>
          <w:bCs/>
          <w:szCs w:val="32"/>
        </w:rPr>
        <w:t xml:space="preserve">Non-compliance with this policy </w:t>
      </w:r>
      <w:r w:rsidR="00B112EC" w:rsidRPr="002720C6">
        <w:rPr>
          <w:bCs/>
          <w:szCs w:val="32"/>
        </w:rPr>
        <w:t>could</w:t>
      </w:r>
      <w:r w:rsidRPr="002720C6">
        <w:rPr>
          <w:bCs/>
          <w:szCs w:val="32"/>
        </w:rPr>
        <w:t xml:space="preserve"> potentially place </w:t>
      </w:r>
      <w:r w:rsidR="00586739">
        <w:rPr>
          <w:bCs/>
        </w:rPr>
        <w:t>NHS Humber and North Yorkshire</w:t>
      </w:r>
      <w:r w:rsidRPr="002720C6">
        <w:rPr>
          <w:bCs/>
          <w:szCs w:val="32"/>
        </w:rPr>
        <w:t xml:space="preserve"> ICB and the individual at risk of legal action.</w:t>
      </w:r>
    </w:p>
    <w:p w14:paraId="7510BA5A" w14:textId="6623E1FF" w:rsidR="00017ECA" w:rsidRDefault="00017ECA">
      <w:pPr>
        <w:rPr>
          <w:sz w:val="24"/>
          <w:szCs w:val="24"/>
        </w:rPr>
      </w:pPr>
      <w:r>
        <w:br w:type="page"/>
      </w:r>
    </w:p>
    <w:p w14:paraId="1DCA03E3" w14:textId="097B9D6B" w:rsidR="001B0BFE" w:rsidRDefault="00EC709A" w:rsidP="00870FCB">
      <w:pPr>
        <w:pStyle w:val="Heading1"/>
        <w:numPr>
          <w:ilvl w:val="0"/>
          <w:numId w:val="7"/>
        </w:numPr>
        <w:jc w:val="left"/>
      </w:pPr>
      <w:bookmarkStart w:id="4" w:name="_Toc124407038"/>
      <w:bookmarkStart w:id="5" w:name="_Toc124407066"/>
      <w:bookmarkStart w:id="6" w:name="_Toc124407083"/>
      <w:bookmarkStart w:id="7" w:name="_Toc124407039"/>
      <w:bookmarkStart w:id="8" w:name="_Toc124407067"/>
      <w:bookmarkStart w:id="9" w:name="_Toc124407084"/>
      <w:bookmarkStart w:id="10" w:name="_Toc190529408"/>
      <w:bookmarkEnd w:id="4"/>
      <w:bookmarkEnd w:id="5"/>
      <w:bookmarkEnd w:id="6"/>
      <w:bookmarkEnd w:id="7"/>
      <w:bookmarkEnd w:id="8"/>
      <w:bookmarkEnd w:id="9"/>
      <w:r w:rsidRPr="00507ECC">
        <w:t>Duties / Accountabilities and</w:t>
      </w:r>
      <w:r w:rsidRPr="00A92EB2">
        <w:t xml:space="preserve"> </w:t>
      </w:r>
      <w:r w:rsidRPr="00507ECC">
        <w:t>Responsibilities</w:t>
      </w:r>
      <w:bookmarkEnd w:id="10"/>
    </w:p>
    <w:p w14:paraId="67A5549E" w14:textId="77777777" w:rsidR="00A028AD" w:rsidRPr="00507ECC" w:rsidRDefault="00A028AD" w:rsidP="00672D2E">
      <w:pPr>
        <w:pStyle w:val="Heading1"/>
        <w:numPr>
          <w:ilvl w:val="0"/>
          <w:numId w:val="0"/>
        </w:numPr>
        <w:jc w:val="left"/>
      </w:pPr>
    </w:p>
    <w:p w14:paraId="58F45BFA" w14:textId="77777777" w:rsidR="00A028AD" w:rsidRPr="00A028AD" w:rsidRDefault="00A028AD" w:rsidP="00870FCB">
      <w:pPr>
        <w:pStyle w:val="ListParagraph"/>
        <w:numPr>
          <w:ilvl w:val="0"/>
          <w:numId w:val="9"/>
        </w:numPr>
        <w:spacing w:before="9"/>
        <w:rPr>
          <w:b/>
          <w:vanish/>
          <w:sz w:val="24"/>
          <w:szCs w:val="32"/>
        </w:rPr>
      </w:pPr>
    </w:p>
    <w:p w14:paraId="1A37B279" w14:textId="77777777" w:rsidR="00A028AD" w:rsidRPr="00A028AD" w:rsidRDefault="00A028AD" w:rsidP="00870FCB">
      <w:pPr>
        <w:pStyle w:val="ListParagraph"/>
        <w:numPr>
          <w:ilvl w:val="0"/>
          <w:numId w:val="9"/>
        </w:numPr>
        <w:spacing w:before="9"/>
        <w:rPr>
          <w:b/>
          <w:vanish/>
          <w:sz w:val="24"/>
          <w:szCs w:val="32"/>
        </w:rPr>
      </w:pPr>
    </w:p>
    <w:p w14:paraId="0B5B73C4" w14:textId="77777777" w:rsidR="00A028AD" w:rsidRPr="00A028AD" w:rsidRDefault="00A028AD" w:rsidP="00870FCB">
      <w:pPr>
        <w:pStyle w:val="ListParagraph"/>
        <w:numPr>
          <w:ilvl w:val="0"/>
          <w:numId w:val="9"/>
        </w:numPr>
        <w:spacing w:before="9"/>
        <w:rPr>
          <w:b/>
          <w:vanish/>
          <w:sz w:val="24"/>
          <w:szCs w:val="32"/>
        </w:rPr>
      </w:pPr>
    </w:p>
    <w:p w14:paraId="758D45D6" w14:textId="77777777" w:rsidR="00A028AD" w:rsidRPr="00A028AD" w:rsidRDefault="00A028AD" w:rsidP="00870FCB">
      <w:pPr>
        <w:pStyle w:val="ListParagraph"/>
        <w:numPr>
          <w:ilvl w:val="0"/>
          <w:numId w:val="9"/>
        </w:numPr>
        <w:spacing w:before="9"/>
        <w:rPr>
          <w:b/>
          <w:vanish/>
          <w:sz w:val="24"/>
          <w:szCs w:val="32"/>
        </w:rPr>
      </w:pPr>
    </w:p>
    <w:p w14:paraId="3A23FB6E" w14:textId="77777777" w:rsidR="00A028AD" w:rsidRPr="00A028AD" w:rsidRDefault="00A028AD" w:rsidP="00870FCB">
      <w:pPr>
        <w:pStyle w:val="ListParagraph"/>
        <w:numPr>
          <w:ilvl w:val="0"/>
          <w:numId w:val="9"/>
        </w:numPr>
        <w:spacing w:before="9"/>
        <w:rPr>
          <w:b/>
          <w:vanish/>
          <w:sz w:val="24"/>
          <w:szCs w:val="32"/>
        </w:rPr>
      </w:pPr>
    </w:p>
    <w:p w14:paraId="04910508" w14:textId="288AAF24" w:rsidR="007652FE" w:rsidRPr="00ED462F" w:rsidRDefault="00ED462F" w:rsidP="00ED462F">
      <w:pPr>
        <w:pStyle w:val="BodyText"/>
        <w:rPr>
          <w:b/>
          <w:bCs/>
        </w:rPr>
      </w:pPr>
      <w:r w:rsidRPr="00ED462F">
        <w:rPr>
          <w:b/>
          <w:bCs/>
        </w:rPr>
        <w:t>5.1</w:t>
      </w:r>
      <w:r w:rsidRPr="00ED462F">
        <w:rPr>
          <w:b/>
          <w:bCs/>
        </w:rPr>
        <w:tab/>
      </w:r>
      <w:r w:rsidR="007652FE" w:rsidRPr="00ED462F">
        <w:rPr>
          <w:b/>
          <w:bCs/>
        </w:rPr>
        <w:t>Chief Executive</w:t>
      </w:r>
    </w:p>
    <w:p w14:paraId="5CD21D44" w14:textId="3C1E64F4" w:rsidR="00286394" w:rsidRPr="003A05EC" w:rsidRDefault="00286394" w:rsidP="003376A5">
      <w:pPr>
        <w:pStyle w:val="BodyText"/>
        <w:spacing w:before="9"/>
        <w:ind w:left="720"/>
        <w:rPr>
          <w:bCs/>
          <w:szCs w:val="32"/>
        </w:rPr>
      </w:pPr>
      <w:r w:rsidRPr="002720C6">
        <w:rPr>
          <w:bCs/>
          <w:szCs w:val="32"/>
        </w:rPr>
        <w:t xml:space="preserve">The Chief Executive has overall responsibility for procurement for </w:t>
      </w:r>
      <w:r w:rsidR="00586739">
        <w:rPr>
          <w:bCs/>
        </w:rPr>
        <w:t>NHS Humber and North Yorkshire</w:t>
      </w:r>
      <w:r w:rsidRPr="002720C6">
        <w:rPr>
          <w:bCs/>
          <w:szCs w:val="32"/>
        </w:rPr>
        <w:t xml:space="preserve"> ICB.</w:t>
      </w:r>
      <w:r w:rsidRPr="003A05EC">
        <w:rPr>
          <w:bCs/>
          <w:szCs w:val="32"/>
        </w:rPr>
        <w:t xml:space="preserve"> </w:t>
      </w:r>
    </w:p>
    <w:p w14:paraId="3D1B8925" w14:textId="20B14F3C" w:rsidR="001B0BFE" w:rsidRPr="00B112EC" w:rsidRDefault="001B0BFE" w:rsidP="003376A5">
      <w:pPr>
        <w:pStyle w:val="BodyText"/>
        <w:ind w:left="928"/>
      </w:pPr>
    </w:p>
    <w:p w14:paraId="6469167F" w14:textId="77777777" w:rsidR="001B0BFE" w:rsidRPr="00B112EC" w:rsidRDefault="001B0BFE" w:rsidP="003376A5">
      <w:pPr>
        <w:pStyle w:val="BodyText"/>
        <w:spacing w:before="10"/>
        <w:rPr>
          <w:sz w:val="20"/>
        </w:rPr>
      </w:pPr>
    </w:p>
    <w:p w14:paraId="31BB05A5" w14:textId="7DF6C01F" w:rsidR="00286394" w:rsidRPr="00ED462F" w:rsidRDefault="00ED462F" w:rsidP="00ED462F">
      <w:pPr>
        <w:pStyle w:val="BodyText"/>
        <w:ind w:left="709" w:hanging="709"/>
        <w:rPr>
          <w:b/>
          <w:bCs/>
          <w:szCs w:val="32"/>
        </w:rPr>
      </w:pPr>
      <w:r w:rsidRPr="00ED462F">
        <w:rPr>
          <w:b/>
          <w:bCs/>
        </w:rPr>
        <w:t>5.2</w:t>
      </w:r>
      <w:r w:rsidRPr="00ED462F">
        <w:rPr>
          <w:b/>
          <w:bCs/>
        </w:rPr>
        <w:tab/>
      </w:r>
      <w:r w:rsidR="00286394" w:rsidRPr="00ED462F">
        <w:rPr>
          <w:b/>
          <w:bCs/>
        </w:rPr>
        <w:t>Executive Directors, NHS Place Directors, Place Finance Directors,</w:t>
      </w:r>
      <w:r w:rsidR="002720C6" w:rsidRPr="00ED462F">
        <w:rPr>
          <w:b/>
          <w:bCs/>
        </w:rPr>
        <w:t xml:space="preserve"> </w:t>
      </w:r>
      <w:r w:rsidR="00286394" w:rsidRPr="00ED462F">
        <w:rPr>
          <w:b/>
          <w:bCs/>
        </w:rPr>
        <w:t>Budget Holder</w:t>
      </w:r>
      <w:r w:rsidR="00E657DE" w:rsidRPr="00ED462F">
        <w:rPr>
          <w:b/>
          <w:bCs/>
        </w:rPr>
        <w:t>s</w:t>
      </w:r>
    </w:p>
    <w:p w14:paraId="639B904D" w14:textId="58ED13AD" w:rsidR="00286394" w:rsidRPr="002720C6" w:rsidRDefault="00286394" w:rsidP="003376A5">
      <w:pPr>
        <w:pStyle w:val="BodyText"/>
        <w:spacing w:before="9"/>
        <w:ind w:left="720"/>
        <w:rPr>
          <w:bCs/>
          <w:szCs w:val="32"/>
        </w:rPr>
      </w:pPr>
      <w:r w:rsidRPr="002720C6">
        <w:rPr>
          <w:bCs/>
          <w:szCs w:val="32"/>
        </w:rPr>
        <w:t>Have responsibility for procurement and contract approvals in accordance with the Operational Scheme of Delegation and budgetary delegations.</w:t>
      </w:r>
    </w:p>
    <w:p w14:paraId="157AC732" w14:textId="187A39EF" w:rsidR="00286394" w:rsidRDefault="00286394" w:rsidP="003376A5">
      <w:pPr>
        <w:pStyle w:val="ListParagraph"/>
        <w:tabs>
          <w:tab w:val="left" w:pos="952"/>
          <w:tab w:val="left" w:pos="953"/>
        </w:tabs>
        <w:ind w:left="952" w:firstLine="0"/>
        <w:rPr>
          <w:b/>
          <w:sz w:val="24"/>
        </w:rPr>
      </w:pPr>
    </w:p>
    <w:p w14:paraId="240D4990" w14:textId="77777777" w:rsidR="00286394" w:rsidRDefault="00286394" w:rsidP="003376A5">
      <w:pPr>
        <w:pStyle w:val="ListParagraph"/>
        <w:tabs>
          <w:tab w:val="left" w:pos="952"/>
          <w:tab w:val="left" w:pos="953"/>
        </w:tabs>
        <w:ind w:left="952" w:firstLine="0"/>
        <w:rPr>
          <w:b/>
          <w:sz w:val="24"/>
        </w:rPr>
      </w:pPr>
    </w:p>
    <w:p w14:paraId="567C9890" w14:textId="5A43C25F" w:rsidR="00286394" w:rsidRPr="00017ECA" w:rsidRDefault="00286394" w:rsidP="00870FCB">
      <w:pPr>
        <w:pStyle w:val="BodyText"/>
        <w:numPr>
          <w:ilvl w:val="1"/>
          <w:numId w:val="32"/>
        </w:numPr>
        <w:ind w:left="709" w:hanging="709"/>
        <w:rPr>
          <w:b/>
          <w:szCs w:val="32"/>
        </w:rPr>
      </w:pPr>
      <w:r w:rsidRPr="00017ECA">
        <w:rPr>
          <w:b/>
          <w:szCs w:val="32"/>
        </w:rPr>
        <w:t>Assistant Director of Procurement and Contracts</w:t>
      </w:r>
    </w:p>
    <w:p w14:paraId="693FFA5C" w14:textId="0420D68E" w:rsidR="001B0BFE" w:rsidRPr="002720C6" w:rsidRDefault="00286394" w:rsidP="003376A5">
      <w:pPr>
        <w:pStyle w:val="BodyText"/>
        <w:spacing w:before="9"/>
        <w:ind w:left="720"/>
        <w:rPr>
          <w:bCs/>
          <w:szCs w:val="32"/>
        </w:rPr>
      </w:pPr>
      <w:r w:rsidRPr="002720C6">
        <w:rPr>
          <w:bCs/>
          <w:szCs w:val="32"/>
        </w:rPr>
        <w:t>R</w:t>
      </w:r>
      <w:r w:rsidR="00EC709A" w:rsidRPr="002720C6">
        <w:rPr>
          <w:bCs/>
          <w:szCs w:val="32"/>
        </w:rPr>
        <w:t>esponsible for the administrative co</w:t>
      </w:r>
      <w:r w:rsidR="00EC709A" w:rsidRPr="002720C6">
        <w:rPr>
          <w:rFonts w:ascii="Cambria Math" w:hAnsi="Cambria Math" w:cs="Cambria Math"/>
          <w:bCs/>
          <w:szCs w:val="32"/>
        </w:rPr>
        <w:t>‐</w:t>
      </w:r>
      <w:r w:rsidR="00EC709A" w:rsidRPr="002720C6">
        <w:rPr>
          <w:bCs/>
          <w:szCs w:val="32"/>
        </w:rPr>
        <w:t>ordination of this policy</w:t>
      </w:r>
      <w:r w:rsidRPr="002720C6">
        <w:rPr>
          <w:bCs/>
          <w:szCs w:val="32"/>
        </w:rPr>
        <w:t xml:space="preserve"> and ensuring members of staff are aware of the policy and processes to be followed</w:t>
      </w:r>
      <w:r w:rsidR="00EC709A" w:rsidRPr="002720C6">
        <w:rPr>
          <w:bCs/>
          <w:szCs w:val="32"/>
        </w:rPr>
        <w:t>.</w:t>
      </w:r>
    </w:p>
    <w:p w14:paraId="76B7B256" w14:textId="0FDFE0A8" w:rsidR="002720C6" w:rsidRDefault="002720C6" w:rsidP="003376A5">
      <w:pPr>
        <w:pStyle w:val="BodyText"/>
        <w:ind w:left="952"/>
      </w:pPr>
    </w:p>
    <w:p w14:paraId="1ABA52A4" w14:textId="77777777" w:rsidR="002720C6" w:rsidRDefault="002720C6" w:rsidP="003376A5">
      <w:pPr>
        <w:pStyle w:val="BodyText"/>
        <w:ind w:left="952"/>
      </w:pPr>
    </w:p>
    <w:p w14:paraId="6F497B1E" w14:textId="721B0515" w:rsidR="00286394" w:rsidRPr="00017ECA" w:rsidRDefault="00286394" w:rsidP="00870FCB">
      <w:pPr>
        <w:pStyle w:val="BodyText"/>
        <w:numPr>
          <w:ilvl w:val="1"/>
          <w:numId w:val="32"/>
        </w:numPr>
        <w:ind w:left="720" w:hanging="720"/>
        <w:rPr>
          <w:b/>
          <w:szCs w:val="32"/>
        </w:rPr>
      </w:pPr>
      <w:r w:rsidRPr="00017ECA">
        <w:rPr>
          <w:b/>
          <w:szCs w:val="32"/>
        </w:rPr>
        <w:t>Procurement and Contracts Team</w:t>
      </w:r>
    </w:p>
    <w:p w14:paraId="71052BB3" w14:textId="56556064" w:rsidR="00286394" w:rsidRPr="002720C6" w:rsidRDefault="00286394" w:rsidP="003376A5">
      <w:pPr>
        <w:pStyle w:val="BodyText"/>
        <w:spacing w:before="9"/>
        <w:ind w:left="720"/>
        <w:rPr>
          <w:bCs/>
          <w:szCs w:val="32"/>
        </w:rPr>
      </w:pPr>
      <w:r w:rsidRPr="002720C6">
        <w:rPr>
          <w:bCs/>
          <w:szCs w:val="32"/>
        </w:rPr>
        <w:t xml:space="preserve">Responsible for </w:t>
      </w:r>
      <w:r w:rsidR="00C00BE7" w:rsidRPr="002720C6">
        <w:rPr>
          <w:bCs/>
          <w:szCs w:val="32"/>
        </w:rPr>
        <w:t>providing specialist technical advice to ensure procurement processes are followed and suitable contract arrangements are in place</w:t>
      </w:r>
      <w:r w:rsidRPr="002720C6">
        <w:rPr>
          <w:bCs/>
          <w:szCs w:val="32"/>
        </w:rPr>
        <w:t>.</w:t>
      </w:r>
    </w:p>
    <w:p w14:paraId="6E6A7154" w14:textId="77777777" w:rsidR="00286394" w:rsidRDefault="00286394" w:rsidP="003376A5">
      <w:pPr>
        <w:pStyle w:val="BodyText"/>
        <w:spacing w:before="10"/>
        <w:rPr>
          <w:sz w:val="20"/>
        </w:rPr>
      </w:pPr>
    </w:p>
    <w:p w14:paraId="317EFDC6" w14:textId="77777777" w:rsidR="00286394" w:rsidRPr="00286394" w:rsidRDefault="00286394" w:rsidP="003376A5">
      <w:pPr>
        <w:tabs>
          <w:tab w:val="left" w:pos="952"/>
          <w:tab w:val="left" w:pos="953"/>
        </w:tabs>
        <w:rPr>
          <w:b/>
          <w:sz w:val="24"/>
        </w:rPr>
      </w:pPr>
    </w:p>
    <w:p w14:paraId="7623547D" w14:textId="30A677A5" w:rsidR="00BA6F5F" w:rsidRDefault="00BA6F5F" w:rsidP="00870FCB">
      <w:pPr>
        <w:pStyle w:val="BodyText"/>
        <w:numPr>
          <w:ilvl w:val="1"/>
          <w:numId w:val="32"/>
        </w:numPr>
        <w:ind w:left="720" w:hanging="720"/>
        <w:rPr>
          <w:b/>
          <w:szCs w:val="32"/>
        </w:rPr>
      </w:pPr>
      <w:r>
        <w:rPr>
          <w:b/>
          <w:szCs w:val="32"/>
        </w:rPr>
        <w:t>Responsibilities of the Procurement Panel</w:t>
      </w:r>
    </w:p>
    <w:p w14:paraId="0C808004" w14:textId="570EEE35" w:rsidR="00BA6F5F" w:rsidRDefault="00BA6F5F" w:rsidP="00BA6F5F">
      <w:pPr>
        <w:pStyle w:val="BodyText"/>
        <w:ind w:left="720"/>
        <w:rPr>
          <w:bCs/>
          <w:szCs w:val="32"/>
        </w:rPr>
      </w:pPr>
      <w:r>
        <w:rPr>
          <w:bCs/>
          <w:szCs w:val="32"/>
        </w:rPr>
        <w:t xml:space="preserve">The Procurement Panel </w:t>
      </w:r>
      <w:r w:rsidR="00A6436C">
        <w:rPr>
          <w:bCs/>
          <w:szCs w:val="32"/>
        </w:rPr>
        <w:t>is responsible for managing</w:t>
      </w:r>
      <w:r>
        <w:rPr>
          <w:bCs/>
          <w:szCs w:val="32"/>
        </w:rPr>
        <w:t xml:space="preserve"> the pipeline of procurement decisions, ensuring consistency of procurement approach and adherence to procurement principles to ensure contract award recommendations are safe.</w:t>
      </w:r>
    </w:p>
    <w:p w14:paraId="60D690D4" w14:textId="77777777" w:rsidR="00BA6F5F" w:rsidRPr="00BA6F5F" w:rsidRDefault="00BA6F5F" w:rsidP="00BA6F5F">
      <w:pPr>
        <w:pStyle w:val="BodyText"/>
        <w:ind w:left="720"/>
        <w:rPr>
          <w:bCs/>
          <w:szCs w:val="32"/>
        </w:rPr>
      </w:pPr>
    </w:p>
    <w:p w14:paraId="18AE8CC1" w14:textId="77777777" w:rsidR="00BA6F5F" w:rsidRDefault="00BA6F5F" w:rsidP="00BA6F5F">
      <w:pPr>
        <w:pStyle w:val="BodyText"/>
        <w:ind w:left="720"/>
        <w:rPr>
          <w:b/>
          <w:szCs w:val="32"/>
        </w:rPr>
      </w:pPr>
    </w:p>
    <w:p w14:paraId="3AFFDC53" w14:textId="7C697E68" w:rsidR="001B0BFE" w:rsidRPr="00017ECA" w:rsidRDefault="00EC709A" w:rsidP="00870FCB">
      <w:pPr>
        <w:pStyle w:val="BodyText"/>
        <w:numPr>
          <w:ilvl w:val="1"/>
          <w:numId w:val="32"/>
        </w:numPr>
        <w:ind w:left="720" w:hanging="720"/>
        <w:rPr>
          <w:b/>
          <w:szCs w:val="32"/>
        </w:rPr>
      </w:pPr>
      <w:r w:rsidRPr="00017ECA">
        <w:rPr>
          <w:b/>
          <w:szCs w:val="32"/>
        </w:rPr>
        <w:t>Responsibilities for Approval</w:t>
      </w:r>
    </w:p>
    <w:p w14:paraId="3FAAF893" w14:textId="32F11B6A" w:rsidR="0053441B" w:rsidRPr="002720C6" w:rsidRDefault="00286394" w:rsidP="003376A5">
      <w:pPr>
        <w:pStyle w:val="BodyText"/>
        <w:spacing w:before="9"/>
        <w:ind w:left="720"/>
        <w:rPr>
          <w:bCs/>
          <w:szCs w:val="32"/>
        </w:rPr>
      </w:pPr>
      <w:r w:rsidRPr="002720C6">
        <w:rPr>
          <w:bCs/>
          <w:szCs w:val="32"/>
        </w:rPr>
        <w:t>The</w:t>
      </w:r>
      <w:r w:rsidR="00586739">
        <w:rPr>
          <w:bCs/>
          <w:szCs w:val="32"/>
        </w:rPr>
        <w:t xml:space="preserve"> </w:t>
      </w:r>
      <w:r w:rsidR="00A6436C">
        <w:rPr>
          <w:bCs/>
        </w:rPr>
        <w:t>Finance, Performance and Delivery Committee</w:t>
      </w:r>
      <w:r w:rsidRPr="002720C6">
        <w:rPr>
          <w:bCs/>
          <w:szCs w:val="32"/>
        </w:rPr>
        <w:t xml:space="preserve"> will approve this Procurement Policy and any subsequent revisions.</w:t>
      </w:r>
    </w:p>
    <w:p w14:paraId="2EF8585A" w14:textId="086247A5" w:rsidR="0053441B" w:rsidRDefault="0053441B" w:rsidP="003376A5">
      <w:pPr>
        <w:pStyle w:val="BodyText"/>
        <w:ind w:left="952" w:right="440"/>
      </w:pPr>
    </w:p>
    <w:p w14:paraId="3D633B57" w14:textId="22E84D80" w:rsidR="0053441B" w:rsidRDefault="0053441B" w:rsidP="003376A5">
      <w:pPr>
        <w:pStyle w:val="BodyText"/>
        <w:ind w:left="952" w:right="440"/>
      </w:pPr>
    </w:p>
    <w:p w14:paraId="44F1F99F" w14:textId="1202259A" w:rsidR="0053441B" w:rsidRDefault="0053441B" w:rsidP="003376A5">
      <w:pPr>
        <w:pStyle w:val="BodyText"/>
        <w:ind w:left="952" w:right="440"/>
      </w:pPr>
    </w:p>
    <w:p w14:paraId="77693A71" w14:textId="1AF3F56B" w:rsidR="0053441B" w:rsidRDefault="0053441B" w:rsidP="003376A5">
      <w:pPr>
        <w:pStyle w:val="BodyText"/>
        <w:ind w:left="952" w:right="440"/>
      </w:pPr>
    </w:p>
    <w:p w14:paraId="1C1AC0CC" w14:textId="49630B0E" w:rsidR="0053441B" w:rsidRDefault="0053441B" w:rsidP="003376A5">
      <w:pPr>
        <w:pStyle w:val="BodyText"/>
        <w:ind w:left="952" w:right="440"/>
      </w:pPr>
    </w:p>
    <w:p w14:paraId="77ABF3B8" w14:textId="1AB1DFAB" w:rsidR="0053441B" w:rsidRDefault="0053441B" w:rsidP="003376A5">
      <w:pPr>
        <w:pStyle w:val="BodyText"/>
        <w:ind w:left="952" w:right="440"/>
      </w:pPr>
    </w:p>
    <w:p w14:paraId="34DE667C" w14:textId="35B5C967" w:rsidR="0053441B" w:rsidRDefault="0053441B" w:rsidP="003376A5">
      <w:pPr>
        <w:pStyle w:val="BodyText"/>
        <w:ind w:left="952" w:right="440"/>
      </w:pPr>
    </w:p>
    <w:p w14:paraId="2A7082F5" w14:textId="77777777" w:rsidR="001B0BFE" w:rsidRDefault="001B0BFE" w:rsidP="003376A5">
      <w:pPr>
        <w:pStyle w:val="BodyText"/>
        <w:spacing w:before="3"/>
        <w:rPr>
          <w:sz w:val="31"/>
        </w:rPr>
      </w:pPr>
    </w:p>
    <w:p w14:paraId="780512C3" w14:textId="30166923" w:rsidR="009D022D" w:rsidRDefault="009D022D" w:rsidP="003376A5">
      <w:pPr>
        <w:rPr>
          <w:b/>
          <w:bCs/>
          <w:sz w:val="24"/>
          <w:szCs w:val="24"/>
        </w:rPr>
      </w:pPr>
      <w:r>
        <w:br w:type="page"/>
      </w:r>
    </w:p>
    <w:p w14:paraId="395CCB5E" w14:textId="0F3B9FD5" w:rsidR="001B0BFE" w:rsidRDefault="009D022D" w:rsidP="00870FCB">
      <w:pPr>
        <w:pStyle w:val="Heading1"/>
        <w:numPr>
          <w:ilvl w:val="0"/>
          <w:numId w:val="7"/>
        </w:numPr>
        <w:jc w:val="left"/>
      </w:pPr>
      <w:bookmarkStart w:id="11" w:name="_Toc190529409"/>
      <w:r>
        <w:t>Procurement Policy Requirements</w:t>
      </w:r>
      <w:bookmarkEnd w:id="11"/>
    </w:p>
    <w:p w14:paraId="6C88858B" w14:textId="3F759B07" w:rsidR="00BF4355" w:rsidRDefault="00BF4355" w:rsidP="00017ECA">
      <w:pPr>
        <w:pStyle w:val="BodyText"/>
      </w:pPr>
    </w:p>
    <w:p w14:paraId="5BF934D9" w14:textId="77777777" w:rsidR="00A028AD" w:rsidRPr="00A028AD" w:rsidRDefault="00A028AD" w:rsidP="00870FCB">
      <w:pPr>
        <w:pStyle w:val="ListParagraph"/>
        <w:numPr>
          <w:ilvl w:val="0"/>
          <w:numId w:val="32"/>
        </w:numPr>
        <w:rPr>
          <w:b/>
          <w:bCs/>
          <w:vanish/>
          <w:sz w:val="24"/>
          <w:szCs w:val="24"/>
        </w:rPr>
      </w:pPr>
      <w:bookmarkStart w:id="12" w:name="_Toc124406030"/>
      <w:bookmarkEnd w:id="12"/>
    </w:p>
    <w:p w14:paraId="1358978D" w14:textId="1EE75611" w:rsidR="00A028AD" w:rsidRDefault="00A6436C" w:rsidP="00870FCB">
      <w:pPr>
        <w:pStyle w:val="BodyText"/>
        <w:numPr>
          <w:ilvl w:val="1"/>
          <w:numId w:val="7"/>
        </w:numPr>
        <w:rPr>
          <w:b/>
          <w:bCs/>
        </w:rPr>
      </w:pPr>
      <w:r>
        <w:rPr>
          <w:b/>
          <w:bCs/>
        </w:rPr>
        <w:t>National Procurement Policy Statement</w:t>
      </w:r>
    </w:p>
    <w:p w14:paraId="0B1A9E3F" w14:textId="22CD09DA" w:rsidR="00A6436C" w:rsidRDefault="00A6436C" w:rsidP="00A702C8">
      <w:pPr>
        <w:widowControl/>
        <w:autoSpaceDE/>
        <w:autoSpaceDN/>
        <w:ind w:left="720"/>
        <w:rPr>
          <w:rFonts w:eastAsia="Times New Roman"/>
          <w:sz w:val="24"/>
          <w:szCs w:val="24"/>
        </w:rPr>
      </w:pPr>
      <w:r>
        <w:rPr>
          <w:rFonts w:eastAsia="Times New Roman"/>
          <w:sz w:val="24"/>
          <w:szCs w:val="24"/>
          <w:lang w:bidi="ar-SA"/>
        </w:rPr>
        <w:t xml:space="preserve">The context for procurement by the ICB is set by the </w:t>
      </w:r>
      <w:hyperlink r:id="rId16" w:history="1">
        <w:r>
          <w:rPr>
            <w:rStyle w:val="Hyperlink"/>
            <w:rFonts w:eastAsia="Times New Roman"/>
            <w:sz w:val="24"/>
            <w:szCs w:val="24"/>
            <w:lang w:bidi="ar-SA"/>
          </w:rPr>
          <w:t>National Procurement Policy Statement</w:t>
        </w:r>
      </w:hyperlink>
      <w:r>
        <w:rPr>
          <w:rFonts w:eastAsia="Times New Roman"/>
          <w:sz w:val="24"/>
          <w:szCs w:val="24"/>
          <w:lang w:bidi="ar-SA"/>
        </w:rPr>
        <w:t xml:space="preserve"> </w:t>
      </w:r>
      <w:r w:rsidR="00A702C8">
        <w:rPr>
          <w:rFonts w:eastAsia="Times New Roman"/>
          <w:sz w:val="24"/>
          <w:szCs w:val="24"/>
          <w:lang w:bidi="ar-SA"/>
        </w:rPr>
        <w:t xml:space="preserve">(NPPS) </w:t>
      </w:r>
      <w:r>
        <w:rPr>
          <w:rFonts w:eastAsia="Times New Roman"/>
          <w:sz w:val="24"/>
          <w:szCs w:val="24"/>
          <w:lang w:bidi="ar-SA"/>
        </w:rPr>
        <w:t>issued by the Cabinet Office on 13 February 2025</w:t>
      </w:r>
      <w:r w:rsidR="00A702C8">
        <w:rPr>
          <w:rFonts w:eastAsia="Times New Roman"/>
          <w:sz w:val="24"/>
          <w:szCs w:val="24"/>
          <w:lang w:bidi="ar-SA"/>
        </w:rPr>
        <w:t xml:space="preserve"> and comes into effect on 24 February 2025 alongside the Procurement Act 2023 coming into force. </w:t>
      </w:r>
    </w:p>
    <w:p w14:paraId="7D9798E4" w14:textId="77777777" w:rsidR="00A6436C" w:rsidRDefault="00A6436C" w:rsidP="003376A5">
      <w:pPr>
        <w:widowControl/>
        <w:autoSpaceDE/>
        <w:autoSpaceDN/>
        <w:ind w:left="720"/>
        <w:rPr>
          <w:rFonts w:eastAsia="Times New Roman"/>
          <w:sz w:val="24"/>
          <w:szCs w:val="24"/>
          <w:lang w:bidi="ar-SA"/>
        </w:rPr>
      </w:pPr>
    </w:p>
    <w:p w14:paraId="6991E9EE" w14:textId="43F25E31" w:rsidR="00A6436C" w:rsidRDefault="00A702C8" w:rsidP="003376A5">
      <w:pPr>
        <w:widowControl/>
        <w:autoSpaceDE/>
        <w:autoSpaceDN/>
        <w:ind w:left="720"/>
        <w:rPr>
          <w:rFonts w:eastAsia="Times New Roman"/>
          <w:sz w:val="24"/>
          <w:szCs w:val="24"/>
          <w:lang w:bidi="ar-SA"/>
        </w:rPr>
      </w:pPr>
      <w:r>
        <w:rPr>
          <w:rFonts w:eastAsia="Times New Roman"/>
          <w:sz w:val="24"/>
          <w:szCs w:val="24"/>
          <w:lang w:bidi="ar-SA"/>
        </w:rPr>
        <w:t>The NPPS makes clear that achieving Value for Money is the overarching priority in public procurement and that contracting authorities can deliver value for money by:</w:t>
      </w:r>
    </w:p>
    <w:p w14:paraId="0D0D0790" w14:textId="77777777" w:rsidR="00A702C8" w:rsidRDefault="00A702C8" w:rsidP="00870FCB">
      <w:pPr>
        <w:pStyle w:val="ListParagraph"/>
        <w:widowControl/>
        <w:numPr>
          <w:ilvl w:val="0"/>
          <w:numId w:val="33"/>
        </w:numPr>
        <w:autoSpaceDE/>
        <w:autoSpaceDN/>
        <w:ind w:left="1418" w:right="1292" w:hanging="425"/>
        <w:rPr>
          <w:rFonts w:eastAsia="Times New Roman"/>
          <w:sz w:val="24"/>
          <w:szCs w:val="24"/>
          <w:lang w:bidi="ar-SA"/>
        </w:rPr>
      </w:pPr>
      <w:r w:rsidRPr="00A702C8">
        <w:rPr>
          <w:rFonts w:eastAsia="Times New Roman"/>
          <w:sz w:val="24"/>
          <w:szCs w:val="24"/>
          <w:lang w:bidi="ar-SA"/>
        </w:rPr>
        <w:t xml:space="preserve">driving economic growth and strengthening supply chains by giving small and medium-sized enterprises (SMEs) and voluntary, community and social enterprises (VCSEs) a fair chance, creating high quality jobs and championing </w:t>
      </w:r>
      <w:proofErr w:type="gramStart"/>
      <w:r w:rsidRPr="00A702C8">
        <w:rPr>
          <w:rFonts w:eastAsia="Times New Roman"/>
          <w:sz w:val="24"/>
          <w:szCs w:val="24"/>
          <w:lang w:bidi="ar-SA"/>
        </w:rPr>
        <w:t>innovation;</w:t>
      </w:r>
      <w:proofErr w:type="gramEnd"/>
      <w:r w:rsidRPr="00A702C8">
        <w:rPr>
          <w:rFonts w:eastAsia="Times New Roman"/>
          <w:sz w:val="24"/>
          <w:szCs w:val="24"/>
          <w:lang w:bidi="ar-SA"/>
        </w:rPr>
        <w:t xml:space="preserve"> </w:t>
      </w:r>
    </w:p>
    <w:p w14:paraId="64B47526" w14:textId="2D255A7C" w:rsidR="00A702C8" w:rsidRPr="00A702C8" w:rsidRDefault="00A702C8" w:rsidP="00870FCB">
      <w:pPr>
        <w:pStyle w:val="ListParagraph"/>
        <w:widowControl/>
        <w:numPr>
          <w:ilvl w:val="0"/>
          <w:numId w:val="33"/>
        </w:numPr>
        <w:autoSpaceDE/>
        <w:autoSpaceDN/>
        <w:ind w:left="1418" w:right="1292" w:hanging="425"/>
        <w:rPr>
          <w:rFonts w:eastAsia="Times New Roman"/>
          <w:sz w:val="24"/>
          <w:szCs w:val="24"/>
          <w:lang w:bidi="ar-SA"/>
        </w:rPr>
      </w:pPr>
      <w:r w:rsidRPr="00A702C8">
        <w:rPr>
          <w:rFonts w:eastAsia="Times New Roman"/>
          <w:sz w:val="24"/>
          <w:szCs w:val="24"/>
          <w:lang w:bidi="ar-SA"/>
        </w:rPr>
        <w:t>delivering social and economic value that supports the Government’s missions including by working in partnership across organisational boundaries where appropriate; and</w:t>
      </w:r>
    </w:p>
    <w:p w14:paraId="58BE3F6B" w14:textId="58CB1A9A" w:rsidR="00A702C8" w:rsidRPr="00A702C8" w:rsidRDefault="00A702C8" w:rsidP="00870FCB">
      <w:pPr>
        <w:pStyle w:val="ListParagraph"/>
        <w:widowControl/>
        <w:numPr>
          <w:ilvl w:val="0"/>
          <w:numId w:val="33"/>
        </w:numPr>
        <w:autoSpaceDE/>
        <w:autoSpaceDN/>
        <w:ind w:left="1418" w:right="1292" w:hanging="425"/>
        <w:rPr>
          <w:rFonts w:eastAsia="Times New Roman"/>
          <w:sz w:val="24"/>
          <w:szCs w:val="24"/>
          <w:lang w:bidi="ar-SA"/>
        </w:rPr>
      </w:pPr>
      <w:r w:rsidRPr="00A702C8">
        <w:rPr>
          <w:rFonts w:eastAsia="Times New Roman"/>
          <w:sz w:val="24"/>
          <w:szCs w:val="24"/>
          <w:lang w:bidi="ar-SA"/>
        </w:rPr>
        <w:t>ensuring the right commercial capability and standards are in place to procure and manage contracts effectively and to collaborate with other contracting authorities to deliver best value.</w:t>
      </w:r>
    </w:p>
    <w:p w14:paraId="2146F33A" w14:textId="77777777" w:rsidR="000C2FF6" w:rsidRDefault="000C2FF6" w:rsidP="003376A5">
      <w:pPr>
        <w:widowControl/>
        <w:autoSpaceDE/>
        <w:autoSpaceDN/>
        <w:rPr>
          <w:sz w:val="24"/>
          <w:szCs w:val="24"/>
        </w:rPr>
      </w:pPr>
    </w:p>
    <w:p w14:paraId="37AB2252" w14:textId="77777777" w:rsidR="00A702C8" w:rsidRDefault="00A702C8" w:rsidP="003376A5">
      <w:pPr>
        <w:widowControl/>
        <w:autoSpaceDE/>
        <w:autoSpaceDN/>
        <w:rPr>
          <w:sz w:val="24"/>
          <w:szCs w:val="24"/>
        </w:rPr>
      </w:pPr>
    </w:p>
    <w:p w14:paraId="159DF6D2" w14:textId="77777777" w:rsidR="00A702C8" w:rsidRPr="00A702C8" w:rsidRDefault="00A702C8" w:rsidP="00870FCB">
      <w:pPr>
        <w:pStyle w:val="ListParagraph"/>
        <w:numPr>
          <w:ilvl w:val="1"/>
          <w:numId w:val="7"/>
        </w:numPr>
        <w:rPr>
          <w:b/>
          <w:bCs/>
          <w:sz w:val="24"/>
          <w:szCs w:val="24"/>
        </w:rPr>
      </w:pPr>
      <w:r w:rsidRPr="00A702C8">
        <w:rPr>
          <w:b/>
          <w:bCs/>
          <w:sz w:val="24"/>
          <w:szCs w:val="24"/>
        </w:rPr>
        <w:t>Budget / Funding Availability</w:t>
      </w:r>
    </w:p>
    <w:p w14:paraId="556BBB08" w14:textId="68FB7AF9" w:rsidR="00A702C8" w:rsidRDefault="00A702C8" w:rsidP="00A702C8">
      <w:pPr>
        <w:pStyle w:val="BodyText"/>
        <w:ind w:left="720"/>
      </w:pPr>
      <w:r>
        <w:t>A procurement process should only be commenced when budget or external funding is identified and confirmed available to spend in line with ICB financial approval processes</w:t>
      </w:r>
      <w:r w:rsidR="001B1CC6">
        <w:t>.</w:t>
      </w:r>
    </w:p>
    <w:p w14:paraId="10EEBDC7" w14:textId="77777777" w:rsidR="001B1CC6" w:rsidRDefault="001B1CC6" w:rsidP="00A702C8">
      <w:pPr>
        <w:pStyle w:val="BodyText"/>
        <w:ind w:left="720"/>
      </w:pPr>
    </w:p>
    <w:p w14:paraId="066628CE" w14:textId="77777777" w:rsidR="00A702C8" w:rsidRDefault="00A702C8" w:rsidP="001B1CC6">
      <w:pPr>
        <w:pStyle w:val="BodyText"/>
        <w:rPr>
          <w:b/>
          <w:bCs/>
        </w:rPr>
      </w:pPr>
    </w:p>
    <w:p w14:paraId="3AF6CA81" w14:textId="77777777" w:rsidR="001B1CC6" w:rsidRPr="001B1CC6" w:rsidRDefault="001B1CC6" w:rsidP="00870FCB">
      <w:pPr>
        <w:pStyle w:val="ListParagraph"/>
        <w:numPr>
          <w:ilvl w:val="1"/>
          <w:numId w:val="7"/>
        </w:numPr>
        <w:rPr>
          <w:b/>
          <w:bCs/>
          <w:sz w:val="24"/>
          <w:szCs w:val="24"/>
        </w:rPr>
      </w:pPr>
      <w:r w:rsidRPr="001B1CC6">
        <w:rPr>
          <w:b/>
          <w:bCs/>
          <w:sz w:val="24"/>
          <w:szCs w:val="24"/>
        </w:rPr>
        <w:t>Financial Thresholds</w:t>
      </w:r>
    </w:p>
    <w:p w14:paraId="55600585" w14:textId="77777777" w:rsidR="001B1CC6" w:rsidRDefault="001B1CC6" w:rsidP="001B1CC6">
      <w:pPr>
        <w:pStyle w:val="BodyText"/>
        <w:ind w:left="709"/>
        <w:rPr>
          <w:rFonts w:eastAsia="Times New Roman"/>
          <w:lang w:bidi="ar-SA"/>
        </w:rPr>
      </w:pPr>
      <w:r>
        <w:t xml:space="preserve">For procurements decisions to which a financial threshold applies, the relevant contract value for application of the threshold is the total lifetime contract value inclusive of any applicable Value Added Tax (VAT) regardless of whether the VAT may be reclaimable, also </w:t>
      </w:r>
      <w:r>
        <w:rPr>
          <w:rFonts w:eastAsia="Times New Roman"/>
          <w:lang w:bidi="ar-SA"/>
        </w:rPr>
        <w:t xml:space="preserve">including any planned future phases of work which could be reasonably foreseen to be required to be delivered by a single provider. </w:t>
      </w:r>
    </w:p>
    <w:p w14:paraId="5FC0B34E" w14:textId="77777777" w:rsidR="001B1CC6" w:rsidRDefault="001B1CC6" w:rsidP="001B1CC6">
      <w:pPr>
        <w:pStyle w:val="BodyText"/>
        <w:ind w:left="709"/>
        <w:rPr>
          <w:rFonts w:eastAsia="Times New Roman"/>
          <w:lang w:bidi="ar-SA"/>
        </w:rPr>
      </w:pPr>
    </w:p>
    <w:p w14:paraId="7EAB9811" w14:textId="77777777" w:rsidR="001B1CC6" w:rsidRPr="00C32622" w:rsidRDefault="001B1CC6" w:rsidP="001B1CC6">
      <w:pPr>
        <w:pStyle w:val="BodyText"/>
        <w:ind w:left="709"/>
      </w:pPr>
      <w:r>
        <w:rPr>
          <w:rFonts w:eastAsia="Times New Roman"/>
          <w:lang w:bidi="ar-SA"/>
        </w:rPr>
        <w:t>Procurements and their subsequent contractual agreements must not be artificially segmented to avoid following the requisite procurement process.</w:t>
      </w:r>
    </w:p>
    <w:p w14:paraId="00A82778" w14:textId="77777777" w:rsidR="001B1CC6" w:rsidRDefault="001B1CC6" w:rsidP="001B1CC6">
      <w:pPr>
        <w:pStyle w:val="BodyText"/>
        <w:ind w:left="720"/>
        <w:rPr>
          <w:b/>
          <w:bCs/>
        </w:rPr>
      </w:pPr>
    </w:p>
    <w:p w14:paraId="74F6E736" w14:textId="6DD6DC76" w:rsidR="001B1CC6" w:rsidRDefault="001B1CC6" w:rsidP="001B1CC6">
      <w:pPr>
        <w:pStyle w:val="BodyText"/>
        <w:rPr>
          <w:b/>
          <w:bCs/>
        </w:rPr>
      </w:pPr>
    </w:p>
    <w:p w14:paraId="3440FC6F" w14:textId="072015F4" w:rsidR="007A2840" w:rsidRPr="00017ECA" w:rsidRDefault="007A2840" w:rsidP="00870FCB">
      <w:pPr>
        <w:pStyle w:val="BodyText"/>
        <w:numPr>
          <w:ilvl w:val="1"/>
          <w:numId w:val="7"/>
        </w:numPr>
        <w:rPr>
          <w:b/>
          <w:bCs/>
        </w:rPr>
      </w:pPr>
      <w:r w:rsidRPr="00017ECA">
        <w:rPr>
          <w:b/>
          <w:bCs/>
        </w:rPr>
        <w:t>Engagement</w:t>
      </w:r>
    </w:p>
    <w:p w14:paraId="0D98B7F7" w14:textId="49B2AD92" w:rsidR="001D4D41" w:rsidRPr="003A05EC" w:rsidRDefault="001D4D41" w:rsidP="003376A5">
      <w:pPr>
        <w:pStyle w:val="BodyText"/>
        <w:ind w:left="720"/>
        <w:rPr>
          <w:b/>
          <w:bCs/>
        </w:rPr>
      </w:pPr>
      <w:r w:rsidRPr="003A05EC">
        <w:t xml:space="preserve">The ICB has a </w:t>
      </w:r>
      <w:r w:rsidR="001B1CC6">
        <w:t>statutory</w:t>
      </w:r>
      <w:r w:rsidRPr="003A05EC">
        <w:t xml:space="preserve"> duty to involve local people in the decisions we make about their health</w:t>
      </w:r>
      <w:r w:rsidR="003A05EC">
        <w:t>care</w:t>
      </w:r>
      <w:r w:rsidRPr="003A05EC">
        <w:t xml:space="preserve"> services.</w:t>
      </w:r>
    </w:p>
    <w:p w14:paraId="7DF95B3F" w14:textId="622E8D59" w:rsidR="001D4D41" w:rsidRPr="003A05EC" w:rsidRDefault="001D4D41" w:rsidP="003376A5">
      <w:pPr>
        <w:pStyle w:val="BodyText"/>
        <w:ind w:left="720"/>
        <w:rPr>
          <w:b/>
          <w:bCs/>
        </w:rPr>
      </w:pPr>
    </w:p>
    <w:p w14:paraId="655526CA" w14:textId="1C860B4E" w:rsidR="001D4D41" w:rsidRPr="003A05EC" w:rsidRDefault="001D4D41" w:rsidP="003376A5">
      <w:pPr>
        <w:pStyle w:val="BodyText"/>
        <w:ind w:left="720"/>
        <w:rPr>
          <w:b/>
          <w:bCs/>
        </w:rPr>
      </w:pPr>
      <w:r w:rsidRPr="003A05EC">
        <w:t>Engagement activity is a fundamental element of the commissioning</w:t>
      </w:r>
      <w:r w:rsidR="00A702C8">
        <w:t xml:space="preserve"> (and decommissioning)</w:t>
      </w:r>
      <w:r w:rsidRPr="003A05EC">
        <w:t xml:space="preserve"> process </w:t>
      </w:r>
      <w:r w:rsidR="003A05EC">
        <w:t xml:space="preserve">for healthcare services </w:t>
      </w:r>
      <w:r w:rsidRPr="003A05EC">
        <w:t xml:space="preserve">and should be undertaken at the very start of any new service development / service redesign, and certainly before any decision relating to procurement is made. </w:t>
      </w:r>
    </w:p>
    <w:p w14:paraId="0EBE0C78" w14:textId="77777777" w:rsidR="001D4D41" w:rsidRPr="003A05EC" w:rsidRDefault="001D4D41" w:rsidP="003376A5">
      <w:pPr>
        <w:pStyle w:val="BodyText"/>
        <w:ind w:left="720"/>
        <w:rPr>
          <w:b/>
          <w:bCs/>
        </w:rPr>
      </w:pPr>
    </w:p>
    <w:p w14:paraId="2BF11F74" w14:textId="647551D5" w:rsidR="001D4D41" w:rsidRPr="003A05EC" w:rsidRDefault="001D4D41" w:rsidP="003376A5">
      <w:pPr>
        <w:pStyle w:val="BodyText"/>
        <w:ind w:left="720"/>
        <w:rPr>
          <w:b/>
          <w:bCs/>
        </w:rPr>
      </w:pPr>
      <w:r w:rsidRPr="003A05EC">
        <w:t xml:space="preserve">The ICB’s Communications and Engagement Team will provide support and guidance in the development and delivery of engagement / consultation plans.   </w:t>
      </w:r>
    </w:p>
    <w:p w14:paraId="5C506008" w14:textId="77777777" w:rsidR="001D4D41" w:rsidRPr="003A05EC" w:rsidRDefault="001D4D41" w:rsidP="003376A5">
      <w:pPr>
        <w:pStyle w:val="BodyText"/>
        <w:ind w:left="720"/>
        <w:rPr>
          <w:b/>
          <w:bCs/>
        </w:rPr>
      </w:pPr>
    </w:p>
    <w:p w14:paraId="33D936B4" w14:textId="3A748235" w:rsidR="000C2FF6" w:rsidRPr="003A05EC" w:rsidRDefault="001D4D41" w:rsidP="003376A5">
      <w:pPr>
        <w:pStyle w:val="BodyText"/>
        <w:ind w:left="720"/>
        <w:rPr>
          <w:b/>
          <w:bCs/>
        </w:rPr>
      </w:pPr>
      <w:r w:rsidRPr="003A05EC">
        <w:t xml:space="preserve">The completion of the Equality Impact Assessment (via the EIA tool) should be the first stage of any new service development / service redesign </w:t>
      </w:r>
      <w:proofErr w:type="gramStart"/>
      <w:r w:rsidRPr="003A05EC">
        <w:t>process</w:t>
      </w:r>
      <w:proofErr w:type="gramEnd"/>
      <w:r w:rsidRPr="003A05EC">
        <w:t xml:space="preserve"> and this will support the identification of those people affected, the scale and scope of any engagement activity, and the most appropriate tools and techniques to be utilised.  </w:t>
      </w:r>
    </w:p>
    <w:p w14:paraId="22B3F67C" w14:textId="0CF8B88B" w:rsidR="000C2FF6" w:rsidRDefault="000C2FF6" w:rsidP="003376A5">
      <w:pPr>
        <w:pStyle w:val="BodyText"/>
        <w:ind w:left="720"/>
        <w:rPr>
          <w:b/>
          <w:bCs/>
        </w:rPr>
      </w:pPr>
    </w:p>
    <w:p w14:paraId="3CCC71E1" w14:textId="77777777" w:rsidR="00A028AD" w:rsidRPr="003A05EC" w:rsidRDefault="00A028AD" w:rsidP="003376A5">
      <w:pPr>
        <w:pStyle w:val="BodyText"/>
        <w:ind w:left="720"/>
        <w:rPr>
          <w:b/>
          <w:bCs/>
        </w:rPr>
      </w:pPr>
    </w:p>
    <w:p w14:paraId="539C683C" w14:textId="77548734" w:rsidR="00515EAD" w:rsidRPr="00017ECA" w:rsidRDefault="00515EAD" w:rsidP="00870FCB">
      <w:pPr>
        <w:pStyle w:val="BodyText"/>
        <w:numPr>
          <w:ilvl w:val="1"/>
          <w:numId w:val="7"/>
        </w:numPr>
        <w:rPr>
          <w:b/>
          <w:bCs/>
        </w:rPr>
      </w:pPr>
      <w:r w:rsidRPr="00017ECA">
        <w:rPr>
          <w:b/>
          <w:bCs/>
        </w:rPr>
        <w:t>Conflicts of Interest</w:t>
      </w:r>
    </w:p>
    <w:p w14:paraId="77353BAF" w14:textId="1FB677C0" w:rsidR="00986F68" w:rsidRPr="00A14F0D" w:rsidRDefault="00986F68" w:rsidP="003376A5">
      <w:pPr>
        <w:pStyle w:val="BodyText"/>
        <w:ind w:left="720"/>
      </w:pPr>
      <w:r w:rsidRPr="00A14F0D">
        <w:t>Conflict</w:t>
      </w:r>
      <w:r w:rsidR="00A14F0D">
        <w:t>s</w:t>
      </w:r>
      <w:r w:rsidRPr="00A14F0D">
        <w:t xml:space="preserve"> of interest occurs when individuals are </w:t>
      </w:r>
      <w:proofErr w:type="gramStart"/>
      <w:r w:rsidRPr="00A14F0D">
        <w:t>in a position</w:t>
      </w:r>
      <w:proofErr w:type="gramEnd"/>
      <w:r w:rsidRPr="00A14F0D">
        <w:t xml:space="preserve"> to be influenced or appear to be influenced by a private or personal interest that could lead to a personal advantage or avoid a personal disadvantage.</w:t>
      </w:r>
    </w:p>
    <w:p w14:paraId="503F9B24" w14:textId="77777777" w:rsidR="00986F68" w:rsidRPr="00A14F0D" w:rsidRDefault="00986F68" w:rsidP="003376A5">
      <w:pPr>
        <w:pStyle w:val="BodyText"/>
        <w:ind w:left="720"/>
      </w:pPr>
    </w:p>
    <w:p w14:paraId="332F8394" w14:textId="361CB9B2" w:rsidR="00986F68" w:rsidRPr="00A14F0D" w:rsidRDefault="00986F68" w:rsidP="003376A5">
      <w:pPr>
        <w:pStyle w:val="BodyText"/>
        <w:ind w:left="720"/>
      </w:pPr>
      <w:r w:rsidRPr="00A14F0D">
        <w:t xml:space="preserve">Actual conflict of interest exists when, given personal or private interests, an individual is in a position to be influenced or to influence a </w:t>
      </w:r>
      <w:r w:rsidR="00A14F0D" w:rsidRPr="00A14F0D">
        <w:t>decision</w:t>
      </w:r>
      <w:r w:rsidR="00A14F0D">
        <w:t xml:space="preserve"> in their favour</w:t>
      </w:r>
      <w:r w:rsidRPr="00A14F0D">
        <w:t xml:space="preserve">. Potential conflict of interest exists when personal or private interests puts </w:t>
      </w:r>
      <w:r w:rsidR="00A14F0D" w:rsidRPr="00A14F0D">
        <w:t>an individual</w:t>
      </w:r>
      <w:r w:rsidRPr="00A14F0D">
        <w:t xml:space="preserve"> in a position where </w:t>
      </w:r>
      <w:r w:rsidR="00A14F0D" w:rsidRPr="00A14F0D">
        <w:t>they</w:t>
      </w:r>
      <w:r w:rsidRPr="00A14F0D">
        <w:t xml:space="preserve"> could be influenced</w:t>
      </w:r>
      <w:r w:rsidR="00A14F0D" w:rsidRPr="00A14F0D">
        <w:t xml:space="preserve"> or influence</w:t>
      </w:r>
      <w:r w:rsidR="00A14F0D">
        <w:t xml:space="preserve"> a decision in their favour</w:t>
      </w:r>
      <w:r w:rsidRPr="00A14F0D">
        <w:t xml:space="preserve">. Finally, perceived conflict of interest exists when personal or private interest exposes </w:t>
      </w:r>
      <w:r w:rsidR="00A14F0D" w:rsidRPr="00A14F0D">
        <w:t>an individual</w:t>
      </w:r>
      <w:r w:rsidRPr="00A14F0D">
        <w:t xml:space="preserve"> to being in a position where </w:t>
      </w:r>
      <w:r w:rsidR="00A14F0D" w:rsidRPr="00A14F0D">
        <w:t>they</w:t>
      </w:r>
      <w:r w:rsidRPr="00A14F0D">
        <w:t xml:space="preserve"> could appear to be influenced </w:t>
      </w:r>
      <w:r w:rsidR="00A14F0D">
        <w:t xml:space="preserve">or influence a decision in their favour </w:t>
      </w:r>
      <w:r w:rsidRPr="00A14F0D">
        <w:t xml:space="preserve">in the </w:t>
      </w:r>
      <w:r w:rsidR="00A14F0D" w:rsidRPr="00A14F0D">
        <w:t>undertaking of their</w:t>
      </w:r>
      <w:r w:rsidRPr="00A14F0D">
        <w:t xml:space="preserve"> duties. In all of these forms of conflict of interest the overriding factor is that </w:t>
      </w:r>
      <w:r w:rsidR="00A14F0D" w:rsidRPr="00A14F0D">
        <w:t>the individual’s</w:t>
      </w:r>
      <w:r w:rsidRPr="00A14F0D">
        <w:t xml:space="preserve"> personal or private interest threatens to compromise </w:t>
      </w:r>
      <w:r w:rsidR="00F64180">
        <w:t>a</w:t>
      </w:r>
      <w:r w:rsidR="00F64180" w:rsidRPr="00A14F0D">
        <w:t xml:space="preserve"> </w:t>
      </w:r>
      <w:r w:rsidR="00A14F0D" w:rsidRPr="00A14F0D">
        <w:t>procurement process and decision making.</w:t>
      </w:r>
    </w:p>
    <w:p w14:paraId="40D793E4" w14:textId="77777777" w:rsidR="00986F68" w:rsidRPr="00A14F0D" w:rsidRDefault="00986F68" w:rsidP="003376A5">
      <w:pPr>
        <w:pStyle w:val="BodyText"/>
        <w:ind w:left="720"/>
      </w:pPr>
    </w:p>
    <w:p w14:paraId="2951647A" w14:textId="522885F6" w:rsidR="00986F68" w:rsidRPr="00A14F0D" w:rsidRDefault="00986F68" w:rsidP="00BE1E61">
      <w:pPr>
        <w:pStyle w:val="BodyText"/>
        <w:ind w:left="720"/>
      </w:pPr>
      <w:r w:rsidRPr="00A14F0D">
        <w:t xml:space="preserve">Private or personal interests that could lead to actual, potential or perceived conflict of interest may include professional and/or social activities and interest with individuals or groups, in addition to family and friends. Personal or private interests </w:t>
      </w:r>
      <w:r w:rsidR="00A14F0D">
        <w:t>can</w:t>
      </w:r>
      <w:r w:rsidRPr="00A14F0D">
        <w:t xml:space="preserve"> be monetary or non-monetary.</w:t>
      </w:r>
    </w:p>
    <w:p w14:paraId="32885D36" w14:textId="77777777" w:rsidR="00986F68" w:rsidRPr="00A14F0D" w:rsidRDefault="00986F68" w:rsidP="00BE1E61">
      <w:pPr>
        <w:pStyle w:val="BodyText"/>
        <w:ind w:left="720"/>
      </w:pPr>
    </w:p>
    <w:p w14:paraId="6071E33D" w14:textId="2FB5E184" w:rsidR="00986F68" w:rsidRPr="00A14F0D" w:rsidRDefault="00986F68" w:rsidP="00BE1E61">
      <w:pPr>
        <w:pStyle w:val="BodyText"/>
        <w:ind w:left="720"/>
      </w:pPr>
      <w:r w:rsidRPr="00A14F0D">
        <w:t>Conflict</w:t>
      </w:r>
      <w:r w:rsidR="00A14F0D" w:rsidRPr="00A14F0D">
        <w:t>s</w:t>
      </w:r>
      <w:r w:rsidRPr="00A14F0D">
        <w:t xml:space="preserve"> of interest</w:t>
      </w:r>
      <w:r w:rsidR="00A14F0D" w:rsidRPr="00A14F0D">
        <w:t xml:space="preserve"> exist and are</w:t>
      </w:r>
      <w:r w:rsidRPr="00A14F0D">
        <w:t xml:space="preserve"> not necessarily wrong or unethical; what</w:t>
      </w:r>
      <w:r w:rsidR="00A14F0D" w:rsidRPr="00A14F0D">
        <w:t xml:space="preserve"> i</w:t>
      </w:r>
      <w:r w:rsidRPr="00A14F0D">
        <w:t xml:space="preserve">s important is to identify </w:t>
      </w:r>
      <w:r w:rsidR="00A14F0D" w:rsidRPr="00A14F0D">
        <w:t xml:space="preserve">any conflicts of interest </w:t>
      </w:r>
      <w:r w:rsidRPr="00A14F0D">
        <w:t xml:space="preserve">and manage </w:t>
      </w:r>
      <w:r w:rsidR="00A14F0D" w:rsidRPr="00A14F0D">
        <w:t>them</w:t>
      </w:r>
      <w:r w:rsidRPr="00A14F0D">
        <w:t>.</w:t>
      </w:r>
      <w:r w:rsidR="00A14F0D" w:rsidRPr="00A14F0D">
        <w:t xml:space="preserve"> Processes to manage conflicts of interest are built into procurement processes for both ICB employees and other stakeholders as well as for those suppliers seeking contracts with the ICB.</w:t>
      </w:r>
    </w:p>
    <w:p w14:paraId="681AF04C" w14:textId="77777777" w:rsidR="00515EAD" w:rsidRPr="00F37630" w:rsidRDefault="00515EAD" w:rsidP="003376A5">
      <w:pPr>
        <w:pStyle w:val="BodyText"/>
        <w:ind w:left="720"/>
      </w:pPr>
    </w:p>
    <w:p w14:paraId="3E7E4D5C" w14:textId="77777777" w:rsidR="00515EAD" w:rsidRDefault="00515EAD" w:rsidP="003376A5">
      <w:pPr>
        <w:pStyle w:val="BodyText"/>
        <w:ind w:left="720"/>
      </w:pPr>
    </w:p>
    <w:p w14:paraId="42349C0A" w14:textId="1C0D168A" w:rsidR="000C2FF6" w:rsidRDefault="00515EAD" w:rsidP="00870FCB">
      <w:pPr>
        <w:pStyle w:val="BodyText"/>
        <w:numPr>
          <w:ilvl w:val="1"/>
          <w:numId w:val="7"/>
        </w:numPr>
        <w:rPr>
          <w:b/>
          <w:bCs/>
        </w:rPr>
      </w:pPr>
      <w:r w:rsidRPr="00017ECA">
        <w:rPr>
          <w:b/>
          <w:bCs/>
        </w:rPr>
        <w:t>S</w:t>
      </w:r>
      <w:r w:rsidR="000C2FF6" w:rsidRPr="00017ECA">
        <w:rPr>
          <w:b/>
          <w:bCs/>
        </w:rPr>
        <w:t>ustainable Procurement</w:t>
      </w:r>
    </w:p>
    <w:p w14:paraId="3D4FB3F2" w14:textId="271987B2" w:rsidR="000C2FF6" w:rsidRPr="000C2FF6" w:rsidRDefault="000C2FF6" w:rsidP="003376A5">
      <w:pPr>
        <w:widowControl/>
        <w:autoSpaceDE/>
        <w:autoSpaceDN/>
        <w:ind w:left="720"/>
        <w:rPr>
          <w:rFonts w:eastAsia="Times New Roman"/>
          <w:bCs/>
          <w:sz w:val="24"/>
          <w:szCs w:val="24"/>
          <w:lang w:eastAsia="en-US" w:bidi="ar-SA"/>
        </w:rPr>
      </w:pPr>
      <w:r w:rsidRPr="000C2FF6">
        <w:rPr>
          <w:rFonts w:eastAsia="Times New Roman"/>
          <w:bCs/>
          <w:sz w:val="24"/>
          <w:szCs w:val="24"/>
          <w:lang w:eastAsia="en-US" w:bidi="ar-SA"/>
        </w:rPr>
        <w:t xml:space="preserve">The NHS is a major employer and economic force both in </w:t>
      </w:r>
      <w:r>
        <w:rPr>
          <w:rFonts w:eastAsia="Times New Roman"/>
          <w:bCs/>
          <w:sz w:val="24"/>
          <w:szCs w:val="24"/>
          <w:lang w:eastAsia="en-US" w:bidi="ar-SA"/>
        </w:rPr>
        <w:t>the ICB</w:t>
      </w:r>
      <w:r w:rsidRPr="000C2FF6">
        <w:rPr>
          <w:rFonts w:eastAsia="Times New Roman"/>
          <w:bCs/>
          <w:sz w:val="24"/>
          <w:szCs w:val="24"/>
          <w:lang w:eastAsia="en-US" w:bidi="ar-SA"/>
        </w:rPr>
        <w:t xml:space="preserve"> and across the country</w:t>
      </w:r>
      <w:r>
        <w:rPr>
          <w:rFonts w:eastAsia="Times New Roman"/>
          <w:bCs/>
          <w:sz w:val="24"/>
          <w:szCs w:val="24"/>
          <w:lang w:eastAsia="en-US" w:bidi="ar-SA"/>
        </w:rPr>
        <w:t xml:space="preserve"> and the ICB</w:t>
      </w:r>
      <w:r w:rsidRPr="000C2FF6">
        <w:rPr>
          <w:rFonts w:eastAsia="Times New Roman"/>
          <w:bCs/>
          <w:sz w:val="24"/>
          <w:szCs w:val="24"/>
          <w:lang w:eastAsia="en-US" w:bidi="ar-SA"/>
        </w:rPr>
        <w:t xml:space="preserve"> recognise</w:t>
      </w:r>
      <w:r>
        <w:rPr>
          <w:rFonts w:eastAsia="Times New Roman"/>
          <w:bCs/>
          <w:sz w:val="24"/>
          <w:szCs w:val="24"/>
          <w:lang w:eastAsia="en-US" w:bidi="ar-SA"/>
        </w:rPr>
        <w:t>s</w:t>
      </w:r>
      <w:r w:rsidRPr="000C2FF6">
        <w:rPr>
          <w:rFonts w:eastAsia="Times New Roman"/>
          <w:bCs/>
          <w:sz w:val="24"/>
          <w:szCs w:val="24"/>
          <w:lang w:eastAsia="en-US" w:bidi="ar-SA"/>
        </w:rPr>
        <w:t xml:space="preserve"> the impact of </w:t>
      </w:r>
      <w:r>
        <w:rPr>
          <w:rFonts w:eastAsia="Times New Roman"/>
          <w:bCs/>
          <w:sz w:val="24"/>
          <w:szCs w:val="24"/>
          <w:lang w:eastAsia="en-US" w:bidi="ar-SA"/>
        </w:rPr>
        <w:t>its</w:t>
      </w:r>
      <w:r w:rsidRPr="000C2FF6">
        <w:rPr>
          <w:rFonts w:eastAsia="Times New Roman"/>
          <w:bCs/>
          <w:sz w:val="24"/>
          <w:szCs w:val="24"/>
          <w:lang w:eastAsia="en-US" w:bidi="ar-SA"/>
        </w:rPr>
        <w:t xml:space="preserve"> purchasing and procurement decisions on the regional economy and the positive contribution that can be made to economic and social regeneration. </w:t>
      </w:r>
    </w:p>
    <w:p w14:paraId="35B727D3" w14:textId="77777777" w:rsidR="000C2FF6" w:rsidRPr="000C2FF6" w:rsidRDefault="000C2FF6" w:rsidP="003376A5">
      <w:pPr>
        <w:widowControl/>
        <w:autoSpaceDE/>
        <w:autoSpaceDN/>
        <w:ind w:left="720"/>
        <w:rPr>
          <w:rFonts w:eastAsia="Times New Roman"/>
          <w:bCs/>
          <w:sz w:val="24"/>
          <w:szCs w:val="24"/>
          <w:lang w:eastAsia="en-US" w:bidi="ar-SA"/>
        </w:rPr>
      </w:pPr>
    </w:p>
    <w:p w14:paraId="72CB28A4" w14:textId="77777777" w:rsidR="00844316" w:rsidRDefault="000C2FF6" w:rsidP="00844316">
      <w:pPr>
        <w:widowControl/>
        <w:autoSpaceDE/>
        <w:autoSpaceDN/>
        <w:ind w:left="720"/>
        <w:rPr>
          <w:rFonts w:eastAsia="Times New Roman"/>
          <w:sz w:val="24"/>
          <w:szCs w:val="24"/>
          <w:lang w:bidi="ar-SA"/>
        </w:rPr>
      </w:pPr>
      <w:r w:rsidRPr="000C2FF6">
        <w:rPr>
          <w:rFonts w:eastAsia="Times New Roman"/>
          <w:bCs/>
          <w:sz w:val="24"/>
          <w:szCs w:val="24"/>
          <w:lang w:eastAsia="en-US" w:bidi="ar-SA"/>
        </w:rPr>
        <w:t xml:space="preserve">Wherever possible, and where it does not contradict or contravene procurement principles, </w:t>
      </w:r>
      <w:r>
        <w:rPr>
          <w:rFonts w:eastAsia="Times New Roman"/>
          <w:bCs/>
          <w:sz w:val="24"/>
          <w:szCs w:val="24"/>
          <w:lang w:eastAsia="en-US" w:bidi="ar-SA"/>
        </w:rPr>
        <w:t>the ICB</w:t>
      </w:r>
      <w:r w:rsidRPr="000C2FF6">
        <w:rPr>
          <w:rFonts w:eastAsia="Times New Roman"/>
          <w:bCs/>
          <w:sz w:val="24"/>
          <w:szCs w:val="24"/>
          <w:lang w:eastAsia="en-US" w:bidi="ar-SA"/>
        </w:rPr>
        <w:t xml:space="preserve"> will work to develop and support a sustainable local health economy. </w:t>
      </w:r>
      <w:r>
        <w:rPr>
          <w:rFonts w:eastAsia="Times New Roman"/>
          <w:bCs/>
          <w:sz w:val="24"/>
          <w:szCs w:val="24"/>
          <w:lang w:eastAsia="en-US" w:bidi="ar-SA"/>
        </w:rPr>
        <w:t>The ICB</w:t>
      </w:r>
      <w:r w:rsidRPr="000C2FF6">
        <w:rPr>
          <w:rFonts w:eastAsia="Times New Roman"/>
          <w:bCs/>
          <w:sz w:val="24"/>
          <w:szCs w:val="24"/>
          <w:lang w:eastAsia="en-US" w:bidi="ar-SA"/>
        </w:rPr>
        <w:t xml:space="preserve"> will also consider the wider impact of procurement on communities, particularly the opportunity for additional economic, social and environmental ‘community benefits’ that contribute to delivery of measurable population health benefits and a reduction in health inequalities.</w:t>
      </w:r>
      <w:r w:rsidRPr="000C2FF6">
        <w:rPr>
          <w:rFonts w:eastAsia="Times New Roman"/>
          <w:sz w:val="24"/>
          <w:szCs w:val="24"/>
          <w:lang w:bidi="ar-SA"/>
        </w:rPr>
        <w:t xml:space="preserve"> </w:t>
      </w:r>
      <w:r w:rsidR="00B7664A">
        <w:rPr>
          <w:rFonts w:eastAsia="Times New Roman"/>
          <w:sz w:val="24"/>
          <w:szCs w:val="24"/>
          <w:lang w:bidi="ar-SA"/>
        </w:rPr>
        <w:t>Social value is a Key Criterion for the Provider Selection Regime for the procurement of health care services and w</w:t>
      </w:r>
      <w:r w:rsidRPr="000C2FF6">
        <w:rPr>
          <w:rFonts w:eastAsia="Times New Roman"/>
          <w:sz w:val="24"/>
          <w:szCs w:val="24"/>
          <w:lang w:bidi="ar-SA"/>
        </w:rPr>
        <w:t>here appropriate social</w:t>
      </w:r>
      <w:r w:rsidR="00F64180">
        <w:rPr>
          <w:rFonts w:eastAsia="Times New Roman"/>
          <w:sz w:val="24"/>
          <w:szCs w:val="24"/>
          <w:lang w:bidi="ar-SA"/>
        </w:rPr>
        <w:t xml:space="preserve"> value</w:t>
      </w:r>
      <w:r w:rsidRPr="000C2FF6">
        <w:rPr>
          <w:rFonts w:eastAsia="Times New Roman"/>
          <w:sz w:val="24"/>
          <w:szCs w:val="24"/>
          <w:lang w:bidi="ar-SA"/>
        </w:rPr>
        <w:t xml:space="preserve"> clauses will be included in tender documentation and contracts</w:t>
      </w:r>
      <w:r w:rsidR="00B7664A">
        <w:rPr>
          <w:rFonts w:eastAsia="Times New Roman"/>
          <w:sz w:val="24"/>
          <w:szCs w:val="24"/>
          <w:lang w:bidi="ar-SA"/>
        </w:rPr>
        <w:t xml:space="preserve"> for non-health care services.</w:t>
      </w:r>
    </w:p>
    <w:p w14:paraId="53619EAD" w14:textId="77777777" w:rsidR="00A702C8" w:rsidRDefault="00A702C8" w:rsidP="00844316">
      <w:pPr>
        <w:widowControl/>
        <w:autoSpaceDE/>
        <w:autoSpaceDN/>
        <w:ind w:left="720"/>
        <w:rPr>
          <w:rFonts w:eastAsia="Times New Roman"/>
          <w:sz w:val="24"/>
          <w:szCs w:val="24"/>
          <w:lang w:bidi="ar-SA"/>
        </w:rPr>
      </w:pPr>
    </w:p>
    <w:p w14:paraId="0A7A5EB3" w14:textId="77777777" w:rsidR="00C32622" w:rsidRDefault="00C32622" w:rsidP="00DB2B8A">
      <w:pPr>
        <w:pStyle w:val="BodyText"/>
        <w:rPr>
          <w:b/>
          <w:bCs/>
        </w:rPr>
      </w:pPr>
    </w:p>
    <w:p w14:paraId="6F5B642A" w14:textId="3279DF4B" w:rsidR="00844316" w:rsidRPr="00844316" w:rsidRDefault="00844316" w:rsidP="00870FCB">
      <w:pPr>
        <w:pStyle w:val="BodyText"/>
        <w:numPr>
          <w:ilvl w:val="1"/>
          <w:numId w:val="7"/>
        </w:numPr>
        <w:rPr>
          <w:b/>
          <w:bCs/>
        </w:rPr>
      </w:pPr>
      <w:r w:rsidRPr="00844316">
        <w:rPr>
          <w:b/>
          <w:bCs/>
        </w:rPr>
        <w:t>Procurement of Consultancy Services</w:t>
      </w:r>
    </w:p>
    <w:p w14:paraId="030FC6C8" w14:textId="5F8436E2" w:rsidR="00844316" w:rsidRDefault="00844316" w:rsidP="00844316">
      <w:pPr>
        <w:widowControl/>
        <w:autoSpaceDE/>
        <w:autoSpaceDN/>
        <w:ind w:left="720"/>
        <w:rPr>
          <w:rFonts w:eastAsia="Times New Roman"/>
          <w:sz w:val="24"/>
          <w:szCs w:val="24"/>
          <w:lang w:bidi="ar-SA"/>
        </w:rPr>
      </w:pPr>
      <w:r>
        <w:rPr>
          <w:rFonts w:eastAsia="Times New Roman"/>
          <w:sz w:val="24"/>
          <w:szCs w:val="24"/>
          <w:lang w:bidi="ar-SA"/>
        </w:rPr>
        <w:t xml:space="preserve">Any proposed procurement of consultancy services that is anticipated to have a contract value </w:t>
      </w:r>
      <w:proofErr w:type="gramStart"/>
      <w:r>
        <w:rPr>
          <w:rFonts w:eastAsia="Times New Roman"/>
          <w:sz w:val="24"/>
          <w:szCs w:val="24"/>
          <w:lang w:bidi="ar-SA"/>
        </w:rPr>
        <w:t>in excess of</w:t>
      </w:r>
      <w:proofErr w:type="gramEnd"/>
      <w:r>
        <w:rPr>
          <w:rFonts w:eastAsia="Times New Roman"/>
          <w:sz w:val="24"/>
          <w:szCs w:val="24"/>
          <w:lang w:bidi="ar-SA"/>
        </w:rPr>
        <w:t xml:space="preserve"> £50,000 requires the submission of a business case to NHS England for approval prior to commencing </w:t>
      </w:r>
      <w:r w:rsidR="00C32622">
        <w:rPr>
          <w:rFonts w:eastAsia="Times New Roman"/>
          <w:sz w:val="24"/>
          <w:szCs w:val="24"/>
          <w:lang w:bidi="ar-SA"/>
        </w:rPr>
        <w:t>any</w:t>
      </w:r>
      <w:r>
        <w:rPr>
          <w:rFonts w:eastAsia="Times New Roman"/>
          <w:sz w:val="24"/>
          <w:szCs w:val="24"/>
          <w:lang w:bidi="ar-SA"/>
        </w:rPr>
        <w:t xml:space="preserve"> procurement process. This is required regardless of the source of funding and is in addition to ICB approval to commit expenditure.</w:t>
      </w:r>
    </w:p>
    <w:p w14:paraId="43AE993E" w14:textId="77777777" w:rsidR="00844316" w:rsidRDefault="00844316" w:rsidP="00844316">
      <w:pPr>
        <w:widowControl/>
        <w:autoSpaceDE/>
        <w:autoSpaceDN/>
        <w:ind w:left="720"/>
        <w:rPr>
          <w:rFonts w:eastAsia="Times New Roman"/>
          <w:sz w:val="24"/>
          <w:szCs w:val="24"/>
          <w:lang w:bidi="ar-SA"/>
        </w:rPr>
      </w:pPr>
    </w:p>
    <w:p w14:paraId="6B1372C7" w14:textId="47CDB261" w:rsidR="00844316" w:rsidRDefault="00844316" w:rsidP="00844316">
      <w:pPr>
        <w:widowControl/>
        <w:autoSpaceDE/>
        <w:autoSpaceDN/>
        <w:ind w:left="709"/>
        <w:rPr>
          <w:rFonts w:eastAsia="Times New Roman"/>
          <w:sz w:val="24"/>
          <w:szCs w:val="24"/>
          <w:lang w:bidi="ar-SA"/>
        </w:rPr>
      </w:pPr>
      <w:r>
        <w:rPr>
          <w:rFonts w:eastAsia="Times New Roman"/>
          <w:sz w:val="24"/>
          <w:szCs w:val="24"/>
          <w:lang w:bidi="ar-SA"/>
        </w:rPr>
        <w:t xml:space="preserve">Business Cases must be submitted to NHS England by the Executive Director of Finance and Investment, or </w:t>
      </w:r>
      <w:proofErr w:type="gramStart"/>
      <w:r>
        <w:rPr>
          <w:rFonts w:eastAsia="Times New Roman"/>
          <w:sz w:val="24"/>
          <w:szCs w:val="24"/>
          <w:lang w:bidi="ar-SA"/>
        </w:rPr>
        <w:t>other</w:t>
      </w:r>
      <w:proofErr w:type="gramEnd"/>
      <w:r>
        <w:rPr>
          <w:rFonts w:eastAsia="Times New Roman"/>
          <w:sz w:val="24"/>
          <w:szCs w:val="24"/>
          <w:lang w:bidi="ar-SA"/>
        </w:rPr>
        <w:t xml:space="preserve"> officer duly nominated by them.</w:t>
      </w:r>
    </w:p>
    <w:p w14:paraId="5F3F9B33" w14:textId="77777777" w:rsidR="00844316" w:rsidRDefault="00844316" w:rsidP="00844316">
      <w:pPr>
        <w:widowControl/>
        <w:autoSpaceDE/>
        <w:autoSpaceDN/>
        <w:ind w:left="709"/>
        <w:rPr>
          <w:rFonts w:eastAsia="Times New Roman"/>
          <w:sz w:val="24"/>
          <w:szCs w:val="24"/>
          <w:lang w:bidi="ar-SA"/>
        </w:rPr>
      </w:pPr>
    </w:p>
    <w:p w14:paraId="64BC45FA" w14:textId="5F59923E" w:rsidR="00844316" w:rsidRDefault="00DB2B8A" w:rsidP="00844316">
      <w:pPr>
        <w:widowControl/>
        <w:autoSpaceDE/>
        <w:autoSpaceDN/>
        <w:ind w:left="709"/>
        <w:rPr>
          <w:rFonts w:eastAsia="Times New Roman"/>
          <w:sz w:val="24"/>
          <w:szCs w:val="24"/>
          <w:lang w:bidi="ar-SA"/>
        </w:rPr>
      </w:pPr>
      <w:r>
        <w:rPr>
          <w:rFonts w:eastAsia="Times New Roman"/>
          <w:sz w:val="24"/>
          <w:szCs w:val="24"/>
          <w:lang w:bidi="ar-SA"/>
        </w:rPr>
        <w:t xml:space="preserve">The £50,000 threshold applies to the entire contract value including any planned future phases of work which could be reasonably foreseen to be required to be delivered by a single provider. </w:t>
      </w:r>
      <w:r w:rsidR="00C32622">
        <w:rPr>
          <w:rFonts w:eastAsia="Times New Roman"/>
          <w:sz w:val="24"/>
          <w:szCs w:val="24"/>
          <w:lang w:bidi="ar-SA"/>
        </w:rPr>
        <w:t>Procurements of consultancy services and their subsequent contractual agreements</w:t>
      </w:r>
      <w:r>
        <w:rPr>
          <w:rFonts w:eastAsia="Times New Roman"/>
          <w:sz w:val="24"/>
          <w:szCs w:val="24"/>
          <w:lang w:bidi="ar-SA"/>
        </w:rPr>
        <w:t xml:space="preserve"> must not be artificially </w:t>
      </w:r>
      <w:r w:rsidR="00C32622">
        <w:rPr>
          <w:rFonts w:eastAsia="Times New Roman"/>
          <w:sz w:val="24"/>
          <w:szCs w:val="24"/>
          <w:lang w:bidi="ar-SA"/>
        </w:rPr>
        <w:t>segmented to avoid undertaking the NHS England business case approval process.</w:t>
      </w:r>
    </w:p>
    <w:p w14:paraId="0BF88C56" w14:textId="77777777" w:rsidR="00844316" w:rsidRPr="00844316" w:rsidRDefault="00844316" w:rsidP="00844316">
      <w:pPr>
        <w:widowControl/>
        <w:autoSpaceDE/>
        <w:autoSpaceDN/>
        <w:ind w:left="709"/>
      </w:pPr>
    </w:p>
    <w:p w14:paraId="56F0995A" w14:textId="77777777" w:rsidR="00844316" w:rsidRDefault="00844316" w:rsidP="00844316">
      <w:pPr>
        <w:widowControl/>
        <w:autoSpaceDE/>
        <w:autoSpaceDN/>
        <w:rPr>
          <w:b/>
          <w:bCs/>
        </w:rPr>
      </w:pPr>
    </w:p>
    <w:p w14:paraId="6B9DC709" w14:textId="77777777" w:rsidR="00844316" w:rsidRDefault="00844316" w:rsidP="00844316">
      <w:pPr>
        <w:widowControl/>
        <w:autoSpaceDE/>
        <w:autoSpaceDN/>
        <w:rPr>
          <w:b/>
          <w:bCs/>
        </w:rPr>
      </w:pPr>
    </w:p>
    <w:p w14:paraId="5415DEFD" w14:textId="77777777" w:rsidR="00844316" w:rsidRPr="00844316" w:rsidRDefault="00844316" w:rsidP="00844316">
      <w:pPr>
        <w:widowControl/>
        <w:autoSpaceDE/>
        <w:autoSpaceDN/>
        <w:rPr>
          <w:rFonts w:eastAsia="Times New Roman"/>
          <w:sz w:val="24"/>
          <w:szCs w:val="24"/>
          <w:lang w:bidi="ar-SA"/>
        </w:rPr>
      </w:pPr>
    </w:p>
    <w:p w14:paraId="010235B1" w14:textId="77777777" w:rsidR="00844316" w:rsidRDefault="00844316">
      <w:pPr>
        <w:rPr>
          <w:b/>
          <w:bCs/>
          <w:sz w:val="24"/>
          <w:szCs w:val="24"/>
        </w:rPr>
      </w:pPr>
      <w:r>
        <w:br w:type="page"/>
      </w:r>
    </w:p>
    <w:p w14:paraId="51479338" w14:textId="7CE53A80" w:rsidR="00807946" w:rsidRPr="005D43AD" w:rsidRDefault="00BF4355" w:rsidP="00870FCB">
      <w:pPr>
        <w:pStyle w:val="Heading1"/>
        <w:numPr>
          <w:ilvl w:val="0"/>
          <w:numId w:val="7"/>
        </w:numPr>
        <w:jc w:val="left"/>
      </w:pPr>
      <w:bookmarkStart w:id="13" w:name="_Toc190529410"/>
      <w:r w:rsidRPr="00017ECA">
        <w:t>Procurement</w:t>
      </w:r>
      <w:r w:rsidR="004C1619">
        <w:t xml:space="preserve"> </w:t>
      </w:r>
      <w:r w:rsidR="00B7664A">
        <w:t xml:space="preserve">of </w:t>
      </w:r>
      <w:r w:rsidR="004C1619">
        <w:t>Health Care Services</w:t>
      </w:r>
      <w:bookmarkEnd w:id="13"/>
    </w:p>
    <w:p w14:paraId="169F6B0B" w14:textId="14F10ACB" w:rsidR="004C1619" w:rsidRDefault="004C1619" w:rsidP="00682232">
      <w:pPr>
        <w:widowControl/>
        <w:autoSpaceDE/>
        <w:autoSpaceDN/>
        <w:ind w:left="720"/>
        <w:jc w:val="both"/>
        <w:rPr>
          <w:rFonts w:eastAsia="Times New Roman"/>
          <w:sz w:val="24"/>
          <w:szCs w:val="24"/>
          <w:lang w:bidi="ar-SA"/>
        </w:rPr>
      </w:pPr>
      <w:r>
        <w:rPr>
          <w:rFonts w:eastAsia="Times New Roman"/>
          <w:sz w:val="24"/>
          <w:szCs w:val="24"/>
          <w:lang w:bidi="ar-SA"/>
        </w:rPr>
        <w:t xml:space="preserve">From 1 January 2024 the </w:t>
      </w:r>
      <w:r w:rsidR="001B1CC6">
        <w:rPr>
          <w:rFonts w:eastAsia="Times New Roman"/>
          <w:sz w:val="24"/>
          <w:szCs w:val="24"/>
          <w:lang w:bidi="ar-SA"/>
        </w:rPr>
        <w:t>Healthcare Services (</w:t>
      </w:r>
      <w:r>
        <w:rPr>
          <w:rFonts w:eastAsia="Times New Roman"/>
          <w:sz w:val="24"/>
          <w:szCs w:val="24"/>
          <w:lang w:bidi="ar-SA"/>
        </w:rPr>
        <w:t>Provider Selection Regime</w:t>
      </w:r>
      <w:r w:rsidR="001B1CC6">
        <w:rPr>
          <w:rFonts w:eastAsia="Times New Roman"/>
          <w:sz w:val="24"/>
          <w:szCs w:val="24"/>
          <w:lang w:bidi="ar-SA"/>
        </w:rPr>
        <w:t>) Regulations 2023</w:t>
      </w:r>
      <w:r>
        <w:rPr>
          <w:rFonts w:eastAsia="Times New Roman"/>
          <w:sz w:val="24"/>
          <w:szCs w:val="24"/>
          <w:lang w:bidi="ar-SA"/>
        </w:rPr>
        <w:t>, applies to the procurement of health care services</w:t>
      </w:r>
      <w:r w:rsidR="00492CFB">
        <w:rPr>
          <w:rFonts w:eastAsia="Times New Roman"/>
          <w:sz w:val="24"/>
          <w:szCs w:val="24"/>
          <w:lang w:bidi="ar-SA"/>
        </w:rPr>
        <w:t xml:space="preserve"> for relevant authorities, including Integrated Care Boards</w:t>
      </w:r>
      <w:r>
        <w:rPr>
          <w:rFonts w:eastAsia="Times New Roman"/>
          <w:sz w:val="24"/>
          <w:szCs w:val="24"/>
          <w:lang w:bidi="ar-SA"/>
        </w:rPr>
        <w:t>.</w:t>
      </w:r>
    </w:p>
    <w:p w14:paraId="7776BCEC" w14:textId="77777777" w:rsidR="004C1619" w:rsidRDefault="004C1619" w:rsidP="00BE1E61">
      <w:pPr>
        <w:widowControl/>
        <w:autoSpaceDE/>
        <w:autoSpaceDN/>
        <w:ind w:left="720"/>
        <w:rPr>
          <w:rFonts w:eastAsia="Times New Roman"/>
          <w:sz w:val="24"/>
          <w:szCs w:val="24"/>
          <w:lang w:bidi="ar-SA"/>
        </w:rPr>
      </w:pPr>
    </w:p>
    <w:p w14:paraId="01CF8817" w14:textId="22C6E11F" w:rsidR="00336B74" w:rsidRDefault="00336B74" w:rsidP="00BE1E61">
      <w:pPr>
        <w:widowControl/>
        <w:autoSpaceDE/>
        <w:autoSpaceDN/>
        <w:ind w:left="720"/>
        <w:jc w:val="both"/>
        <w:rPr>
          <w:rFonts w:eastAsia="Times New Roman"/>
          <w:sz w:val="24"/>
          <w:szCs w:val="24"/>
          <w:lang w:bidi="ar-SA"/>
        </w:rPr>
      </w:pPr>
      <w:r w:rsidRPr="00336B74">
        <w:rPr>
          <w:rFonts w:eastAsia="Times New Roman"/>
          <w:sz w:val="24"/>
          <w:szCs w:val="24"/>
          <w:lang w:bidi="ar-SA"/>
        </w:rPr>
        <w:t>The Provider Selection Regime has been designed to give the relevant authorities to which it applies more flexibility in selecting providers for health care services.</w:t>
      </w:r>
    </w:p>
    <w:p w14:paraId="6ED10DD9" w14:textId="77777777" w:rsidR="00336B74" w:rsidRDefault="00336B74" w:rsidP="00BE1E61">
      <w:pPr>
        <w:widowControl/>
        <w:autoSpaceDE/>
        <w:autoSpaceDN/>
        <w:ind w:left="720"/>
        <w:rPr>
          <w:rFonts w:eastAsia="Times New Roman"/>
          <w:sz w:val="24"/>
          <w:szCs w:val="24"/>
          <w:lang w:bidi="ar-SA"/>
        </w:rPr>
      </w:pPr>
    </w:p>
    <w:p w14:paraId="601AD464" w14:textId="77777777" w:rsidR="00492CFB" w:rsidRDefault="00492CFB" w:rsidP="00BE1E61">
      <w:pPr>
        <w:widowControl/>
        <w:autoSpaceDE/>
        <w:autoSpaceDN/>
        <w:ind w:left="720"/>
        <w:rPr>
          <w:rFonts w:eastAsia="Times New Roman"/>
          <w:sz w:val="24"/>
          <w:szCs w:val="24"/>
          <w:lang w:bidi="ar-SA"/>
        </w:rPr>
      </w:pPr>
    </w:p>
    <w:p w14:paraId="13C855F2" w14:textId="20AF66DB" w:rsidR="00492CFB" w:rsidRDefault="00492CFB" w:rsidP="00BE1E61">
      <w:pPr>
        <w:widowControl/>
        <w:autoSpaceDE/>
        <w:autoSpaceDN/>
        <w:ind w:left="709" w:hanging="709"/>
        <w:rPr>
          <w:rFonts w:eastAsia="Times New Roman"/>
          <w:b/>
          <w:bCs/>
          <w:sz w:val="24"/>
          <w:szCs w:val="24"/>
          <w:lang w:bidi="ar-SA"/>
        </w:rPr>
      </w:pPr>
      <w:r w:rsidRPr="00492CFB">
        <w:rPr>
          <w:rFonts w:eastAsia="Times New Roman"/>
          <w:b/>
          <w:bCs/>
          <w:sz w:val="24"/>
          <w:szCs w:val="24"/>
          <w:lang w:bidi="ar-SA"/>
        </w:rPr>
        <w:t>7.1</w:t>
      </w:r>
      <w:r w:rsidRPr="00492CFB">
        <w:rPr>
          <w:rFonts w:eastAsia="Times New Roman"/>
          <w:b/>
          <w:bCs/>
          <w:sz w:val="24"/>
          <w:szCs w:val="24"/>
          <w:lang w:bidi="ar-SA"/>
        </w:rPr>
        <w:tab/>
        <w:t>Scope of the Provider Selection Regime</w:t>
      </w:r>
    </w:p>
    <w:p w14:paraId="55AE3F26" w14:textId="04DC9519" w:rsidR="00492CFB" w:rsidRDefault="00BE1E61" w:rsidP="00BE1E61">
      <w:pPr>
        <w:widowControl/>
        <w:autoSpaceDE/>
        <w:autoSpaceDN/>
        <w:ind w:left="709"/>
        <w:contextualSpacing/>
        <w:jc w:val="both"/>
        <w:rPr>
          <w:rFonts w:eastAsia="Calibri"/>
          <w:sz w:val="24"/>
          <w:szCs w:val="24"/>
          <w:lang w:eastAsia="en-US" w:bidi="ar-SA"/>
        </w:rPr>
      </w:pPr>
      <w:r>
        <w:rPr>
          <w:rFonts w:eastAsia="Calibri"/>
          <w:sz w:val="24"/>
          <w:szCs w:val="24"/>
          <w:lang w:eastAsia="en-US" w:bidi="ar-SA"/>
        </w:rPr>
        <w:t xml:space="preserve">Health care services in scope of the regime must fall within one or more of the common procurement </w:t>
      </w:r>
      <w:proofErr w:type="gramStart"/>
      <w:r>
        <w:rPr>
          <w:rFonts w:eastAsia="Calibri"/>
          <w:sz w:val="24"/>
          <w:szCs w:val="24"/>
          <w:lang w:eastAsia="en-US" w:bidi="ar-SA"/>
        </w:rPr>
        <w:t>vocabulary</w:t>
      </w:r>
      <w:proofErr w:type="gramEnd"/>
      <w:r>
        <w:rPr>
          <w:rFonts w:eastAsia="Calibri"/>
          <w:sz w:val="24"/>
          <w:szCs w:val="24"/>
          <w:lang w:eastAsia="en-US" w:bidi="ar-SA"/>
        </w:rPr>
        <w:t xml:space="preserve"> (CPV) codes, which are set out in Schedule 1 of the Regulations</w:t>
      </w:r>
      <w:r w:rsidR="00492CFB">
        <w:rPr>
          <w:rFonts w:eastAsia="Calibri"/>
          <w:sz w:val="24"/>
          <w:szCs w:val="24"/>
          <w:lang w:eastAsia="en-US" w:bidi="ar-SA"/>
        </w:rPr>
        <w:t>.</w:t>
      </w:r>
    </w:p>
    <w:p w14:paraId="5698C879" w14:textId="77777777" w:rsidR="00492CFB" w:rsidRDefault="00492CFB" w:rsidP="00BE1E61">
      <w:pPr>
        <w:widowControl/>
        <w:autoSpaceDE/>
        <w:autoSpaceDN/>
        <w:ind w:left="709"/>
        <w:contextualSpacing/>
        <w:jc w:val="both"/>
        <w:rPr>
          <w:rFonts w:eastAsia="Calibri"/>
          <w:sz w:val="24"/>
          <w:szCs w:val="24"/>
          <w:lang w:eastAsia="en-US" w:bidi="ar-SA"/>
        </w:rPr>
      </w:pPr>
    </w:p>
    <w:p w14:paraId="5DA8C671" w14:textId="599489BE" w:rsidR="00492CFB" w:rsidRPr="00492CFB" w:rsidRDefault="00492CFB" w:rsidP="00BE1E61">
      <w:pPr>
        <w:widowControl/>
        <w:autoSpaceDE/>
        <w:autoSpaceDN/>
        <w:ind w:left="709"/>
        <w:contextualSpacing/>
        <w:jc w:val="both"/>
        <w:rPr>
          <w:rFonts w:eastAsia="Calibri"/>
          <w:sz w:val="24"/>
          <w:szCs w:val="24"/>
          <w:lang w:eastAsia="en-US" w:bidi="ar-SA"/>
        </w:rPr>
      </w:pPr>
      <w:r w:rsidRPr="00492CFB">
        <w:rPr>
          <w:rFonts w:eastAsia="Calibri"/>
          <w:sz w:val="24"/>
          <w:szCs w:val="24"/>
          <w:u w:val="single"/>
          <w:lang w:eastAsia="en-US" w:bidi="ar-SA"/>
        </w:rPr>
        <w:t>In scope</w:t>
      </w:r>
      <w:r w:rsidRPr="00492CFB">
        <w:rPr>
          <w:rFonts w:eastAsia="Calibri"/>
          <w:sz w:val="24"/>
          <w:szCs w:val="24"/>
          <w:lang w:eastAsia="en-US" w:bidi="ar-SA"/>
        </w:rPr>
        <w:t xml:space="preserve"> are:</w:t>
      </w:r>
    </w:p>
    <w:p w14:paraId="2ED1BB29" w14:textId="77777777" w:rsidR="00492CFB" w:rsidRPr="00492CFB" w:rsidRDefault="00492CFB" w:rsidP="00870FCB">
      <w:pPr>
        <w:widowControl/>
        <w:numPr>
          <w:ilvl w:val="0"/>
          <w:numId w:val="17"/>
        </w:numPr>
        <w:autoSpaceDE/>
        <w:autoSpaceDN/>
        <w:ind w:left="1134" w:hanging="283"/>
        <w:contextualSpacing/>
        <w:rPr>
          <w:rFonts w:eastAsia="Calibri"/>
          <w:sz w:val="24"/>
          <w:szCs w:val="24"/>
          <w:lang w:eastAsia="en-US" w:bidi="ar-SA"/>
        </w:rPr>
      </w:pPr>
      <w:r w:rsidRPr="00492CFB">
        <w:rPr>
          <w:rFonts w:eastAsia="Calibri"/>
          <w:sz w:val="24"/>
          <w:szCs w:val="24"/>
          <w:lang w:eastAsia="en-US" w:bidi="ar-SA"/>
        </w:rPr>
        <w:t>health care services arranged by the NHS e.g., hospital, community, mental health, primary health care services,</w:t>
      </w:r>
    </w:p>
    <w:p w14:paraId="3F05F321" w14:textId="77777777" w:rsidR="00492CFB" w:rsidRPr="00492CFB" w:rsidRDefault="00492CFB" w:rsidP="00870FCB">
      <w:pPr>
        <w:widowControl/>
        <w:numPr>
          <w:ilvl w:val="0"/>
          <w:numId w:val="17"/>
        </w:numPr>
        <w:autoSpaceDE/>
        <w:autoSpaceDN/>
        <w:ind w:left="1134" w:hanging="283"/>
        <w:contextualSpacing/>
        <w:rPr>
          <w:rFonts w:eastAsia="Calibri"/>
          <w:sz w:val="24"/>
          <w:szCs w:val="24"/>
          <w:lang w:eastAsia="en-US" w:bidi="ar-SA"/>
        </w:rPr>
      </w:pPr>
      <w:r w:rsidRPr="00492CFB">
        <w:rPr>
          <w:rFonts w:eastAsia="Calibri"/>
          <w:sz w:val="24"/>
          <w:szCs w:val="24"/>
          <w:lang w:eastAsia="en-US" w:bidi="ar-SA"/>
        </w:rPr>
        <w:t xml:space="preserve">public health services arranged by local authorities e.g., substance use, sexual and reproductive health, and health visitors. </w:t>
      </w:r>
    </w:p>
    <w:p w14:paraId="624D0DA8" w14:textId="77777777" w:rsidR="00492CFB" w:rsidRPr="00492CFB" w:rsidRDefault="00492CFB" w:rsidP="00BE1E61">
      <w:pPr>
        <w:widowControl/>
        <w:autoSpaceDE/>
        <w:autoSpaceDN/>
        <w:ind w:left="709"/>
        <w:contextualSpacing/>
        <w:jc w:val="both"/>
        <w:rPr>
          <w:rFonts w:eastAsia="Calibri"/>
          <w:sz w:val="24"/>
          <w:szCs w:val="24"/>
          <w:lang w:eastAsia="en-US" w:bidi="ar-SA"/>
        </w:rPr>
      </w:pPr>
    </w:p>
    <w:p w14:paraId="4111C99C" w14:textId="77777777" w:rsidR="00492CFB" w:rsidRPr="00492CFB" w:rsidRDefault="00492CFB" w:rsidP="00BE1E61">
      <w:pPr>
        <w:widowControl/>
        <w:autoSpaceDE/>
        <w:autoSpaceDN/>
        <w:ind w:left="709"/>
        <w:contextualSpacing/>
        <w:jc w:val="both"/>
        <w:rPr>
          <w:rFonts w:eastAsia="Calibri"/>
          <w:sz w:val="24"/>
          <w:szCs w:val="24"/>
          <w:lang w:eastAsia="en-US" w:bidi="ar-SA"/>
        </w:rPr>
      </w:pPr>
      <w:r w:rsidRPr="00492CFB">
        <w:rPr>
          <w:rFonts w:eastAsia="Calibri"/>
          <w:sz w:val="24"/>
          <w:szCs w:val="24"/>
          <w:u w:val="single"/>
          <w:lang w:eastAsia="en-US" w:bidi="ar-SA"/>
        </w:rPr>
        <w:t>Out of scope</w:t>
      </w:r>
      <w:r w:rsidRPr="00492CFB">
        <w:rPr>
          <w:rFonts w:eastAsia="Calibri"/>
          <w:sz w:val="24"/>
          <w:szCs w:val="24"/>
          <w:lang w:eastAsia="en-US" w:bidi="ar-SA"/>
        </w:rPr>
        <w:t xml:space="preserve"> are:</w:t>
      </w:r>
    </w:p>
    <w:p w14:paraId="62704EDF" w14:textId="77777777" w:rsidR="00492CFB" w:rsidRPr="00492CFB" w:rsidRDefault="00492CFB" w:rsidP="00870FCB">
      <w:pPr>
        <w:widowControl/>
        <w:numPr>
          <w:ilvl w:val="0"/>
          <w:numId w:val="18"/>
        </w:numPr>
        <w:autoSpaceDE/>
        <w:autoSpaceDN/>
        <w:ind w:left="1134" w:hanging="283"/>
        <w:contextualSpacing/>
        <w:jc w:val="both"/>
        <w:rPr>
          <w:rFonts w:eastAsia="Calibri"/>
          <w:sz w:val="24"/>
          <w:szCs w:val="24"/>
          <w:lang w:eastAsia="en-US" w:bidi="ar-SA"/>
        </w:rPr>
      </w:pPr>
      <w:r w:rsidRPr="00492CFB">
        <w:rPr>
          <w:rFonts w:eastAsia="Calibri"/>
          <w:sz w:val="24"/>
          <w:szCs w:val="24"/>
          <w:lang w:eastAsia="en-US" w:bidi="ar-SA"/>
        </w:rPr>
        <w:t xml:space="preserve">goods e.g., medicines, medical equipment </w:t>
      </w:r>
    </w:p>
    <w:p w14:paraId="098E9BC1" w14:textId="77777777" w:rsidR="00492CFB" w:rsidRPr="00492CFB" w:rsidRDefault="00492CFB" w:rsidP="00870FCB">
      <w:pPr>
        <w:widowControl/>
        <w:numPr>
          <w:ilvl w:val="0"/>
          <w:numId w:val="18"/>
        </w:numPr>
        <w:autoSpaceDE/>
        <w:autoSpaceDN/>
        <w:ind w:left="1134" w:hanging="283"/>
        <w:contextualSpacing/>
        <w:jc w:val="both"/>
        <w:rPr>
          <w:rFonts w:eastAsia="Calibri"/>
          <w:sz w:val="24"/>
          <w:szCs w:val="24"/>
          <w:lang w:eastAsia="en-US" w:bidi="ar-SA"/>
        </w:rPr>
      </w:pPr>
      <w:r w:rsidRPr="00492CFB">
        <w:rPr>
          <w:rFonts w:eastAsia="Calibri"/>
          <w:sz w:val="24"/>
          <w:szCs w:val="24"/>
          <w:lang w:eastAsia="en-US" w:bidi="ar-SA"/>
        </w:rPr>
        <w:t>social care services</w:t>
      </w:r>
    </w:p>
    <w:p w14:paraId="3EF9ED51" w14:textId="77777777" w:rsidR="00492CFB" w:rsidRPr="00492CFB" w:rsidRDefault="00492CFB" w:rsidP="00870FCB">
      <w:pPr>
        <w:widowControl/>
        <w:numPr>
          <w:ilvl w:val="0"/>
          <w:numId w:val="18"/>
        </w:numPr>
        <w:autoSpaceDE/>
        <w:autoSpaceDN/>
        <w:ind w:left="1134" w:hanging="283"/>
        <w:contextualSpacing/>
        <w:jc w:val="both"/>
        <w:rPr>
          <w:rFonts w:eastAsia="Calibri"/>
          <w:sz w:val="24"/>
          <w:szCs w:val="24"/>
          <w:lang w:eastAsia="en-US" w:bidi="ar-SA"/>
        </w:rPr>
      </w:pPr>
      <w:r w:rsidRPr="00492CFB">
        <w:rPr>
          <w:rFonts w:eastAsia="Calibri"/>
          <w:sz w:val="24"/>
          <w:szCs w:val="24"/>
          <w:lang w:eastAsia="en-US" w:bidi="ar-SA"/>
        </w:rPr>
        <w:t>Non-health care services or health-adjacent services e.g., capital works, business consultancy.</w:t>
      </w:r>
    </w:p>
    <w:p w14:paraId="15120ABB" w14:textId="77777777" w:rsidR="00492CFB" w:rsidRPr="00492CFB" w:rsidRDefault="00492CFB" w:rsidP="00BE1E61">
      <w:pPr>
        <w:widowControl/>
        <w:autoSpaceDE/>
        <w:autoSpaceDN/>
        <w:ind w:left="709"/>
        <w:jc w:val="both"/>
        <w:rPr>
          <w:rFonts w:eastAsia="Calibri"/>
          <w:sz w:val="24"/>
          <w:szCs w:val="24"/>
          <w:lang w:eastAsia="en-US" w:bidi="ar-SA"/>
        </w:rPr>
      </w:pPr>
      <w:r w:rsidRPr="00492CFB">
        <w:rPr>
          <w:rFonts w:eastAsia="Calibri"/>
          <w:sz w:val="24"/>
          <w:szCs w:val="24"/>
          <w:lang w:eastAsia="en-US" w:bidi="ar-SA"/>
        </w:rPr>
        <w:t xml:space="preserve"> </w:t>
      </w:r>
    </w:p>
    <w:p w14:paraId="7032544A" w14:textId="77777777" w:rsidR="00492CFB" w:rsidRPr="00492CFB" w:rsidRDefault="00492CFB" w:rsidP="00BE1E61">
      <w:pPr>
        <w:widowControl/>
        <w:autoSpaceDE/>
        <w:autoSpaceDN/>
        <w:ind w:left="709"/>
        <w:contextualSpacing/>
        <w:jc w:val="both"/>
        <w:rPr>
          <w:rFonts w:eastAsia="Calibri"/>
          <w:sz w:val="24"/>
          <w:szCs w:val="24"/>
          <w:lang w:eastAsia="en-US" w:bidi="ar-SA"/>
        </w:rPr>
      </w:pPr>
      <w:r w:rsidRPr="00492CFB">
        <w:rPr>
          <w:rFonts w:eastAsia="Calibri"/>
          <w:sz w:val="24"/>
          <w:szCs w:val="24"/>
          <w:u w:val="single"/>
          <w:lang w:eastAsia="en-US" w:bidi="ar-SA"/>
        </w:rPr>
        <w:t>Mixed Procurements</w:t>
      </w:r>
      <w:r w:rsidRPr="00492CFB">
        <w:rPr>
          <w:rFonts w:eastAsia="Calibri"/>
          <w:sz w:val="24"/>
          <w:szCs w:val="24"/>
          <w:lang w:eastAsia="en-US" w:bidi="ar-SA"/>
        </w:rPr>
        <w:t xml:space="preserve"> which are contracts comprising of a mixture of in-scope health care services and out of scope services or goods are allowable under the Provider Selection Regime when both of the following statements are true:</w:t>
      </w:r>
    </w:p>
    <w:p w14:paraId="55D8891A" w14:textId="77777777" w:rsidR="00492CFB" w:rsidRPr="00492CFB" w:rsidRDefault="00492CFB" w:rsidP="00870FCB">
      <w:pPr>
        <w:widowControl/>
        <w:numPr>
          <w:ilvl w:val="0"/>
          <w:numId w:val="18"/>
        </w:numPr>
        <w:autoSpaceDE/>
        <w:autoSpaceDN/>
        <w:ind w:left="1134" w:hanging="283"/>
        <w:contextualSpacing/>
        <w:jc w:val="both"/>
        <w:rPr>
          <w:rFonts w:eastAsia="Calibri"/>
          <w:sz w:val="24"/>
          <w:szCs w:val="24"/>
          <w:lang w:eastAsia="en-US" w:bidi="ar-SA"/>
        </w:rPr>
      </w:pPr>
      <w:r w:rsidRPr="00492CFB">
        <w:rPr>
          <w:rFonts w:eastAsia="Calibri"/>
          <w:sz w:val="24"/>
          <w:szCs w:val="24"/>
          <w:lang w:eastAsia="en-US" w:bidi="ar-SA"/>
        </w:rPr>
        <w:t>The main subject matter of the procurement is relevant health care services which means that the health care service element is more than 50% of the contract value,</w:t>
      </w:r>
    </w:p>
    <w:p w14:paraId="6F108BC6" w14:textId="65A7E95C" w:rsidR="00492CFB" w:rsidRPr="00492CFB" w:rsidRDefault="00492CFB" w:rsidP="00870FCB">
      <w:pPr>
        <w:widowControl/>
        <w:numPr>
          <w:ilvl w:val="0"/>
          <w:numId w:val="18"/>
        </w:numPr>
        <w:autoSpaceDE/>
        <w:autoSpaceDN/>
        <w:ind w:left="1134" w:hanging="283"/>
        <w:contextualSpacing/>
        <w:jc w:val="both"/>
        <w:rPr>
          <w:rFonts w:eastAsia="Calibri"/>
          <w:sz w:val="24"/>
          <w:szCs w:val="24"/>
          <w:lang w:eastAsia="en-US" w:bidi="ar-SA"/>
        </w:rPr>
      </w:pPr>
      <w:r w:rsidRPr="00492CFB">
        <w:rPr>
          <w:rFonts w:eastAsia="Calibri"/>
          <w:sz w:val="24"/>
          <w:szCs w:val="24"/>
          <w:lang w:eastAsia="en-US" w:bidi="ar-SA"/>
        </w:rPr>
        <w:t xml:space="preserve">The </w:t>
      </w:r>
      <w:r w:rsidR="001B1A35">
        <w:rPr>
          <w:rFonts w:eastAsia="Calibri"/>
          <w:sz w:val="24"/>
          <w:szCs w:val="24"/>
          <w:lang w:eastAsia="en-US" w:bidi="ar-SA"/>
        </w:rPr>
        <w:t>ICB</w:t>
      </w:r>
      <w:r w:rsidRPr="00492CFB">
        <w:rPr>
          <w:rFonts w:eastAsia="Calibri"/>
          <w:sz w:val="24"/>
          <w:szCs w:val="24"/>
          <w:lang w:eastAsia="en-US" w:bidi="ar-SA"/>
        </w:rPr>
        <w:t xml:space="preserve"> is of the view that the other goods or services could not be reasonably be supplied under a separate contract.</w:t>
      </w:r>
    </w:p>
    <w:p w14:paraId="7F184967" w14:textId="77777777" w:rsidR="00492CFB" w:rsidRPr="00492CFB" w:rsidRDefault="00492CFB" w:rsidP="00BE1E61">
      <w:pPr>
        <w:widowControl/>
        <w:autoSpaceDE/>
        <w:autoSpaceDN/>
        <w:ind w:left="720" w:hanging="720"/>
        <w:rPr>
          <w:rFonts w:eastAsia="Times New Roman"/>
          <w:b/>
          <w:bCs/>
          <w:sz w:val="24"/>
          <w:szCs w:val="24"/>
          <w:lang w:bidi="ar-SA"/>
        </w:rPr>
      </w:pPr>
    </w:p>
    <w:p w14:paraId="093A562A" w14:textId="2509FD2F" w:rsidR="00492CFB" w:rsidRDefault="001B1CC6" w:rsidP="00BE1E61">
      <w:pPr>
        <w:widowControl/>
        <w:autoSpaceDE/>
        <w:autoSpaceDN/>
        <w:ind w:left="720"/>
        <w:rPr>
          <w:rFonts w:eastAsia="Times New Roman"/>
          <w:sz w:val="24"/>
          <w:szCs w:val="24"/>
          <w:lang w:bidi="ar-SA"/>
        </w:rPr>
      </w:pPr>
      <w:r>
        <w:rPr>
          <w:rFonts w:eastAsia="Times New Roman"/>
          <w:sz w:val="24"/>
          <w:szCs w:val="24"/>
          <w:lang w:bidi="ar-SA"/>
        </w:rPr>
        <w:t xml:space="preserve">There are NO financial thresholds in the Provider Selection Regime, therefore if a service is in scope the Regulations </w:t>
      </w:r>
      <w:proofErr w:type="gramStart"/>
      <w:r>
        <w:rPr>
          <w:rFonts w:eastAsia="Times New Roman"/>
          <w:sz w:val="24"/>
          <w:szCs w:val="24"/>
          <w:lang w:bidi="ar-SA"/>
        </w:rPr>
        <w:t>have to</w:t>
      </w:r>
      <w:proofErr w:type="gramEnd"/>
      <w:r>
        <w:rPr>
          <w:rFonts w:eastAsia="Times New Roman"/>
          <w:sz w:val="24"/>
          <w:szCs w:val="24"/>
          <w:lang w:bidi="ar-SA"/>
        </w:rPr>
        <w:t xml:space="preserve"> be applied regardless of contract value or length of contract.</w:t>
      </w:r>
    </w:p>
    <w:p w14:paraId="5F5D6626" w14:textId="77777777" w:rsidR="00BE1E61" w:rsidRDefault="00BE1E61" w:rsidP="00BE1E61">
      <w:pPr>
        <w:widowControl/>
        <w:autoSpaceDE/>
        <w:autoSpaceDN/>
        <w:ind w:left="720"/>
        <w:rPr>
          <w:rFonts w:eastAsia="Times New Roman"/>
          <w:sz w:val="24"/>
          <w:szCs w:val="24"/>
          <w:lang w:bidi="ar-SA"/>
        </w:rPr>
      </w:pPr>
    </w:p>
    <w:p w14:paraId="6AEA0F67" w14:textId="77777777" w:rsidR="00682232" w:rsidRDefault="00682232">
      <w:pPr>
        <w:rPr>
          <w:rFonts w:eastAsia="Times New Roman"/>
          <w:b/>
          <w:bCs/>
          <w:sz w:val="24"/>
          <w:szCs w:val="24"/>
          <w:lang w:bidi="ar-SA"/>
        </w:rPr>
      </w:pPr>
      <w:r>
        <w:rPr>
          <w:rFonts w:eastAsia="Times New Roman"/>
          <w:b/>
          <w:bCs/>
          <w:sz w:val="24"/>
          <w:szCs w:val="24"/>
          <w:lang w:bidi="ar-SA"/>
        </w:rPr>
        <w:br w:type="page"/>
      </w:r>
    </w:p>
    <w:p w14:paraId="4CFC8F31" w14:textId="3FBDAEDC" w:rsidR="00336B74" w:rsidRDefault="00492CFB" w:rsidP="00BE1E61">
      <w:pPr>
        <w:widowControl/>
        <w:autoSpaceDE/>
        <w:autoSpaceDN/>
        <w:ind w:left="720" w:hanging="720"/>
        <w:rPr>
          <w:rFonts w:eastAsia="Times New Roman"/>
          <w:b/>
          <w:bCs/>
          <w:sz w:val="24"/>
          <w:szCs w:val="24"/>
          <w:lang w:bidi="ar-SA"/>
        </w:rPr>
      </w:pPr>
      <w:r w:rsidRPr="00492CFB">
        <w:rPr>
          <w:rFonts w:eastAsia="Times New Roman"/>
          <w:b/>
          <w:bCs/>
          <w:sz w:val="24"/>
          <w:szCs w:val="24"/>
          <w:lang w:bidi="ar-SA"/>
        </w:rPr>
        <w:t xml:space="preserve">7.2 </w:t>
      </w:r>
      <w:r w:rsidRPr="00492CFB">
        <w:rPr>
          <w:rFonts w:eastAsia="Times New Roman"/>
          <w:b/>
          <w:bCs/>
          <w:sz w:val="24"/>
          <w:szCs w:val="24"/>
          <w:lang w:bidi="ar-SA"/>
        </w:rPr>
        <w:tab/>
      </w:r>
      <w:r w:rsidR="00336B74" w:rsidRPr="00492CFB">
        <w:rPr>
          <w:rFonts w:eastAsia="Times New Roman"/>
          <w:b/>
          <w:bCs/>
          <w:sz w:val="24"/>
          <w:szCs w:val="24"/>
          <w:lang w:bidi="ar-SA"/>
        </w:rPr>
        <w:t xml:space="preserve">Awarding contracts </w:t>
      </w:r>
      <w:r w:rsidRPr="00492CFB">
        <w:rPr>
          <w:rFonts w:eastAsia="Times New Roman"/>
          <w:b/>
          <w:bCs/>
          <w:sz w:val="24"/>
          <w:szCs w:val="24"/>
          <w:lang w:bidi="ar-SA"/>
        </w:rPr>
        <w:t>using the Provider Selection Regime</w:t>
      </w:r>
    </w:p>
    <w:p w14:paraId="69CA8804" w14:textId="11A4800C" w:rsidR="00336B74" w:rsidRPr="00336B74" w:rsidRDefault="00336B74" w:rsidP="00BE1E61">
      <w:pPr>
        <w:widowControl/>
        <w:autoSpaceDE/>
        <w:autoSpaceDN/>
        <w:ind w:left="720"/>
        <w:rPr>
          <w:rFonts w:eastAsia="Times New Roman"/>
          <w:sz w:val="24"/>
          <w:szCs w:val="24"/>
          <w:lang w:bidi="ar-SA"/>
        </w:rPr>
      </w:pPr>
      <w:r w:rsidRPr="00336B74">
        <w:rPr>
          <w:rFonts w:eastAsia="Calibri"/>
          <w:sz w:val="24"/>
          <w:szCs w:val="24"/>
          <w:lang w:eastAsia="en-US" w:bidi="ar-SA"/>
        </w:rPr>
        <w:t>The Provider Selection regime includes five processes for awarding contracts:</w:t>
      </w:r>
    </w:p>
    <w:p w14:paraId="19D0FF43" w14:textId="77777777" w:rsidR="00336B74" w:rsidRPr="00336B74" w:rsidRDefault="00336B74" w:rsidP="00870FCB">
      <w:pPr>
        <w:widowControl/>
        <w:numPr>
          <w:ilvl w:val="0"/>
          <w:numId w:val="12"/>
        </w:numPr>
        <w:autoSpaceDE/>
        <w:autoSpaceDN/>
        <w:contextualSpacing/>
        <w:jc w:val="both"/>
        <w:rPr>
          <w:rFonts w:eastAsia="Calibri"/>
          <w:sz w:val="24"/>
          <w:szCs w:val="24"/>
          <w:lang w:eastAsia="en-US" w:bidi="ar-SA"/>
        </w:rPr>
      </w:pPr>
      <w:r w:rsidRPr="00336B74">
        <w:rPr>
          <w:rFonts w:eastAsia="Calibri"/>
          <w:sz w:val="24"/>
          <w:szCs w:val="24"/>
          <w:lang w:eastAsia="en-US" w:bidi="ar-SA"/>
        </w:rPr>
        <w:t>Direct Award Process A</w:t>
      </w:r>
    </w:p>
    <w:p w14:paraId="01DD5FD8" w14:textId="77777777" w:rsidR="00336B74" w:rsidRPr="00336B74" w:rsidRDefault="00336B74" w:rsidP="00870FCB">
      <w:pPr>
        <w:widowControl/>
        <w:numPr>
          <w:ilvl w:val="0"/>
          <w:numId w:val="12"/>
        </w:numPr>
        <w:autoSpaceDE/>
        <w:autoSpaceDN/>
        <w:contextualSpacing/>
        <w:jc w:val="both"/>
        <w:rPr>
          <w:rFonts w:eastAsia="Calibri"/>
          <w:sz w:val="24"/>
          <w:szCs w:val="24"/>
          <w:lang w:eastAsia="en-US" w:bidi="ar-SA"/>
        </w:rPr>
      </w:pPr>
      <w:r w:rsidRPr="00336B74">
        <w:rPr>
          <w:rFonts w:eastAsia="Calibri"/>
          <w:sz w:val="24"/>
          <w:szCs w:val="24"/>
          <w:lang w:eastAsia="en-US" w:bidi="ar-SA"/>
        </w:rPr>
        <w:t>Direct Award Process B</w:t>
      </w:r>
    </w:p>
    <w:p w14:paraId="24B2A548" w14:textId="77777777" w:rsidR="00336B74" w:rsidRPr="00336B74" w:rsidRDefault="00336B74" w:rsidP="00870FCB">
      <w:pPr>
        <w:widowControl/>
        <w:numPr>
          <w:ilvl w:val="0"/>
          <w:numId w:val="12"/>
        </w:numPr>
        <w:autoSpaceDE/>
        <w:autoSpaceDN/>
        <w:contextualSpacing/>
        <w:jc w:val="both"/>
        <w:rPr>
          <w:rFonts w:eastAsia="Calibri"/>
          <w:sz w:val="24"/>
          <w:szCs w:val="24"/>
          <w:lang w:eastAsia="en-US" w:bidi="ar-SA"/>
        </w:rPr>
      </w:pPr>
      <w:r w:rsidRPr="00336B74">
        <w:rPr>
          <w:rFonts w:eastAsia="Calibri"/>
          <w:sz w:val="24"/>
          <w:szCs w:val="24"/>
          <w:lang w:eastAsia="en-US" w:bidi="ar-SA"/>
        </w:rPr>
        <w:t>Direct Award Process C</w:t>
      </w:r>
    </w:p>
    <w:p w14:paraId="747B7D64" w14:textId="77777777" w:rsidR="00336B74" w:rsidRPr="00336B74" w:rsidRDefault="00336B74" w:rsidP="00870FCB">
      <w:pPr>
        <w:widowControl/>
        <w:numPr>
          <w:ilvl w:val="0"/>
          <w:numId w:val="12"/>
        </w:numPr>
        <w:autoSpaceDE/>
        <w:autoSpaceDN/>
        <w:contextualSpacing/>
        <w:jc w:val="both"/>
        <w:rPr>
          <w:rFonts w:eastAsia="Calibri"/>
          <w:sz w:val="24"/>
          <w:szCs w:val="24"/>
          <w:lang w:eastAsia="en-US" w:bidi="ar-SA"/>
        </w:rPr>
      </w:pPr>
      <w:r w:rsidRPr="00336B74">
        <w:rPr>
          <w:rFonts w:eastAsia="Calibri"/>
          <w:sz w:val="24"/>
          <w:szCs w:val="24"/>
          <w:lang w:eastAsia="en-US" w:bidi="ar-SA"/>
        </w:rPr>
        <w:t>The Most Suitable Provider Process</w:t>
      </w:r>
    </w:p>
    <w:p w14:paraId="40866C0D" w14:textId="77777777" w:rsidR="00336B74" w:rsidRPr="00336B74" w:rsidRDefault="00336B74" w:rsidP="00870FCB">
      <w:pPr>
        <w:widowControl/>
        <w:numPr>
          <w:ilvl w:val="0"/>
          <w:numId w:val="12"/>
        </w:numPr>
        <w:autoSpaceDE/>
        <w:autoSpaceDN/>
        <w:contextualSpacing/>
        <w:jc w:val="both"/>
        <w:rPr>
          <w:rFonts w:eastAsia="Calibri"/>
          <w:sz w:val="24"/>
          <w:szCs w:val="24"/>
          <w:lang w:eastAsia="en-US" w:bidi="ar-SA"/>
        </w:rPr>
      </w:pPr>
      <w:r w:rsidRPr="00336B74">
        <w:rPr>
          <w:rFonts w:eastAsia="Calibri"/>
          <w:sz w:val="24"/>
          <w:szCs w:val="24"/>
          <w:lang w:eastAsia="en-US" w:bidi="ar-SA"/>
        </w:rPr>
        <w:t>Competitive Process.</w:t>
      </w:r>
    </w:p>
    <w:p w14:paraId="66001300" w14:textId="77777777" w:rsidR="004C1619" w:rsidRDefault="004C1619" w:rsidP="00BE1E61">
      <w:pPr>
        <w:widowControl/>
        <w:autoSpaceDE/>
        <w:autoSpaceDN/>
        <w:ind w:left="720"/>
        <w:rPr>
          <w:rFonts w:eastAsia="Times New Roman"/>
          <w:sz w:val="24"/>
          <w:szCs w:val="24"/>
          <w:lang w:bidi="ar-SA"/>
        </w:rPr>
      </w:pPr>
    </w:p>
    <w:p w14:paraId="18DACCD4" w14:textId="77777777" w:rsidR="00682232" w:rsidRDefault="00682232" w:rsidP="00BE1E61">
      <w:pPr>
        <w:widowControl/>
        <w:autoSpaceDE/>
        <w:autoSpaceDN/>
        <w:ind w:left="720"/>
        <w:rPr>
          <w:rFonts w:eastAsia="Times New Roman"/>
          <w:sz w:val="24"/>
          <w:szCs w:val="24"/>
          <w:lang w:bidi="ar-SA"/>
        </w:rPr>
      </w:pPr>
    </w:p>
    <w:p w14:paraId="74C12DC0" w14:textId="25766881" w:rsidR="00336B74" w:rsidRPr="00336B74" w:rsidRDefault="00336B74" w:rsidP="00BE1E61">
      <w:pPr>
        <w:widowControl/>
        <w:autoSpaceDE/>
        <w:autoSpaceDN/>
        <w:ind w:left="709" w:hanging="709"/>
        <w:contextualSpacing/>
        <w:jc w:val="both"/>
        <w:rPr>
          <w:rFonts w:eastAsia="Calibri"/>
          <w:b/>
          <w:bCs/>
          <w:sz w:val="24"/>
          <w:szCs w:val="24"/>
          <w:lang w:eastAsia="en-US" w:bidi="ar-SA"/>
        </w:rPr>
      </w:pPr>
      <w:r>
        <w:rPr>
          <w:rFonts w:eastAsia="Calibri"/>
          <w:b/>
          <w:bCs/>
          <w:sz w:val="24"/>
          <w:szCs w:val="24"/>
          <w:lang w:eastAsia="en-US" w:bidi="ar-SA"/>
        </w:rPr>
        <w:t>7.</w:t>
      </w:r>
      <w:r w:rsidR="00BE1E61">
        <w:rPr>
          <w:rFonts w:eastAsia="Calibri"/>
          <w:b/>
          <w:bCs/>
          <w:sz w:val="24"/>
          <w:szCs w:val="24"/>
          <w:lang w:eastAsia="en-US" w:bidi="ar-SA"/>
        </w:rPr>
        <w:t>2.1</w:t>
      </w:r>
      <w:r>
        <w:rPr>
          <w:rFonts w:eastAsia="Calibri"/>
          <w:b/>
          <w:bCs/>
          <w:sz w:val="24"/>
          <w:szCs w:val="24"/>
          <w:lang w:eastAsia="en-US" w:bidi="ar-SA"/>
        </w:rPr>
        <w:t xml:space="preserve"> </w:t>
      </w:r>
      <w:r>
        <w:rPr>
          <w:rFonts w:eastAsia="Calibri"/>
          <w:b/>
          <w:bCs/>
          <w:sz w:val="24"/>
          <w:szCs w:val="24"/>
          <w:lang w:eastAsia="en-US" w:bidi="ar-SA"/>
        </w:rPr>
        <w:tab/>
      </w:r>
      <w:r w:rsidRPr="00336B74">
        <w:rPr>
          <w:rFonts w:eastAsia="Calibri"/>
          <w:b/>
          <w:bCs/>
          <w:sz w:val="24"/>
          <w:szCs w:val="24"/>
          <w:lang w:eastAsia="en-US" w:bidi="ar-SA"/>
        </w:rPr>
        <w:t>Direct Award Process A</w:t>
      </w:r>
    </w:p>
    <w:p w14:paraId="32052446" w14:textId="77777777"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i/>
          <w:iCs/>
          <w:sz w:val="24"/>
          <w:szCs w:val="24"/>
          <w:lang w:eastAsia="en-US" w:bidi="ar-SA"/>
        </w:rPr>
        <w:t>Must</w:t>
      </w:r>
      <w:r w:rsidRPr="00336B74">
        <w:rPr>
          <w:rFonts w:eastAsia="Calibri"/>
          <w:sz w:val="24"/>
          <w:szCs w:val="24"/>
          <w:lang w:eastAsia="en-US" w:bidi="ar-SA"/>
        </w:rPr>
        <w:t xml:space="preserve"> be used where there is an existing provider for the services and that provider is the only capable provider.</w:t>
      </w:r>
    </w:p>
    <w:p w14:paraId="0A4D5F49" w14:textId="77777777" w:rsidR="00336B74" w:rsidRPr="00336B74" w:rsidRDefault="00336B74" w:rsidP="00BE1E61">
      <w:pPr>
        <w:widowControl/>
        <w:autoSpaceDE/>
        <w:autoSpaceDN/>
        <w:ind w:left="709"/>
        <w:contextualSpacing/>
        <w:jc w:val="both"/>
        <w:rPr>
          <w:rFonts w:eastAsia="Calibri"/>
          <w:sz w:val="24"/>
          <w:szCs w:val="24"/>
          <w:lang w:eastAsia="en-US" w:bidi="ar-SA"/>
        </w:rPr>
      </w:pPr>
    </w:p>
    <w:p w14:paraId="554D1C6E" w14:textId="77777777"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sz w:val="24"/>
          <w:szCs w:val="24"/>
          <w:lang w:eastAsia="en-US" w:bidi="ar-SA"/>
        </w:rPr>
        <w:t>Services arranged using direct award process A may include, but are not limited to:</w:t>
      </w:r>
    </w:p>
    <w:p w14:paraId="0A48888C"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Type 1 and 2 urgent and emergency services and associated emergency inpatient services,</w:t>
      </w:r>
    </w:p>
    <w:p w14:paraId="1BAB1B82"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999 emergency ambulance services,</w:t>
      </w:r>
    </w:p>
    <w:p w14:paraId="0E4B09FE"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NHS urgent mental health crisis services,</w:t>
      </w:r>
    </w:p>
    <w:p w14:paraId="6FCB1EDA"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services established as a commissioner requested services (CRS),</w:t>
      </w:r>
    </w:p>
    <w:p w14:paraId="5E6B7945"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services provided by NHS trusts designated as ‘essential services’ in their NHS Standard Contract,</w:t>
      </w:r>
    </w:p>
    <w:p w14:paraId="5C183171" w14:textId="77777777" w:rsidR="00336B74" w:rsidRPr="00336B74" w:rsidRDefault="00336B74" w:rsidP="00870FCB">
      <w:pPr>
        <w:widowControl/>
        <w:numPr>
          <w:ilvl w:val="0"/>
          <w:numId w:val="13"/>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a service that is interdependent with, and cannot realistically be provided separately from, another service which only that provider can realistically provide (e.g., because of a need for cross-specialty or cross-service working).</w:t>
      </w:r>
    </w:p>
    <w:p w14:paraId="272DB30A" w14:textId="77777777" w:rsidR="00336B74" w:rsidRPr="00336B74" w:rsidRDefault="00336B74" w:rsidP="00BE1E61">
      <w:pPr>
        <w:widowControl/>
        <w:autoSpaceDE/>
        <w:autoSpaceDN/>
        <w:ind w:left="709"/>
        <w:contextualSpacing/>
        <w:jc w:val="both"/>
        <w:rPr>
          <w:rFonts w:eastAsia="Calibri"/>
          <w:sz w:val="24"/>
          <w:szCs w:val="24"/>
          <w:lang w:eastAsia="en-US" w:bidi="ar-SA"/>
        </w:rPr>
      </w:pPr>
    </w:p>
    <w:p w14:paraId="1F3A4B32" w14:textId="286694D5" w:rsidR="00336B74" w:rsidRPr="00336B74" w:rsidRDefault="00336B74" w:rsidP="00BE1E61">
      <w:pPr>
        <w:widowControl/>
        <w:autoSpaceDE/>
        <w:autoSpaceDN/>
        <w:ind w:left="709" w:hanging="709"/>
        <w:contextualSpacing/>
        <w:jc w:val="both"/>
        <w:rPr>
          <w:rFonts w:eastAsia="Calibri"/>
          <w:b/>
          <w:bCs/>
          <w:sz w:val="24"/>
          <w:szCs w:val="24"/>
          <w:lang w:eastAsia="en-US" w:bidi="ar-SA"/>
        </w:rPr>
      </w:pPr>
      <w:r>
        <w:rPr>
          <w:rFonts w:eastAsia="Calibri"/>
          <w:b/>
          <w:bCs/>
          <w:sz w:val="24"/>
          <w:szCs w:val="24"/>
          <w:lang w:eastAsia="en-US" w:bidi="ar-SA"/>
        </w:rPr>
        <w:t>7.2</w:t>
      </w:r>
      <w:r w:rsidR="00BE1E61">
        <w:rPr>
          <w:rFonts w:eastAsia="Calibri"/>
          <w:b/>
          <w:bCs/>
          <w:sz w:val="24"/>
          <w:szCs w:val="24"/>
          <w:lang w:eastAsia="en-US" w:bidi="ar-SA"/>
        </w:rPr>
        <w:t>.2</w:t>
      </w:r>
      <w:r>
        <w:rPr>
          <w:rFonts w:eastAsia="Calibri"/>
          <w:b/>
          <w:bCs/>
          <w:sz w:val="24"/>
          <w:szCs w:val="24"/>
          <w:lang w:eastAsia="en-US" w:bidi="ar-SA"/>
        </w:rPr>
        <w:t xml:space="preserve"> </w:t>
      </w:r>
      <w:r>
        <w:rPr>
          <w:rFonts w:eastAsia="Calibri"/>
          <w:b/>
          <w:bCs/>
          <w:sz w:val="24"/>
          <w:szCs w:val="24"/>
          <w:lang w:eastAsia="en-US" w:bidi="ar-SA"/>
        </w:rPr>
        <w:tab/>
      </w:r>
      <w:r w:rsidRPr="00336B74">
        <w:rPr>
          <w:rFonts w:eastAsia="Calibri"/>
          <w:b/>
          <w:bCs/>
          <w:sz w:val="24"/>
          <w:szCs w:val="24"/>
          <w:lang w:eastAsia="en-US" w:bidi="ar-SA"/>
        </w:rPr>
        <w:t>Direct Award Process B</w:t>
      </w:r>
    </w:p>
    <w:p w14:paraId="1A63785C" w14:textId="2355D683"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i/>
          <w:iCs/>
          <w:sz w:val="24"/>
          <w:szCs w:val="24"/>
          <w:lang w:eastAsia="en-US" w:bidi="ar-SA"/>
        </w:rPr>
        <w:t>Must</w:t>
      </w:r>
      <w:r w:rsidRPr="00336B74">
        <w:rPr>
          <w:rFonts w:eastAsia="Calibri"/>
          <w:sz w:val="24"/>
          <w:szCs w:val="24"/>
          <w:lang w:eastAsia="en-US" w:bidi="ar-SA"/>
        </w:rPr>
        <w:t xml:space="preserve"> be used where people have a choice of providers, and the number of providers is not restricted by the </w:t>
      </w:r>
      <w:r w:rsidR="001B1A35">
        <w:rPr>
          <w:rFonts w:eastAsia="Calibri"/>
          <w:sz w:val="24"/>
          <w:szCs w:val="24"/>
          <w:lang w:eastAsia="en-US" w:bidi="ar-SA"/>
        </w:rPr>
        <w:t>ICB</w:t>
      </w:r>
      <w:r w:rsidRPr="00336B74">
        <w:rPr>
          <w:rFonts w:eastAsia="Calibri"/>
          <w:sz w:val="24"/>
          <w:szCs w:val="24"/>
          <w:lang w:eastAsia="en-US" w:bidi="ar-SA"/>
        </w:rPr>
        <w:t xml:space="preserve">. The </w:t>
      </w:r>
      <w:r w:rsidR="001B1A35">
        <w:rPr>
          <w:rFonts w:eastAsia="Calibri"/>
          <w:sz w:val="24"/>
          <w:szCs w:val="24"/>
          <w:lang w:eastAsia="en-US" w:bidi="ar-SA"/>
        </w:rPr>
        <w:t>ICB</w:t>
      </w:r>
      <w:r w:rsidRPr="00336B74">
        <w:rPr>
          <w:rFonts w:eastAsia="Calibri"/>
          <w:sz w:val="24"/>
          <w:szCs w:val="24"/>
          <w:lang w:eastAsia="en-US" w:bidi="ar-SA"/>
        </w:rPr>
        <w:t xml:space="preserve"> must have arrangements in place to enable providers to express an interest in providing the health care services in question and offers a contract to all eligible providers.</w:t>
      </w:r>
    </w:p>
    <w:p w14:paraId="750D27ED" w14:textId="77777777" w:rsidR="00336B74" w:rsidRPr="00336B74" w:rsidRDefault="00336B74" w:rsidP="00BE1E61">
      <w:pPr>
        <w:widowControl/>
        <w:autoSpaceDE/>
        <w:autoSpaceDN/>
        <w:ind w:left="709"/>
        <w:contextualSpacing/>
        <w:jc w:val="both"/>
        <w:rPr>
          <w:rFonts w:eastAsia="Calibri"/>
          <w:sz w:val="24"/>
          <w:szCs w:val="24"/>
          <w:lang w:eastAsia="en-US" w:bidi="ar-SA"/>
        </w:rPr>
      </w:pPr>
    </w:p>
    <w:p w14:paraId="14C1AC61" w14:textId="77777777"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sz w:val="24"/>
          <w:szCs w:val="24"/>
          <w:lang w:eastAsia="en-US" w:bidi="ar-SA"/>
        </w:rPr>
        <w:t>Services arranged using direct award process B may include, but are not limited to:</w:t>
      </w:r>
    </w:p>
    <w:p w14:paraId="64FED3B0" w14:textId="77777777" w:rsidR="00336B74" w:rsidRPr="00336B74" w:rsidRDefault="00336B74" w:rsidP="00870FCB">
      <w:pPr>
        <w:widowControl/>
        <w:numPr>
          <w:ilvl w:val="0"/>
          <w:numId w:val="14"/>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elective services led by a consultant or mental health care professional where patients have a legal right to Choice,</w:t>
      </w:r>
    </w:p>
    <w:p w14:paraId="1F0BE799" w14:textId="1E4B8749" w:rsidR="00336B74" w:rsidRPr="00336B74" w:rsidRDefault="00336B74" w:rsidP="00870FCB">
      <w:pPr>
        <w:widowControl/>
        <w:numPr>
          <w:ilvl w:val="0"/>
          <w:numId w:val="14"/>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other elective services where patients do not have a legal right to Choice, but for which </w:t>
      </w:r>
      <w:r w:rsidR="001B1A35">
        <w:rPr>
          <w:rFonts w:eastAsia="Calibri"/>
          <w:sz w:val="24"/>
          <w:szCs w:val="24"/>
          <w:lang w:eastAsia="en-US" w:bidi="ar-SA"/>
        </w:rPr>
        <w:t>ICBs</w:t>
      </w:r>
      <w:r w:rsidRPr="00336B74">
        <w:rPr>
          <w:rFonts w:eastAsia="Calibri"/>
          <w:sz w:val="24"/>
          <w:szCs w:val="24"/>
          <w:lang w:eastAsia="en-US" w:bidi="ar-SA"/>
        </w:rPr>
        <w:t xml:space="preserve"> voluntarily offer patients a choice of providers and where the number of providers is not restricted by the </w:t>
      </w:r>
      <w:r w:rsidR="001B1A35">
        <w:rPr>
          <w:rFonts w:eastAsia="Calibri"/>
          <w:sz w:val="24"/>
          <w:szCs w:val="24"/>
          <w:lang w:eastAsia="en-US" w:bidi="ar-SA"/>
        </w:rPr>
        <w:t>ICB</w:t>
      </w:r>
      <w:r w:rsidRPr="00336B74">
        <w:rPr>
          <w:rFonts w:eastAsia="Calibri"/>
          <w:sz w:val="24"/>
          <w:szCs w:val="24"/>
          <w:lang w:eastAsia="en-US" w:bidi="ar-SA"/>
        </w:rPr>
        <w:t xml:space="preserve"> through provider selection (e.g., mandatory eye health services, audiology, podiatry services, NHS continuing healthcare services, public health services such as over-forty health checks).</w:t>
      </w:r>
    </w:p>
    <w:p w14:paraId="7D2999EF" w14:textId="77777777" w:rsidR="00336B74" w:rsidRPr="00336B74" w:rsidRDefault="00336B74" w:rsidP="00BE1E61">
      <w:pPr>
        <w:widowControl/>
        <w:autoSpaceDE/>
        <w:autoSpaceDN/>
        <w:ind w:left="709"/>
        <w:contextualSpacing/>
        <w:jc w:val="both"/>
        <w:rPr>
          <w:rFonts w:eastAsia="Calibri"/>
          <w:sz w:val="24"/>
          <w:szCs w:val="24"/>
          <w:lang w:eastAsia="en-US" w:bidi="ar-SA"/>
        </w:rPr>
      </w:pPr>
    </w:p>
    <w:p w14:paraId="400370BE" w14:textId="7E092AA9" w:rsidR="00336B74" w:rsidRPr="00336B74" w:rsidRDefault="00336B74" w:rsidP="00BE1E61">
      <w:pPr>
        <w:widowControl/>
        <w:autoSpaceDE/>
        <w:autoSpaceDN/>
        <w:ind w:left="709" w:hanging="709"/>
        <w:contextualSpacing/>
        <w:jc w:val="both"/>
        <w:rPr>
          <w:rFonts w:eastAsia="Calibri"/>
          <w:b/>
          <w:bCs/>
          <w:sz w:val="24"/>
          <w:szCs w:val="24"/>
          <w:lang w:eastAsia="en-US" w:bidi="ar-SA"/>
        </w:rPr>
      </w:pPr>
      <w:r>
        <w:rPr>
          <w:rFonts w:eastAsia="Calibri"/>
          <w:b/>
          <w:bCs/>
          <w:sz w:val="24"/>
          <w:szCs w:val="24"/>
          <w:lang w:eastAsia="en-US" w:bidi="ar-SA"/>
        </w:rPr>
        <w:t>7.</w:t>
      </w:r>
      <w:r w:rsidR="00BE1E61">
        <w:rPr>
          <w:rFonts w:eastAsia="Calibri"/>
          <w:b/>
          <w:bCs/>
          <w:sz w:val="24"/>
          <w:szCs w:val="24"/>
          <w:lang w:eastAsia="en-US" w:bidi="ar-SA"/>
        </w:rPr>
        <w:t>2.</w:t>
      </w:r>
      <w:r>
        <w:rPr>
          <w:rFonts w:eastAsia="Calibri"/>
          <w:b/>
          <w:bCs/>
          <w:sz w:val="24"/>
          <w:szCs w:val="24"/>
          <w:lang w:eastAsia="en-US" w:bidi="ar-SA"/>
        </w:rPr>
        <w:t>3</w:t>
      </w:r>
      <w:r>
        <w:rPr>
          <w:rFonts w:eastAsia="Calibri"/>
          <w:b/>
          <w:bCs/>
          <w:sz w:val="24"/>
          <w:szCs w:val="24"/>
          <w:lang w:eastAsia="en-US" w:bidi="ar-SA"/>
        </w:rPr>
        <w:tab/>
      </w:r>
      <w:r w:rsidRPr="00336B74">
        <w:rPr>
          <w:rFonts w:eastAsia="Calibri"/>
          <w:b/>
          <w:bCs/>
          <w:sz w:val="24"/>
          <w:szCs w:val="24"/>
          <w:lang w:eastAsia="en-US" w:bidi="ar-SA"/>
        </w:rPr>
        <w:t>Direct Award Process C</w:t>
      </w:r>
    </w:p>
    <w:p w14:paraId="5F08F9DF" w14:textId="77777777"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i/>
          <w:iCs/>
          <w:sz w:val="24"/>
          <w:szCs w:val="24"/>
          <w:lang w:eastAsia="en-US" w:bidi="ar-SA"/>
        </w:rPr>
        <w:t>May</w:t>
      </w:r>
      <w:r w:rsidRPr="00336B74">
        <w:rPr>
          <w:rFonts w:eastAsia="Calibri"/>
          <w:sz w:val="24"/>
          <w:szCs w:val="24"/>
          <w:lang w:eastAsia="en-US" w:bidi="ar-SA"/>
        </w:rPr>
        <w:t xml:space="preserve"> be used where: </w:t>
      </w:r>
    </w:p>
    <w:p w14:paraId="7666B979" w14:textId="4FEC32EE" w:rsidR="00336B74" w:rsidRPr="00336B74" w:rsidRDefault="00336B74" w:rsidP="00870FCB">
      <w:pPr>
        <w:widowControl/>
        <w:numPr>
          <w:ilvl w:val="0"/>
          <w:numId w:val="15"/>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is not required to follow Direct Award Processes A or B, and </w:t>
      </w:r>
    </w:p>
    <w:p w14:paraId="5DE65283" w14:textId="77777777" w:rsidR="00336B74" w:rsidRPr="00336B74" w:rsidRDefault="00336B74" w:rsidP="00870FCB">
      <w:pPr>
        <w:widowControl/>
        <w:numPr>
          <w:ilvl w:val="0"/>
          <w:numId w:val="15"/>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there is an existing provider for the services whose contract is expiring, and</w:t>
      </w:r>
    </w:p>
    <w:p w14:paraId="67F859A8" w14:textId="77777777" w:rsidR="00336B74" w:rsidRPr="00336B74" w:rsidRDefault="00336B74" w:rsidP="00870FCB">
      <w:pPr>
        <w:widowControl/>
        <w:numPr>
          <w:ilvl w:val="0"/>
          <w:numId w:val="15"/>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the existing provider is satisfying the original contract and will likely satisfy the proposed new contract, and </w:t>
      </w:r>
    </w:p>
    <w:p w14:paraId="3D947BB7" w14:textId="77777777" w:rsidR="00336B74" w:rsidRPr="00336B74" w:rsidRDefault="00336B74" w:rsidP="00870FCB">
      <w:pPr>
        <w:widowControl/>
        <w:numPr>
          <w:ilvl w:val="0"/>
          <w:numId w:val="15"/>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the services are not changing considerably.</w:t>
      </w:r>
    </w:p>
    <w:p w14:paraId="045AF4B9" w14:textId="77777777" w:rsidR="00336B74" w:rsidRPr="00336B74" w:rsidRDefault="00336B74" w:rsidP="00BE1E61">
      <w:pPr>
        <w:widowControl/>
        <w:autoSpaceDE/>
        <w:autoSpaceDN/>
        <w:ind w:left="709"/>
        <w:contextualSpacing/>
        <w:jc w:val="both"/>
        <w:rPr>
          <w:rFonts w:eastAsia="Calibri"/>
          <w:sz w:val="24"/>
          <w:szCs w:val="24"/>
          <w:lang w:eastAsia="en-US" w:bidi="ar-SA"/>
        </w:rPr>
      </w:pPr>
    </w:p>
    <w:p w14:paraId="306B1D7F" w14:textId="3781D83D" w:rsidR="00336B74" w:rsidRPr="00336B74" w:rsidRDefault="00336B74" w:rsidP="00BE1E61">
      <w:pPr>
        <w:widowControl/>
        <w:autoSpaceDE/>
        <w:autoSpaceDN/>
        <w:ind w:left="709" w:hanging="709"/>
        <w:contextualSpacing/>
        <w:jc w:val="both"/>
        <w:rPr>
          <w:rFonts w:eastAsia="Calibri"/>
          <w:b/>
          <w:bCs/>
          <w:sz w:val="24"/>
          <w:szCs w:val="24"/>
          <w:lang w:eastAsia="en-US" w:bidi="ar-SA"/>
        </w:rPr>
      </w:pPr>
      <w:r>
        <w:rPr>
          <w:rFonts w:eastAsia="Calibri"/>
          <w:b/>
          <w:bCs/>
          <w:sz w:val="24"/>
          <w:szCs w:val="24"/>
          <w:lang w:eastAsia="en-US" w:bidi="ar-SA"/>
        </w:rPr>
        <w:t>7.</w:t>
      </w:r>
      <w:r w:rsidR="00BE1E61">
        <w:rPr>
          <w:rFonts w:eastAsia="Calibri"/>
          <w:b/>
          <w:bCs/>
          <w:sz w:val="24"/>
          <w:szCs w:val="24"/>
          <w:lang w:eastAsia="en-US" w:bidi="ar-SA"/>
        </w:rPr>
        <w:t>2.</w:t>
      </w:r>
      <w:r>
        <w:rPr>
          <w:rFonts w:eastAsia="Calibri"/>
          <w:b/>
          <w:bCs/>
          <w:sz w:val="24"/>
          <w:szCs w:val="24"/>
          <w:lang w:eastAsia="en-US" w:bidi="ar-SA"/>
        </w:rPr>
        <w:t xml:space="preserve">4 </w:t>
      </w:r>
      <w:r>
        <w:rPr>
          <w:rFonts w:eastAsia="Calibri"/>
          <w:b/>
          <w:bCs/>
          <w:sz w:val="24"/>
          <w:szCs w:val="24"/>
          <w:lang w:eastAsia="en-US" w:bidi="ar-SA"/>
        </w:rPr>
        <w:tab/>
      </w:r>
      <w:r w:rsidRPr="00336B74">
        <w:rPr>
          <w:rFonts w:eastAsia="Calibri"/>
          <w:b/>
          <w:bCs/>
          <w:sz w:val="24"/>
          <w:szCs w:val="24"/>
          <w:lang w:eastAsia="en-US" w:bidi="ar-SA"/>
        </w:rPr>
        <w:t>The Most Suitable Provider Process</w:t>
      </w:r>
    </w:p>
    <w:p w14:paraId="18576522" w14:textId="77777777" w:rsidR="00336B74" w:rsidRPr="00336B74" w:rsidRDefault="00336B74" w:rsidP="00BE1E61">
      <w:pPr>
        <w:widowControl/>
        <w:autoSpaceDE/>
        <w:autoSpaceDN/>
        <w:ind w:left="709"/>
        <w:contextualSpacing/>
        <w:jc w:val="both"/>
        <w:rPr>
          <w:rFonts w:eastAsia="Calibri"/>
          <w:sz w:val="24"/>
          <w:szCs w:val="24"/>
          <w:lang w:eastAsia="en-US" w:bidi="ar-SA"/>
        </w:rPr>
      </w:pPr>
      <w:r w:rsidRPr="00336B74">
        <w:rPr>
          <w:rFonts w:eastAsia="Calibri"/>
          <w:i/>
          <w:iCs/>
          <w:sz w:val="24"/>
          <w:szCs w:val="24"/>
          <w:lang w:eastAsia="en-US" w:bidi="ar-SA"/>
        </w:rPr>
        <w:t>May</w:t>
      </w:r>
      <w:r w:rsidRPr="00336B74">
        <w:rPr>
          <w:rFonts w:eastAsia="Calibri"/>
          <w:sz w:val="24"/>
          <w:szCs w:val="24"/>
          <w:lang w:eastAsia="en-US" w:bidi="ar-SA"/>
        </w:rPr>
        <w:t xml:space="preserve"> be used where:</w:t>
      </w:r>
    </w:p>
    <w:p w14:paraId="6BCF9494" w14:textId="4F8974F5"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bookmarkStart w:id="14" w:name="_Hlk149125152"/>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is not required to follow Direct Award Processes A or B, and</w:t>
      </w:r>
    </w:p>
    <w:p w14:paraId="1583D9B2" w14:textId="6C8444AA"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does not wish to or cannot follow Direct Award Process C, and</w:t>
      </w:r>
    </w:p>
    <w:bookmarkEnd w:id="14"/>
    <w:p w14:paraId="7E4332BD" w14:textId="06E63420"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is of the view, </w:t>
      </w:r>
      <w:proofErr w:type="gramStart"/>
      <w:r w:rsidRPr="00336B74">
        <w:rPr>
          <w:rFonts w:eastAsia="Calibri"/>
          <w:sz w:val="24"/>
          <w:szCs w:val="24"/>
          <w:lang w:eastAsia="en-US" w:bidi="ar-SA"/>
        </w:rPr>
        <w:t>taking into account</w:t>
      </w:r>
      <w:proofErr w:type="gramEnd"/>
      <w:r w:rsidRPr="00336B74">
        <w:rPr>
          <w:rFonts w:eastAsia="Calibri"/>
          <w:sz w:val="24"/>
          <w:szCs w:val="24"/>
          <w:lang w:eastAsia="en-US" w:bidi="ar-SA"/>
        </w:rPr>
        <w:t xml:space="preserve"> likely providers and all relevant information available to the </w:t>
      </w:r>
      <w:r w:rsidR="001B1A35">
        <w:rPr>
          <w:rFonts w:eastAsia="Calibri"/>
          <w:sz w:val="24"/>
          <w:szCs w:val="24"/>
          <w:lang w:eastAsia="en-US" w:bidi="ar-SA"/>
        </w:rPr>
        <w:t>ICB</w:t>
      </w:r>
      <w:r w:rsidRPr="00336B74">
        <w:rPr>
          <w:rFonts w:eastAsia="Calibri"/>
          <w:sz w:val="24"/>
          <w:szCs w:val="24"/>
          <w:lang w:eastAsia="en-US" w:bidi="ar-SA"/>
        </w:rPr>
        <w:t xml:space="preserve"> at the time, that it is likely to be able to identify the most suitable provider.</w:t>
      </w:r>
    </w:p>
    <w:p w14:paraId="62291EA1" w14:textId="77777777" w:rsidR="00336B74" w:rsidRPr="00336B74" w:rsidRDefault="00336B74" w:rsidP="001B1A35">
      <w:pPr>
        <w:widowControl/>
        <w:autoSpaceDE/>
        <w:autoSpaceDN/>
        <w:contextualSpacing/>
        <w:jc w:val="both"/>
        <w:rPr>
          <w:rFonts w:eastAsia="Calibri"/>
          <w:sz w:val="24"/>
          <w:szCs w:val="24"/>
          <w:lang w:eastAsia="en-US" w:bidi="ar-SA"/>
        </w:rPr>
      </w:pPr>
    </w:p>
    <w:p w14:paraId="5E88F4EE" w14:textId="4D59E47E" w:rsidR="00336B74" w:rsidRPr="00336B74" w:rsidRDefault="00336B74" w:rsidP="00BE1E61">
      <w:pPr>
        <w:widowControl/>
        <w:autoSpaceDE/>
        <w:autoSpaceDN/>
        <w:ind w:left="709" w:hanging="709"/>
        <w:contextualSpacing/>
        <w:jc w:val="both"/>
        <w:rPr>
          <w:rFonts w:eastAsia="Calibri"/>
          <w:b/>
          <w:bCs/>
          <w:sz w:val="24"/>
          <w:szCs w:val="24"/>
          <w:lang w:eastAsia="en-US" w:bidi="ar-SA"/>
        </w:rPr>
      </w:pPr>
      <w:r>
        <w:rPr>
          <w:rFonts w:eastAsia="Calibri"/>
          <w:b/>
          <w:bCs/>
          <w:sz w:val="24"/>
          <w:szCs w:val="24"/>
          <w:lang w:eastAsia="en-US" w:bidi="ar-SA"/>
        </w:rPr>
        <w:t>7.</w:t>
      </w:r>
      <w:r w:rsidR="00BE1E61">
        <w:rPr>
          <w:rFonts w:eastAsia="Calibri"/>
          <w:b/>
          <w:bCs/>
          <w:sz w:val="24"/>
          <w:szCs w:val="24"/>
          <w:lang w:eastAsia="en-US" w:bidi="ar-SA"/>
        </w:rPr>
        <w:t>2.</w:t>
      </w:r>
      <w:r>
        <w:rPr>
          <w:rFonts w:eastAsia="Calibri"/>
          <w:b/>
          <w:bCs/>
          <w:sz w:val="24"/>
          <w:szCs w:val="24"/>
          <w:lang w:eastAsia="en-US" w:bidi="ar-SA"/>
        </w:rPr>
        <w:t xml:space="preserve">5 </w:t>
      </w:r>
      <w:r>
        <w:rPr>
          <w:rFonts w:eastAsia="Calibri"/>
          <w:b/>
          <w:bCs/>
          <w:sz w:val="24"/>
          <w:szCs w:val="24"/>
          <w:lang w:eastAsia="en-US" w:bidi="ar-SA"/>
        </w:rPr>
        <w:tab/>
      </w:r>
      <w:r w:rsidRPr="00336B74">
        <w:rPr>
          <w:rFonts w:eastAsia="Calibri"/>
          <w:b/>
          <w:bCs/>
          <w:sz w:val="24"/>
          <w:szCs w:val="24"/>
          <w:lang w:eastAsia="en-US" w:bidi="ar-SA"/>
        </w:rPr>
        <w:t>Competitive Process</w:t>
      </w:r>
    </w:p>
    <w:p w14:paraId="4729449F" w14:textId="77777777" w:rsidR="00336B74" w:rsidRPr="00336B74" w:rsidRDefault="00336B74" w:rsidP="00BE1E61">
      <w:pPr>
        <w:widowControl/>
        <w:autoSpaceDE/>
        <w:autoSpaceDN/>
        <w:ind w:left="1134" w:hanging="283"/>
        <w:contextualSpacing/>
        <w:jc w:val="both"/>
        <w:rPr>
          <w:rFonts w:eastAsia="Calibri"/>
          <w:sz w:val="24"/>
          <w:szCs w:val="24"/>
          <w:lang w:eastAsia="en-US" w:bidi="ar-SA"/>
        </w:rPr>
      </w:pPr>
      <w:r w:rsidRPr="00336B74">
        <w:rPr>
          <w:rFonts w:eastAsia="Calibri"/>
          <w:i/>
          <w:iCs/>
          <w:sz w:val="24"/>
          <w:szCs w:val="24"/>
          <w:lang w:eastAsia="en-US" w:bidi="ar-SA"/>
        </w:rPr>
        <w:t>Must</w:t>
      </w:r>
      <w:r w:rsidRPr="00336B74">
        <w:rPr>
          <w:rFonts w:eastAsia="Calibri"/>
          <w:sz w:val="24"/>
          <w:szCs w:val="24"/>
          <w:lang w:eastAsia="en-US" w:bidi="ar-SA"/>
        </w:rPr>
        <w:t xml:space="preserve"> be used where:</w:t>
      </w:r>
    </w:p>
    <w:p w14:paraId="153A72C3" w14:textId="378A7235"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is not required to follow Direct Award Processes A or B, and</w:t>
      </w:r>
    </w:p>
    <w:p w14:paraId="7E516500" w14:textId="1963F8DA"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does not wish to or cannot follow Direct Award Process C or the most suitable provider process, and</w:t>
      </w:r>
    </w:p>
    <w:p w14:paraId="139C99C1" w14:textId="2C635237" w:rsidR="00336B74" w:rsidRPr="00336B74" w:rsidRDefault="00336B74" w:rsidP="00870FCB">
      <w:pPr>
        <w:widowControl/>
        <w:numPr>
          <w:ilvl w:val="0"/>
          <w:numId w:val="16"/>
        </w:numPr>
        <w:autoSpaceDE/>
        <w:autoSpaceDN/>
        <w:ind w:left="1134" w:hanging="283"/>
        <w:contextualSpacing/>
        <w:jc w:val="both"/>
        <w:rPr>
          <w:rFonts w:eastAsia="Calibri"/>
          <w:sz w:val="24"/>
          <w:szCs w:val="24"/>
          <w:lang w:eastAsia="en-US" w:bidi="ar-SA"/>
        </w:rPr>
      </w:pPr>
      <w:r w:rsidRPr="00336B74">
        <w:rPr>
          <w:rFonts w:eastAsia="Calibri"/>
          <w:sz w:val="24"/>
          <w:szCs w:val="24"/>
          <w:lang w:eastAsia="en-US" w:bidi="ar-SA"/>
        </w:rPr>
        <w:t xml:space="preserve">the </w:t>
      </w:r>
      <w:r w:rsidR="001B1A35">
        <w:rPr>
          <w:rFonts w:eastAsia="Calibri"/>
          <w:sz w:val="24"/>
          <w:szCs w:val="24"/>
          <w:lang w:eastAsia="en-US" w:bidi="ar-SA"/>
        </w:rPr>
        <w:t>ICB</w:t>
      </w:r>
      <w:r w:rsidRPr="00336B74">
        <w:rPr>
          <w:rFonts w:eastAsia="Calibri"/>
          <w:sz w:val="24"/>
          <w:szCs w:val="24"/>
          <w:lang w:eastAsia="en-US" w:bidi="ar-SA"/>
        </w:rPr>
        <w:t xml:space="preserve"> wishes to establish a framework agreement.</w:t>
      </w:r>
    </w:p>
    <w:p w14:paraId="6B373375" w14:textId="77777777" w:rsidR="004C1619" w:rsidRDefault="004C1619" w:rsidP="001B1CC6">
      <w:pPr>
        <w:widowControl/>
        <w:autoSpaceDE/>
        <w:autoSpaceDN/>
        <w:rPr>
          <w:rFonts w:eastAsia="Times New Roman"/>
          <w:sz w:val="24"/>
          <w:szCs w:val="24"/>
          <w:lang w:bidi="ar-SA"/>
        </w:rPr>
      </w:pPr>
    </w:p>
    <w:p w14:paraId="31CAE70E" w14:textId="77777777" w:rsidR="004C1619" w:rsidRDefault="004C1619" w:rsidP="009D7C4F">
      <w:pPr>
        <w:widowControl/>
        <w:autoSpaceDE/>
        <w:autoSpaceDN/>
        <w:rPr>
          <w:rFonts w:eastAsia="Times New Roman"/>
          <w:sz w:val="24"/>
          <w:szCs w:val="24"/>
          <w:lang w:bidi="ar-SA"/>
        </w:rPr>
      </w:pPr>
    </w:p>
    <w:p w14:paraId="6619B69F" w14:textId="77777777" w:rsidR="004C1619" w:rsidRDefault="004C1619" w:rsidP="003376A5">
      <w:pPr>
        <w:widowControl/>
        <w:autoSpaceDE/>
        <w:autoSpaceDN/>
        <w:ind w:left="720"/>
        <w:rPr>
          <w:rFonts w:eastAsia="Times New Roman"/>
          <w:sz w:val="24"/>
          <w:szCs w:val="24"/>
          <w:lang w:bidi="ar-SA"/>
        </w:rPr>
      </w:pPr>
    </w:p>
    <w:p w14:paraId="40D0E232" w14:textId="66D58FDA" w:rsidR="001B1CC6" w:rsidRPr="001B1CC6" w:rsidRDefault="001B1CC6" w:rsidP="00870FCB">
      <w:pPr>
        <w:pStyle w:val="ListParagraph"/>
        <w:widowControl/>
        <w:numPr>
          <w:ilvl w:val="1"/>
          <w:numId w:val="34"/>
        </w:numPr>
        <w:autoSpaceDE/>
        <w:autoSpaceDN/>
        <w:ind w:left="709" w:hanging="709"/>
        <w:rPr>
          <w:rFonts w:eastAsia="Times New Roman"/>
          <w:b/>
          <w:bCs/>
          <w:sz w:val="24"/>
          <w:szCs w:val="24"/>
          <w:lang w:bidi="ar-SA"/>
        </w:rPr>
      </w:pPr>
      <w:r w:rsidRPr="001B1CC6">
        <w:rPr>
          <w:rFonts w:eastAsia="Times New Roman"/>
          <w:b/>
          <w:bCs/>
          <w:sz w:val="24"/>
          <w:szCs w:val="24"/>
          <w:lang w:bidi="ar-SA"/>
        </w:rPr>
        <w:t>Basic Selection Criteria</w:t>
      </w:r>
    </w:p>
    <w:p w14:paraId="1A7B375C" w14:textId="31C8CCC8" w:rsidR="001B1CC6" w:rsidRDefault="001B1CC6" w:rsidP="00A92E38">
      <w:pPr>
        <w:widowControl/>
        <w:autoSpaceDE/>
        <w:autoSpaceDN/>
        <w:rPr>
          <w:rFonts w:eastAsia="Times New Roman"/>
          <w:b/>
          <w:bCs/>
          <w:sz w:val="24"/>
          <w:szCs w:val="24"/>
          <w:lang w:bidi="ar-SA"/>
        </w:rPr>
      </w:pPr>
    </w:p>
    <w:p w14:paraId="026559EC" w14:textId="6BF504DF" w:rsidR="001B1CC6" w:rsidRPr="009D7C4F" w:rsidRDefault="00A92E38" w:rsidP="001B1CC6">
      <w:pPr>
        <w:widowControl/>
        <w:autoSpaceDE/>
        <w:autoSpaceDN/>
        <w:ind w:left="710" w:hanging="710"/>
        <w:contextualSpacing/>
        <w:rPr>
          <w:rFonts w:eastAsia="Calibri"/>
          <w:sz w:val="24"/>
          <w:szCs w:val="24"/>
          <w:lang w:eastAsia="en-US" w:bidi="ar-SA"/>
        </w:rPr>
      </w:pPr>
      <w:r w:rsidRPr="000E0C55">
        <w:rPr>
          <w:rFonts w:eastAsia="Times New Roman"/>
          <w:b/>
          <w:bCs/>
          <w:sz w:val="24"/>
          <w:szCs w:val="24"/>
          <w:lang w:bidi="ar-SA"/>
        </w:rPr>
        <w:t>7.3</w:t>
      </w:r>
      <w:r w:rsidR="00597CC6" w:rsidRPr="000E0C55">
        <w:rPr>
          <w:rFonts w:eastAsia="Times New Roman"/>
          <w:b/>
          <w:bCs/>
          <w:sz w:val="24"/>
          <w:szCs w:val="24"/>
          <w:lang w:bidi="ar-SA"/>
        </w:rPr>
        <w:t>.1</w:t>
      </w:r>
      <w:r>
        <w:rPr>
          <w:rFonts w:eastAsia="Times New Roman"/>
          <w:sz w:val="24"/>
          <w:szCs w:val="24"/>
          <w:lang w:bidi="ar-SA"/>
        </w:rPr>
        <w:tab/>
      </w:r>
      <w:r w:rsidR="001B1CC6">
        <w:rPr>
          <w:rFonts w:eastAsia="Calibri"/>
          <w:sz w:val="24"/>
          <w:szCs w:val="24"/>
          <w:lang w:eastAsia="en-US" w:bidi="ar-SA"/>
        </w:rPr>
        <w:t>The ICB</w:t>
      </w:r>
      <w:r w:rsidR="001B1CC6" w:rsidRPr="009D7C4F">
        <w:rPr>
          <w:rFonts w:eastAsia="Calibri"/>
          <w:sz w:val="24"/>
          <w:szCs w:val="24"/>
          <w:lang w:eastAsia="en-US" w:bidi="ar-SA"/>
        </w:rPr>
        <w:t xml:space="preserve"> may impose on providers certain requirements that are appropriate to ensure that a provider has the legal and financial capacities and the technical and professional abilities to perform the contract to be awarded, which may relate to:</w:t>
      </w:r>
    </w:p>
    <w:p w14:paraId="05376C35" w14:textId="77777777" w:rsidR="001B1CC6" w:rsidRPr="009D7C4F" w:rsidRDefault="001B1CC6" w:rsidP="00870FCB">
      <w:pPr>
        <w:widowControl/>
        <w:numPr>
          <w:ilvl w:val="0"/>
          <w:numId w:val="22"/>
        </w:numPr>
        <w:autoSpaceDE/>
        <w:autoSpaceDN/>
        <w:contextualSpacing/>
        <w:rPr>
          <w:rFonts w:eastAsia="Calibri"/>
          <w:sz w:val="24"/>
          <w:szCs w:val="24"/>
          <w:lang w:eastAsia="en-US" w:bidi="ar-SA"/>
        </w:rPr>
      </w:pPr>
      <w:r w:rsidRPr="009D7C4F">
        <w:rPr>
          <w:rFonts w:eastAsia="Calibri"/>
          <w:sz w:val="24"/>
          <w:szCs w:val="24"/>
          <w:lang w:eastAsia="en-US" w:bidi="ar-SA"/>
        </w:rPr>
        <w:t>suitability to pursue a particular activity,</w:t>
      </w:r>
    </w:p>
    <w:p w14:paraId="3A3EECF2" w14:textId="77777777" w:rsidR="001B1CC6" w:rsidRPr="009D7C4F" w:rsidRDefault="001B1CC6" w:rsidP="00870FCB">
      <w:pPr>
        <w:widowControl/>
        <w:numPr>
          <w:ilvl w:val="0"/>
          <w:numId w:val="22"/>
        </w:numPr>
        <w:autoSpaceDE/>
        <w:autoSpaceDN/>
        <w:contextualSpacing/>
        <w:rPr>
          <w:rFonts w:eastAsia="Calibri"/>
          <w:sz w:val="24"/>
          <w:szCs w:val="24"/>
          <w:lang w:eastAsia="en-US" w:bidi="ar-SA"/>
        </w:rPr>
      </w:pPr>
      <w:r w:rsidRPr="009D7C4F">
        <w:rPr>
          <w:rFonts w:eastAsia="Calibri"/>
          <w:sz w:val="24"/>
          <w:szCs w:val="24"/>
          <w:lang w:eastAsia="en-US" w:bidi="ar-SA"/>
        </w:rPr>
        <w:t>economic and financial standing,</w:t>
      </w:r>
    </w:p>
    <w:p w14:paraId="1B14D986" w14:textId="77777777" w:rsidR="001B1CC6" w:rsidRPr="009D7C4F" w:rsidRDefault="001B1CC6" w:rsidP="00870FCB">
      <w:pPr>
        <w:widowControl/>
        <w:numPr>
          <w:ilvl w:val="0"/>
          <w:numId w:val="22"/>
        </w:numPr>
        <w:autoSpaceDE/>
        <w:autoSpaceDN/>
        <w:contextualSpacing/>
        <w:rPr>
          <w:rFonts w:eastAsia="Calibri"/>
          <w:sz w:val="24"/>
          <w:szCs w:val="24"/>
          <w:lang w:eastAsia="en-US" w:bidi="ar-SA"/>
        </w:rPr>
      </w:pPr>
      <w:r w:rsidRPr="009D7C4F">
        <w:rPr>
          <w:rFonts w:eastAsia="Calibri"/>
          <w:sz w:val="24"/>
          <w:szCs w:val="24"/>
          <w:lang w:eastAsia="en-US" w:bidi="ar-SA"/>
        </w:rPr>
        <w:t>technical and professional ability.</w:t>
      </w:r>
    </w:p>
    <w:p w14:paraId="200DA101" w14:textId="09E9972A" w:rsidR="001B1CC6" w:rsidRDefault="001B1CC6" w:rsidP="00A92E38">
      <w:pPr>
        <w:widowControl/>
        <w:autoSpaceDE/>
        <w:autoSpaceDN/>
        <w:ind w:left="709" w:hanging="709"/>
        <w:rPr>
          <w:rFonts w:eastAsia="Times New Roman"/>
          <w:sz w:val="24"/>
          <w:szCs w:val="24"/>
          <w:lang w:bidi="ar-SA"/>
        </w:rPr>
      </w:pPr>
    </w:p>
    <w:p w14:paraId="30F483E6" w14:textId="51C52BA2" w:rsidR="001B1CC6" w:rsidRDefault="001B1CC6" w:rsidP="00A92E38">
      <w:pPr>
        <w:widowControl/>
        <w:autoSpaceDE/>
        <w:autoSpaceDN/>
        <w:ind w:left="709" w:hanging="709"/>
        <w:rPr>
          <w:rFonts w:eastAsia="Times New Roman"/>
          <w:sz w:val="24"/>
          <w:szCs w:val="24"/>
          <w:lang w:bidi="ar-SA"/>
        </w:rPr>
      </w:pPr>
      <w:r w:rsidRPr="001B1CC6">
        <w:rPr>
          <w:rFonts w:eastAsia="Calibri"/>
          <w:b/>
          <w:bCs/>
          <w:sz w:val="24"/>
          <w:szCs w:val="24"/>
          <w:lang w:eastAsia="en-US" w:bidi="ar-SA"/>
        </w:rPr>
        <w:t>7.3.2</w:t>
      </w:r>
      <w:r>
        <w:rPr>
          <w:rFonts w:eastAsia="Calibri"/>
          <w:sz w:val="24"/>
          <w:szCs w:val="24"/>
          <w:lang w:eastAsia="en-US" w:bidi="ar-SA"/>
        </w:rPr>
        <w:tab/>
      </w:r>
      <w:r w:rsidRPr="009D7C4F">
        <w:rPr>
          <w:rFonts w:eastAsia="Calibri"/>
          <w:sz w:val="24"/>
          <w:szCs w:val="24"/>
          <w:lang w:eastAsia="en-US" w:bidi="ar-SA"/>
        </w:rPr>
        <w:t>All requirements must be related and proportionate to the subject matter of the contract or framework agreement</w:t>
      </w:r>
    </w:p>
    <w:p w14:paraId="07F52B26" w14:textId="77777777" w:rsidR="007E0141" w:rsidRPr="00A92E38" w:rsidRDefault="007E0141" w:rsidP="00A92E38">
      <w:pPr>
        <w:widowControl/>
        <w:autoSpaceDE/>
        <w:autoSpaceDN/>
        <w:ind w:left="709" w:hanging="709"/>
        <w:rPr>
          <w:rFonts w:eastAsia="Times New Roman"/>
          <w:sz w:val="24"/>
          <w:szCs w:val="24"/>
          <w:lang w:bidi="ar-SA"/>
        </w:rPr>
      </w:pPr>
    </w:p>
    <w:p w14:paraId="3C171BC9" w14:textId="77777777" w:rsidR="00A92E38" w:rsidRDefault="00A92E38" w:rsidP="00A92E38">
      <w:pPr>
        <w:widowControl/>
        <w:autoSpaceDE/>
        <w:autoSpaceDN/>
        <w:rPr>
          <w:rFonts w:eastAsia="Times New Roman"/>
          <w:b/>
          <w:bCs/>
          <w:sz w:val="24"/>
          <w:szCs w:val="24"/>
          <w:lang w:bidi="ar-SA"/>
        </w:rPr>
      </w:pPr>
    </w:p>
    <w:p w14:paraId="3E325DCA" w14:textId="638C377E" w:rsidR="00597CC6" w:rsidRDefault="001B1CC6" w:rsidP="007E0141">
      <w:pPr>
        <w:widowControl/>
        <w:autoSpaceDE/>
        <w:autoSpaceDN/>
        <w:rPr>
          <w:rFonts w:eastAsia="Times New Roman"/>
          <w:b/>
          <w:bCs/>
          <w:sz w:val="24"/>
          <w:szCs w:val="24"/>
          <w:lang w:bidi="ar-SA"/>
        </w:rPr>
      </w:pPr>
      <w:r>
        <w:rPr>
          <w:rFonts w:eastAsia="Times New Roman"/>
          <w:b/>
          <w:bCs/>
          <w:sz w:val="24"/>
          <w:szCs w:val="24"/>
          <w:lang w:bidi="ar-SA"/>
        </w:rPr>
        <w:t>7.4</w:t>
      </w:r>
      <w:r>
        <w:rPr>
          <w:rFonts w:eastAsia="Times New Roman"/>
          <w:b/>
          <w:bCs/>
          <w:sz w:val="24"/>
          <w:szCs w:val="24"/>
          <w:lang w:bidi="ar-SA"/>
        </w:rPr>
        <w:tab/>
      </w:r>
      <w:r w:rsidRPr="001B1CC6">
        <w:rPr>
          <w:rFonts w:eastAsia="Times New Roman"/>
          <w:b/>
          <w:bCs/>
          <w:sz w:val="24"/>
          <w:szCs w:val="24"/>
          <w:lang w:bidi="ar-SA"/>
        </w:rPr>
        <w:t>Key Criteria for Provider Selection Processes</w:t>
      </w:r>
    </w:p>
    <w:p w14:paraId="65E82B1F" w14:textId="77777777" w:rsidR="001B1CC6" w:rsidRDefault="001B1CC6" w:rsidP="007E0141">
      <w:pPr>
        <w:widowControl/>
        <w:autoSpaceDE/>
        <w:autoSpaceDN/>
        <w:rPr>
          <w:rFonts w:eastAsia="Times New Roman"/>
          <w:b/>
          <w:bCs/>
          <w:sz w:val="24"/>
          <w:szCs w:val="24"/>
          <w:lang w:bidi="ar-SA"/>
        </w:rPr>
      </w:pPr>
    </w:p>
    <w:p w14:paraId="0A72D06C" w14:textId="77777777" w:rsidR="001B1CC6" w:rsidRPr="00A92E38" w:rsidRDefault="009D7C4F" w:rsidP="001B1CC6">
      <w:pPr>
        <w:widowControl/>
        <w:autoSpaceDE/>
        <w:autoSpaceDN/>
        <w:ind w:left="709" w:hanging="709"/>
        <w:rPr>
          <w:rFonts w:eastAsia="Times New Roman"/>
          <w:sz w:val="24"/>
          <w:szCs w:val="24"/>
          <w:lang w:bidi="ar-SA"/>
        </w:rPr>
      </w:pPr>
      <w:r w:rsidRPr="000E0C55">
        <w:rPr>
          <w:rFonts w:eastAsia="Calibri"/>
          <w:b/>
          <w:bCs/>
          <w:sz w:val="24"/>
          <w:szCs w:val="24"/>
          <w:lang w:eastAsia="en-US" w:bidi="ar-SA"/>
        </w:rPr>
        <w:t>7.4.1</w:t>
      </w:r>
      <w:r>
        <w:rPr>
          <w:rFonts w:eastAsia="Calibri"/>
          <w:sz w:val="24"/>
          <w:szCs w:val="24"/>
          <w:lang w:eastAsia="en-US" w:bidi="ar-SA"/>
        </w:rPr>
        <w:tab/>
      </w:r>
      <w:r w:rsidR="001B1CC6" w:rsidRPr="00A92E38">
        <w:rPr>
          <w:rFonts w:eastAsia="Times New Roman"/>
          <w:sz w:val="24"/>
          <w:szCs w:val="24"/>
          <w:lang w:bidi="ar-SA"/>
        </w:rPr>
        <w:t>There are five key criteria that must be considered when assessing providers under direct award process C, the most suitable provider process, or the competitive process. These are:</w:t>
      </w:r>
    </w:p>
    <w:p w14:paraId="71B26C57" w14:textId="77777777" w:rsidR="001B1CC6" w:rsidRPr="00A92E38" w:rsidRDefault="001B1CC6" w:rsidP="001B1CC6">
      <w:pPr>
        <w:widowControl/>
        <w:autoSpaceDE/>
        <w:autoSpaceDN/>
        <w:ind w:left="1276" w:hanging="283"/>
        <w:rPr>
          <w:rFonts w:eastAsia="Times New Roman"/>
          <w:sz w:val="24"/>
          <w:szCs w:val="24"/>
          <w:lang w:bidi="ar-SA"/>
        </w:rPr>
      </w:pPr>
      <w:r w:rsidRPr="00A92E38">
        <w:rPr>
          <w:rFonts w:eastAsia="Times New Roman"/>
          <w:sz w:val="24"/>
          <w:szCs w:val="24"/>
          <w:lang w:bidi="ar-SA"/>
        </w:rPr>
        <w:t>•</w:t>
      </w:r>
      <w:r w:rsidRPr="00A92E38">
        <w:rPr>
          <w:rFonts w:eastAsia="Times New Roman"/>
          <w:sz w:val="24"/>
          <w:szCs w:val="24"/>
          <w:lang w:bidi="ar-SA"/>
        </w:rPr>
        <w:tab/>
        <w:t>Quality and innovation</w:t>
      </w:r>
    </w:p>
    <w:p w14:paraId="64F32CC8" w14:textId="77777777" w:rsidR="001B1CC6" w:rsidRPr="00A92E38" w:rsidRDefault="001B1CC6" w:rsidP="001B1CC6">
      <w:pPr>
        <w:widowControl/>
        <w:autoSpaceDE/>
        <w:autoSpaceDN/>
        <w:ind w:left="1276" w:hanging="283"/>
        <w:rPr>
          <w:rFonts w:eastAsia="Times New Roman"/>
          <w:sz w:val="24"/>
          <w:szCs w:val="24"/>
          <w:lang w:bidi="ar-SA"/>
        </w:rPr>
      </w:pPr>
      <w:r w:rsidRPr="00A92E38">
        <w:rPr>
          <w:rFonts w:eastAsia="Times New Roman"/>
          <w:sz w:val="24"/>
          <w:szCs w:val="24"/>
          <w:lang w:bidi="ar-SA"/>
        </w:rPr>
        <w:t>•</w:t>
      </w:r>
      <w:r w:rsidRPr="00A92E38">
        <w:rPr>
          <w:rFonts w:eastAsia="Times New Roman"/>
          <w:sz w:val="24"/>
          <w:szCs w:val="24"/>
          <w:lang w:bidi="ar-SA"/>
        </w:rPr>
        <w:tab/>
        <w:t>Value</w:t>
      </w:r>
    </w:p>
    <w:p w14:paraId="6009D324" w14:textId="77777777" w:rsidR="001B1CC6" w:rsidRPr="00A92E38" w:rsidRDefault="001B1CC6" w:rsidP="001B1CC6">
      <w:pPr>
        <w:widowControl/>
        <w:autoSpaceDE/>
        <w:autoSpaceDN/>
        <w:ind w:left="1276" w:hanging="283"/>
        <w:rPr>
          <w:rFonts w:eastAsia="Times New Roman"/>
          <w:sz w:val="24"/>
          <w:szCs w:val="24"/>
          <w:lang w:bidi="ar-SA"/>
        </w:rPr>
      </w:pPr>
      <w:r w:rsidRPr="00A92E38">
        <w:rPr>
          <w:rFonts w:eastAsia="Times New Roman"/>
          <w:sz w:val="24"/>
          <w:szCs w:val="24"/>
          <w:lang w:bidi="ar-SA"/>
        </w:rPr>
        <w:t>•</w:t>
      </w:r>
      <w:r w:rsidRPr="00A92E38">
        <w:rPr>
          <w:rFonts w:eastAsia="Times New Roman"/>
          <w:sz w:val="24"/>
          <w:szCs w:val="24"/>
          <w:lang w:bidi="ar-SA"/>
        </w:rPr>
        <w:tab/>
        <w:t>Integration, collaboration, and service sustainability</w:t>
      </w:r>
    </w:p>
    <w:p w14:paraId="73F5E7CA" w14:textId="77777777" w:rsidR="001B1CC6" w:rsidRPr="00A92E38" w:rsidRDefault="001B1CC6" w:rsidP="001B1CC6">
      <w:pPr>
        <w:widowControl/>
        <w:autoSpaceDE/>
        <w:autoSpaceDN/>
        <w:ind w:left="1276" w:hanging="283"/>
        <w:rPr>
          <w:rFonts w:eastAsia="Times New Roman"/>
          <w:sz w:val="24"/>
          <w:szCs w:val="24"/>
          <w:lang w:bidi="ar-SA"/>
        </w:rPr>
      </w:pPr>
      <w:r w:rsidRPr="00A92E38">
        <w:rPr>
          <w:rFonts w:eastAsia="Times New Roman"/>
          <w:sz w:val="24"/>
          <w:szCs w:val="24"/>
          <w:lang w:bidi="ar-SA"/>
        </w:rPr>
        <w:t>•</w:t>
      </w:r>
      <w:r w:rsidRPr="00A92E38">
        <w:rPr>
          <w:rFonts w:eastAsia="Times New Roman"/>
          <w:sz w:val="24"/>
          <w:szCs w:val="24"/>
          <w:lang w:bidi="ar-SA"/>
        </w:rPr>
        <w:tab/>
        <w:t>Improving access, reducing health inequalities, and facilitating choice</w:t>
      </w:r>
    </w:p>
    <w:p w14:paraId="3BCA16CF" w14:textId="77777777" w:rsidR="001B1CC6" w:rsidRDefault="001B1CC6" w:rsidP="001B1CC6">
      <w:pPr>
        <w:widowControl/>
        <w:autoSpaceDE/>
        <w:autoSpaceDN/>
        <w:ind w:left="1276" w:hanging="283"/>
        <w:rPr>
          <w:rFonts w:eastAsia="Times New Roman"/>
          <w:sz w:val="24"/>
          <w:szCs w:val="24"/>
          <w:lang w:bidi="ar-SA"/>
        </w:rPr>
      </w:pPr>
      <w:r w:rsidRPr="00A92E38">
        <w:rPr>
          <w:rFonts w:eastAsia="Times New Roman"/>
          <w:sz w:val="24"/>
          <w:szCs w:val="24"/>
          <w:lang w:bidi="ar-SA"/>
        </w:rPr>
        <w:t>•</w:t>
      </w:r>
      <w:r w:rsidRPr="00A92E38">
        <w:rPr>
          <w:rFonts w:eastAsia="Times New Roman"/>
          <w:sz w:val="24"/>
          <w:szCs w:val="24"/>
          <w:lang w:bidi="ar-SA"/>
        </w:rPr>
        <w:tab/>
        <w:t>Social Value.</w:t>
      </w:r>
    </w:p>
    <w:p w14:paraId="6F55FF19" w14:textId="77777777" w:rsidR="001B1CC6" w:rsidRPr="00A92E38" w:rsidRDefault="001B1CC6" w:rsidP="001B1CC6">
      <w:pPr>
        <w:widowControl/>
        <w:autoSpaceDE/>
        <w:autoSpaceDN/>
        <w:ind w:left="1276" w:hanging="283"/>
        <w:rPr>
          <w:rFonts w:eastAsia="Times New Roman"/>
          <w:sz w:val="24"/>
          <w:szCs w:val="24"/>
          <w:lang w:bidi="ar-SA"/>
        </w:rPr>
      </w:pPr>
    </w:p>
    <w:p w14:paraId="4678ADD3" w14:textId="42A8200C" w:rsidR="009D7C4F" w:rsidRPr="009D7C4F" w:rsidRDefault="001B1CC6" w:rsidP="001B1CC6">
      <w:pPr>
        <w:widowControl/>
        <w:autoSpaceDE/>
        <w:autoSpaceDN/>
        <w:ind w:left="710" w:hanging="710"/>
        <w:contextualSpacing/>
        <w:rPr>
          <w:rFonts w:eastAsia="Calibri"/>
          <w:sz w:val="24"/>
          <w:szCs w:val="24"/>
          <w:lang w:eastAsia="en-US" w:bidi="ar-SA"/>
        </w:rPr>
      </w:pPr>
      <w:r w:rsidRPr="001B1CC6">
        <w:rPr>
          <w:rFonts w:eastAsia="Calibri"/>
          <w:b/>
          <w:bCs/>
          <w:sz w:val="24"/>
          <w:szCs w:val="24"/>
          <w:lang w:eastAsia="en-US" w:bidi="ar-SA"/>
        </w:rPr>
        <w:t>7.4.2</w:t>
      </w:r>
      <w:r>
        <w:rPr>
          <w:rFonts w:eastAsia="Calibri"/>
          <w:sz w:val="24"/>
          <w:szCs w:val="24"/>
          <w:lang w:eastAsia="en-US" w:bidi="ar-SA"/>
        </w:rPr>
        <w:tab/>
      </w:r>
      <w:r w:rsidRPr="00A92E38">
        <w:rPr>
          <w:rFonts w:eastAsia="Times New Roman"/>
          <w:sz w:val="24"/>
          <w:szCs w:val="24"/>
          <w:lang w:bidi="ar-SA"/>
        </w:rPr>
        <w:t xml:space="preserve">When assessing a provider against the key criteria, all five key criteria must be considered, and none should be discounted. However, the relative importance of the criteria </w:t>
      </w:r>
      <w:r>
        <w:rPr>
          <w:rFonts w:eastAsia="Times New Roman"/>
          <w:sz w:val="24"/>
          <w:szCs w:val="24"/>
          <w:lang w:bidi="ar-SA"/>
        </w:rPr>
        <w:t>will be agreed within the ICB</w:t>
      </w:r>
      <w:r w:rsidRPr="00A92E38">
        <w:rPr>
          <w:rFonts w:eastAsia="Times New Roman"/>
          <w:sz w:val="24"/>
          <w:szCs w:val="24"/>
          <w:lang w:bidi="ar-SA"/>
        </w:rPr>
        <w:t>.</w:t>
      </w:r>
    </w:p>
    <w:p w14:paraId="480C1EB0" w14:textId="77777777" w:rsidR="00597CC6" w:rsidRDefault="00597CC6" w:rsidP="00E3276D">
      <w:pPr>
        <w:widowControl/>
        <w:autoSpaceDE/>
        <w:autoSpaceDN/>
        <w:rPr>
          <w:rFonts w:eastAsia="Times New Roman"/>
          <w:b/>
          <w:bCs/>
          <w:sz w:val="24"/>
          <w:szCs w:val="24"/>
          <w:lang w:bidi="ar-SA"/>
        </w:rPr>
      </w:pPr>
    </w:p>
    <w:p w14:paraId="29ED3B5B" w14:textId="77777777" w:rsidR="00597CC6" w:rsidRPr="00A92E38" w:rsidRDefault="00597CC6" w:rsidP="00E3276D">
      <w:pPr>
        <w:widowControl/>
        <w:autoSpaceDE/>
        <w:autoSpaceDN/>
        <w:rPr>
          <w:rFonts w:eastAsia="Times New Roman"/>
          <w:b/>
          <w:bCs/>
          <w:sz w:val="24"/>
          <w:szCs w:val="24"/>
          <w:lang w:bidi="ar-SA"/>
        </w:rPr>
      </w:pPr>
    </w:p>
    <w:p w14:paraId="5D91C409" w14:textId="7029D074" w:rsidR="00A92E38" w:rsidRPr="001B1CC6" w:rsidRDefault="00597CC6" w:rsidP="00870FCB">
      <w:pPr>
        <w:pStyle w:val="ListParagraph"/>
        <w:widowControl/>
        <w:numPr>
          <w:ilvl w:val="1"/>
          <w:numId w:val="35"/>
        </w:numPr>
        <w:autoSpaceDE/>
        <w:autoSpaceDN/>
        <w:ind w:left="709" w:hanging="709"/>
        <w:rPr>
          <w:rFonts w:eastAsia="Times New Roman"/>
          <w:b/>
          <w:bCs/>
          <w:sz w:val="24"/>
          <w:szCs w:val="24"/>
          <w:lang w:bidi="ar-SA"/>
        </w:rPr>
      </w:pPr>
      <w:r w:rsidRPr="001B1CC6">
        <w:rPr>
          <w:rFonts w:eastAsia="Times New Roman"/>
          <w:b/>
          <w:bCs/>
          <w:sz w:val="24"/>
          <w:szCs w:val="24"/>
          <w:lang w:bidi="ar-SA"/>
        </w:rPr>
        <w:t>Contract Modifications</w:t>
      </w:r>
    </w:p>
    <w:p w14:paraId="2F7A54A3" w14:textId="77777777" w:rsidR="00597CC6" w:rsidRDefault="00597CC6" w:rsidP="00E3276D">
      <w:pPr>
        <w:widowControl/>
        <w:autoSpaceDE/>
        <w:autoSpaceDN/>
        <w:rPr>
          <w:rFonts w:eastAsia="Times New Roman"/>
          <w:b/>
          <w:bCs/>
          <w:sz w:val="24"/>
          <w:szCs w:val="24"/>
          <w:lang w:bidi="ar-SA"/>
        </w:rPr>
      </w:pPr>
    </w:p>
    <w:p w14:paraId="1FB17AAB" w14:textId="525DC4EC" w:rsidR="00597CC6" w:rsidRPr="00597CC6" w:rsidRDefault="00597CC6" w:rsidP="00E3276D">
      <w:pPr>
        <w:widowControl/>
        <w:autoSpaceDE/>
        <w:autoSpaceDN/>
        <w:ind w:left="710" w:hanging="710"/>
        <w:contextualSpacing/>
        <w:rPr>
          <w:rFonts w:eastAsia="Calibri"/>
          <w:sz w:val="24"/>
          <w:szCs w:val="24"/>
          <w:lang w:eastAsia="en-US" w:bidi="ar-SA"/>
        </w:rPr>
      </w:pPr>
      <w:r w:rsidRPr="000E0C55">
        <w:rPr>
          <w:rFonts w:eastAsia="Calibri"/>
          <w:b/>
          <w:bCs/>
          <w:sz w:val="24"/>
          <w:szCs w:val="24"/>
          <w:lang w:eastAsia="en-US" w:bidi="ar-SA"/>
        </w:rPr>
        <w:t>7.</w:t>
      </w:r>
      <w:r w:rsidR="009D7C4F" w:rsidRPr="000E0C55">
        <w:rPr>
          <w:rFonts w:eastAsia="Calibri"/>
          <w:b/>
          <w:bCs/>
          <w:sz w:val="24"/>
          <w:szCs w:val="24"/>
          <w:lang w:eastAsia="en-US" w:bidi="ar-SA"/>
        </w:rPr>
        <w:t>5.1</w:t>
      </w:r>
      <w:r>
        <w:rPr>
          <w:rFonts w:eastAsia="Calibri"/>
          <w:sz w:val="24"/>
          <w:szCs w:val="24"/>
          <w:lang w:eastAsia="en-US" w:bidi="ar-SA"/>
        </w:rPr>
        <w:t xml:space="preserve"> </w:t>
      </w:r>
      <w:r>
        <w:rPr>
          <w:rFonts w:eastAsia="Calibri"/>
          <w:sz w:val="24"/>
          <w:szCs w:val="24"/>
          <w:lang w:eastAsia="en-US" w:bidi="ar-SA"/>
        </w:rPr>
        <w:tab/>
      </w:r>
      <w:r w:rsidRPr="00597CC6">
        <w:rPr>
          <w:rFonts w:eastAsia="Calibri"/>
          <w:sz w:val="24"/>
          <w:szCs w:val="24"/>
          <w:lang w:eastAsia="en-US" w:bidi="ar-SA"/>
        </w:rPr>
        <w:t>Modifications to contracts are permitted under the Provider Selection Regime if the modification is:</w:t>
      </w:r>
    </w:p>
    <w:p w14:paraId="76BBB567" w14:textId="77777777" w:rsidR="00597CC6" w:rsidRPr="00597CC6" w:rsidRDefault="00597CC6" w:rsidP="00E3276D">
      <w:pPr>
        <w:widowControl/>
        <w:autoSpaceDE/>
        <w:autoSpaceDN/>
        <w:ind w:left="567"/>
        <w:contextualSpacing/>
        <w:rPr>
          <w:rFonts w:eastAsia="Calibri"/>
          <w:sz w:val="24"/>
          <w:szCs w:val="24"/>
          <w:lang w:eastAsia="en-US" w:bidi="ar-SA"/>
        </w:rPr>
      </w:pPr>
    </w:p>
    <w:p w14:paraId="1A2B34F8" w14:textId="77777777"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Clearly and unambiguously provided for in the original contract.</w:t>
      </w:r>
    </w:p>
    <w:p w14:paraId="069BCE03" w14:textId="75C31089"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 xml:space="preserve">If this modification is £500,000 or over and is attributable to the </w:t>
      </w:r>
      <w:r w:rsidR="001B1A35">
        <w:rPr>
          <w:rFonts w:eastAsia="Calibri"/>
          <w:i/>
          <w:iCs/>
          <w:sz w:val="24"/>
          <w:szCs w:val="24"/>
          <w:lang w:eastAsia="en-US" w:bidi="ar-SA"/>
        </w:rPr>
        <w:t>ICB</w:t>
      </w:r>
      <w:r w:rsidRPr="00597CC6">
        <w:rPr>
          <w:rFonts w:eastAsia="Calibri"/>
          <w:i/>
          <w:iCs/>
          <w:sz w:val="24"/>
          <w:szCs w:val="24"/>
          <w:lang w:eastAsia="en-US" w:bidi="ar-SA"/>
        </w:rPr>
        <w:t>, then a transparency notice must be published.</w:t>
      </w:r>
    </w:p>
    <w:p w14:paraId="223AFA3F" w14:textId="77777777" w:rsidR="00597CC6" w:rsidRPr="00597CC6" w:rsidRDefault="00597CC6" w:rsidP="00E3276D">
      <w:pPr>
        <w:widowControl/>
        <w:autoSpaceDE/>
        <w:autoSpaceDN/>
        <w:ind w:left="1276" w:hanging="425"/>
        <w:contextualSpacing/>
        <w:rPr>
          <w:rFonts w:eastAsia="Calibri"/>
          <w:sz w:val="24"/>
          <w:szCs w:val="24"/>
          <w:lang w:eastAsia="en-US" w:bidi="ar-SA"/>
        </w:rPr>
      </w:pPr>
    </w:p>
    <w:p w14:paraId="4B9EFC5B" w14:textId="77777777"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Solely a change in the identity of the provider.</w:t>
      </w:r>
    </w:p>
    <w:p w14:paraId="2D44151D" w14:textId="4DF602AB"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 xml:space="preserve">If this modification is £500,000 or over and is attributable to the </w:t>
      </w:r>
      <w:r w:rsidR="001B1A35">
        <w:rPr>
          <w:rFonts w:eastAsia="Calibri"/>
          <w:i/>
          <w:iCs/>
          <w:sz w:val="24"/>
          <w:szCs w:val="24"/>
          <w:lang w:eastAsia="en-US" w:bidi="ar-SA"/>
        </w:rPr>
        <w:t>ICB</w:t>
      </w:r>
      <w:r w:rsidRPr="00597CC6">
        <w:rPr>
          <w:rFonts w:eastAsia="Calibri"/>
          <w:i/>
          <w:iCs/>
          <w:sz w:val="24"/>
          <w:szCs w:val="24"/>
          <w:lang w:eastAsia="en-US" w:bidi="ar-SA"/>
        </w:rPr>
        <w:t>, then a transparency notice must be published.</w:t>
      </w:r>
    </w:p>
    <w:p w14:paraId="27EABC26" w14:textId="77777777" w:rsidR="00597CC6" w:rsidRPr="00597CC6" w:rsidRDefault="00597CC6" w:rsidP="00E3276D">
      <w:pPr>
        <w:widowControl/>
        <w:autoSpaceDE/>
        <w:autoSpaceDN/>
        <w:ind w:left="1276" w:hanging="425"/>
        <w:contextualSpacing/>
        <w:rPr>
          <w:rFonts w:eastAsia="Calibri"/>
          <w:sz w:val="24"/>
          <w:szCs w:val="24"/>
          <w:lang w:eastAsia="en-US" w:bidi="ar-SA"/>
        </w:rPr>
      </w:pPr>
    </w:p>
    <w:p w14:paraId="7340C3A3" w14:textId="3FA40CA4"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 xml:space="preserve">Made in response to external factors beyond the control of the </w:t>
      </w:r>
      <w:r w:rsidR="001B1A35">
        <w:rPr>
          <w:rFonts w:eastAsia="Calibri"/>
          <w:sz w:val="24"/>
          <w:szCs w:val="24"/>
          <w:lang w:eastAsia="en-US" w:bidi="ar-SA"/>
        </w:rPr>
        <w:t>ICB</w:t>
      </w:r>
      <w:r w:rsidRPr="00597CC6">
        <w:rPr>
          <w:rFonts w:eastAsia="Calibri"/>
          <w:sz w:val="24"/>
          <w:szCs w:val="24"/>
          <w:lang w:eastAsia="en-US" w:bidi="ar-SA"/>
        </w:rPr>
        <w:t xml:space="preserve"> and the provider, such as changes in patient or service user volume or changes in indexing; but do not render the contract materially different in character.</w:t>
      </w:r>
    </w:p>
    <w:p w14:paraId="169E2925" w14:textId="2CA0595D"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 xml:space="preserve">If this modification is £500,000 or over and is attributable to the </w:t>
      </w:r>
      <w:r w:rsidR="001B1A35">
        <w:rPr>
          <w:rFonts w:eastAsia="Calibri"/>
          <w:i/>
          <w:iCs/>
          <w:sz w:val="24"/>
          <w:szCs w:val="24"/>
          <w:lang w:eastAsia="en-US" w:bidi="ar-SA"/>
        </w:rPr>
        <w:t>ICB</w:t>
      </w:r>
      <w:r w:rsidRPr="00597CC6">
        <w:rPr>
          <w:rFonts w:eastAsia="Calibri"/>
          <w:i/>
          <w:iCs/>
          <w:sz w:val="24"/>
          <w:szCs w:val="24"/>
          <w:lang w:eastAsia="en-US" w:bidi="ar-SA"/>
        </w:rPr>
        <w:t>, then a transparency notice must be published.</w:t>
      </w:r>
    </w:p>
    <w:p w14:paraId="4C9D3DB1" w14:textId="77777777" w:rsidR="00597CC6" w:rsidRPr="00597CC6" w:rsidRDefault="00597CC6" w:rsidP="00E3276D">
      <w:pPr>
        <w:widowControl/>
        <w:autoSpaceDE/>
        <w:autoSpaceDN/>
        <w:ind w:left="1276" w:hanging="425"/>
        <w:contextualSpacing/>
        <w:rPr>
          <w:rFonts w:eastAsia="Calibri"/>
          <w:sz w:val="24"/>
          <w:szCs w:val="24"/>
          <w:lang w:eastAsia="en-US" w:bidi="ar-SA"/>
        </w:rPr>
      </w:pPr>
    </w:p>
    <w:p w14:paraId="4754938E" w14:textId="7905AB85"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 xml:space="preserve">Attributable to the </w:t>
      </w:r>
      <w:r w:rsidR="001B1A35">
        <w:rPr>
          <w:rFonts w:eastAsia="Calibri"/>
          <w:sz w:val="24"/>
          <w:szCs w:val="24"/>
          <w:lang w:eastAsia="en-US" w:bidi="ar-SA"/>
        </w:rPr>
        <w:t>ICB</w:t>
      </w:r>
      <w:r w:rsidRPr="00597CC6">
        <w:rPr>
          <w:rFonts w:eastAsia="Calibri"/>
          <w:sz w:val="24"/>
          <w:szCs w:val="24"/>
          <w:lang w:eastAsia="en-US" w:bidi="ar-SA"/>
        </w:rPr>
        <w:t xml:space="preserve">, does not render the contract materially different in character, and the change in the lifetime value of the contract, compared to its value when it was </w:t>
      </w:r>
      <w:proofErr w:type="gramStart"/>
      <w:r w:rsidRPr="00597CC6">
        <w:rPr>
          <w:rFonts w:eastAsia="Calibri"/>
          <w:sz w:val="24"/>
          <w:szCs w:val="24"/>
          <w:lang w:eastAsia="en-US" w:bidi="ar-SA"/>
        </w:rPr>
        <w:t>entered into</w:t>
      </w:r>
      <w:proofErr w:type="gramEnd"/>
      <w:r w:rsidRPr="00597CC6">
        <w:rPr>
          <w:rFonts w:eastAsia="Calibri"/>
          <w:sz w:val="24"/>
          <w:szCs w:val="24"/>
          <w:lang w:eastAsia="en-US" w:bidi="ar-SA"/>
        </w:rPr>
        <w:t>, is under £500,000 or represents less than 25% of the original contract value.</w:t>
      </w:r>
    </w:p>
    <w:p w14:paraId="12AD89C7" w14:textId="77777777"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A transparency notice is not required.</w:t>
      </w:r>
    </w:p>
    <w:p w14:paraId="268B4CF2" w14:textId="77777777" w:rsidR="00597CC6" w:rsidRPr="00597CC6" w:rsidRDefault="00597CC6" w:rsidP="00E3276D">
      <w:pPr>
        <w:widowControl/>
        <w:autoSpaceDE/>
        <w:autoSpaceDN/>
        <w:ind w:left="1276" w:hanging="425"/>
        <w:contextualSpacing/>
        <w:rPr>
          <w:rFonts w:eastAsia="Calibri"/>
          <w:i/>
          <w:iCs/>
          <w:sz w:val="24"/>
          <w:szCs w:val="24"/>
          <w:lang w:eastAsia="en-US" w:bidi="ar-SA"/>
        </w:rPr>
      </w:pPr>
    </w:p>
    <w:p w14:paraId="4913957D" w14:textId="2BD12C0C"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 xml:space="preserve">Attributable to the </w:t>
      </w:r>
      <w:r w:rsidR="001B1A35">
        <w:rPr>
          <w:rFonts w:eastAsia="Calibri"/>
          <w:sz w:val="24"/>
          <w:szCs w:val="24"/>
          <w:lang w:eastAsia="en-US" w:bidi="ar-SA"/>
        </w:rPr>
        <w:t>ICB</w:t>
      </w:r>
      <w:r w:rsidRPr="00597CC6">
        <w:rPr>
          <w:rFonts w:eastAsia="Calibri"/>
          <w:sz w:val="24"/>
          <w:szCs w:val="24"/>
          <w:lang w:eastAsia="en-US" w:bidi="ar-SA"/>
        </w:rPr>
        <w:t xml:space="preserve">, does not render the contract materially different in character, and the change in the lifetime value of the contract, compared to its value when it was </w:t>
      </w:r>
      <w:proofErr w:type="gramStart"/>
      <w:r w:rsidRPr="00597CC6">
        <w:rPr>
          <w:rFonts w:eastAsia="Calibri"/>
          <w:sz w:val="24"/>
          <w:szCs w:val="24"/>
          <w:lang w:eastAsia="en-US" w:bidi="ar-SA"/>
        </w:rPr>
        <w:t>entered into</w:t>
      </w:r>
      <w:proofErr w:type="gramEnd"/>
      <w:r w:rsidRPr="00597CC6">
        <w:rPr>
          <w:rFonts w:eastAsia="Calibri"/>
          <w:sz w:val="24"/>
          <w:szCs w:val="24"/>
          <w:lang w:eastAsia="en-US" w:bidi="ar-SA"/>
        </w:rPr>
        <w:t>, is over £500,000 and represents less than 25% of the original contract value.</w:t>
      </w:r>
    </w:p>
    <w:p w14:paraId="0F5AB162" w14:textId="77777777"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A transparency notice must be published in these circumstances.</w:t>
      </w:r>
    </w:p>
    <w:p w14:paraId="2553AF54" w14:textId="77777777" w:rsidR="00597CC6" w:rsidRPr="00597CC6" w:rsidRDefault="00597CC6" w:rsidP="00E3276D">
      <w:pPr>
        <w:widowControl/>
        <w:autoSpaceDE/>
        <w:autoSpaceDN/>
        <w:ind w:left="1276" w:hanging="425"/>
        <w:contextualSpacing/>
        <w:rPr>
          <w:rFonts w:eastAsia="Calibri"/>
          <w:i/>
          <w:iCs/>
          <w:sz w:val="24"/>
          <w:szCs w:val="24"/>
          <w:lang w:eastAsia="en-US" w:bidi="ar-SA"/>
        </w:rPr>
      </w:pPr>
    </w:p>
    <w:p w14:paraId="167A023C" w14:textId="77777777" w:rsidR="00597CC6" w:rsidRPr="00597CC6" w:rsidRDefault="00597CC6" w:rsidP="00870FCB">
      <w:pPr>
        <w:widowControl/>
        <w:numPr>
          <w:ilvl w:val="0"/>
          <w:numId w:val="19"/>
        </w:numPr>
        <w:autoSpaceDE/>
        <w:autoSpaceDN/>
        <w:ind w:left="1276" w:hanging="425"/>
        <w:contextualSpacing/>
        <w:rPr>
          <w:rFonts w:eastAsia="Calibri"/>
          <w:sz w:val="24"/>
          <w:szCs w:val="24"/>
          <w:lang w:eastAsia="en-US" w:bidi="ar-SA"/>
        </w:rPr>
      </w:pPr>
      <w:r w:rsidRPr="00597CC6">
        <w:rPr>
          <w:rFonts w:eastAsia="Calibri"/>
          <w:sz w:val="24"/>
          <w:szCs w:val="24"/>
          <w:lang w:eastAsia="en-US" w:bidi="ar-SA"/>
        </w:rPr>
        <w:t>Made to a contract that was originally awarded under Direct Award Process A or Direct Award Process B and the modification does not render the contract materially different in character.</w:t>
      </w:r>
    </w:p>
    <w:p w14:paraId="61B46DAB" w14:textId="1F594621" w:rsidR="00597CC6" w:rsidRPr="00597CC6" w:rsidRDefault="00597CC6" w:rsidP="00E3276D">
      <w:pPr>
        <w:widowControl/>
        <w:autoSpaceDE/>
        <w:autoSpaceDN/>
        <w:ind w:left="1276"/>
        <w:contextualSpacing/>
        <w:rPr>
          <w:rFonts w:eastAsia="Calibri"/>
          <w:i/>
          <w:iCs/>
          <w:sz w:val="24"/>
          <w:szCs w:val="24"/>
          <w:lang w:eastAsia="en-US" w:bidi="ar-SA"/>
        </w:rPr>
      </w:pPr>
      <w:r w:rsidRPr="00597CC6">
        <w:rPr>
          <w:rFonts w:eastAsia="Calibri"/>
          <w:i/>
          <w:iCs/>
          <w:sz w:val="24"/>
          <w:szCs w:val="24"/>
          <w:lang w:eastAsia="en-US" w:bidi="ar-SA"/>
        </w:rPr>
        <w:t xml:space="preserve">If the modification is attributable to the </w:t>
      </w:r>
      <w:r w:rsidR="001B1A35">
        <w:rPr>
          <w:rFonts w:eastAsia="Calibri"/>
          <w:i/>
          <w:iCs/>
          <w:sz w:val="24"/>
          <w:szCs w:val="24"/>
          <w:lang w:eastAsia="en-US" w:bidi="ar-SA"/>
        </w:rPr>
        <w:t>ICB</w:t>
      </w:r>
      <w:r w:rsidRPr="00597CC6">
        <w:rPr>
          <w:rFonts w:eastAsia="Calibri"/>
          <w:i/>
          <w:iCs/>
          <w:sz w:val="24"/>
          <w:szCs w:val="24"/>
          <w:lang w:eastAsia="en-US" w:bidi="ar-SA"/>
        </w:rPr>
        <w:t xml:space="preserve">, and the cumulative change in the lifetime value of the contract is £500,000 or more </w:t>
      </w:r>
      <w:proofErr w:type="spellStart"/>
      <w:r w:rsidRPr="00597CC6">
        <w:rPr>
          <w:rFonts w:eastAsia="Calibri"/>
          <w:i/>
          <w:iCs/>
          <w:sz w:val="24"/>
          <w:szCs w:val="24"/>
          <w:lang w:eastAsia="en-US" w:bidi="ar-SA"/>
        </w:rPr>
        <w:t>then</w:t>
      </w:r>
      <w:proofErr w:type="spellEnd"/>
      <w:r w:rsidRPr="00597CC6">
        <w:rPr>
          <w:rFonts w:eastAsia="Calibri"/>
          <w:i/>
          <w:iCs/>
          <w:sz w:val="24"/>
          <w:szCs w:val="24"/>
          <w:lang w:eastAsia="en-US" w:bidi="ar-SA"/>
        </w:rPr>
        <w:t xml:space="preserve"> a transparency notice must be published.</w:t>
      </w:r>
    </w:p>
    <w:p w14:paraId="61E029F6" w14:textId="77777777" w:rsidR="00597CC6" w:rsidRPr="00597CC6" w:rsidRDefault="00597CC6" w:rsidP="00E3276D">
      <w:pPr>
        <w:widowControl/>
        <w:autoSpaceDE/>
        <w:autoSpaceDN/>
        <w:ind w:left="927"/>
        <w:contextualSpacing/>
        <w:rPr>
          <w:rFonts w:eastAsia="Calibri"/>
          <w:sz w:val="24"/>
          <w:szCs w:val="24"/>
          <w:lang w:eastAsia="en-US" w:bidi="ar-SA"/>
        </w:rPr>
      </w:pPr>
    </w:p>
    <w:p w14:paraId="6FB6B155" w14:textId="2F8D66AC" w:rsidR="00597CC6" w:rsidRPr="001B1CC6" w:rsidRDefault="00597CC6" w:rsidP="00870FCB">
      <w:pPr>
        <w:pStyle w:val="ListParagraph"/>
        <w:widowControl/>
        <w:numPr>
          <w:ilvl w:val="2"/>
          <w:numId w:val="36"/>
        </w:numPr>
        <w:autoSpaceDE/>
        <w:autoSpaceDN/>
        <w:contextualSpacing/>
        <w:rPr>
          <w:rFonts w:eastAsia="Calibri"/>
          <w:sz w:val="24"/>
          <w:szCs w:val="24"/>
          <w:lang w:eastAsia="en-US" w:bidi="ar-SA"/>
        </w:rPr>
      </w:pPr>
      <w:r w:rsidRPr="001B1CC6">
        <w:rPr>
          <w:rFonts w:eastAsia="Calibri"/>
          <w:sz w:val="24"/>
          <w:szCs w:val="24"/>
          <w:lang w:eastAsia="en-US" w:bidi="ar-SA"/>
        </w:rPr>
        <w:t xml:space="preserve">Modifications are not permitted under the Provider Selection Regime, if the modification is attributable to a decision made by the ICB and: </w:t>
      </w:r>
    </w:p>
    <w:p w14:paraId="4EBE0A75" w14:textId="77777777" w:rsidR="00597CC6" w:rsidRPr="00597CC6" w:rsidRDefault="00597CC6" w:rsidP="00870FCB">
      <w:pPr>
        <w:widowControl/>
        <w:numPr>
          <w:ilvl w:val="0"/>
          <w:numId w:val="20"/>
        </w:numPr>
        <w:autoSpaceDE/>
        <w:autoSpaceDN/>
        <w:contextualSpacing/>
        <w:rPr>
          <w:rFonts w:eastAsia="Calibri"/>
          <w:sz w:val="24"/>
          <w:szCs w:val="24"/>
          <w:lang w:eastAsia="en-US" w:bidi="ar-SA"/>
        </w:rPr>
      </w:pPr>
      <w:r w:rsidRPr="00597CC6">
        <w:rPr>
          <w:rFonts w:eastAsia="Calibri"/>
          <w:sz w:val="24"/>
          <w:szCs w:val="24"/>
          <w:lang w:eastAsia="en-US" w:bidi="ar-SA"/>
        </w:rPr>
        <w:t>The changes render the contract materially different in character, or</w:t>
      </w:r>
    </w:p>
    <w:p w14:paraId="6BA3F8A7" w14:textId="77777777" w:rsidR="00597CC6" w:rsidRPr="00597CC6" w:rsidRDefault="00597CC6" w:rsidP="00870FCB">
      <w:pPr>
        <w:widowControl/>
        <w:numPr>
          <w:ilvl w:val="0"/>
          <w:numId w:val="20"/>
        </w:numPr>
        <w:autoSpaceDE/>
        <w:autoSpaceDN/>
        <w:contextualSpacing/>
        <w:rPr>
          <w:rFonts w:eastAsia="Calibri"/>
          <w:sz w:val="24"/>
          <w:szCs w:val="24"/>
          <w:lang w:eastAsia="en-US" w:bidi="ar-SA"/>
        </w:rPr>
      </w:pPr>
      <w:r w:rsidRPr="00597CC6">
        <w:rPr>
          <w:rFonts w:eastAsia="Calibri"/>
          <w:sz w:val="24"/>
          <w:szCs w:val="24"/>
          <w:lang w:eastAsia="en-US" w:bidi="ar-SA"/>
        </w:rPr>
        <w:t>The changes are over £500,000 and represent over 25% of the original contract value.</w:t>
      </w:r>
    </w:p>
    <w:p w14:paraId="43EE815A" w14:textId="77777777" w:rsidR="00597CC6" w:rsidRDefault="00597CC6" w:rsidP="00E3276D">
      <w:pPr>
        <w:widowControl/>
        <w:autoSpaceDE/>
        <w:autoSpaceDN/>
        <w:rPr>
          <w:rFonts w:eastAsia="Times New Roman"/>
          <w:b/>
          <w:bCs/>
          <w:sz w:val="24"/>
          <w:szCs w:val="24"/>
          <w:lang w:bidi="ar-SA"/>
        </w:rPr>
      </w:pPr>
    </w:p>
    <w:p w14:paraId="730199DB" w14:textId="77777777" w:rsidR="009D7C4F" w:rsidRPr="00A92E38" w:rsidRDefault="009D7C4F" w:rsidP="007E0141">
      <w:pPr>
        <w:widowControl/>
        <w:autoSpaceDE/>
        <w:autoSpaceDN/>
        <w:rPr>
          <w:rFonts w:eastAsia="Times New Roman"/>
          <w:b/>
          <w:bCs/>
          <w:sz w:val="24"/>
          <w:szCs w:val="24"/>
          <w:lang w:bidi="ar-SA"/>
        </w:rPr>
      </w:pPr>
    </w:p>
    <w:p w14:paraId="6A08F036" w14:textId="03A4B26A" w:rsidR="00A92E38" w:rsidRDefault="00597CC6" w:rsidP="00870FCB">
      <w:pPr>
        <w:pStyle w:val="ListParagraph"/>
        <w:widowControl/>
        <w:numPr>
          <w:ilvl w:val="1"/>
          <w:numId w:val="36"/>
        </w:numPr>
        <w:autoSpaceDE/>
        <w:autoSpaceDN/>
        <w:ind w:left="709" w:hanging="709"/>
        <w:rPr>
          <w:rFonts w:eastAsia="Times New Roman"/>
          <w:b/>
          <w:bCs/>
          <w:sz w:val="24"/>
          <w:szCs w:val="24"/>
          <w:lang w:bidi="ar-SA"/>
        </w:rPr>
      </w:pPr>
      <w:r w:rsidRPr="00597CC6">
        <w:rPr>
          <w:rFonts w:eastAsia="Times New Roman"/>
          <w:b/>
          <w:bCs/>
          <w:sz w:val="24"/>
          <w:szCs w:val="24"/>
          <w:lang w:bidi="ar-SA"/>
        </w:rPr>
        <w:t>Urgent Situations</w:t>
      </w:r>
    </w:p>
    <w:p w14:paraId="5D11C38D" w14:textId="77777777" w:rsidR="00597CC6" w:rsidRDefault="00597CC6" w:rsidP="007E0141">
      <w:pPr>
        <w:widowControl/>
        <w:autoSpaceDE/>
        <w:autoSpaceDN/>
        <w:rPr>
          <w:rFonts w:eastAsia="Times New Roman"/>
          <w:b/>
          <w:bCs/>
          <w:sz w:val="24"/>
          <w:szCs w:val="24"/>
          <w:lang w:bidi="ar-SA"/>
        </w:rPr>
      </w:pPr>
    </w:p>
    <w:p w14:paraId="0EFFC594" w14:textId="232B94C8" w:rsidR="00597CC6" w:rsidRPr="009D7C4F" w:rsidRDefault="009D7C4F" w:rsidP="00E3276D">
      <w:pPr>
        <w:widowControl/>
        <w:autoSpaceDE/>
        <w:autoSpaceDN/>
        <w:ind w:left="710" w:hanging="710"/>
        <w:contextualSpacing/>
        <w:rPr>
          <w:sz w:val="24"/>
          <w:szCs w:val="24"/>
        </w:rPr>
      </w:pPr>
      <w:r w:rsidRPr="000E0C55">
        <w:rPr>
          <w:b/>
          <w:bCs/>
          <w:sz w:val="24"/>
          <w:szCs w:val="24"/>
        </w:rPr>
        <w:t>7.6.1</w:t>
      </w:r>
      <w:r>
        <w:rPr>
          <w:sz w:val="24"/>
          <w:szCs w:val="24"/>
        </w:rPr>
        <w:tab/>
      </w:r>
      <w:r w:rsidR="00597CC6" w:rsidRPr="009D7C4F">
        <w:rPr>
          <w:sz w:val="24"/>
          <w:szCs w:val="24"/>
        </w:rPr>
        <w:t>There are a small, limited number of occasions where the ICB may need to act urgently in an emergency. Urgent circumstances include where:</w:t>
      </w:r>
    </w:p>
    <w:p w14:paraId="054B6967" w14:textId="77E26E10" w:rsidR="00597CC6" w:rsidRDefault="00597CC6" w:rsidP="00870FCB">
      <w:pPr>
        <w:pStyle w:val="ListParagraph"/>
        <w:widowControl/>
        <w:numPr>
          <w:ilvl w:val="0"/>
          <w:numId w:val="21"/>
        </w:numPr>
        <w:autoSpaceDE/>
        <w:autoSpaceDN/>
        <w:contextualSpacing/>
        <w:rPr>
          <w:sz w:val="24"/>
          <w:szCs w:val="24"/>
        </w:rPr>
      </w:pPr>
      <w:r w:rsidRPr="00E80751">
        <w:rPr>
          <w:sz w:val="24"/>
          <w:szCs w:val="24"/>
        </w:rPr>
        <w:t xml:space="preserve">Acting rapidly in an unforeseen emergency that is not attributable to the </w:t>
      </w:r>
      <w:r w:rsidR="001B1A35">
        <w:rPr>
          <w:sz w:val="24"/>
          <w:szCs w:val="24"/>
        </w:rPr>
        <w:t>ICB</w:t>
      </w:r>
      <w:r w:rsidRPr="00E80751">
        <w:rPr>
          <w:sz w:val="24"/>
          <w:szCs w:val="24"/>
        </w:rPr>
        <w:t>; local, regional or national crisis. For example, to deal with a pandemic</w:t>
      </w:r>
      <w:r>
        <w:rPr>
          <w:sz w:val="24"/>
          <w:szCs w:val="24"/>
        </w:rPr>
        <w:t>,</w:t>
      </w:r>
    </w:p>
    <w:p w14:paraId="39175575" w14:textId="77777777" w:rsidR="00597CC6" w:rsidRDefault="00597CC6" w:rsidP="00870FCB">
      <w:pPr>
        <w:pStyle w:val="ListParagraph"/>
        <w:widowControl/>
        <w:numPr>
          <w:ilvl w:val="0"/>
          <w:numId w:val="21"/>
        </w:numPr>
        <w:autoSpaceDE/>
        <w:autoSpaceDN/>
        <w:contextualSpacing/>
        <w:rPr>
          <w:sz w:val="24"/>
          <w:szCs w:val="24"/>
        </w:rPr>
      </w:pPr>
      <w:r w:rsidRPr="00E80751">
        <w:rPr>
          <w:sz w:val="24"/>
          <w:szCs w:val="24"/>
        </w:rPr>
        <w:t>Urgent quality and/or safety concerns that pose risks to patients or service users, and necessitate rapid changes (where it would not be feasible to undertake a provider selection process)</w:t>
      </w:r>
      <w:r>
        <w:rPr>
          <w:sz w:val="24"/>
          <w:szCs w:val="24"/>
        </w:rPr>
        <w:t>,</w:t>
      </w:r>
    </w:p>
    <w:p w14:paraId="4F363674" w14:textId="77777777" w:rsidR="00597CC6" w:rsidRDefault="00597CC6" w:rsidP="00870FCB">
      <w:pPr>
        <w:pStyle w:val="ListParagraph"/>
        <w:widowControl/>
        <w:numPr>
          <w:ilvl w:val="0"/>
          <w:numId w:val="21"/>
        </w:numPr>
        <w:autoSpaceDE/>
        <w:autoSpaceDN/>
        <w:contextualSpacing/>
        <w:rPr>
          <w:sz w:val="24"/>
          <w:szCs w:val="24"/>
        </w:rPr>
      </w:pPr>
      <w:r w:rsidRPr="00E80751">
        <w:rPr>
          <w:sz w:val="24"/>
          <w:szCs w:val="24"/>
        </w:rPr>
        <w:t xml:space="preserve">The existing provider is suddenly unable to </w:t>
      </w:r>
      <w:proofErr w:type="gramStart"/>
      <w:r w:rsidRPr="00E80751">
        <w:rPr>
          <w:sz w:val="24"/>
          <w:szCs w:val="24"/>
        </w:rPr>
        <w:t>operate</w:t>
      </w:r>
      <w:proofErr w:type="gramEnd"/>
      <w:r w:rsidRPr="00E80751">
        <w:rPr>
          <w:sz w:val="24"/>
          <w:szCs w:val="24"/>
        </w:rPr>
        <w:t xml:space="preserve"> and a new service provider needs to be identified.</w:t>
      </w:r>
    </w:p>
    <w:p w14:paraId="6DD3EEE2" w14:textId="77777777" w:rsidR="00597CC6" w:rsidRDefault="00597CC6" w:rsidP="00E3276D">
      <w:pPr>
        <w:pStyle w:val="ListParagraph"/>
        <w:ind w:left="567"/>
        <w:rPr>
          <w:sz w:val="24"/>
          <w:szCs w:val="24"/>
        </w:rPr>
      </w:pPr>
    </w:p>
    <w:p w14:paraId="76803FC5" w14:textId="2D405A4B" w:rsidR="00597CC6" w:rsidRPr="00597CC6" w:rsidRDefault="009D7C4F" w:rsidP="00870FCB">
      <w:pPr>
        <w:pStyle w:val="ListParagraph"/>
        <w:widowControl/>
        <w:numPr>
          <w:ilvl w:val="2"/>
          <w:numId w:val="36"/>
        </w:numPr>
        <w:autoSpaceDE/>
        <w:autoSpaceDN/>
        <w:ind w:left="709" w:hanging="709"/>
        <w:contextualSpacing/>
        <w:rPr>
          <w:sz w:val="24"/>
          <w:szCs w:val="24"/>
        </w:rPr>
      </w:pPr>
      <w:r>
        <w:rPr>
          <w:sz w:val="24"/>
          <w:szCs w:val="24"/>
        </w:rPr>
        <w:t>The ICB</w:t>
      </w:r>
      <w:r w:rsidR="00597CC6" w:rsidRPr="00597CC6">
        <w:rPr>
          <w:sz w:val="24"/>
          <w:szCs w:val="24"/>
        </w:rPr>
        <w:t xml:space="preserve"> must carry out a full provider selection process once the emergency has passed. If this </w:t>
      </w:r>
      <w:proofErr w:type="gramStart"/>
      <w:r w:rsidR="00597CC6" w:rsidRPr="00597CC6">
        <w:rPr>
          <w:sz w:val="24"/>
          <w:szCs w:val="24"/>
        </w:rPr>
        <w:t>time period</w:t>
      </w:r>
      <w:proofErr w:type="gramEnd"/>
      <w:r w:rsidR="00597CC6" w:rsidRPr="00597CC6">
        <w:rPr>
          <w:sz w:val="24"/>
          <w:szCs w:val="24"/>
        </w:rPr>
        <w:t xml:space="preserve"> is over 12 months, then a justification must be provided</w:t>
      </w:r>
      <w:r w:rsidR="00597CC6">
        <w:rPr>
          <w:sz w:val="24"/>
          <w:szCs w:val="24"/>
        </w:rPr>
        <w:t xml:space="preserve"> by the ICB</w:t>
      </w:r>
      <w:r w:rsidR="00597CC6" w:rsidRPr="00597CC6">
        <w:rPr>
          <w:sz w:val="24"/>
          <w:szCs w:val="24"/>
        </w:rPr>
        <w:t xml:space="preserve">. </w:t>
      </w:r>
    </w:p>
    <w:p w14:paraId="311B6985" w14:textId="77777777" w:rsidR="00597CC6" w:rsidRDefault="00597CC6" w:rsidP="00E3276D">
      <w:pPr>
        <w:ind w:firstLine="567"/>
      </w:pPr>
    </w:p>
    <w:p w14:paraId="5EDDF249" w14:textId="77777777" w:rsidR="00597CC6" w:rsidRPr="00597CC6" w:rsidRDefault="00597CC6" w:rsidP="00E3276D">
      <w:pPr>
        <w:pStyle w:val="ListParagraph"/>
        <w:widowControl/>
        <w:autoSpaceDE/>
        <w:autoSpaceDN/>
        <w:ind w:left="880" w:firstLine="0"/>
        <w:rPr>
          <w:rFonts w:eastAsia="Times New Roman"/>
          <w:b/>
          <w:bCs/>
          <w:sz w:val="24"/>
          <w:szCs w:val="24"/>
          <w:lang w:bidi="ar-SA"/>
        </w:rPr>
      </w:pPr>
    </w:p>
    <w:p w14:paraId="342FA150" w14:textId="224C413F" w:rsidR="009D7C4F" w:rsidRPr="009D7C4F" w:rsidRDefault="009D7C4F" w:rsidP="00870FCB">
      <w:pPr>
        <w:pStyle w:val="ListParagraph"/>
        <w:numPr>
          <w:ilvl w:val="1"/>
          <w:numId w:val="36"/>
        </w:numPr>
        <w:ind w:left="709" w:hanging="709"/>
        <w:rPr>
          <w:rFonts w:eastAsia="Times New Roman"/>
          <w:b/>
          <w:bCs/>
          <w:sz w:val="24"/>
          <w:szCs w:val="24"/>
          <w:lang w:bidi="ar-SA"/>
        </w:rPr>
      </w:pPr>
      <w:r w:rsidRPr="009D7C4F">
        <w:rPr>
          <w:rFonts w:eastAsia="Times New Roman"/>
          <w:b/>
          <w:bCs/>
          <w:sz w:val="24"/>
          <w:szCs w:val="24"/>
          <w:lang w:bidi="ar-SA"/>
        </w:rPr>
        <w:t>Transparency, Publication of Notices and Record Keeping</w:t>
      </w:r>
    </w:p>
    <w:p w14:paraId="3466C9E9" w14:textId="77777777" w:rsidR="009D7C4F" w:rsidRDefault="009D7C4F" w:rsidP="00E3276D">
      <w:pPr>
        <w:rPr>
          <w:rFonts w:eastAsia="Times New Roman"/>
          <w:sz w:val="24"/>
          <w:szCs w:val="24"/>
          <w:lang w:bidi="ar-SA"/>
        </w:rPr>
      </w:pPr>
    </w:p>
    <w:p w14:paraId="5D43938F" w14:textId="5C7B2049" w:rsidR="009D7C4F" w:rsidRPr="009D7C4F" w:rsidRDefault="009D7C4F" w:rsidP="00870FCB">
      <w:pPr>
        <w:pStyle w:val="ListParagraph"/>
        <w:widowControl/>
        <w:numPr>
          <w:ilvl w:val="2"/>
          <w:numId w:val="29"/>
        </w:numPr>
        <w:autoSpaceDE/>
        <w:autoSpaceDN/>
        <w:ind w:left="709" w:hanging="709"/>
        <w:contextualSpacing/>
        <w:rPr>
          <w:rFonts w:eastAsia="Calibri"/>
          <w:sz w:val="24"/>
          <w:szCs w:val="24"/>
          <w:lang w:eastAsia="en-US" w:bidi="ar-SA"/>
        </w:rPr>
      </w:pPr>
      <w:r w:rsidRPr="009D7C4F">
        <w:rPr>
          <w:rFonts w:eastAsia="Calibri"/>
          <w:sz w:val="24"/>
          <w:szCs w:val="24"/>
          <w:lang w:eastAsia="en-US" w:bidi="ar-SA"/>
        </w:rPr>
        <w:t xml:space="preserve">The Provider Selection Regime requires </w:t>
      </w:r>
      <w:r>
        <w:rPr>
          <w:rFonts w:eastAsia="Calibri"/>
          <w:sz w:val="24"/>
          <w:szCs w:val="24"/>
          <w:lang w:eastAsia="en-US" w:bidi="ar-SA"/>
        </w:rPr>
        <w:t>the following from ICBs</w:t>
      </w:r>
      <w:r w:rsidRPr="009D7C4F">
        <w:rPr>
          <w:rFonts w:eastAsia="Calibri"/>
          <w:sz w:val="24"/>
          <w:szCs w:val="24"/>
          <w:lang w:eastAsia="en-US" w:bidi="ar-SA"/>
        </w:rPr>
        <w:t>:</w:t>
      </w:r>
    </w:p>
    <w:p w14:paraId="0480BD54" w14:textId="77777777" w:rsidR="009D7C4F" w:rsidRPr="009D7C4F" w:rsidRDefault="009D7C4F" w:rsidP="00870FCB">
      <w:pPr>
        <w:widowControl/>
        <w:numPr>
          <w:ilvl w:val="0"/>
          <w:numId w:val="23"/>
        </w:numPr>
        <w:autoSpaceDE/>
        <w:autoSpaceDN/>
        <w:contextualSpacing/>
        <w:rPr>
          <w:rFonts w:eastAsia="Calibri"/>
          <w:sz w:val="24"/>
          <w:szCs w:val="24"/>
          <w:lang w:eastAsia="en-US" w:bidi="ar-SA"/>
        </w:rPr>
      </w:pPr>
      <w:r w:rsidRPr="009D7C4F">
        <w:rPr>
          <w:rFonts w:eastAsia="Calibri"/>
          <w:sz w:val="24"/>
          <w:szCs w:val="24"/>
          <w:lang w:eastAsia="en-US" w:bidi="ar-SA"/>
        </w:rPr>
        <w:t>Transparency notices are published when contracts are awarded and in some situations before contract awards are made,</w:t>
      </w:r>
    </w:p>
    <w:p w14:paraId="59EBF3F7" w14:textId="6DFB3002" w:rsidR="009D7C4F" w:rsidRPr="009D7C4F" w:rsidRDefault="009D7C4F" w:rsidP="00870FCB">
      <w:pPr>
        <w:widowControl/>
        <w:numPr>
          <w:ilvl w:val="0"/>
          <w:numId w:val="23"/>
        </w:numPr>
        <w:autoSpaceDE/>
        <w:autoSpaceDN/>
        <w:contextualSpacing/>
        <w:rPr>
          <w:rFonts w:eastAsia="Calibri"/>
          <w:sz w:val="24"/>
          <w:szCs w:val="24"/>
          <w:lang w:eastAsia="en-US" w:bidi="ar-SA"/>
        </w:rPr>
      </w:pPr>
      <w:r>
        <w:rPr>
          <w:rFonts w:eastAsia="Calibri"/>
          <w:sz w:val="24"/>
          <w:szCs w:val="24"/>
          <w:lang w:eastAsia="en-US" w:bidi="ar-SA"/>
        </w:rPr>
        <w:t>D</w:t>
      </w:r>
      <w:r w:rsidRPr="009D7C4F">
        <w:rPr>
          <w:rFonts w:eastAsia="Calibri"/>
          <w:sz w:val="24"/>
          <w:szCs w:val="24"/>
          <w:lang w:eastAsia="en-US" w:bidi="ar-SA"/>
        </w:rPr>
        <w:t>etailed evidence</w:t>
      </w:r>
      <w:r>
        <w:rPr>
          <w:rFonts w:eastAsia="Calibri"/>
          <w:sz w:val="24"/>
          <w:szCs w:val="24"/>
          <w:lang w:eastAsia="en-US" w:bidi="ar-SA"/>
        </w:rPr>
        <w:t xml:space="preserve"> is kept</w:t>
      </w:r>
      <w:r w:rsidRPr="009D7C4F">
        <w:rPr>
          <w:rFonts w:eastAsia="Calibri"/>
          <w:sz w:val="24"/>
          <w:szCs w:val="24"/>
          <w:lang w:eastAsia="en-US" w:bidi="ar-SA"/>
        </w:rPr>
        <w:t xml:space="preserve"> of decisions and decision-making processes, which may be required to share with providers if they a representation</w:t>
      </w:r>
      <w:r w:rsidR="007E0141">
        <w:rPr>
          <w:rFonts w:eastAsia="Calibri"/>
          <w:sz w:val="24"/>
          <w:szCs w:val="24"/>
          <w:lang w:eastAsia="en-US" w:bidi="ar-SA"/>
        </w:rPr>
        <w:t xml:space="preserve"> is received</w:t>
      </w:r>
      <w:r w:rsidRPr="009D7C4F">
        <w:rPr>
          <w:rFonts w:eastAsia="Calibri"/>
          <w:sz w:val="24"/>
          <w:szCs w:val="24"/>
          <w:lang w:eastAsia="en-US" w:bidi="ar-SA"/>
        </w:rPr>
        <w:t>,</w:t>
      </w:r>
    </w:p>
    <w:p w14:paraId="4BFB2A43" w14:textId="19BA6179" w:rsidR="009D7C4F" w:rsidRPr="009D7C4F" w:rsidRDefault="009D7C4F" w:rsidP="00870FCB">
      <w:pPr>
        <w:widowControl/>
        <w:numPr>
          <w:ilvl w:val="0"/>
          <w:numId w:val="23"/>
        </w:numPr>
        <w:autoSpaceDE/>
        <w:autoSpaceDN/>
        <w:contextualSpacing/>
        <w:rPr>
          <w:rFonts w:eastAsia="Calibri"/>
          <w:sz w:val="24"/>
          <w:szCs w:val="24"/>
          <w:lang w:eastAsia="en-US" w:bidi="ar-SA"/>
        </w:rPr>
      </w:pPr>
      <w:r w:rsidRPr="009D7C4F">
        <w:rPr>
          <w:rFonts w:eastAsia="Calibri"/>
          <w:sz w:val="24"/>
          <w:szCs w:val="24"/>
          <w:lang w:eastAsia="en-US" w:bidi="ar-SA"/>
        </w:rPr>
        <w:t xml:space="preserve">An annual summary is published, which details how many contracts were awarded using </w:t>
      </w:r>
      <w:r w:rsidR="007E0141">
        <w:rPr>
          <w:rFonts w:eastAsia="Calibri"/>
          <w:sz w:val="24"/>
          <w:szCs w:val="24"/>
          <w:lang w:eastAsia="en-US" w:bidi="ar-SA"/>
        </w:rPr>
        <w:t>each of the</w:t>
      </w:r>
      <w:r w:rsidRPr="009D7C4F">
        <w:rPr>
          <w:rFonts w:eastAsia="Calibri"/>
          <w:sz w:val="24"/>
          <w:szCs w:val="24"/>
          <w:lang w:eastAsia="en-US" w:bidi="ar-SA"/>
        </w:rPr>
        <w:t xml:space="preserve"> provider selection processes.</w:t>
      </w:r>
    </w:p>
    <w:p w14:paraId="7DA4D1EF" w14:textId="77777777" w:rsidR="009D7C4F" w:rsidRPr="009D7C4F" w:rsidRDefault="009D7C4F" w:rsidP="00E56A07">
      <w:pPr>
        <w:widowControl/>
        <w:autoSpaceDE/>
        <w:autoSpaceDN/>
        <w:contextualSpacing/>
        <w:rPr>
          <w:rFonts w:eastAsia="Calibri"/>
          <w:sz w:val="24"/>
          <w:szCs w:val="24"/>
          <w:lang w:eastAsia="en-US" w:bidi="ar-SA"/>
        </w:rPr>
      </w:pPr>
    </w:p>
    <w:p w14:paraId="3716B7CF" w14:textId="5ADD3F40" w:rsidR="009D7C4F" w:rsidRPr="007E0141" w:rsidRDefault="007E0141" w:rsidP="00870FCB">
      <w:pPr>
        <w:pStyle w:val="ListParagraph"/>
        <w:widowControl/>
        <w:numPr>
          <w:ilvl w:val="2"/>
          <w:numId w:val="29"/>
        </w:numPr>
        <w:autoSpaceDE/>
        <w:autoSpaceDN/>
        <w:ind w:left="709" w:hanging="709"/>
        <w:contextualSpacing/>
        <w:rPr>
          <w:rFonts w:eastAsia="Calibri"/>
          <w:sz w:val="24"/>
          <w:szCs w:val="24"/>
          <w:lang w:eastAsia="en-US" w:bidi="ar-SA"/>
        </w:rPr>
      </w:pPr>
      <w:r>
        <w:rPr>
          <w:rFonts w:eastAsia="Calibri"/>
          <w:sz w:val="24"/>
          <w:szCs w:val="24"/>
          <w:lang w:eastAsia="en-US" w:bidi="ar-SA"/>
        </w:rPr>
        <w:t>The ICB</w:t>
      </w:r>
      <w:r w:rsidR="009D7C4F" w:rsidRPr="007E0141">
        <w:rPr>
          <w:rFonts w:eastAsia="Calibri"/>
          <w:sz w:val="24"/>
          <w:szCs w:val="24"/>
          <w:lang w:eastAsia="en-US" w:bidi="ar-SA"/>
        </w:rPr>
        <w:t xml:space="preserve"> must keep records of considerations throughout the award process. These records may be requested as part of a review during the standstill period. Records must include:​​</w:t>
      </w:r>
    </w:p>
    <w:p w14:paraId="7D964EF2"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the relative importance of each of the key criteria and the rationale for their relative importance and how the basic selection criteria were assessed,</w:t>
      </w:r>
    </w:p>
    <w:p w14:paraId="0A5F9673"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name and address of the provider,</w:t>
      </w:r>
    </w:p>
    <w:p w14:paraId="101B690F"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the decision-making process followed to select a provider,</w:t>
      </w:r>
    </w:p>
    <w:p w14:paraId="069A2F88"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the rationale for the decision, </w:t>
      </w:r>
    </w:p>
    <w:p w14:paraId="641E2808"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for mixed procurements, how the procurement meets the requirements for mixed procurement,</w:t>
      </w:r>
    </w:p>
    <w:p w14:paraId="73F29A83"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details of the individual/individuals making the decision, </w:t>
      </w:r>
    </w:p>
    <w:p w14:paraId="3D1E8B1A" w14:textId="77777777" w:rsidR="009D7C4F" w:rsidRPr="009D7C4F" w:rsidRDefault="009D7C4F" w:rsidP="00870FCB">
      <w:pPr>
        <w:widowControl/>
        <w:numPr>
          <w:ilvl w:val="0"/>
          <w:numId w:val="24"/>
        </w:numPr>
        <w:autoSpaceDE/>
        <w:autoSpaceDN/>
        <w:contextualSpacing/>
        <w:rPr>
          <w:rFonts w:eastAsia="Calibri"/>
          <w:sz w:val="24"/>
          <w:szCs w:val="24"/>
          <w:lang w:eastAsia="en-US" w:bidi="ar-SA"/>
        </w:rPr>
      </w:pPr>
      <w:r w:rsidRPr="009D7C4F">
        <w:rPr>
          <w:rFonts w:eastAsia="Calibri"/>
          <w:sz w:val="24"/>
          <w:szCs w:val="24"/>
          <w:lang w:eastAsia="en-US" w:bidi="ar-SA"/>
        </w:rPr>
        <w:t>any declared or potential conflicts of interest for individuals involved in decision making and how these were managed.</w:t>
      </w:r>
    </w:p>
    <w:p w14:paraId="3221547D" w14:textId="77777777" w:rsidR="005D43AD" w:rsidRDefault="005D43AD" w:rsidP="001B1CC6">
      <w:pPr>
        <w:widowControl/>
        <w:autoSpaceDE/>
        <w:autoSpaceDN/>
        <w:contextualSpacing/>
        <w:rPr>
          <w:rFonts w:eastAsia="Calibri"/>
          <w:b/>
          <w:bCs/>
          <w:sz w:val="24"/>
          <w:szCs w:val="24"/>
          <w:lang w:eastAsia="en-US" w:bidi="ar-SA"/>
        </w:rPr>
      </w:pPr>
    </w:p>
    <w:p w14:paraId="454A670C" w14:textId="77777777" w:rsidR="005D43AD" w:rsidRPr="009D7C4F" w:rsidRDefault="005D43AD" w:rsidP="007E0141">
      <w:pPr>
        <w:widowControl/>
        <w:autoSpaceDE/>
        <w:autoSpaceDN/>
        <w:ind w:left="567"/>
        <w:contextualSpacing/>
        <w:rPr>
          <w:rFonts w:eastAsia="Calibri"/>
          <w:b/>
          <w:bCs/>
          <w:sz w:val="24"/>
          <w:szCs w:val="24"/>
          <w:lang w:eastAsia="en-US" w:bidi="ar-SA"/>
        </w:rPr>
      </w:pPr>
    </w:p>
    <w:p w14:paraId="2F3FC8F0" w14:textId="22A49EC3" w:rsidR="009D7C4F" w:rsidRPr="007E0141" w:rsidRDefault="00E3276D" w:rsidP="00870FCB">
      <w:pPr>
        <w:pStyle w:val="ListParagraph"/>
        <w:widowControl/>
        <w:numPr>
          <w:ilvl w:val="1"/>
          <w:numId w:val="29"/>
        </w:numPr>
        <w:autoSpaceDE/>
        <w:autoSpaceDN/>
        <w:ind w:left="709" w:hanging="709"/>
        <w:contextualSpacing/>
        <w:rPr>
          <w:rFonts w:eastAsia="Calibri"/>
          <w:b/>
          <w:bCs/>
          <w:color w:val="FF0000"/>
          <w:sz w:val="24"/>
          <w:szCs w:val="24"/>
          <w:lang w:eastAsia="en-US" w:bidi="ar-SA"/>
        </w:rPr>
      </w:pPr>
      <w:r>
        <w:rPr>
          <w:rFonts w:eastAsia="Calibri"/>
          <w:b/>
          <w:bCs/>
          <w:sz w:val="24"/>
          <w:szCs w:val="24"/>
          <w:lang w:eastAsia="en-US" w:bidi="ar-SA"/>
        </w:rPr>
        <w:t>Standstill and Representations</w:t>
      </w:r>
    </w:p>
    <w:p w14:paraId="3D0C5DD4" w14:textId="77777777" w:rsidR="009D7C4F" w:rsidRPr="009D7C4F" w:rsidRDefault="009D7C4F" w:rsidP="007E0141">
      <w:pPr>
        <w:widowControl/>
        <w:autoSpaceDE/>
        <w:autoSpaceDN/>
        <w:ind w:left="567"/>
        <w:contextualSpacing/>
        <w:rPr>
          <w:rFonts w:eastAsia="Calibri"/>
          <w:b/>
          <w:bCs/>
          <w:color w:val="FF0000"/>
          <w:sz w:val="24"/>
          <w:szCs w:val="24"/>
          <w:lang w:eastAsia="en-US" w:bidi="ar-SA"/>
        </w:rPr>
      </w:pPr>
    </w:p>
    <w:p w14:paraId="1E78622A" w14:textId="66A54E41" w:rsidR="009D7C4F" w:rsidRPr="009D7C4F" w:rsidRDefault="007E0141" w:rsidP="00E3276D">
      <w:pPr>
        <w:widowControl/>
        <w:autoSpaceDE/>
        <w:autoSpaceDN/>
        <w:ind w:left="709" w:hanging="709"/>
        <w:contextualSpacing/>
        <w:rPr>
          <w:rFonts w:eastAsia="Calibri"/>
          <w:sz w:val="24"/>
          <w:szCs w:val="24"/>
          <w:lang w:eastAsia="en-US" w:bidi="ar-SA"/>
        </w:rPr>
      </w:pPr>
      <w:r w:rsidRPr="000E0C55">
        <w:rPr>
          <w:rFonts w:eastAsia="Calibri"/>
          <w:b/>
          <w:bCs/>
          <w:sz w:val="24"/>
          <w:szCs w:val="24"/>
          <w:lang w:eastAsia="en-US" w:bidi="ar-SA"/>
        </w:rPr>
        <w:t>7.8.1</w:t>
      </w:r>
      <w:r>
        <w:rPr>
          <w:rFonts w:eastAsia="Calibri"/>
          <w:sz w:val="24"/>
          <w:szCs w:val="24"/>
          <w:lang w:eastAsia="en-US" w:bidi="ar-SA"/>
        </w:rPr>
        <w:t xml:space="preserve"> </w:t>
      </w:r>
      <w:r>
        <w:rPr>
          <w:rFonts w:eastAsia="Calibri"/>
          <w:sz w:val="24"/>
          <w:szCs w:val="24"/>
          <w:lang w:eastAsia="en-US" w:bidi="ar-SA"/>
        </w:rPr>
        <w:tab/>
      </w:r>
      <w:r w:rsidR="009D7C4F" w:rsidRPr="009D7C4F">
        <w:rPr>
          <w:rFonts w:eastAsia="Calibri"/>
          <w:sz w:val="24"/>
          <w:szCs w:val="24"/>
          <w:lang w:eastAsia="en-US" w:bidi="ar-SA"/>
        </w:rPr>
        <w:t xml:space="preserve">When following Direct Award Process C, the Most Suitable Provider Process, and the Competitive Process – following the publication of the Intention to Award a Contract </w:t>
      </w:r>
      <w:r w:rsidR="002F759E">
        <w:rPr>
          <w:rFonts w:eastAsia="Calibri"/>
          <w:sz w:val="24"/>
          <w:szCs w:val="24"/>
          <w:lang w:eastAsia="en-US" w:bidi="ar-SA"/>
        </w:rPr>
        <w:t>N</w:t>
      </w:r>
      <w:r w:rsidR="009D7C4F" w:rsidRPr="009D7C4F">
        <w:rPr>
          <w:rFonts w:eastAsia="Calibri"/>
          <w:sz w:val="24"/>
          <w:szCs w:val="24"/>
          <w:lang w:eastAsia="en-US" w:bidi="ar-SA"/>
        </w:rPr>
        <w:t xml:space="preserve">otice the </w:t>
      </w:r>
      <w:r>
        <w:rPr>
          <w:rFonts w:eastAsia="Calibri"/>
          <w:sz w:val="24"/>
          <w:szCs w:val="24"/>
          <w:lang w:eastAsia="en-US" w:bidi="ar-SA"/>
        </w:rPr>
        <w:t>ICB</w:t>
      </w:r>
      <w:r w:rsidR="009D7C4F" w:rsidRPr="009D7C4F">
        <w:rPr>
          <w:rFonts w:eastAsia="Calibri"/>
          <w:sz w:val="24"/>
          <w:szCs w:val="24"/>
          <w:lang w:eastAsia="en-US" w:bidi="ar-SA"/>
        </w:rPr>
        <w:t xml:space="preserve"> must observe the standstill period.</w:t>
      </w:r>
    </w:p>
    <w:p w14:paraId="0B5A9810"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2D885722" w14:textId="0B6E9476"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The standstill is a period of eight working days</w:t>
      </w:r>
      <w:r w:rsidRPr="007E0141">
        <w:rPr>
          <w:rFonts w:eastAsia="Calibri"/>
          <w:b/>
          <w:bCs/>
          <w:sz w:val="24"/>
          <w:szCs w:val="24"/>
          <w:lang w:eastAsia="en-US" w:bidi="ar-SA"/>
        </w:rPr>
        <w:t xml:space="preserve"> </w:t>
      </w:r>
      <w:r w:rsidRPr="007E0141">
        <w:rPr>
          <w:rFonts w:eastAsia="Calibri"/>
          <w:sz w:val="24"/>
          <w:szCs w:val="24"/>
          <w:lang w:eastAsia="en-US" w:bidi="ar-SA"/>
        </w:rPr>
        <w:t>(which may be extended) during which representations can be made and must be responded to.  </w:t>
      </w:r>
    </w:p>
    <w:p w14:paraId="62838B77"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6B8A4572" w14:textId="424149AD"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 xml:space="preserve">The standstill period allows the </w:t>
      </w:r>
      <w:r w:rsidR="007E0141">
        <w:rPr>
          <w:rFonts w:eastAsia="Calibri"/>
          <w:sz w:val="24"/>
          <w:szCs w:val="24"/>
          <w:lang w:eastAsia="en-US" w:bidi="ar-SA"/>
        </w:rPr>
        <w:t>ICB</w:t>
      </w:r>
      <w:r w:rsidRPr="007E0141">
        <w:rPr>
          <w:rFonts w:eastAsia="Calibri"/>
          <w:sz w:val="24"/>
          <w:szCs w:val="24"/>
          <w:lang w:eastAsia="en-US" w:bidi="ar-SA"/>
        </w:rPr>
        <w:t xml:space="preserve"> to consider any representations received and to respond as appropriate. The </w:t>
      </w:r>
      <w:r w:rsidR="007E0141">
        <w:rPr>
          <w:rFonts w:eastAsia="Calibri"/>
          <w:sz w:val="24"/>
          <w:szCs w:val="24"/>
          <w:lang w:eastAsia="en-US" w:bidi="ar-SA"/>
        </w:rPr>
        <w:t>ICB</w:t>
      </w:r>
      <w:r w:rsidRPr="007E0141">
        <w:rPr>
          <w:rFonts w:eastAsia="Calibri"/>
          <w:sz w:val="24"/>
          <w:szCs w:val="24"/>
          <w:lang w:eastAsia="en-US" w:bidi="ar-SA"/>
        </w:rPr>
        <w:t xml:space="preserve"> must allow the provider five working days to consider their feedback before closing the standstill period.</w:t>
      </w:r>
    </w:p>
    <w:p w14:paraId="329711DD"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6895110B" w14:textId="71DBCC38"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The standstill period should be extended (unless in exceptional circumstances) if the representation is considered by the Provider Selection Regime Review Panel.</w:t>
      </w:r>
    </w:p>
    <w:p w14:paraId="39BBB0F5"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7080784C" w14:textId="51CC4656" w:rsidR="009D7C4F" w:rsidRPr="007E0141" w:rsidRDefault="007E0141" w:rsidP="00870FCB">
      <w:pPr>
        <w:pStyle w:val="ListParagraph"/>
        <w:widowControl/>
        <w:numPr>
          <w:ilvl w:val="2"/>
          <w:numId w:val="30"/>
        </w:numPr>
        <w:autoSpaceDE/>
        <w:autoSpaceDN/>
        <w:ind w:left="709" w:hanging="709"/>
        <w:contextualSpacing/>
        <w:rPr>
          <w:rFonts w:eastAsia="Calibri"/>
          <w:sz w:val="24"/>
          <w:szCs w:val="24"/>
          <w:lang w:eastAsia="en-US" w:bidi="ar-SA"/>
        </w:rPr>
      </w:pPr>
      <w:r>
        <w:rPr>
          <w:rFonts w:eastAsia="Calibri"/>
          <w:sz w:val="24"/>
          <w:szCs w:val="24"/>
          <w:lang w:eastAsia="en-US" w:bidi="ar-SA"/>
        </w:rPr>
        <w:t>The ICB is</w:t>
      </w:r>
      <w:r w:rsidR="009D7C4F" w:rsidRPr="007E0141">
        <w:rPr>
          <w:rFonts w:eastAsia="Calibri"/>
          <w:sz w:val="24"/>
          <w:szCs w:val="24"/>
          <w:lang w:eastAsia="en-US" w:bidi="ar-SA"/>
        </w:rPr>
        <w:t xml:space="preserve"> only obliged to respond to representations if: </w:t>
      </w:r>
    </w:p>
    <w:p w14:paraId="0B93FEE3" w14:textId="77777777" w:rsidR="009D7C4F" w:rsidRPr="009D7C4F" w:rsidRDefault="009D7C4F" w:rsidP="00870FCB">
      <w:pPr>
        <w:widowControl/>
        <w:numPr>
          <w:ilvl w:val="0"/>
          <w:numId w:val="25"/>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The representation comes from a provider who might otherwise have been a provider of the services to which the contract relates, and</w:t>
      </w:r>
    </w:p>
    <w:p w14:paraId="47A606EF" w14:textId="57ED176A" w:rsidR="009D7C4F" w:rsidRPr="009D7C4F" w:rsidRDefault="009D7C4F" w:rsidP="00870FCB">
      <w:pPr>
        <w:widowControl/>
        <w:numPr>
          <w:ilvl w:val="0"/>
          <w:numId w:val="25"/>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provider is aggrieved by the decision of the </w:t>
      </w:r>
      <w:r w:rsidR="007E0141">
        <w:rPr>
          <w:rFonts w:eastAsia="Calibri"/>
          <w:sz w:val="24"/>
          <w:szCs w:val="24"/>
          <w:lang w:eastAsia="en-US" w:bidi="ar-SA"/>
        </w:rPr>
        <w:t>ICB</w:t>
      </w:r>
      <w:r w:rsidRPr="009D7C4F">
        <w:rPr>
          <w:rFonts w:eastAsia="Calibri"/>
          <w:sz w:val="24"/>
          <w:szCs w:val="24"/>
          <w:lang w:eastAsia="en-US" w:bidi="ar-SA"/>
        </w:rPr>
        <w:t>, and</w:t>
      </w:r>
    </w:p>
    <w:p w14:paraId="4764C8B4" w14:textId="44D71F4A" w:rsidR="009D7C4F" w:rsidRPr="009D7C4F" w:rsidRDefault="009D7C4F" w:rsidP="00870FCB">
      <w:pPr>
        <w:widowControl/>
        <w:numPr>
          <w:ilvl w:val="0"/>
          <w:numId w:val="25"/>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provider believes that the </w:t>
      </w:r>
      <w:r w:rsidR="007E0141">
        <w:rPr>
          <w:rFonts w:eastAsia="Calibri"/>
          <w:sz w:val="24"/>
          <w:szCs w:val="24"/>
          <w:lang w:eastAsia="en-US" w:bidi="ar-SA"/>
        </w:rPr>
        <w:t>ICB</w:t>
      </w:r>
      <w:r w:rsidRPr="009D7C4F">
        <w:rPr>
          <w:rFonts w:eastAsia="Calibri"/>
          <w:sz w:val="24"/>
          <w:szCs w:val="24"/>
          <w:lang w:eastAsia="en-US" w:bidi="ar-SA"/>
        </w:rPr>
        <w:t xml:space="preserve"> has failed to apply the Provider Selection Regime correctly and they are able to set out reasonable grounds to support their belief, and</w:t>
      </w:r>
    </w:p>
    <w:p w14:paraId="00747EFB" w14:textId="2B069CDF" w:rsidR="009D7C4F" w:rsidRPr="009D7C4F" w:rsidRDefault="009D7C4F" w:rsidP="00870FCB">
      <w:pPr>
        <w:widowControl/>
        <w:numPr>
          <w:ilvl w:val="0"/>
          <w:numId w:val="25"/>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representation is submitted in writing to the </w:t>
      </w:r>
      <w:r w:rsidR="007E0141">
        <w:rPr>
          <w:rFonts w:eastAsia="Calibri"/>
          <w:sz w:val="24"/>
          <w:szCs w:val="24"/>
          <w:lang w:eastAsia="en-US" w:bidi="ar-SA"/>
        </w:rPr>
        <w:t>ICB</w:t>
      </w:r>
      <w:r w:rsidRPr="009D7C4F">
        <w:rPr>
          <w:rFonts w:eastAsia="Calibri"/>
          <w:sz w:val="24"/>
          <w:szCs w:val="24"/>
          <w:lang w:eastAsia="en-US" w:bidi="ar-SA"/>
        </w:rPr>
        <w:t>.</w:t>
      </w:r>
    </w:p>
    <w:p w14:paraId="103811A4"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52098BBB" w14:textId="617B1331"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 xml:space="preserve">If a representation is received, then the </w:t>
      </w:r>
      <w:r w:rsidR="007E0141">
        <w:rPr>
          <w:rFonts w:eastAsia="Calibri"/>
          <w:sz w:val="24"/>
          <w:szCs w:val="24"/>
          <w:lang w:eastAsia="en-US" w:bidi="ar-SA"/>
        </w:rPr>
        <w:t>ICB</w:t>
      </w:r>
      <w:r w:rsidRPr="007E0141">
        <w:rPr>
          <w:rFonts w:eastAsia="Calibri"/>
          <w:sz w:val="24"/>
          <w:szCs w:val="24"/>
          <w:lang w:eastAsia="en-US" w:bidi="ar-SA"/>
        </w:rPr>
        <w:t xml:space="preserve">: </w:t>
      </w:r>
    </w:p>
    <w:p w14:paraId="53427164" w14:textId="6EB80BB9"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must ensure that the provider has been afforded the opportunity to explain or clarify their representation</w:t>
      </w:r>
      <w:r w:rsidR="002F759E">
        <w:rPr>
          <w:rFonts w:eastAsia="Calibri"/>
          <w:sz w:val="24"/>
          <w:szCs w:val="24"/>
          <w:lang w:eastAsia="en-US" w:bidi="ar-SA"/>
        </w:rPr>
        <w:t>,</w:t>
      </w:r>
    </w:p>
    <w:p w14:paraId="3704F36D" w14:textId="77777777"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is expected to provide an indicative timeframe for when the representation might be considered by,</w:t>
      </w:r>
    </w:p>
    <w:p w14:paraId="53FB7E3A" w14:textId="57847843"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must provide any information requested by the provider that the </w:t>
      </w:r>
      <w:r w:rsidR="001B1A35">
        <w:rPr>
          <w:rFonts w:eastAsia="Calibri"/>
          <w:sz w:val="24"/>
          <w:szCs w:val="24"/>
          <w:lang w:eastAsia="en-US" w:bidi="ar-SA"/>
        </w:rPr>
        <w:t>ICB</w:t>
      </w:r>
      <w:r w:rsidRPr="009D7C4F">
        <w:rPr>
          <w:rFonts w:eastAsia="Calibri"/>
          <w:sz w:val="24"/>
          <w:szCs w:val="24"/>
          <w:lang w:eastAsia="en-US" w:bidi="ar-SA"/>
        </w:rPr>
        <w:t xml:space="preserve"> is required to keep,</w:t>
      </w:r>
    </w:p>
    <w:p w14:paraId="72266AE8" w14:textId="77777777"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must consider the representation(s) made, and review evidence and information used to make the original decision, </w:t>
      </w:r>
    </w:p>
    <w:p w14:paraId="46E03F71" w14:textId="77777777"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must consider whether the representation has merit i.e., in identifying that process has not been correctly followed,</w:t>
      </w:r>
    </w:p>
    <w:p w14:paraId="23EEA0F4" w14:textId="77777777"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must decide whether to return to an earlier step, abandon the process, or award the contract as originally intended,</w:t>
      </w:r>
    </w:p>
    <w:p w14:paraId="14A16E62" w14:textId="77777777" w:rsidR="009D7C4F" w:rsidRPr="009D7C4F" w:rsidRDefault="009D7C4F" w:rsidP="00870FCB">
      <w:pPr>
        <w:widowControl/>
        <w:numPr>
          <w:ilvl w:val="0"/>
          <w:numId w:val="26"/>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must communicate the decision promptly to all interested parties and wait at least five working days before closing the standstill period.</w:t>
      </w:r>
    </w:p>
    <w:p w14:paraId="101472DB"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4D99E806" w14:textId="188DFE61" w:rsidR="000E0C55" w:rsidRDefault="000E0C55" w:rsidP="00870FCB">
      <w:pPr>
        <w:pStyle w:val="ListParagraph"/>
        <w:widowControl/>
        <w:numPr>
          <w:ilvl w:val="2"/>
          <w:numId w:val="30"/>
        </w:numPr>
        <w:autoSpaceDE/>
        <w:autoSpaceDN/>
        <w:ind w:left="709" w:hanging="709"/>
        <w:contextualSpacing/>
        <w:rPr>
          <w:rFonts w:eastAsia="Calibri"/>
          <w:sz w:val="24"/>
          <w:szCs w:val="24"/>
          <w:lang w:eastAsia="en-US" w:bidi="ar-SA"/>
        </w:rPr>
      </w:pPr>
      <w:r>
        <w:rPr>
          <w:rFonts w:eastAsia="Calibri"/>
          <w:sz w:val="24"/>
          <w:szCs w:val="24"/>
          <w:lang w:eastAsia="en-US" w:bidi="ar-SA"/>
        </w:rPr>
        <w:t>Representations received by the ICB will be considered by members of the Board who have not been involved in the contract award decision.</w:t>
      </w:r>
    </w:p>
    <w:p w14:paraId="206150D7" w14:textId="77777777" w:rsidR="000E0C55" w:rsidRDefault="000E0C55" w:rsidP="000E0C55">
      <w:pPr>
        <w:pStyle w:val="ListParagraph"/>
        <w:widowControl/>
        <w:autoSpaceDE/>
        <w:autoSpaceDN/>
        <w:ind w:left="709" w:firstLine="0"/>
        <w:contextualSpacing/>
        <w:rPr>
          <w:rFonts w:eastAsia="Calibri"/>
          <w:sz w:val="24"/>
          <w:szCs w:val="24"/>
          <w:lang w:eastAsia="en-US" w:bidi="ar-SA"/>
        </w:rPr>
      </w:pPr>
    </w:p>
    <w:p w14:paraId="7B86F972" w14:textId="73ACF758"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 xml:space="preserve">Throughout the standstill period, there should be ongoing communication between the </w:t>
      </w:r>
      <w:r w:rsidR="001B1A35">
        <w:rPr>
          <w:rFonts w:eastAsia="Calibri"/>
          <w:sz w:val="24"/>
          <w:szCs w:val="24"/>
          <w:lang w:eastAsia="en-US" w:bidi="ar-SA"/>
        </w:rPr>
        <w:t>ICB</w:t>
      </w:r>
      <w:r w:rsidRPr="007E0141">
        <w:rPr>
          <w:rFonts w:eastAsia="Calibri"/>
          <w:sz w:val="24"/>
          <w:szCs w:val="24"/>
          <w:lang w:eastAsia="en-US" w:bidi="ar-SA"/>
        </w:rPr>
        <w:t xml:space="preserve"> and provider about the representations that were made.  </w:t>
      </w:r>
    </w:p>
    <w:p w14:paraId="041C8BF8"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08E56E3B" w14:textId="7E1BF1B1" w:rsidR="009D7C4F" w:rsidRPr="001B1A35"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 xml:space="preserve">If the provider remains unsatisfied with the response of the </w:t>
      </w:r>
      <w:r w:rsidR="001B1A35">
        <w:rPr>
          <w:rFonts w:eastAsia="Calibri"/>
          <w:sz w:val="24"/>
          <w:szCs w:val="24"/>
          <w:lang w:eastAsia="en-US" w:bidi="ar-SA"/>
        </w:rPr>
        <w:t>ICB</w:t>
      </w:r>
      <w:r w:rsidRPr="007E0141">
        <w:rPr>
          <w:rFonts w:eastAsia="Calibri"/>
          <w:sz w:val="24"/>
          <w:szCs w:val="24"/>
          <w:lang w:eastAsia="en-US" w:bidi="ar-SA"/>
        </w:rPr>
        <w:t xml:space="preserve"> to its representation and remains of the view that the Provider Selection Regime has not been applied correctly, the provider may submit a representation to the </w:t>
      </w:r>
      <w:r w:rsidR="002F759E">
        <w:rPr>
          <w:rFonts w:eastAsia="Calibri"/>
          <w:sz w:val="24"/>
          <w:szCs w:val="24"/>
          <w:lang w:eastAsia="en-US" w:bidi="ar-SA"/>
        </w:rPr>
        <w:t>Independent Procurement and Patient Choice</w:t>
      </w:r>
      <w:r w:rsidRPr="007E0141">
        <w:rPr>
          <w:rFonts w:eastAsia="Calibri"/>
          <w:sz w:val="24"/>
          <w:szCs w:val="24"/>
          <w:lang w:eastAsia="en-US" w:bidi="ar-SA"/>
        </w:rPr>
        <w:t xml:space="preserve"> Review Panel.</w:t>
      </w:r>
      <w:r w:rsidR="001B1A35">
        <w:rPr>
          <w:rFonts w:eastAsia="Calibri"/>
          <w:sz w:val="24"/>
          <w:szCs w:val="24"/>
          <w:lang w:eastAsia="en-US" w:bidi="ar-SA"/>
        </w:rPr>
        <w:t xml:space="preserve"> </w:t>
      </w:r>
      <w:r w:rsidR="002F759E">
        <w:rPr>
          <w:rFonts w:eastAsia="Calibri"/>
          <w:sz w:val="24"/>
          <w:szCs w:val="24"/>
          <w:lang w:eastAsia="en-US" w:bidi="ar-SA"/>
        </w:rPr>
        <w:t>The Panel</w:t>
      </w:r>
      <w:r w:rsidRPr="001B1A35">
        <w:rPr>
          <w:rFonts w:eastAsia="Calibri"/>
          <w:sz w:val="24"/>
          <w:szCs w:val="24"/>
          <w:lang w:eastAsia="en-US" w:bidi="ar-SA"/>
        </w:rPr>
        <w:t xml:space="preserve"> will review representations made by a provider and will share their advice with the </w:t>
      </w:r>
      <w:r w:rsidR="001B1A35">
        <w:rPr>
          <w:rFonts w:eastAsia="Calibri"/>
          <w:sz w:val="24"/>
          <w:szCs w:val="24"/>
          <w:lang w:eastAsia="en-US" w:bidi="ar-SA"/>
        </w:rPr>
        <w:t>ICB</w:t>
      </w:r>
      <w:r w:rsidRPr="001B1A35">
        <w:rPr>
          <w:rFonts w:eastAsia="Calibri"/>
          <w:sz w:val="24"/>
          <w:szCs w:val="24"/>
          <w:lang w:eastAsia="en-US" w:bidi="ar-SA"/>
        </w:rPr>
        <w:t xml:space="preserve"> about whether the Provider Selection Regime </w:t>
      </w:r>
      <w:r w:rsidR="001B1A35">
        <w:rPr>
          <w:rFonts w:eastAsia="Calibri"/>
          <w:sz w:val="24"/>
          <w:szCs w:val="24"/>
          <w:lang w:eastAsia="en-US" w:bidi="ar-SA"/>
        </w:rPr>
        <w:t xml:space="preserve">has been applied </w:t>
      </w:r>
      <w:r w:rsidRPr="001B1A35">
        <w:rPr>
          <w:rFonts w:eastAsia="Calibri"/>
          <w:sz w:val="24"/>
          <w:szCs w:val="24"/>
          <w:lang w:eastAsia="en-US" w:bidi="ar-SA"/>
        </w:rPr>
        <w:t>correctly.</w:t>
      </w:r>
    </w:p>
    <w:p w14:paraId="64C28088"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14C9DCF7" w14:textId="56FEDF30" w:rsidR="009D7C4F" w:rsidRPr="007E0141" w:rsidRDefault="009D7C4F" w:rsidP="00870FCB">
      <w:pPr>
        <w:pStyle w:val="ListParagraph"/>
        <w:widowControl/>
        <w:numPr>
          <w:ilvl w:val="2"/>
          <w:numId w:val="30"/>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The standstill period should not be closed (unless in exceptional circumstances), and the contract awarded, until the panel has concluded their review.</w:t>
      </w:r>
    </w:p>
    <w:p w14:paraId="6D791713" w14:textId="77777777" w:rsidR="009D7C4F" w:rsidRPr="00617798" w:rsidRDefault="009D7C4F" w:rsidP="002F759E">
      <w:pPr>
        <w:widowControl/>
        <w:autoSpaceDE/>
        <w:autoSpaceDN/>
        <w:contextualSpacing/>
        <w:rPr>
          <w:rFonts w:eastAsia="Calibri"/>
          <w:sz w:val="24"/>
          <w:szCs w:val="24"/>
          <w:lang w:eastAsia="en-US" w:bidi="ar-SA"/>
        </w:rPr>
      </w:pPr>
    </w:p>
    <w:p w14:paraId="71E126C6" w14:textId="77777777" w:rsidR="009D7C4F" w:rsidRPr="009D7C4F" w:rsidRDefault="009D7C4F" w:rsidP="007E0141">
      <w:pPr>
        <w:widowControl/>
        <w:autoSpaceDE/>
        <w:autoSpaceDN/>
        <w:ind w:left="567"/>
        <w:contextualSpacing/>
        <w:rPr>
          <w:rFonts w:eastAsia="Calibri"/>
          <w:b/>
          <w:bCs/>
          <w:sz w:val="24"/>
          <w:szCs w:val="24"/>
          <w:lang w:eastAsia="en-US" w:bidi="ar-SA"/>
        </w:rPr>
      </w:pPr>
    </w:p>
    <w:p w14:paraId="65995BDC" w14:textId="6957509D" w:rsidR="009D7C4F" w:rsidRPr="007E0141" w:rsidRDefault="00E3276D" w:rsidP="00870FCB">
      <w:pPr>
        <w:pStyle w:val="ListParagraph"/>
        <w:widowControl/>
        <w:numPr>
          <w:ilvl w:val="1"/>
          <w:numId w:val="30"/>
        </w:numPr>
        <w:autoSpaceDE/>
        <w:autoSpaceDN/>
        <w:ind w:left="709" w:hanging="709"/>
        <w:contextualSpacing/>
        <w:rPr>
          <w:rFonts w:eastAsia="Calibri"/>
          <w:b/>
          <w:bCs/>
          <w:color w:val="FF0000"/>
          <w:sz w:val="24"/>
          <w:szCs w:val="24"/>
          <w:lang w:eastAsia="en-US" w:bidi="ar-SA"/>
        </w:rPr>
      </w:pPr>
      <w:r>
        <w:rPr>
          <w:rFonts w:eastAsia="Calibri"/>
          <w:b/>
          <w:bCs/>
          <w:sz w:val="24"/>
          <w:szCs w:val="24"/>
          <w:lang w:eastAsia="en-US" w:bidi="ar-SA"/>
        </w:rPr>
        <w:t xml:space="preserve">Reporting and Monitoring of Compliance </w:t>
      </w:r>
    </w:p>
    <w:p w14:paraId="4765F059" w14:textId="77777777" w:rsidR="009D7C4F" w:rsidRPr="009D7C4F" w:rsidRDefault="009D7C4F" w:rsidP="007E0141">
      <w:pPr>
        <w:widowControl/>
        <w:autoSpaceDE/>
        <w:autoSpaceDN/>
        <w:ind w:left="567"/>
        <w:contextualSpacing/>
        <w:rPr>
          <w:rFonts w:eastAsia="Calibri"/>
          <w:b/>
          <w:bCs/>
          <w:color w:val="FF0000"/>
          <w:sz w:val="24"/>
          <w:szCs w:val="24"/>
          <w:lang w:eastAsia="en-US" w:bidi="ar-SA"/>
        </w:rPr>
      </w:pPr>
    </w:p>
    <w:p w14:paraId="2CC24F9D" w14:textId="7F9011E0" w:rsidR="009D7C4F" w:rsidRPr="007E0141" w:rsidRDefault="007E0141" w:rsidP="00870FCB">
      <w:pPr>
        <w:pStyle w:val="ListParagraph"/>
        <w:widowControl/>
        <w:numPr>
          <w:ilvl w:val="2"/>
          <w:numId w:val="31"/>
        </w:numPr>
        <w:autoSpaceDE/>
        <w:autoSpaceDN/>
        <w:ind w:left="709" w:hanging="709"/>
        <w:contextualSpacing/>
        <w:rPr>
          <w:rFonts w:eastAsia="Calibri"/>
          <w:sz w:val="24"/>
          <w:szCs w:val="24"/>
          <w:lang w:eastAsia="en-US" w:bidi="ar-SA"/>
        </w:rPr>
      </w:pPr>
      <w:r>
        <w:rPr>
          <w:rFonts w:eastAsia="Calibri"/>
          <w:sz w:val="24"/>
          <w:szCs w:val="24"/>
          <w:lang w:eastAsia="en-US" w:bidi="ar-SA"/>
        </w:rPr>
        <w:t>The ICB</w:t>
      </w:r>
      <w:r w:rsidR="009D7C4F" w:rsidRPr="007E0141">
        <w:rPr>
          <w:rFonts w:eastAsia="Calibri"/>
          <w:sz w:val="24"/>
          <w:szCs w:val="24"/>
          <w:lang w:eastAsia="en-US" w:bidi="ar-SA"/>
        </w:rPr>
        <w:t xml:space="preserve"> must publish online, on a publicly available website accessible free of charge, an annual summary of its contracting activity for the provision of relevant health care services.</w:t>
      </w:r>
    </w:p>
    <w:p w14:paraId="3575063D"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657D2195" w14:textId="60C6A68D" w:rsidR="009D7C4F" w:rsidRPr="007E0141" w:rsidRDefault="009D7C4F" w:rsidP="00870FCB">
      <w:pPr>
        <w:pStyle w:val="ListParagraph"/>
        <w:widowControl/>
        <w:numPr>
          <w:ilvl w:val="2"/>
          <w:numId w:val="31"/>
        </w:numPr>
        <w:autoSpaceDE/>
        <w:autoSpaceDN/>
        <w:ind w:left="709" w:hanging="709"/>
        <w:contextualSpacing/>
        <w:rPr>
          <w:rFonts w:eastAsia="Calibri"/>
          <w:sz w:val="24"/>
          <w:szCs w:val="24"/>
          <w:lang w:eastAsia="en-US" w:bidi="ar-SA"/>
        </w:rPr>
      </w:pPr>
      <w:r w:rsidRPr="007E0141">
        <w:rPr>
          <w:rFonts w:eastAsia="Calibri"/>
          <w:sz w:val="24"/>
          <w:szCs w:val="24"/>
          <w:lang w:eastAsia="en-US" w:bidi="ar-SA"/>
        </w:rPr>
        <w:t>The annual summary must include:</w:t>
      </w:r>
    </w:p>
    <w:p w14:paraId="0C7E3FA7"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contracts awarded in the year to which the summary relates where Direct Award Process A, Direct Award Process B or Direct Award Process C was </w:t>
      </w:r>
      <w:proofErr w:type="gramStart"/>
      <w:r w:rsidRPr="009D7C4F">
        <w:rPr>
          <w:rFonts w:eastAsia="Calibri"/>
          <w:sz w:val="24"/>
          <w:szCs w:val="24"/>
          <w:lang w:eastAsia="en-US" w:bidi="ar-SA"/>
        </w:rPr>
        <w:t>followed;</w:t>
      </w:r>
      <w:proofErr w:type="gramEnd"/>
    </w:p>
    <w:p w14:paraId="625C9A12"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contracts awarded in the year to which the summary relates where the Most Suitable Provider Process was </w:t>
      </w:r>
      <w:proofErr w:type="gramStart"/>
      <w:r w:rsidRPr="009D7C4F">
        <w:rPr>
          <w:rFonts w:eastAsia="Calibri"/>
          <w:sz w:val="24"/>
          <w:szCs w:val="24"/>
          <w:lang w:eastAsia="en-US" w:bidi="ar-SA"/>
        </w:rPr>
        <w:t>followed;</w:t>
      </w:r>
      <w:proofErr w:type="gramEnd"/>
    </w:p>
    <w:p w14:paraId="158F8B6B"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contracts awarded in the year to which the summary relates where the Competitive Process was </w:t>
      </w:r>
      <w:proofErr w:type="gramStart"/>
      <w:r w:rsidRPr="009D7C4F">
        <w:rPr>
          <w:rFonts w:eastAsia="Calibri"/>
          <w:sz w:val="24"/>
          <w:szCs w:val="24"/>
          <w:lang w:eastAsia="en-US" w:bidi="ar-SA"/>
        </w:rPr>
        <w:t>followed;</w:t>
      </w:r>
      <w:proofErr w:type="gramEnd"/>
    </w:p>
    <w:p w14:paraId="3EE44A68"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framework agreements concluded in the year to which the summary </w:t>
      </w:r>
      <w:proofErr w:type="gramStart"/>
      <w:r w:rsidRPr="009D7C4F">
        <w:rPr>
          <w:rFonts w:eastAsia="Calibri"/>
          <w:sz w:val="24"/>
          <w:szCs w:val="24"/>
          <w:lang w:eastAsia="en-US" w:bidi="ar-SA"/>
        </w:rPr>
        <w:t>relates;</w:t>
      </w:r>
      <w:proofErr w:type="gramEnd"/>
    </w:p>
    <w:p w14:paraId="57075D02"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contracts awarded based on a framework agreement in the year to which the summary </w:t>
      </w:r>
      <w:proofErr w:type="gramStart"/>
      <w:r w:rsidRPr="009D7C4F">
        <w:rPr>
          <w:rFonts w:eastAsia="Calibri"/>
          <w:sz w:val="24"/>
          <w:szCs w:val="24"/>
          <w:lang w:eastAsia="en-US" w:bidi="ar-SA"/>
        </w:rPr>
        <w:t>relates;</w:t>
      </w:r>
      <w:proofErr w:type="gramEnd"/>
    </w:p>
    <w:p w14:paraId="5087FEC6"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contracts </w:t>
      </w:r>
      <w:proofErr w:type="gramStart"/>
      <w:r w:rsidRPr="009D7C4F">
        <w:rPr>
          <w:rFonts w:eastAsia="Calibri"/>
          <w:sz w:val="24"/>
          <w:szCs w:val="24"/>
          <w:lang w:eastAsia="en-US" w:bidi="ar-SA"/>
        </w:rPr>
        <w:t>awarded</w:t>
      </w:r>
      <w:proofErr w:type="gramEnd"/>
      <w:r w:rsidRPr="009D7C4F">
        <w:rPr>
          <w:rFonts w:eastAsia="Calibri"/>
          <w:sz w:val="24"/>
          <w:szCs w:val="24"/>
          <w:lang w:eastAsia="en-US" w:bidi="ar-SA"/>
        </w:rPr>
        <w:t xml:space="preserve"> and modifications made in reliance on regulation 14 (urgent award or modification) in the year to which the summary relates;</w:t>
      </w:r>
    </w:p>
    <w:p w14:paraId="0C45E519"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new providers to whom a contract was awarded in the year to which the summary </w:t>
      </w:r>
      <w:proofErr w:type="gramStart"/>
      <w:r w:rsidRPr="009D7C4F">
        <w:rPr>
          <w:rFonts w:eastAsia="Calibri"/>
          <w:sz w:val="24"/>
          <w:szCs w:val="24"/>
          <w:lang w:eastAsia="en-US" w:bidi="ar-SA"/>
        </w:rPr>
        <w:t>relates;</w:t>
      </w:r>
      <w:proofErr w:type="gramEnd"/>
    </w:p>
    <w:p w14:paraId="7072AA86"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 xml:space="preserve">the number of providers who held a contract in the previous year but no longer hold any contracts in the year to which the summary </w:t>
      </w:r>
      <w:proofErr w:type="gramStart"/>
      <w:r w:rsidRPr="009D7C4F">
        <w:rPr>
          <w:rFonts w:eastAsia="Calibri"/>
          <w:sz w:val="24"/>
          <w:szCs w:val="24"/>
          <w:lang w:eastAsia="en-US" w:bidi="ar-SA"/>
        </w:rPr>
        <w:t>relates;</w:t>
      </w:r>
      <w:proofErr w:type="gramEnd"/>
    </w:p>
    <w:p w14:paraId="7A04CA97" w14:textId="77777777" w:rsidR="009D7C4F" w:rsidRPr="009D7C4F" w:rsidRDefault="009D7C4F" w:rsidP="00870FCB">
      <w:pPr>
        <w:widowControl/>
        <w:numPr>
          <w:ilvl w:val="0"/>
          <w:numId w:val="27"/>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the number of written representations and received during standstill periods which ended in the year to which the summary relates and a summary of the nature and impact of those representations.</w:t>
      </w:r>
    </w:p>
    <w:p w14:paraId="24DD030F" w14:textId="77777777" w:rsidR="009D7C4F" w:rsidRPr="009D7C4F" w:rsidRDefault="009D7C4F" w:rsidP="00E3276D">
      <w:pPr>
        <w:widowControl/>
        <w:autoSpaceDE/>
        <w:autoSpaceDN/>
        <w:ind w:left="709" w:hanging="709"/>
        <w:contextualSpacing/>
        <w:rPr>
          <w:rFonts w:eastAsia="Calibri"/>
          <w:sz w:val="24"/>
          <w:szCs w:val="24"/>
          <w:lang w:eastAsia="en-US" w:bidi="ar-SA"/>
        </w:rPr>
      </w:pPr>
    </w:p>
    <w:p w14:paraId="4DCB2832" w14:textId="68B19C28" w:rsidR="009D7C4F" w:rsidRPr="007E0141" w:rsidRDefault="007E0141" w:rsidP="00870FCB">
      <w:pPr>
        <w:pStyle w:val="ListParagraph"/>
        <w:widowControl/>
        <w:numPr>
          <w:ilvl w:val="2"/>
          <w:numId w:val="31"/>
        </w:numPr>
        <w:autoSpaceDE/>
        <w:autoSpaceDN/>
        <w:ind w:left="709" w:hanging="709"/>
        <w:contextualSpacing/>
        <w:rPr>
          <w:rFonts w:eastAsia="Calibri"/>
          <w:sz w:val="24"/>
          <w:szCs w:val="24"/>
          <w:lang w:eastAsia="en-US" w:bidi="ar-SA"/>
        </w:rPr>
      </w:pPr>
      <w:r>
        <w:rPr>
          <w:rFonts w:eastAsia="Calibri"/>
          <w:sz w:val="24"/>
          <w:szCs w:val="24"/>
          <w:lang w:eastAsia="en-US" w:bidi="ar-SA"/>
        </w:rPr>
        <w:t>The ICB</w:t>
      </w:r>
      <w:r w:rsidR="009D7C4F" w:rsidRPr="007E0141">
        <w:rPr>
          <w:rFonts w:eastAsia="Calibri"/>
          <w:sz w:val="24"/>
          <w:szCs w:val="24"/>
          <w:lang w:eastAsia="en-US" w:bidi="ar-SA"/>
        </w:rPr>
        <w:t xml:space="preserve"> must:</w:t>
      </w:r>
    </w:p>
    <w:p w14:paraId="05D1E687" w14:textId="77777777" w:rsidR="009D7C4F" w:rsidRPr="009D7C4F" w:rsidRDefault="009D7C4F" w:rsidP="00870FCB">
      <w:pPr>
        <w:widowControl/>
        <w:numPr>
          <w:ilvl w:val="0"/>
          <w:numId w:val="28"/>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monitor its compliance with these Regulations, and</w:t>
      </w:r>
    </w:p>
    <w:p w14:paraId="60856CC8" w14:textId="77777777" w:rsidR="009D7C4F" w:rsidRPr="009D7C4F" w:rsidRDefault="009D7C4F" w:rsidP="00870FCB">
      <w:pPr>
        <w:widowControl/>
        <w:numPr>
          <w:ilvl w:val="0"/>
          <w:numId w:val="28"/>
        </w:numPr>
        <w:autoSpaceDE/>
        <w:autoSpaceDN/>
        <w:ind w:left="1134" w:hanging="283"/>
        <w:contextualSpacing/>
        <w:rPr>
          <w:rFonts w:eastAsia="Calibri"/>
          <w:sz w:val="24"/>
          <w:szCs w:val="24"/>
          <w:lang w:eastAsia="en-US" w:bidi="ar-SA"/>
        </w:rPr>
      </w:pPr>
      <w:r w:rsidRPr="009D7C4F">
        <w:rPr>
          <w:rFonts w:eastAsia="Calibri"/>
          <w:sz w:val="24"/>
          <w:szCs w:val="24"/>
          <w:lang w:eastAsia="en-US" w:bidi="ar-SA"/>
        </w:rPr>
        <w:t>publish online, on a publicly available website accessible free of charge, an annual report of the results of that monitoring including information as to how any non-compliance will be addressed.</w:t>
      </w:r>
    </w:p>
    <w:p w14:paraId="79AB2725" w14:textId="77777777" w:rsidR="009D7C4F" w:rsidRDefault="009D7C4F" w:rsidP="00E3276D">
      <w:pPr>
        <w:widowControl/>
        <w:autoSpaceDE/>
        <w:autoSpaceDN/>
        <w:ind w:left="1287"/>
        <w:contextualSpacing/>
        <w:rPr>
          <w:rFonts w:eastAsia="Calibri"/>
          <w:sz w:val="24"/>
          <w:szCs w:val="24"/>
          <w:lang w:eastAsia="en-US" w:bidi="ar-SA"/>
        </w:rPr>
      </w:pPr>
    </w:p>
    <w:p w14:paraId="1BB6FED1" w14:textId="77777777" w:rsidR="000E0C55" w:rsidRDefault="000E0C55" w:rsidP="00E3276D">
      <w:pPr>
        <w:widowControl/>
        <w:autoSpaceDE/>
        <w:autoSpaceDN/>
        <w:ind w:left="1287"/>
        <w:contextualSpacing/>
        <w:rPr>
          <w:rFonts w:eastAsia="Calibri"/>
          <w:sz w:val="24"/>
          <w:szCs w:val="24"/>
          <w:lang w:eastAsia="en-US" w:bidi="ar-SA"/>
        </w:rPr>
      </w:pPr>
    </w:p>
    <w:p w14:paraId="6538CFFB" w14:textId="77777777" w:rsidR="000E0C55" w:rsidRPr="009D7C4F" w:rsidRDefault="000E0C55" w:rsidP="00E3276D">
      <w:pPr>
        <w:widowControl/>
        <w:autoSpaceDE/>
        <w:autoSpaceDN/>
        <w:ind w:left="1287"/>
        <w:contextualSpacing/>
        <w:rPr>
          <w:rFonts w:eastAsia="Calibri"/>
          <w:sz w:val="24"/>
          <w:szCs w:val="24"/>
          <w:lang w:eastAsia="en-US" w:bidi="ar-SA"/>
        </w:rPr>
      </w:pPr>
    </w:p>
    <w:p w14:paraId="1D31A7BF" w14:textId="77777777" w:rsidR="00A55E0D" w:rsidRDefault="00A55E0D">
      <w:pPr>
        <w:rPr>
          <w:b/>
          <w:bCs/>
          <w:sz w:val="24"/>
          <w:szCs w:val="24"/>
        </w:rPr>
      </w:pPr>
      <w:r>
        <w:br w:type="page"/>
      </w:r>
    </w:p>
    <w:p w14:paraId="0F8B1D88" w14:textId="4B9AC8E3" w:rsidR="004C1619" w:rsidRPr="005D43AD" w:rsidRDefault="005D43AD" w:rsidP="00951CAA">
      <w:pPr>
        <w:pStyle w:val="Heading1"/>
        <w:numPr>
          <w:ilvl w:val="0"/>
          <w:numId w:val="48"/>
        </w:numPr>
        <w:ind w:left="709" w:hanging="709"/>
        <w:jc w:val="left"/>
      </w:pPr>
      <w:bookmarkStart w:id="15" w:name="_Toc190529411"/>
      <w:r w:rsidRPr="005D43AD">
        <w:t>Procurements</w:t>
      </w:r>
      <w:r w:rsidR="009A145F">
        <w:t xml:space="preserve"> of </w:t>
      </w:r>
      <w:proofErr w:type="gramStart"/>
      <w:r w:rsidR="009A145F">
        <w:t>Non Healthcare</w:t>
      </w:r>
      <w:proofErr w:type="gramEnd"/>
      <w:r w:rsidR="009A145F">
        <w:t xml:space="preserve"> Services</w:t>
      </w:r>
      <w:bookmarkEnd w:id="15"/>
    </w:p>
    <w:p w14:paraId="5AC18792" w14:textId="77777777" w:rsidR="005D43AD" w:rsidRPr="005D43AD" w:rsidRDefault="005D43AD" w:rsidP="005D43AD">
      <w:pPr>
        <w:pStyle w:val="ListParagraph"/>
        <w:widowControl/>
        <w:autoSpaceDE/>
        <w:autoSpaceDN/>
        <w:ind w:left="709" w:firstLine="0"/>
        <w:rPr>
          <w:rFonts w:eastAsia="Times New Roman"/>
          <w:sz w:val="24"/>
          <w:szCs w:val="24"/>
          <w:lang w:bidi="ar-SA"/>
        </w:rPr>
      </w:pPr>
    </w:p>
    <w:p w14:paraId="45F9E6B7" w14:textId="4B936B6E" w:rsidR="00BF4355" w:rsidRDefault="003A5018" w:rsidP="003376A5">
      <w:pPr>
        <w:widowControl/>
        <w:autoSpaceDE/>
        <w:autoSpaceDN/>
        <w:ind w:left="720"/>
        <w:rPr>
          <w:rFonts w:eastAsia="Times New Roman"/>
          <w:sz w:val="24"/>
          <w:szCs w:val="24"/>
          <w:lang w:bidi="ar-SA"/>
        </w:rPr>
      </w:pPr>
      <w:r>
        <w:rPr>
          <w:rFonts w:eastAsia="Times New Roman"/>
          <w:sz w:val="24"/>
          <w:szCs w:val="24"/>
          <w:lang w:bidi="ar-SA"/>
        </w:rPr>
        <w:t>Where services or goods are required by</w:t>
      </w:r>
      <w:r w:rsidR="00586739" w:rsidRPr="00586739">
        <w:rPr>
          <w:bCs/>
          <w:sz w:val="24"/>
          <w:szCs w:val="24"/>
        </w:rPr>
        <w:t xml:space="preserve"> NHS Humber and North Yorkshire </w:t>
      </w:r>
      <w:r w:rsidR="00F64180">
        <w:rPr>
          <w:rFonts w:eastAsia="Times New Roman"/>
          <w:sz w:val="24"/>
          <w:szCs w:val="24"/>
          <w:lang w:bidi="ar-SA"/>
        </w:rPr>
        <w:t>ICB</w:t>
      </w:r>
      <w:r w:rsidR="000326CC">
        <w:rPr>
          <w:rFonts w:eastAsia="Times New Roman"/>
          <w:sz w:val="24"/>
          <w:szCs w:val="24"/>
          <w:lang w:bidi="ar-SA"/>
        </w:rPr>
        <w:t xml:space="preserve"> that are outside the scope of the Provider Selection Regime</w:t>
      </w:r>
      <w:r>
        <w:rPr>
          <w:rFonts w:eastAsia="Times New Roman"/>
          <w:sz w:val="24"/>
          <w:szCs w:val="24"/>
          <w:lang w:bidi="ar-SA"/>
        </w:rPr>
        <w:t xml:space="preserve">, </w:t>
      </w:r>
      <w:r w:rsidR="009A145F">
        <w:rPr>
          <w:rFonts w:eastAsia="Times New Roman"/>
          <w:sz w:val="24"/>
          <w:szCs w:val="24"/>
          <w:lang w:bidi="ar-SA"/>
        </w:rPr>
        <w:t>they fall within the scope of the Procurement Act 2023 and the Procurement Regulations 2024.</w:t>
      </w:r>
    </w:p>
    <w:p w14:paraId="3C5BE667" w14:textId="77777777" w:rsidR="009A145F" w:rsidRDefault="009A145F" w:rsidP="003376A5">
      <w:pPr>
        <w:widowControl/>
        <w:autoSpaceDE/>
        <w:autoSpaceDN/>
        <w:ind w:left="720"/>
        <w:rPr>
          <w:rFonts w:eastAsia="Times New Roman"/>
          <w:sz w:val="24"/>
          <w:szCs w:val="24"/>
          <w:lang w:bidi="ar-SA"/>
        </w:rPr>
      </w:pPr>
    </w:p>
    <w:p w14:paraId="5B83C304" w14:textId="5696B47C" w:rsidR="009A145F" w:rsidRPr="00EF1964" w:rsidRDefault="009A145F" w:rsidP="003376A5">
      <w:pPr>
        <w:widowControl/>
        <w:autoSpaceDE/>
        <w:autoSpaceDN/>
        <w:ind w:left="720"/>
        <w:rPr>
          <w:rFonts w:eastAsia="Times New Roman"/>
          <w:b/>
          <w:bCs/>
          <w:i/>
          <w:iCs/>
          <w:sz w:val="24"/>
          <w:szCs w:val="24"/>
          <w:lang w:bidi="ar-SA"/>
        </w:rPr>
      </w:pPr>
      <w:r w:rsidRPr="00EF1964">
        <w:rPr>
          <w:rFonts w:eastAsia="Times New Roman"/>
          <w:b/>
          <w:bCs/>
          <w:i/>
          <w:iCs/>
          <w:sz w:val="24"/>
          <w:szCs w:val="24"/>
          <w:lang w:bidi="ar-SA"/>
        </w:rPr>
        <w:t>Note that all financial thresholds referred to in this Procurement Policy relate to the full, lifetime value of the contract including VAT if applicable and regardless of whether the VAT may be reclaimable by the ICB.</w:t>
      </w:r>
    </w:p>
    <w:p w14:paraId="7E98EB9A" w14:textId="678478F7" w:rsidR="009A145F" w:rsidRDefault="009A145F" w:rsidP="009A145F">
      <w:pPr>
        <w:widowControl/>
        <w:autoSpaceDE/>
        <w:autoSpaceDN/>
        <w:rPr>
          <w:rFonts w:eastAsia="Times New Roman"/>
          <w:sz w:val="24"/>
          <w:szCs w:val="24"/>
          <w:lang w:bidi="ar-SA"/>
        </w:rPr>
      </w:pPr>
    </w:p>
    <w:p w14:paraId="5216FF6E" w14:textId="57520011" w:rsidR="008C2215" w:rsidRDefault="008C2215" w:rsidP="009A145F">
      <w:pPr>
        <w:widowControl/>
        <w:autoSpaceDE/>
        <w:autoSpaceDN/>
        <w:rPr>
          <w:rFonts w:eastAsia="Times New Roman"/>
          <w:sz w:val="24"/>
          <w:szCs w:val="24"/>
          <w:lang w:bidi="ar-SA"/>
        </w:rPr>
      </w:pPr>
      <w:r>
        <w:rPr>
          <w:rFonts w:eastAsia="Times New Roman"/>
          <w:sz w:val="24"/>
          <w:szCs w:val="24"/>
          <w:lang w:bidi="ar-SA"/>
        </w:rPr>
        <w:tab/>
        <w:t xml:space="preserve">The current threshold for the ICB to issue a tender is </w:t>
      </w:r>
      <w:r w:rsidRPr="00EF1964">
        <w:rPr>
          <w:rFonts w:eastAsia="Times New Roman"/>
          <w:b/>
          <w:bCs/>
          <w:sz w:val="24"/>
          <w:szCs w:val="24"/>
          <w:lang w:bidi="ar-SA"/>
        </w:rPr>
        <w:t>£214,904</w:t>
      </w:r>
      <w:r>
        <w:rPr>
          <w:rFonts w:eastAsia="Times New Roman"/>
          <w:sz w:val="24"/>
          <w:szCs w:val="24"/>
          <w:lang w:bidi="ar-SA"/>
        </w:rPr>
        <w:t>.</w:t>
      </w:r>
    </w:p>
    <w:p w14:paraId="257F2B2A" w14:textId="77777777" w:rsidR="009659CC" w:rsidRDefault="009659CC" w:rsidP="009A145F">
      <w:pPr>
        <w:widowControl/>
        <w:autoSpaceDE/>
        <w:autoSpaceDN/>
        <w:rPr>
          <w:rFonts w:eastAsia="Times New Roman"/>
          <w:sz w:val="24"/>
          <w:szCs w:val="24"/>
          <w:lang w:bidi="ar-SA"/>
        </w:rPr>
      </w:pPr>
    </w:p>
    <w:p w14:paraId="2EB9602C" w14:textId="4675CD15" w:rsidR="009659CC" w:rsidRDefault="009659CC" w:rsidP="009659CC">
      <w:pPr>
        <w:widowControl/>
        <w:autoSpaceDE/>
        <w:autoSpaceDN/>
        <w:ind w:left="709" w:hanging="709"/>
        <w:rPr>
          <w:rFonts w:eastAsia="Times New Roman"/>
          <w:sz w:val="24"/>
          <w:szCs w:val="24"/>
          <w:lang w:bidi="ar-SA"/>
        </w:rPr>
      </w:pPr>
      <w:r>
        <w:rPr>
          <w:rFonts w:eastAsia="Times New Roman"/>
          <w:sz w:val="24"/>
          <w:szCs w:val="24"/>
          <w:lang w:bidi="ar-SA"/>
        </w:rPr>
        <w:tab/>
        <w:t>A Central Digital Platform has been developed for suppliers to register their interest in public procurements and for contracting authorities such as the ICB to publish their tenders.</w:t>
      </w:r>
    </w:p>
    <w:p w14:paraId="635A7DCD" w14:textId="77777777" w:rsidR="002234B3" w:rsidRDefault="002234B3" w:rsidP="009659CC">
      <w:pPr>
        <w:widowControl/>
        <w:autoSpaceDE/>
        <w:autoSpaceDN/>
        <w:ind w:left="709" w:hanging="709"/>
        <w:rPr>
          <w:rFonts w:eastAsia="Times New Roman"/>
          <w:sz w:val="24"/>
          <w:szCs w:val="24"/>
          <w:lang w:bidi="ar-SA"/>
        </w:rPr>
      </w:pPr>
    </w:p>
    <w:p w14:paraId="07FEBA6F" w14:textId="04326126" w:rsidR="002234B3" w:rsidRDefault="002234B3" w:rsidP="009659CC">
      <w:pPr>
        <w:widowControl/>
        <w:autoSpaceDE/>
        <w:autoSpaceDN/>
        <w:ind w:left="709" w:hanging="709"/>
        <w:rPr>
          <w:rFonts w:eastAsia="Times New Roman"/>
          <w:sz w:val="24"/>
          <w:szCs w:val="24"/>
          <w:lang w:bidi="ar-SA"/>
        </w:rPr>
      </w:pPr>
      <w:r>
        <w:rPr>
          <w:rFonts w:eastAsia="Times New Roman"/>
          <w:sz w:val="24"/>
          <w:szCs w:val="24"/>
          <w:lang w:bidi="ar-SA"/>
        </w:rPr>
        <w:tab/>
        <w:t xml:space="preserve">The Procurement Act 2023 includes definitions of Excluded and Excludable </w:t>
      </w:r>
      <w:proofErr w:type="gramStart"/>
      <w:r>
        <w:rPr>
          <w:rFonts w:eastAsia="Times New Roman"/>
          <w:sz w:val="24"/>
          <w:szCs w:val="24"/>
          <w:lang w:bidi="ar-SA"/>
        </w:rPr>
        <w:t>suppliers</w:t>
      </w:r>
      <w:proofErr w:type="gramEnd"/>
      <w:r>
        <w:rPr>
          <w:rFonts w:eastAsia="Times New Roman"/>
          <w:sz w:val="24"/>
          <w:szCs w:val="24"/>
          <w:lang w:bidi="ar-SA"/>
        </w:rPr>
        <w:t xml:space="preserve"> and a Debarment List will be in force which the ICB will need to make reference during its procurements.</w:t>
      </w:r>
    </w:p>
    <w:p w14:paraId="0B38A0C8" w14:textId="77777777" w:rsidR="008C2215" w:rsidRDefault="008C2215" w:rsidP="009A145F">
      <w:pPr>
        <w:widowControl/>
        <w:autoSpaceDE/>
        <w:autoSpaceDN/>
        <w:rPr>
          <w:rFonts w:eastAsia="Times New Roman"/>
          <w:sz w:val="24"/>
          <w:szCs w:val="24"/>
          <w:lang w:bidi="ar-SA"/>
        </w:rPr>
      </w:pPr>
    </w:p>
    <w:p w14:paraId="4E08F681" w14:textId="77777777" w:rsidR="008C2215" w:rsidRDefault="008C2215" w:rsidP="009A145F">
      <w:pPr>
        <w:widowControl/>
        <w:autoSpaceDE/>
        <w:autoSpaceDN/>
        <w:rPr>
          <w:rFonts w:eastAsia="Times New Roman"/>
          <w:sz w:val="24"/>
          <w:szCs w:val="24"/>
          <w:lang w:bidi="ar-SA"/>
        </w:rPr>
      </w:pPr>
    </w:p>
    <w:p w14:paraId="0B8653FD" w14:textId="0C6C09BD" w:rsidR="008C2215" w:rsidRPr="008C2215" w:rsidRDefault="009A145F" w:rsidP="009A145F">
      <w:pPr>
        <w:widowControl/>
        <w:autoSpaceDE/>
        <w:autoSpaceDN/>
        <w:rPr>
          <w:rFonts w:eastAsia="Times New Roman"/>
          <w:b/>
          <w:bCs/>
          <w:sz w:val="24"/>
          <w:szCs w:val="24"/>
          <w:lang w:bidi="ar-SA"/>
        </w:rPr>
      </w:pPr>
      <w:r w:rsidRPr="008C2215">
        <w:rPr>
          <w:rFonts w:eastAsia="Times New Roman"/>
          <w:b/>
          <w:bCs/>
          <w:sz w:val="24"/>
          <w:szCs w:val="24"/>
          <w:lang w:bidi="ar-SA"/>
        </w:rPr>
        <w:t>8.1</w:t>
      </w:r>
      <w:r>
        <w:rPr>
          <w:rFonts w:eastAsia="Times New Roman"/>
          <w:sz w:val="24"/>
          <w:szCs w:val="24"/>
          <w:lang w:bidi="ar-SA"/>
        </w:rPr>
        <w:tab/>
      </w:r>
      <w:r w:rsidR="00D14B65" w:rsidRPr="00D14B65">
        <w:rPr>
          <w:rFonts w:eastAsia="Times New Roman"/>
          <w:b/>
          <w:bCs/>
          <w:sz w:val="24"/>
          <w:szCs w:val="24"/>
          <w:lang w:bidi="ar-SA"/>
        </w:rPr>
        <w:t>Procurement Act 2023 Covered</w:t>
      </w:r>
      <w:r w:rsidR="008C2215" w:rsidRPr="008C2215">
        <w:rPr>
          <w:rFonts w:eastAsia="Times New Roman"/>
          <w:b/>
          <w:bCs/>
          <w:sz w:val="24"/>
          <w:szCs w:val="24"/>
          <w:lang w:bidi="ar-SA"/>
        </w:rPr>
        <w:t xml:space="preserve"> Procedures</w:t>
      </w:r>
      <w:r w:rsidR="00D14B65">
        <w:rPr>
          <w:rFonts w:eastAsia="Times New Roman"/>
          <w:b/>
          <w:bCs/>
          <w:sz w:val="24"/>
          <w:szCs w:val="24"/>
          <w:lang w:bidi="ar-SA"/>
        </w:rPr>
        <w:t xml:space="preserve"> (over-threshold)</w:t>
      </w:r>
    </w:p>
    <w:p w14:paraId="2614A9EC" w14:textId="77777777" w:rsidR="008C2215" w:rsidRDefault="008C2215" w:rsidP="009A145F">
      <w:pPr>
        <w:widowControl/>
        <w:autoSpaceDE/>
        <w:autoSpaceDN/>
        <w:rPr>
          <w:rFonts w:eastAsia="Times New Roman"/>
          <w:sz w:val="24"/>
          <w:szCs w:val="24"/>
          <w:lang w:bidi="ar-SA"/>
        </w:rPr>
      </w:pPr>
    </w:p>
    <w:p w14:paraId="1DC962A7" w14:textId="679E618A" w:rsidR="009A145F" w:rsidRDefault="008C2215" w:rsidP="008C2215">
      <w:pPr>
        <w:widowControl/>
        <w:autoSpaceDE/>
        <w:autoSpaceDN/>
        <w:rPr>
          <w:rFonts w:eastAsia="Times New Roman"/>
          <w:sz w:val="24"/>
          <w:szCs w:val="24"/>
          <w:lang w:bidi="ar-SA"/>
        </w:rPr>
      </w:pPr>
      <w:r>
        <w:rPr>
          <w:rFonts w:eastAsia="Times New Roman"/>
          <w:b/>
          <w:bCs/>
          <w:sz w:val="24"/>
          <w:szCs w:val="24"/>
          <w:lang w:bidi="ar-SA"/>
        </w:rPr>
        <w:t>8.1.1</w:t>
      </w:r>
      <w:r>
        <w:rPr>
          <w:rFonts w:eastAsia="Times New Roman"/>
          <w:b/>
          <w:bCs/>
          <w:sz w:val="24"/>
          <w:szCs w:val="24"/>
          <w:lang w:bidi="ar-SA"/>
        </w:rPr>
        <w:tab/>
        <w:t>Open Procedure</w:t>
      </w:r>
    </w:p>
    <w:p w14:paraId="3B8A6A64" w14:textId="51095004" w:rsidR="009A145F" w:rsidRDefault="009A145F" w:rsidP="008C2215">
      <w:pPr>
        <w:widowControl/>
        <w:autoSpaceDE/>
        <w:autoSpaceDN/>
        <w:rPr>
          <w:rFonts w:eastAsia="Times New Roman"/>
          <w:sz w:val="24"/>
          <w:szCs w:val="24"/>
          <w:lang w:bidi="ar-SA"/>
        </w:rPr>
      </w:pPr>
      <w:r>
        <w:rPr>
          <w:rFonts w:eastAsia="Times New Roman"/>
          <w:sz w:val="24"/>
          <w:szCs w:val="24"/>
          <w:lang w:bidi="ar-SA"/>
        </w:rPr>
        <w:tab/>
      </w:r>
      <w:r w:rsidR="008C2215">
        <w:rPr>
          <w:rFonts w:eastAsia="Times New Roman"/>
          <w:sz w:val="24"/>
          <w:szCs w:val="24"/>
          <w:lang w:bidi="ar-SA"/>
        </w:rPr>
        <w:t xml:space="preserve">This is a single stage </w:t>
      </w:r>
      <w:proofErr w:type="gramStart"/>
      <w:r w:rsidR="008C2215">
        <w:rPr>
          <w:rFonts w:eastAsia="Times New Roman"/>
          <w:sz w:val="24"/>
          <w:szCs w:val="24"/>
          <w:lang w:bidi="ar-SA"/>
        </w:rPr>
        <w:t>procurement,</w:t>
      </w:r>
      <w:proofErr w:type="gramEnd"/>
      <w:r w:rsidR="008C2215">
        <w:rPr>
          <w:rFonts w:eastAsia="Times New Roman"/>
          <w:sz w:val="24"/>
          <w:szCs w:val="24"/>
          <w:lang w:bidi="ar-SA"/>
        </w:rPr>
        <w:t xml:space="preserve"> any supplier can submit a tender.</w:t>
      </w:r>
    </w:p>
    <w:p w14:paraId="5E40E868" w14:textId="77777777" w:rsidR="008C2215" w:rsidRDefault="008C2215" w:rsidP="009A145F">
      <w:pPr>
        <w:widowControl/>
        <w:autoSpaceDE/>
        <w:autoSpaceDN/>
        <w:rPr>
          <w:rFonts w:eastAsia="Times New Roman"/>
          <w:sz w:val="24"/>
          <w:szCs w:val="24"/>
          <w:lang w:bidi="ar-SA"/>
        </w:rPr>
      </w:pPr>
    </w:p>
    <w:p w14:paraId="35756F4A" w14:textId="1BD13542" w:rsidR="008C2215" w:rsidRDefault="008C2215" w:rsidP="008C2215">
      <w:pPr>
        <w:widowControl/>
        <w:autoSpaceDE/>
        <w:autoSpaceDN/>
        <w:ind w:left="720"/>
        <w:rPr>
          <w:rFonts w:eastAsia="Times New Roman"/>
          <w:sz w:val="24"/>
          <w:szCs w:val="24"/>
          <w:lang w:bidi="ar-SA"/>
        </w:rPr>
      </w:pPr>
      <w:r>
        <w:rPr>
          <w:rFonts w:eastAsia="Times New Roman"/>
          <w:sz w:val="24"/>
          <w:szCs w:val="24"/>
          <w:lang w:bidi="ar-SA"/>
        </w:rPr>
        <w:t>The ICB is required to have regard to barriers for small and medium sized enterprises and whether the procurement can be reasonably split into Lots, if it cannot be split an explanation must be given.</w:t>
      </w:r>
    </w:p>
    <w:p w14:paraId="3ED639DD" w14:textId="77777777" w:rsidR="008C2215" w:rsidRDefault="008C2215" w:rsidP="008C2215">
      <w:pPr>
        <w:widowControl/>
        <w:autoSpaceDE/>
        <w:autoSpaceDN/>
        <w:rPr>
          <w:rFonts w:eastAsia="Times New Roman"/>
          <w:sz w:val="24"/>
          <w:szCs w:val="24"/>
          <w:lang w:bidi="ar-SA"/>
        </w:rPr>
      </w:pPr>
    </w:p>
    <w:p w14:paraId="52835A4E" w14:textId="403ED45F" w:rsidR="008C2215" w:rsidRDefault="008C2215" w:rsidP="008C2215">
      <w:pPr>
        <w:widowControl/>
        <w:autoSpaceDE/>
        <w:autoSpaceDN/>
        <w:rPr>
          <w:rFonts w:eastAsia="Times New Roman"/>
          <w:sz w:val="24"/>
          <w:szCs w:val="24"/>
          <w:lang w:bidi="ar-SA"/>
        </w:rPr>
      </w:pPr>
      <w:r w:rsidRPr="008C2215">
        <w:rPr>
          <w:rFonts w:eastAsia="Times New Roman"/>
          <w:b/>
          <w:bCs/>
          <w:sz w:val="24"/>
          <w:szCs w:val="24"/>
          <w:lang w:bidi="ar-SA"/>
        </w:rPr>
        <w:t>8.</w:t>
      </w:r>
      <w:r>
        <w:rPr>
          <w:rFonts w:eastAsia="Times New Roman"/>
          <w:b/>
          <w:bCs/>
          <w:sz w:val="24"/>
          <w:szCs w:val="24"/>
          <w:lang w:bidi="ar-SA"/>
        </w:rPr>
        <w:t>1.2</w:t>
      </w:r>
      <w:r>
        <w:rPr>
          <w:rFonts w:eastAsia="Times New Roman"/>
          <w:sz w:val="24"/>
          <w:szCs w:val="24"/>
          <w:lang w:bidi="ar-SA"/>
        </w:rPr>
        <w:tab/>
      </w:r>
      <w:r w:rsidRPr="008C2215">
        <w:rPr>
          <w:rFonts w:eastAsia="Times New Roman"/>
          <w:b/>
          <w:bCs/>
          <w:sz w:val="24"/>
          <w:szCs w:val="24"/>
          <w:lang w:bidi="ar-SA"/>
        </w:rPr>
        <w:t>Competitive Flexible Procedure</w:t>
      </w:r>
    </w:p>
    <w:p w14:paraId="542ED201" w14:textId="44E0D51D" w:rsidR="008C2215" w:rsidRDefault="008C2215" w:rsidP="008C2215">
      <w:pPr>
        <w:widowControl/>
        <w:autoSpaceDE/>
        <w:autoSpaceDN/>
        <w:ind w:left="709" w:hanging="709"/>
        <w:rPr>
          <w:rFonts w:eastAsia="Times New Roman"/>
          <w:sz w:val="24"/>
          <w:szCs w:val="24"/>
          <w:lang w:bidi="ar-SA"/>
        </w:rPr>
      </w:pPr>
      <w:r>
        <w:rPr>
          <w:rFonts w:eastAsia="Times New Roman"/>
          <w:sz w:val="24"/>
          <w:szCs w:val="24"/>
          <w:lang w:bidi="ar-SA"/>
        </w:rPr>
        <w:tab/>
        <w:t>This gives the ICB more flexibility for design a process around specific requirements and is more likely to be used for complex procurements.</w:t>
      </w:r>
    </w:p>
    <w:p w14:paraId="32F32C55" w14:textId="77777777" w:rsidR="008C2215" w:rsidRDefault="008C2215" w:rsidP="008C2215">
      <w:pPr>
        <w:widowControl/>
        <w:autoSpaceDE/>
        <w:autoSpaceDN/>
        <w:ind w:left="720"/>
        <w:rPr>
          <w:rFonts w:eastAsia="Times New Roman"/>
          <w:sz w:val="24"/>
          <w:szCs w:val="24"/>
          <w:lang w:bidi="ar-SA"/>
        </w:rPr>
      </w:pPr>
    </w:p>
    <w:p w14:paraId="1D214302" w14:textId="60B3FD26" w:rsidR="008C2215" w:rsidRDefault="008C2215" w:rsidP="008C2215">
      <w:pPr>
        <w:widowControl/>
        <w:autoSpaceDE/>
        <w:autoSpaceDN/>
        <w:ind w:left="720"/>
        <w:rPr>
          <w:rFonts w:eastAsia="Times New Roman"/>
          <w:sz w:val="24"/>
          <w:szCs w:val="24"/>
          <w:lang w:bidi="ar-SA"/>
        </w:rPr>
      </w:pPr>
      <w:r>
        <w:rPr>
          <w:rFonts w:eastAsia="Times New Roman"/>
          <w:sz w:val="24"/>
          <w:szCs w:val="24"/>
          <w:lang w:bidi="ar-SA"/>
        </w:rPr>
        <w:t>The Competitive Flexible procedure allows the ICB to set Conditions of Participation to reduce the number of bidders and have multiple rounds of tenders alongside dialogue with bidders.</w:t>
      </w:r>
    </w:p>
    <w:p w14:paraId="29BE892A" w14:textId="77777777" w:rsidR="008C2215" w:rsidRDefault="008C2215" w:rsidP="008C2215">
      <w:pPr>
        <w:widowControl/>
        <w:autoSpaceDE/>
        <w:autoSpaceDN/>
        <w:rPr>
          <w:rFonts w:eastAsia="Times New Roman"/>
          <w:sz w:val="24"/>
          <w:szCs w:val="24"/>
          <w:lang w:bidi="ar-SA"/>
        </w:rPr>
      </w:pPr>
    </w:p>
    <w:p w14:paraId="714192C0" w14:textId="77777777" w:rsidR="008C2215" w:rsidRDefault="008C2215" w:rsidP="008C2215">
      <w:pPr>
        <w:widowControl/>
        <w:autoSpaceDE/>
        <w:autoSpaceDN/>
        <w:rPr>
          <w:rFonts w:eastAsia="Times New Roman"/>
          <w:sz w:val="24"/>
          <w:szCs w:val="24"/>
          <w:lang w:bidi="ar-SA"/>
        </w:rPr>
      </w:pPr>
    </w:p>
    <w:p w14:paraId="795B5CDF" w14:textId="27BE5CF8" w:rsidR="008C2215" w:rsidRPr="008C2215" w:rsidRDefault="008C2215" w:rsidP="008C2215">
      <w:pPr>
        <w:widowControl/>
        <w:autoSpaceDE/>
        <w:autoSpaceDN/>
        <w:rPr>
          <w:rFonts w:eastAsia="Times New Roman"/>
          <w:b/>
          <w:bCs/>
          <w:sz w:val="24"/>
          <w:szCs w:val="24"/>
          <w:lang w:bidi="ar-SA"/>
        </w:rPr>
      </w:pPr>
      <w:r w:rsidRPr="008C2215">
        <w:rPr>
          <w:rFonts w:eastAsia="Times New Roman"/>
          <w:b/>
          <w:bCs/>
          <w:sz w:val="24"/>
          <w:szCs w:val="24"/>
          <w:lang w:bidi="ar-SA"/>
        </w:rPr>
        <w:t>8.2</w:t>
      </w:r>
      <w:r w:rsidRPr="008C2215">
        <w:rPr>
          <w:rFonts w:eastAsia="Times New Roman"/>
          <w:b/>
          <w:bCs/>
          <w:sz w:val="24"/>
          <w:szCs w:val="24"/>
          <w:lang w:bidi="ar-SA"/>
        </w:rPr>
        <w:tab/>
      </w:r>
      <w:r>
        <w:rPr>
          <w:rFonts w:eastAsia="Times New Roman"/>
          <w:b/>
          <w:bCs/>
          <w:sz w:val="24"/>
          <w:szCs w:val="24"/>
          <w:lang w:bidi="ar-SA"/>
        </w:rPr>
        <w:t>Undertaking the procurement process</w:t>
      </w:r>
    </w:p>
    <w:p w14:paraId="208ECD59" w14:textId="2D195E0D" w:rsidR="008C2215" w:rsidRDefault="008C2215" w:rsidP="009659CC">
      <w:pPr>
        <w:widowControl/>
        <w:autoSpaceDE/>
        <w:autoSpaceDN/>
        <w:ind w:left="709"/>
        <w:rPr>
          <w:rFonts w:eastAsia="Times New Roman"/>
          <w:sz w:val="24"/>
          <w:szCs w:val="24"/>
          <w:lang w:bidi="ar-SA"/>
        </w:rPr>
      </w:pPr>
      <w:r>
        <w:rPr>
          <w:rFonts w:eastAsia="Times New Roman"/>
          <w:sz w:val="24"/>
          <w:szCs w:val="24"/>
          <w:lang w:bidi="ar-SA"/>
        </w:rPr>
        <w:tab/>
        <w:t>The Procurement Act 2023 expects that most procurements will involve pre</w:t>
      </w:r>
      <w:r w:rsidR="002234B3">
        <w:rPr>
          <w:rFonts w:eastAsia="Times New Roman"/>
          <w:sz w:val="24"/>
          <w:szCs w:val="24"/>
          <w:lang w:bidi="ar-SA"/>
        </w:rPr>
        <w:t>-</w:t>
      </w:r>
      <w:r>
        <w:rPr>
          <w:rFonts w:eastAsia="Times New Roman"/>
          <w:sz w:val="24"/>
          <w:szCs w:val="24"/>
          <w:lang w:bidi="ar-SA"/>
        </w:rPr>
        <w:t xml:space="preserve"> market engagement </w:t>
      </w:r>
      <w:r w:rsidR="009659CC">
        <w:rPr>
          <w:rFonts w:eastAsia="Times New Roman"/>
          <w:sz w:val="24"/>
          <w:szCs w:val="24"/>
          <w:lang w:bidi="ar-SA"/>
        </w:rPr>
        <w:t>prior to publishing a</w:t>
      </w:r>
      <w:r w:rsidR="002234B3">
        <w:rPr>
          <w:rFonts w:eastAsia="Times New Roman"/>
          <w:sz w:val="24"/>
          <w:szCs w:val="24"/>
          <w:lang w:bidi="ar-SA"/>
        </w:rPr>
        <w:t xml:space="preserve">n invitation to </w:t>
      </w:r>
      <w:r w:rsidR="009659CC">
        <w:rPr>
          <w:rFonts w:eastAsia="Times New Roman"/>
          <w:sz w:val="24"/>
          <w:szCs w:val="24"/>
          <w:lang w:bidi="ar-SA"/>
        </w:rPr>
        <w:t>tender and if the ICB does not do this it is required to explain why it hasn’t.</w:t>
      </w:r>
    </w:p>
    <w:p w14:paraId="6A36D6CE" w14:textId="77777777" w:rsidR="009659CC" w:rsidRDefault="009659CC" w:rsidP="009659CC">
      <w:pPr>
        <w:widowControl/>
        <w:autoSpaceDE/>
        <w:autoSpaceDN/>
        <w:ind w:left="709"/>
        <w:rPr>
          <w:rFonts w:eastAsia="Times New Roman"/>
          <w:sz w:val="24"/>
          <w:szCs w:val="24"/>
          <w:lang w:bidi="ar-SA"/>
        </w:rPr>
      </w:pPr>
    </w:p>
    <w:p w14:paraId="2A45E85D" w14:textId="482D0D72" w:rsidR="00FC7CC7" w:rsidRDefault="009659CC" w:rsidP="009659CC">
      <w:pPr>
        <w:widowControl/>
        <w:autoSpaceDE/>
        <w:autoSpaceDN/>
        <w:ind w:left="709"/>
        <w:rPr>
          <w:rFonts w:eastAsia="Times New Roman"/>
          <w:sz w:val="24"/>
          <w:szCs w:val="24"/>
          <w:lang w:bidi="ar-SA"/>
        </w:rPr>
      </w:pPr>
      <w:r>
        <w:rPr>
          <w:rFonts w:eastAsia="Times New Roman"/>
          <w:sz w:val="24"/>
          <w:szCs w:val="24"/>
          <w:lang w:bidi="ar-SA"/>
        </w:rPr>
        <w:t xml:space="preserve">The award criteria in the invitation to tender need to </w:t>
      </w:r>
      <w:proofErr w:type="gramStart"/>
      <w:r>
        <w:rPr>
          <w:rFonts w:eastAsia="Times New Roman"/>
          <w:sz w:val="24"/>
          <w:szCs w:val="24"/>
          <w:lang w:bidi="ar-SA"/>
        </w:rPr>
        <w:t>designed</w:t>
      </w:r>
      <w:proofErr w:type="gramEnd"/>
      <w:r>
        <w:rPr>
          <w:rFonts w:eastAsia="Times New Roman"/>
          <w:sz w:val="24"/>
          <w:szCs w:val="24"/>
          <w:lang w:bidi="ar-SA"/>
        </w:rPr>
        <w:t xml:space="preserve"> to identify the most advantageous tender (MAT) with criteria weighted accordingly.</w:t>
      </w:r>
    </w:p>
    <w:p w14:paraId="07969538" w14:textId="77777777" w:rsidR="009659CC" w:rsidRDefault="009659CC" w:rsidP="009659CC">
      <w:pPr>
        <w:widowControl/>
        <w:autoSpaceDE/>
        <w:autoSpaceDN/>
        <w:ind w:left="709"/>
        <w:rPr>
          <w:rFonts w:eastAsia="Times New Roman"/>
          <w:sz w:val="24"/>
          <w:szCs w:val="24"/>
          <w:lang w:bidi="ar-SA"/>
        </w:rPr>
      </w:pPr>
    </w:p>
    <w:p w14:paraId="6108501D" w14:textId="37A9D394" w:rsidR="009659CC" w:rsidRDefault="009659CC" w:rsidP="009659CC">
      <w:pPr>
        <w:widowControl/>
        <w:autoSpaceDE/>
        <w:autoSpaceDN/>
        <w:ind w:left="709"/>
        <w:rPr>
          <w:rFonts w:eastAsia="Times New Roman"/>
          <w:sz w:val="24"/>
          <w:szCs w:val="24"/>
          <w:lang w:bidi="ar-SA"/>
        </w:rPr>
      </w:pPr>
      <w:r>
        <w:rPr>
          <w:rFonts w:eastAsia="Times New Roman"/>
          <w:sz w:val="24"/>
          <w:szCs w:val="24"/>
          <w:lang w:bidi="ar-SA"/>
        </w:rPr>
        <w:t>The assessment methodology must be published with the invitation to tender to ensure that suppliers have a clear understanding of the award criteria and how they will be assessed against them.</w:t>
      </w:r>
    </w:p>
    <w:p w14:paraId="048A98CC" w14:textId="77777777" w:rsidR="009659CC" w:rsidRDefault="009659CC" w:rsidP="009659CC">
      <w:pPr>
        <w:widowControl/>
        <w:autoSpaceDE/>
        <w:autoSpaceDN/>
        <w:ind w:left="709"/>
        <w:rPr>
          <w:rFonts w:eastAsia="Times New Roman"/>
          <w:sz w:val="24"/>
          <w:szCs w:val="24"/>
          <w:lang w:bidi="ar-SA"/>
        </w:rPr>
      </w:pPr>
    </w:p>
    <w:p w14:paraId="2F624957" w14:textId="6108164B" w:rsidR="009659CC" w:rsidRDefault="009659CC" w:rsidP="009659CC">
      <w:pPr>
        <w:widowControl/>
        <w:autoSpaceDE/>
        <w:autoSpaceDN/>
        <w:ind w:left="709"/>
        <w:rPr>
          <w:rFonts w:eastAsia="Times New Roman"/>
          <w:sz w:val="24"/>
          <w:szCs w:val="24"/>
          <w:lang w:bidi="ar-SA"/>
        </w:rPr>
      </w:pPr>
      <w:r>
        <w:rPr>
          <w:rFonts w:eastAsia="Times New Roman"/>
          <w:sz w:val="24"/>
          <w:szCs w:val="24"/>
          <w:lang w:bidi="ar-SA"/>
        </w:rPr>
        <w:t xml:space="preserve">Following </w:t>
      </w:r>
      <w:proofErr w:type="gramStart"/>
      <w:r>
        <w:rPr>
          <w:rFonts w:eastAsia="Times New Roman"/>
          <w:sz w:val="24"/>
          <w:szCs w:val="24"/>
          <w:lang w:bidi="ar-SA"/>
        </w:rPr>
        <w:t>assessment</w:t>
      </w:r>
      <w:proofErr w:type="gramEnd"/>
      <w:r>
        <w:rPr>
          <w:rFonts w:eastAsia="Times New Roman"/>
          <w:sz w:val="24"/>
          <w:szCs w:val="24"/>
          <w:lang w:bidi="ar-SA"/>
        </w:rPr>
        <w:t xml:space="preserve"> the ICB will publish assessment summaries to bidders</w:t>
      </w:r>
      <w:r w:rsidR="002234B3">
        <w:rPr>
          <w:rFonts w:eastAsia="Times New Roman"/>
          <w:sz w:val="24"/>
          <w:szCs w:val="24"/>
          <w:lang w:bidi="ar-SA"/>
        </w:rPr>
        <w:t xml:space="preserve"> informing them of the outcome of the procurement and how their tender scored</w:t>
      </w:r>
      <w:r>
        <w:rPr>
          <w:rFonts w:eastAsia="Times New Roman"/>
          <w:sz w:val="24"/>
          <w:szCs w:val="24"/>
          <w:lang w:bidi="ar-SA"/>
        </w:rPr>
        <w:t>.</w:t>
      </w:r>
    </w:p>
    <w:p w14:paraId="4686CA62" w14:textId="77777777" w:rsidR="009659CC" w:rsidRDefault="009659CC" w:rsidP="009659CC">
      <w:pPr>
        <w:widowControl/>
        <w:autoSpaceDE/>
        <w:autoSpaceDN/>
        <w:rPr>
          <w:rFonts w:eastAsia="Times New Roman"/>
          <w:sz w:val="24"/>
          <w:szCs w:val="24"/>
          <w:lang w:bidi="ar-SA"/>
        </w:rPr>
      </w:pPr>
    </w:p>
    <w:p w14:paraId="57EBDDB2" w14:textId="77777777" w:rsidR="002234B3" w:rsidRDefault="002234B3" w:rsidP="009659CC">
      <w:pPr>
        <w:widowControl/>
        <w:autoSpaceDE/>
        <w:autoSpaceDN/>
        <w:rPr>
          <w:rFonts w:eastAsia="Times New Roman"/>
          <w:sz w:val="24"/>
          <w:szCs w:val="24"/>
          <w:lang w:bidi="ar-SA"/>
        </w:rPr>
      </w:pPr>
    </w:p>
    <w:p w14:paraId="21F85068" w14:textId="1A9CFA84" w:rsidR="009659CC" w:rsidRPr="002234B3" w:rsidRDefault="009659CC" w:rsidP="009659CC">
      <w:pPr>
        <w:widowControl/>
        <w:autoSpaceDE/>
        <w:autoSpaceDN/>
        <w:rPr>
          <w:rFonts w:eastAsia="Times New Roman"/>
          <w:b/>
          <w:bCs/>
          <w:sz w:val="24"/>
          <w:szCs w:val="24"/>
          <w:lang w:bidi="ar-SA"/>
        </w:rPr>
      </w:pPr>
      <w:r w:rsidRPr="002234B3">
        <w:rPr>
          <w:rFonts w:eastAsia="Times New Roman"/>
          <w:b/>
          <w:bCs/>
          <w:sz w:val="24"/>
          <w:szCs w:val="24"/>
          <w:lang w:bidi="ar-SA"/>
        </w:rPr>
        <w:t>8.3</w:t>
      </w:r>
      <w:r w:rsidRPr="002234B3">
        <w:rPr>
          <w:rFonts w:eastAsia="Times New Roman"/>
          <w:b/>
          <w:bCs/>
          <w:sz w:val="24"/>
          <w:szCs w:val="24"/>
          <w:lang w:bidi="ar-SA"/>
        </w:rPr>
        <w:tab/>
        <w:t>Direct Awards</w:t>
      </w:r>
      <w:r w:rsidR="00D14B65">
        <w:rPr>
          <w:rFonts w:eastAsia="Times New Roman"/>
          <w:b/>
          <w:bCs/>
          <w:sz w:val="24"/>
          <w:szCs w:val="24"/>
          <w:lang w:bidi="ar-SA"/>
        </w:rPr>
        <w:t xml:space="preserve"> for Covered Procurements</w:t>
      </w:r>
    </w:p>
    <w:p w14:paraId="7F4E4652" w14:textId="47F3FE1F" w:rsidR="009659CC" w:rsidRDefault="002234B3" w:rsidP="0098734F">
      <w:pPr>
        <w:widowControl/>
        <w:autoSpaceDE/>
        <w:autoSpaceDN/>
        <w:ind w:left="709"/>
        <w:rPr>
          <w:rFonts w:eastAsia="Times New Roman"/>
          <w:sz w:val="24"/>
          <w:szCs w:val="24"/>
          <w:lang w:bidi="ar-SA"/>
        </w:rPr>
      </w:pPr>
      <w:r>
        <w:rPr>
          <w:rFonts w:eastAsia="Times New Roman"/>
          <w:sz w:val="24"/>
          <w:szCs w:val="24"/>
          <w:lang w:bidi="ar-SA"/>
        </w:rPr>
        <w:tab/>
        <w:t>The ICB may only make a direct award of contract if the grounds to do so as specified in the legislation are met.</w:t>
      </w:r>
    </w:p>
    <w:p w14:paraId="2CF3C165" w14:textId="77777777" w:rsidR="002234B3" w:rsidRDefault="002234B3" w:rsidP="0098734F">
      <w:pPr>
        <w:widowControl/>
        <w:autoSpaceDE/>
        <w:autoSpaceDN/>
        <w:ind w:left="709"/>
        <w:rPr>
          <w:rFonts w:eastAsia="Times New Roman"/>
          <w:sz w:val="24"/>
          <w:szCs w:val="24"/>
          <w:lang w:bidi="ar-SA"/>
        </w:rPr>
      </w:pPr>
    </w:p>
    <w:p w14:paraId="58296F64" w14:textId="2E61E1B9" w:rsidR="002234B3" w:rsidRDefault="002234B3" w:rsidP="0098734F">
      <w:pPr>
        <w:widowControl/>
        <w:autoSpaceDE/>
        <w:autoSpaceDN/>
        <w:ind w:left="709"/>
        <w:rPr>
          <w:rFonts w:eastAsia="Times New Roman"/>
          <w:sz w:val="24"/>
          <w:szCs w:val="24"/>
          <w:lang w:bidi="ar-SA"/>
        </w:rPr>
      </w:pPr>
      <w:r>
        <w:rPr>
          <w:rFonts w:eastAsia="Times New Roman"/>
          <w:sz w:val="24"/>
          <w:szCs w:val="24"/>
          <w:lang w:bidi="ar-SA"/>
        </w:rPr>
        <w:t>The grounds for a direct award are as follows:</w:t>
      </w:r>
    </w:p>
    <w:p w14:paraId="0995050E" w14:textId="45C3860F" w:rsidR="002234B3" w:rsidRDefault="002234B3"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Prototypes and development</w:t>
      </w:r>
    </w:p>
    <w:p w14:paraId="09423366" w14:textId="1F5DD57D" w:rsidR="0098734F" w:rsidRDefault="0098734F" w:rsidP="00870FCB">
      <w:pPr>
        <w:pStyle w:val="ListParagraph"/>
        <w:widowControl/>
        <w:numPr>
          <w:ilvl w:val="0"/>
          <w:numId w:val="38"/>
        </w:numPr>
        <w:autoSpaceDE/>
        <w:autoSpaceDN/>
        <w:ind w:left="1418" w:hanging="284"/>
        <w:rPr>
          <w:rFonts w:eastAsia="Times New Roman"/>
          <w:sz w:val="24"/>
          <w:szCs w:val="24"/>
          <w:lang w:bidi="ar-SA"/>
        </w:rPr>
      </w:pPr>
      <w:r>
        <w:rPr>
          <w:rFonts w:eastAsia="Times New Roman"/>
          <w:sz w:val="24"/>
          <w:szCs w:val="24"/>
          <w:lang w:bidi="ar-SA"/>
        </w:rPr>
        <w:t>Intellectual property rights or other exclusive rights and no reasonable alternative</w:t>
      </w:r>
    </w:p>
    <w:p w14:paraId="769AF26E" w14:textId="5AB7E57E"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Additional or repeat goods and services</w:t>
      </w:r>
    </w:p>
    <w:p w14:paraId="45DADAC4" w14:textId="4CA3C1FC"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Commodities</w:t>
      </w:r>
    </w:p>
    <w:p w14:paraId="47794FA6" w14:textId="06CC652A"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Advantageous terms on insolvency</w:t>
      </w:r>
    </w:p>
    <w:p w14:paraId="5948A28E" w14:textId="2350AE33"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Extreme and unavoidable urgency that could not have been foreseen</w:t>
      </w:r>
    </w:p>
    <w:p w14:paraId="15D09133" w14:textId="038F6873"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User choice services</w:t>
      </w:r>
    </w:p>
    <w:p w14:paraId="51D24F82" w14:textId="351C9566" w:rsidR="0098734F" w:rsidRDefault="0098734F" w:rsidP="00870FCB">
      <w:pPr>
        <w:pStyle w:val="ListParagraph"/>
        <w:widowControl/>
        <w:numPr>
          <w:ilvl w:val="0"/>
          <w:numId w:val="38"/>
        </w:numPr>
        <w:autoSpaceDE/>
        <w:autoSpaceDN/>
        <w:ind w:left="709" w:firstLine="425"/>
        <w:rPr>
          <w:rFonts w:eastAsia="Times New Roman"/>
          <w:sz w:val="24"/>
          <w:szCs w:val="24"/>
          <w:lang w:bidi="ar-SA"/>
        </w:rPr>
      </w:pPr>
      <w:r>
        <w:rPr>
          <w:rFonts w:eastAsia="Times New Roman"/>
          <w:sz w:val="24"/>
          <w:szCs w:val="24"/>
          <w:lang w:bidi="ar-SA"/>
        </w:rPr>
        <w:t>Defence and security.</w:t>
      </w:r>
    </w:p>
    <w:p w14:paraId="1A2D56A2" w14:textId="77777777" w:rsidR="0098734F" w:rsidRDefault="0098734F" w:rsidP="0098734F">
      <w:pPr>
        <w:widowControl/>
        <w:autoSpaceDE/>
        <w:autoSpaceDN/>
        <w:ind w:left="709"/>
        <w:rPr>
          <w:rFonts w:eastAsia="Times New Roman"/>
          <w:sz w:val="24"/>
          <w:szCs w:val="24"/>
          <w:lang w:bidi="ar-SA"/>
        </w:rPr>
      </w:pPr>
    </w:p>
    <w:p w14:paraId="2E1B7B53" w14:textId="3144BB16" w:rsidR="0098734F" w:rsidRDefault="0098734F" w:rsidP="0098734F">
      <w:pPr>
        <w:widowControl/>
        <w:autoSpaceDE/>
        <w:autoSpaceDN/>
        <w:ind w:left="709"/>
        <w:rPr>
          <w:rFonts w:eastAsia="Times New Roman"/>
          <w:sz w:val="24"/>
          <w:szCs w:val="24"/>
          <w:lang w:bidi="ar-SA"/>
        </w:rPr>
      </w:pPr>
      <w:r>
        <w:rPr>
          <w:rFonts w:eastAsia="Times New Roman"/>
          <w:sz w:val="24"/>
          <w:szCs w:val="24"/>
          <w:lang w:bidi="ar-SA"/>
        </w:rPr>
        <w:t>The Procurement Act 2023 introduced an additional ground for direct award to protect life, this can only be used if a Minister of the Crown considers it necessary and instructs accordingly.</w:t>
      </w:r>
    </w:p>
    <w:p w14:paraId="216BCE61" w14:textId="77777777" w:rsidR="0098734F" w:rsidRDefault="0098734F" w:rsidP="0098734F">
      <w:pPr>
        <w:widowControl/>
        <w:autoSpaceDE/>
        <w:autoSpaceDN/>
        <w:ind w:left="709"/>
        <w:rPr>
          <w:rFonts w:eastAsia="Times New Roman"/>
          <w:sz w:val="24"/>
          <w:szCs w:val="24"/>
          <w:lang w:bidi="ar-SA"/>
        </w:rPr>
      </w:pPr>
    </w:p>
    <w:p w14:paraId="22C9BC90" w14:textId="56C3D1A5" w:rsidR="0098734F" w:rsidRDefault="00D14B65" w:rsidP="0098734F">
      <w:pPr>
        <w:widowControl/>
        <w:autoSpaceDE/>
        <w:autoSpaceDN/>
        <w:ind w:left="709"/>
        <w:rPr>
          <w:rFonts w:eastAsia="Times New Roman"/>
          <w:sz w:val="24"/>
          <w:szCs w:val="24"/>
          <w:lang w:bidi="ar-SA"/>
        </w:rPr>
      </w:pPr>
      <w:r>
        <w:rPr>
          <w:rFonts w:eastAsia="Times New Roman"/>
          <w:sz w:val="24"/>
          <w:szCs w:val="24"/>
          <w:lang w:bidi="ar-SA"/>
        </w:rPr>
        <w:t>A direct award may also be made if a competitive procurement has been undertaken and no suitable tenders have been received.</w:t>
      </w:r>
    </w:p>
    <w:p w14:paraId="156CEF1D" w14:textId="77777777" w:rsidR="0098734F" w:rsidRDefault="0098734F" w:rsidP="0098734F">
      <w:pPr>
        <w:widowControl/>
        <w:autoSpaceDE/>
        <w:autoSpaceDN/>
        <w:ind w:left="709"/>
        <w:rPr>
          <w:rFonts w:eastAsia="Times New Roman"/>
          <w:sz w:val="24"/>
          <w:szCs w:val="24"/>
          <w:lang w:bidi="ar-SA"/>
        </w:rPr>
      </w:pPr>
    </w:p>
    <w:p w14:paraId="07D4CF74" w14:textId="7EE52A05" w:rsidR="0098734F" w:rsidRDefault="0098734F" w:rsidP="0098734F">
      <w:pPr>
        <w:widowControl/>
        <w:autoSpaceDE/>
        <w:autoSpaceDN/>
        <w:ind w:left="709"/>
        <w:rPr>
          <w:rFonts w:eastAsia="Times New Roman"/>
          <w:sz w:val="24"/>
          <w:szCs w:val="24"/>
          <w:lang w:bidi="ar-SA"/>
        </w:rPr>
      </w:pPr>
      <w:r>
        <w:rPr>
          <w:rFonts w:eastAsia="Times New Roman"/>
          <w:sz w:val="24"/>
          <w:szCs w:val="24"/>
          <w:lang w:bidi="ar-SA"/>
        </w:rPr>
        <w:tab/>
        <w:t>The ICB is required to publish increased transparency notices in respect of direct award including prior to agreeing the contract and observing a mandatory standstill period.</w:t>
      </w:r>
    </w:p>
    <w:p w14:paraId="321A8D25" w14:textId="77777777" w:rsidR="00D14B65" w:rsidRDefault="00D14B65" w:rsidP="0098734F">
      <w:pPr>
        <w:widowControl/>
        <w:autoSpaceDE/>
        <w:autoSpaceDN/>
        <w:ind w:left="709"/>
        <w:rPr>
          <w:rFonts w:eastAsia="Times New Roman"/>
          <w:sz w:val="24"/>
          <w:szCs w:val="24"/>
          <w:lang w:bidi="ar-SA"/>
        </w:rPr>
      </w:pPr>
    </w:p>
    <w:p w14:paraId="4E7CAFED" w14:textId="099BC29B" w:rsidR="00D14B65" w:rsidRDefault="00D14B65" w:rsidP="0098734F">
      <w:pPr>
        <w:widowControl/>
        <w:autoSpaceDE/>
        <w:autoSpaceDN/>
        <w:ind w:left="709"/>
        <w:rPr>
          <w:rFonts w:eastAsia="Times New Roman"/>
          <w:sz w:val="24"/>
          <w:szCs w:val="24"/>
          <w:lang w:bidi="ar-SA"/>
        </w:rPr>
      </w:pPr>
      <w:r>
        <w:rPr>
          <w:rFonts w:eastAsia="Times New Roman"/>
          <w:sz w:val="24"/>
          <w:szCs w:val="24"/>
          <w:lang w:bidi="ar-SA"/>
        </w:rPr>
        <w:t>If the direct award of a contract is proposed the grounds on which the decision is being taken must be appropriately documented.</w:t>
      </w:r>
    </w:p>
    <w:p w14:paraId="33D95B97" w14:textId="77777777" w:rsidR="00D14B65" w:rsidRDefault="00D14B65" w:rsidP="00D14B65">
      <w:pPr>
        <w:widowControl/>
        <w:autoSpaceDE/>
        <w:autoSpaceDN/>
        <w:rPr>
          <w:rFonts w:eastAsia="Times New Roman"/>
          <w:sz w:val="24"/>
          <w:szCs w:val="24"/>
          <w:lang w:bidi="ar-SA"/>
        </w:rPr>
      </w:pPr>
    </w:p>
    <w:p w14:paraId="4D37EC42" w14:textId="77777777" w:rsidR="00D14B65" w:rsidRDefault="00D14B65" w:rsidP="00D14B65">
      <w:pPr>
        <w:widowControl/>
        <w:autoSpaceDE/>
        <w:autoSpaceDN/>
        <w:rPr>
          <w:rFonts w:eastAsia="Times New Roman"/>
          <w:sz w:val="24"/>
          <w:szCs w:val="24"/>
          <w:lang w:bidi="ar-SA"/>
        </w:rPr>
      </w:pPr>
    </w:p>
    <w:p w14:paraId="3B764615" w14:textId="07E39DD1" w:rsidR="001439AA" w:rsidRDefault="00D14B65" w:rsidP="00D14B65">
      <w:pPr>
        <w:widowControl/>
        <w:autoSpaceDE/>
        <w:autoSpaceDN/>
        <w:rPr>
          <w:rFonts w:eastAsia="Times New Roman"/>
          <w:b/>
          <w:bCs/>
          <w:sz w:val="24"/>
          <w:szCs w:val="24"/>
          <w:lang w:bidi="ar-SA"/>
        </w:rPr>
      </w:pPr>
      <w:r w:rsidRPr="00D14B65">
        <w:rPr>
          <w:rFonts w:eastAsia="Times New Roman"/>
          <w:b/>
          <w:bCs/>
          <w:sz w:val="24"/>
          <w:szCs w:val="24"/>
          <w:lang w:bidi="ar-SA"/>
        </w:rPr>
        <w:t>8.4</w:t>
      </w:r>
      <w:r w:rsidRPr="00D14B65">
        <w:rPr>
          <w:rFonts w:eastAsia="Times New Roman"/>
          <w:b/>
          <w:bCs/>
          <w:sz w:val="24"/>
          <w:szCs w:val="24"/>
          <w:lang w:bidi="ar-SA"/>
        </w:rPr>
        <w:tab/>
      </w:r>
      <w:r w:rsidR="001439AA">
        <w:rPr>
          <w:rFonts w:eastAsia="Times New Roman"/>
          <w:b/>
          <w:bCs/>
          <w:sz w:val="24"/>
          <w:szCs w:val="24"/>
          <w:lang w:bidi="ar-SA"/>
        </w:rPr>
        <w:t>Contract Modifications</w:t>
      </w:r>
    </w:p>
    <w:p w14:paraId="6531D7A9" w14:textId="016FEBF9" w:rsidR="001439AA" w:rsidRDefault="001439AA" w:rsidP="00D14B65">
      <w:pPr>
        <w:widowControl/>
        <w:autoSpaceDE/>
        <w:autoSpaceDN/>
        <w:rPr>
          <w:rFonts w:eastAsia="Times New Roman"/>
          <w:sz w:val="24"/>
          <w:szCs w:val="24"/>
          <w:lang w:bidi="ar-SA"/>
        </w:rPr>
      </w:pPr>
      <w:r>
        <w:rPr>
          <w:rFonts w:eastAsia="Times New Roman"/>
          <w:b/>
          <w:bCs/>
          <w:sz w:val="24"/>
          <w:szCs w:val="24"/>
          <w:lang w:bidi="ar-SA"/>
        </w:rPr>
        <w:tab/>
      </w:r>
      <w:r>
        <w:rPr>
          <w:rFonts w:eastAsia="Times New Roman"/>
          <w:sz w:val="24"/>
          <w:szCs w:val="24"/>
          <w:lang w:bidi="ar-SA"/>
        </w:rPr>
        <w:t>There are ten grounds for permitted contract modifications:</w:t>
      </w:r>
    </w:p>
    <w:p w14:paraId="7A18F4A7" w14:textId="77777777" w:rsidR="001439AA" w:rsidRDefault="001439AA" w:rsidP="00D14B65">
      <w:pPr>
        <w:widowControl/>
        <w:autoSpaceDE/>
        <w:autoSpaceDN/>
        <w:rPr>
          <w:rFonts w:eastAsia="Times New Roman"/>
          <w:sz w:val="24"/>
          <w:szCs w:val="24"/>
          <w:lang w:bidi="ar-SA"/>
        </w:rPr>
      </w:pPr>
    </w:p>
    <w:p w14:paraId="7219C4B4" w14:textId="5BF1043A"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Provided for in the contract</w:t>
      </w:r>
    </w:p>
    <w:p w14:paraId="00D5A95C" w14:textId="63B066E0"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Unforeseeable circumstances</w:t>
      </w:r>
    </w:p>
    <w:p w14:paraId="7BF22A02" w14:textId="3CA797B7"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Additional goods, services or works</w:t>
      </w:r>
    </w:p>
    <w:p w14:paraId="7734ACB0" w14:textId="0CC9A9E7"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Transfer on corporate restructuring</w:t>
      </w:r>
    </w:p>
    <w:p w14:paraId="054A6869" w14:textId="6F947D65"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Non-substantial modifications</w:t>
      </w:r>
    </w:p>
    <w:p w14:paraId="1B987876" w14:textId="5A1FE57D"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Below-threshold modifications</w:t>
      </w:r>
    </w:p>
    <w:p w14:paraId="4F2B3E09" w14:textId="0086D90E"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Urgency and the protection of life</w:t>
      </w:r>
    </w:p>
    <w:p w14:paraId="7F8F921D" w14:textId="7A5603D2"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Materialisation of a known risk</w:t>
      </w:r>
    </w:p>
    <w:p w14:paraId="5CE27D05" w14:textId="7763FB34"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Defence authority contracts – developments in technology</w:t>
      </w:r>
    </w:p>
    <w:p w14:paraId="07A95B7C" w14:textId="1985E185" w:rsidR="001439AA" w:rsidRDefault="001439AA" w:rsidP="00870FCB">
      <w:pPr>
        <w:pStyle w:val="ListParagraph"/>
        <w:widowControl/>
        <w:numPr>
          <w:ilvl w:val="0"/>
          <w:numId w:val="41"/>
        </w:numPr>
        <w:autoSpaceDE/>
        <w:autoSpaceDN/>
        <w:ind w:left="1418" w:hanging="567"/>
        <w:rPr>
          <w:rFonts w:eastAsia="Times New Roman"/>
          <w:sz w:val="24"/>
          <w:szCs w:val="24"/>
          <w:lang w:bidi="ar-SA"/>
        </w:rPr>
      </w:pPr>
      <w:r>
        <w:rPr>
          <w:rFonts w:eastAsia="Times New Roman"/>
          <w:sz w:val="24"/>
          <w:szCs w:val="24"/>
          <w:lang w:bidi="ar-SA"/>
        </w:rPr>
        <w:t>Defence authority contracts – ensure continuous supply.</w:t>
      </w:r>
    </w:p>
    <w:p w14:paraId="3DA5825A" w14:textId="42D71969" w:rsidR="001439AA" w:rsidRPr="001439AA" w:rsidRDefault="001439AA" w:rsidP="001439AA">
      <w:pPr>
        <w:widowControl/>
        <w:autoSpaceDE/>
        <w:autoSpaceDN/>
        <w:ind w:left="851"/>
        <w:rPr>
          <w:rFonts w:eastAsia="Times New Roman"/>
          <w:sz w:val="24"/>
          <w:szCs w:val="24"/>
          <w:lang w:bidi="ar-SA"/>
        </w:rPr>
      </w:pPr>
    </w:p>
    <w:p w14:paraId="1BF4A437" w14:textId="134C9E43" w:rsidR="001439AA" w:rsidRPr="001439AA" w:rsidRDefault="001439AA" w:rsidP="00D14B65">
      <w:pPr>
        <w:widowControl/>
        <w:autoSpaceDE/>
        <w:autoSpaceDN/>
        <w:rPr>
          <w:rFonts w:eastAsia="Times New Roman"/>
          <w:sz w:val="24"/>
          <w:szCs w:val="24"/>
          <w:lang w:bidi="ar-SA"/>
        </w:rPr>
      </w:pPr>
      <w:r>
        <w:rPr>
          <w:rFonts w:eastAsia="Times New Roman"/>
          <w:b/>
          <w:bCs/>
          <w:sz w:val="24"/>
          <w:szCs w:val="24"/>
          <w:lang w:bidi="ar-SA"/>
        </w:rPr>
        <w:tab/>
      </w:r>
    </w:p>
    <w:p w14:paraId="0A003588" w14:textId="0B44E0D6" w:rsidR="001439AA" w:rsidRDefault="00A62BEB" w:rsidP="00D14B65">
      <w:pPr>
        <w:widowControl/>
        <w:autoSpaceDE/>
        <w:autoSpaceDN/>
        <w:rPr>
          <w:rFonts w:eastAsia="Times New Roman"/>
          <w:b/>
          <w:bCs/>
          <w:sz w:val="24"/>
          <w:szCs w:val="24"/>
          <w:lang w:bidi="ar-SA"/>
        </w:rPr>
      </w:pPr>
      <w:r>
        <w:rPr>
          <w:rFonts w:eastAsia="Times New Roman"/>
          <w:b/>
          <w:bCs/>
          <w:sz w:val="24"/>
          <w:szCs w:val="24"/>
          <w:lang w:bidi="ar-SA"/>
        </w:rPr>
        <w:t>8.5</w:t>
      </w:r>
      <w:r>
        <w:rPr>
          <w:rFonts w:eastAsia="Times New Roman"/>
          <w:b/>
          <w:bCs/>
          <w:sz w:val="24"/>
          <w:szCs w:val="24"/>
          <w:lang w:bidi="ar-SA"/>
        </w:rPr>
        <w:tab/>
        <w:t>Contract Performance and Administration</w:t>
      </w:r>
    </w:p>
    <w:p w14:paraId="3202F81B" w14:textId="7E263629" w:rsidR="00A62BEB" w:rsidRDefault="00A62BEB" w:rsidP="00A62BEB">
      <w:pPr>
        <w:widowControl/>
        <w:autoSpaceDE/>
        <w:autoSpaceDN/>
        <w:ind w:left="709" w:hanging="709"/>
        <w:rPr>
          <w:rFonts w:eastAsia="Times New Roman"/>
          <w:sz w:val="24"/>
          <w:szCs w:val="24"/>
          <w:lang w:bidi="ar-SA"/>
        </w:rPr>
      </w:pPr>
      <w:r>
        <w:rPr>
          <w:rFonts w:eastAsia="Times New Roman"/>
          <w:b/>
          <w:bCs/>
          <w:sz w:val="24"/>
          <w:szCs w:val="24"/>
          <w:lang w:bidi="ar-SA"/>
        </w:rPr>
        <w:tab/>
      </w:r>
      <w:r w:rsidRPr="00A62BEB">
        <w:rPr>
          <w:rFonts w:eastAsia="Times New Roman"/>
          <w:sz w:val="24"/>
          <w:szCs w:val="24"/>
          <w:lang w:bidi="ar-SA"/>
        </w:rPr>
        <w:t xml:space="preserve">The Procurement Act 2023 </w:t>
      </w:r>
      <w:r>
        <w:rPr>
          <w:rFonts w:eastAsia="Times New Roman"/>
          <w:sz w:val="24"/>
          <w:szCs w:val="24"/>
          <w:lang w:bidi="ar-SA"/>
        </w:rPr>
        <w:t>has</w:t>
      </w:r>
      <w:r w:rsidRPr="00A62BEB">
        <w:rPr>
          <w:rFonts w:eastAsia="Times New Roman"/>
          <w:sz w:val="24"/>
          <w:szCs w:val="24"/>
          <w:lang w:bidi="ar-SA"/>
        </w:rPr>
        <w:t xml:space="preserve"> requirements for </w:t>
      </w:r>
      <w:r>
        <w:rPr>
          <w:rFonts w:eastAsia="Times New Roman"/>
          <w:sz w:val="24"/>
          <w:szCs w:val="24"/>
          <w:lang w:bidi="ar-SA"/>
        </w:rPr>
        <w:t>the ICB</w:t>
      </w:r>
      <w:r w:rsidRPr="00A62BEB">
        <w:rPr>
          <w:rFonts w:eastAsia="Times New Roman"/>
          <w:sz w:val="24"/>
          <w:szCs w:val="24"/>
          <w:lang w:bidi="ar-SA"/>
        </w:rPr>
        <w:t xml:space="preserve"> to acquire, record</w:t>
      </w:r>
      <w:r>
        <w:rPr>
          <w:rFonts w:eastAsia="Times New Roman"/>
          <w:sz w:val="24"/>
          <w:szCs w:val="24"/>
          <w:lang w:bidi="ar-SA"/>
        </w:rPr>
        <w:t xml:space="preserve"> </w:t>
      </w:r>
      <w:r w:rsidRPr="00A62BEB">
        <w:rPr>
          <w:rFonts w:eastAsia="Times New Roman"/>
          <w:sz w:val="24"/>
          <w:szCs w:val="24"/>
          <w:lang w:bidi="ar-SA"/>
        </w:rPr>
        <w:t>and</w:t>
      </w:r>
      <w:r>
        <w:rPr>
          <w:rFonts w:eastAsia="Times New Roman"/>
          <w:sz w:val="24"/>
          <w:szCs w:val="24"/>
          <w:lang w:bidi="ar-SA"/>
        </w:rPr>
        <w:t xml:space="preserve"> </w:t>
      </w:r>
      <w:r w:rsidRPr="00A62BEB">
        <w:rPr>
          <w:rFonts w:eastAsia="Times New Roman"/>
          <w:sz w:val="24"/>
          <w:szCs w:val="24"/>
          <w:lang w:bidi="ar-SA"/>
        </w:rPr>
        <w:t>publish contract information throughout the</w:t>
      </w:r>
      <w:r>
        <w:rPr>
          <w:rFonts w:eastAsia="Times New Roman"/>
          <w:sz w:val="24"/>
          <w:szCs w:val="24"/>
          <w:lang w:bidi="ar-SA"/>
        </w:rPr>
        <w:t xml:space="preserve"> life of the contract, including:</w:t>
      </w:r>
    </w:p>
    <w:p w14:paraId="52BDBAB6" w14:textId="77777777" w:rsidR="00A62BEB" w:rsidRDefault="00A62BEB" w:rsidP="00A62BEB">
      <w:pPr>
        <w:widowControl/>
        <w:autoSpaceDE/>
        <w:autoSpaceDN/>
        <w:ind w:left="709" w:hanging="709"/>
        <w:rPr>
          <w:rFonts w:eastAsia="Times New Roman"/>
          <w:sz w:val="24"/>
          <w:szCs w:val="24"/>
          <w:lang w:bidi="ar-SA"/>
        </w:rPr>
      </w:pPr>
    </w:p>
    <w:p w14:paraId="42109C19" w14:textId="33AC1D76" w:rsidR="00A62BEB" w:rsidRPr="00A62BEB" w:rsidRDefault="00A62BEB" w:rsidP="00870FCB">
      <w:pPr>
        <w:pStyle w:val="ListParagraph"/>
        <w:widowControl/>
        <w:numPr>
          <w:ilvl w:val="0"/>
          <w:numId w:val="42"/>
        </w:numPr>
        <w:autoSpaceDE/>
        <w:autoSpaceDN/>
        <w:rPr>
          <w:rFonts w:eastAsia="Times New Roman"/>
          <w:sz w:val="24"/>
          <w:szCs w:val="24"/>
          <w:lang w:bidi="ar-SA"/>
        </w:rPr>
      </w:pPr>
      <w:r w:rsidRPr="00A62BEB">
        <w:rPr>
          <w:rFonts w:eastAsia="Times New Roman"/>
          <w:sz w:val="24"/>
          <w:szCs w:val="24"/>
          <w:lang w:bidi="ar-SA"/>
        </w:rPr>
        <w:t>Contract performance data, in the form of key performance indicators (KPIs),</w:t>
      </w:r>
    </w:p>
    <w:p w14:paraId="12413F28" w14:textId="3F8311E6" w:rsidR="00A62BEB" w:rsidRPr="00A62BEB" w:rsidRDefault="00A62BEB" w:rsidP="00870FCB">
      <w:pPr>
        <w:pStyle w:val="ListParagraph"/>
        <w:widowControl/>
        <w:numPr>
          <w:ilvl w:val="0"/>
          <w:numId w:val="42"/>
        </w:numPr>
        <w:autoSpaceDE/>
        <w:autoSpaceDN/>
        <w:rPr>
          <w:rFonts w:eastAsia="Times New Roman"/>
          <w:sz w:val="24"/>
          <w:szCs w:val="24"/>
          <w:lang w:bidi="ar-SA"/>
        </w:rPr>
      </w:pPr>
      <w:r w:rsidRPr="00A62BEB">
        <w:rPr>
          <w:rFonts w:eastAsia="Times New Roman"/>
          <w:sz w:val="24"/>
          <w:szCs w:val="24"/>
          <w:lang w:bidi="ar-SA"/>
        </w:rPr>
        <w:t>Information on poor supplier performance and breach of public contract, and</w:t>
      </w:r>
    </w:p>
    <w:p w14:paraId="3BD03F60" w14:textId="7178A4DB" w:rsidR="00A62BEB" w:rsidRDefault="00A62BEB" w:rsidP="00870FCB">
      <w:pPr>
        <w:pStyle w:val="ListParagraph"/>
        <w:widowControl/>
        <w:numPr>
          <w:ilvl w:val="0"/>
          <w:numId w:val="42"/>
        </w:numPr>
        <w:autoSpaceDE/>
        <w:autoSpaceDN/>
        <w:rPr>
          <w:rFonts w:eastAsia="Times New Roman"/>
          <w:sz w:val="24"/>
          <w:szCs w:val="24"/>
          <w:lang w:bidi="ar-SA"/>
        </w:rPr>
      </w:pPr>
      <w:r w:rsidRPr="00A62BEB">
        <w:rPr>
          <w:rFonts w:eastAsia="Times New Roman"/>
          <w:sz w:val="24"/>
          <w:szCs w:val="24"/>
          <w:lang w:bidi="ar-SA"/>
        </w:rPr>
        <w:t>Information about payments made under public contracts.</w:t>
      </w:r>
    </w:p>
    <w:p w14:paraId="5C329F97" w14:textId="77777777" w:rsidR="00A62BEB" w:rsidRDefault="00A62BEB" w:rsidP="00A62BEB">
      <w:pPr>
        <w:widowControl/>
        <w:autoSpaceDE/>
        <w:autoSpaceDN/>
        <w:rPr>
          <w:rFonts w:eastAsia="Times New Roman"/>
          <w:sz w:val="24"/>
          <w:szCs w:val="24"/>
          <w:lang w:bidi="ar-SA"/>
        </w:rPr>
      </w:pPr>
    </w:p>
    <w:p w14:paraId="7739B54C" w14:textId="68E2A014" w:rsidR="00A62BEB" w:rsidRDefault="00A62BEB" w:rsidP="00A62BEB">
      <w:pPr>
        <w:widowControl/>
        <w:autoSpaceDE/>
        <w:autoSpaceDN/>
        <w:rPr>
          <w:rFonts w:eastAsia="Times New Roman"/>
          <w:sz w:val="24"/>
          <w:szCs w:val="24"/>
          <w:lang w:bidi="ar-SA"/>
        </w:rPr>
      </w:pPr>
      <w:r w:rsidRPr="00A62BEB">
        <w:rPr>
          <w:rFonts w:eastAsia="Times New Roman"/>
          <w:b/>
          <w:bCs/>
          <w:sz w:val="24"/>
          <w:szCs w:val="24"/>
          <w:lang w:bidi="ar-SA"/>
        </w:rPr>
        <w:t>8.5.1</w:t>
      </w:r>
      <w:r>
        <w:rPr>
          <w:rFonts w:eastAsia="Times New Roman"/>
          <w:sz w:val="24"/>
          <w:szCs w:val="24"/>
          <w:lang w:bidi="ar-SA"/>
        </w:rPr>
        <w:tab/>
      </w:r>
      <w:r w:rsidRPr="00A62BEB">
        <w:rPr>
          <w:rFonts w:eastAsia="Times New Roman"/>
          <w:b/>
          <w:bCs/>
          <w:sz w:val="24"/>
          <w:szCs w:val="24"/>
          <w:lang w:bidi="ar-SA"/>
        </w:rPr>
        <w:t>Key Performance Indicators</w:t>
      </w:r>
    </w:p>
    <w:p w14:paraId="56CFF32F" w14:textId="75BECBB4" w:rsidR="00A62BEB" w:rsidRDefault="00A62BEB" w:rsidP="00A62BEB">
      <w:pPr>
        <w:widowControl/>
        <w:autoSpaceDE/>
        <w:autoSpaceDN/>
        <w:ind w:left="709" w:hanging="709"/>
        <w:rPr>
          <w:rFonts w:eastAsia="Times New Roman"/>
          <w:sz w:val="24"/>
          <w:szCs w:val="24"/>
          <w:lang w:bidi="ar-SA"/>
        </w:rPr>
      </w:pPr>
      <w:r>
        <w:rPr>
          <w:rFonts w:eastAsia="Times New Roman"/>
          <w:sz w:val="24"/>
          <w:szCs w:val="24"/>
          <w:lang w:bidi="ar-SA"/>
        </w:rPr>
        <w:tab/>
      </w:r>
      <w:r w:rsidRPr="00A62BEB">
        <w:rPr>
          <w:rFonts w:eastAsia="Times New Roman"/>
          <w:sz w:val="24"/>
          <w:szCs w:val="24"/>
          <w:lang w:bidi="ar-SA"/>
        </w:rPr>
        <w:t xml:space="preserve">Before </w:t>
      </w:r>
      <w:proofErr w:type="gramStart"/>
      <w:r w:rsidRPr="00A62BEB">
        <w:rPr>
          <w:rFonts w:eastAsia="Times New Roman"/>
          <w:sz w:val="24"/>
          <w:szCs w:val="24"/>
          <w:lang w:bidi="ar-SA"/>
        </w:rPr>
        <w:t>entering into</w:t>
      </w:r>
      <w:proofErr w:type="gramEnd"/>
      <w:r w:rsidRPr="00A62BEB">
        <w:rPr>
          <w:rFonts w:eastAsia="Times New Roman"/>
          <w:sz w:val="24"/>
          <w:szCs w:val="24"/>
          <w:lang w:bidi="ar-SA"/>
        </w:rPr>
        <w:t xml:space="preserve"> a public contract with an estimated value of more than £5m,</w:t>
      </w:r>
      <w:r>
        <w:rPr>
          <w:rFonts w:eastAsia="Times New Roman"/>
          <w:sz w:val="24"/>
          <w:szCs w:val="24"/>
          <w:lang w:bidi="ar-SA"/>
        </w:rPr>
        <w:t xml:space="preserve"> </w:t>
      </w:r>
      <w:r w:rsidRPr="00A62BEB">
        <w:rPr>
          <w:rFonts w:eastAsia="Times New Roman"/>
          <w:sz w:val="24"/>
          <w:szCs w:val="24"/>
          <w:lang w:bidi="ar-SA"/>
        </w:rPr>
        <w:t>contracting authorities</w:t>
      </w:r>
      <w:r>
        <w:rPr>
          <w:rFonts w:eastAsia="Times New Roman"/>
          <w:sz w:val="24"/>
          <w:szCs w:val="24"/>
          <w:lang w:bidi="ar-SA"/>
        </w:rPr>
        <w:t xml:space="preserve"> </w:t>
      </w:r>
      <w:r w:rsidRPr="00A62BEB">
        <w:rPr>
          <w:rFonts w:eastAsia="Times New Roman"/>
          <w:sz w:val="24"/>
          <w:szCs w:val="24"/>
          <w:lang w:bidi="ar-SA"/>
        </w:rPr>
        <w:t>must set (in agreement with the supplier) at least three KPIs.</w:t>
      </w:r>
      <w:r>
        <w:rPr>
          <w:rFonts w:eastAsia="Times New Roman"/>
          <w:sz w:val="24"/>
          <w:szCs w:val="24"/>
          <w:lang w:bidi="ar-SA"/>
        </w:rPr>
        <w:t xml:space="preserve"> </w:t>
      </w:r>
      <w:r w:rsidRPr="00A62BEB">
        <w:rPr>
          <w:rFonts w:eastAsia="Times New Roman"/>
          <w:sz w:val="24"/>
          <w:szCs w:val="24"/>
          <w:lang w:bidi="ar-SA"/>
        </w:rPr>
        <w:t>These must be published as part of the</w:t>
      </w:r>
      <w:r>
        <w:rPr>
          <w:rFonts w:eastAsia="Times New Roman"/>
          <w:sz w:val="24"/>
          <w:szCs w:val="24"/>
          <w:lang w:bidi="ar-SA"/>
        </w:rPr>
        <w:t xml:space="preserve"> </w:t>
      </w:r>
      <w:r w:rsidRPr="00A62BEB">
        <w:rPr>
          <w:rFonts w:eastAsia="Times New Roman"/>
          <w:sz w:val="24"/>
          <w:szCs w:val="24"/>
          <w:lang w:bidi="ar-SA"/>
        </w:rPr>
        <w:t>contract details notice.</w:t>
      </w:r>
    </w:p>
    <w:p w14:paraId="0BE2CA7A" w14:textId="77777777" w:rsidR="00A62BEB" w:rsidRDefault="00A62BEB" w:rsidP="00A62BEB">
      <w:pPr>
        <w:widowControl/>
        <w:autoSpaceDE/>
        <w:autoSpaceDN/>
        <w:ind w:left="709" w:hanging="709"/>
        <w:rPr>
          <w:rFonts w:eastAsia="Times New Roman"/>
          <w:sz w:val="24"/>
          <w:szCs w:val="24"/>
          <w:lang w:bidi="ar-SA"/>
        </w:rPr>
      </w:pPr>
    </w:p>
    <w:p w14:paraId="590F7C46" w14:textId="50485771" w:rsidR="00A62BEB" w:rsidRDefault="00A62BEB" w:rsidP="00A62BEB">
      <w:pPr>
        <w:widowControl/>
        <w:autoSpaceDE/>
        <w:autoSpaceDN/>
        <w:ind w:left="709" w:hanging="709"/>
        <w:rPr>
          <w:rFonts w:eastAsia="Times New Roman"/>
          <w:sz w:val="24"/>
          <w:szCs w:val="24"/>
          <w:lang w:bidi="ar-SA"/>
        </w:rPr>
      </w:pPr>
      <w:r>
        <w:rPr>
          <w:rFonts w:eastAsia="Times New Roman"/>
          <w:sz w:val="24"/>
          <w:szCs w:val="24"/>
          <w:lang w:bidi="ar-SA"/>
        </w:rPr>
        <w:tab/>
      </w:r>
      <w:r w:rsidRPr="00A62BEB">
        <w:rPr>
          <w:rFonts w:eastAsia="Times New Roman"/>
          <w:sz w:val="24"/>
          <w:szCs w:val="24"/>
          <w:lang w:bidi="ar-SA"/>
        </w:rPr>
        <w:t>At least once every 12 month</w:t>
      </w:r>
      <w:r>
        <w:rPr>
          <w:rFonts w:eastAsia="Times New Roman"/>
          <w:sz w:val="24"/>
          <w:szCs w:val="24"/>
          <w:lang w:bidi="ar-SA"/>
        </w:rPr>
        <w:t xml:space="preserve">s </w:t>
      </w:r>
      <w:r w:rsidRPr="00A62BEB">
        <w:rPr>
          <w:rFonts w:eastAsia="Times New Roman"/>
          <w:sz w:val="24"/>
          <w:szCs w:val="24"/>
          <w:lang w:bidi="ar-SA"/>
        </w:rPr>
        <w:t>the contracting authority must assess and</w:t>
      </w:r>
      <w:r>
        <w:rPr>
          <w:rFonts w:eastAsia="Times New Roman"/>
          <w:sz w:val="24"/>
          <w:szCs w:val="24"/>
          <w:lang w:bidi="ar-SA"/>
        </w:rPr>
        <w:t xml:space="preserve"> </w:t>
      </w:r>
      <w:r w:rsidRPr="00A62BEB">
        <w:rPr>
          <w:rFonts w:eastAsia="Times New Roman"/>
          <w:sz w:val="24"/>
          <w:szCs w:val="24"/>
          <w:lang w:bidi="ar-SA"/>
        </w:rPr>
        <w:t>then publish details of supplier performance against the set KPIs to the central</w:t>
      </w:r>
      <w:r>
        <w:rPr>
          <w:rFonts w:eastAsia="Times New Roman"/>
          <w:sz w:val="24"/>
          <w:szCs w:val="24"/>
          <w:lang w:bidi="ar-SA"/>
        </w:rPr>
        <w:t xml:space="preserve"> </w:t>
      </w:r>
      <w:r w:rsidRPr="00A62BEB">
        <w:rPr>
          <w:rFonts w:eastAsia="Times New Roman"/>
          <w:sz w:val="24"/>
          <w:szCs w:val="24"/>
          <w:lang w:bidi="ar-SA"/>
        </w:rPr>
        <w:t>digital platform using a contract performance notice.</w:t>
      </w:r>
    </w:p>
    <w:p w14:paraId="3BDD264F" w14:textId="77777777" w:rsidR="00A62BEB" w:rsidRDefault="00A62BEB" w:rsidP="00A62BEB">
      <w:pPr>
        <w:widowControl/>
        <w:autoSpaceDE/>
        <w:autoSpaceDN/>
        <w:ind w:left="709" w:hanging="709"/>
        <w:rPr>
          <w:rFonts w:eastAsia="Times New Roman"/>
          <w:sz w:val="24"/>
          <w:szCs w:val="24"/>
          <w:lang w:bidi="ar-SA"/>
        </w:rPr>
      </w:pPr>
    </w:p>
    <w:p w14:paraId="55A1A52A" w14:textId="77777777" w:rsidR="00A62BEB" w:rsidRDefault="00A62BEB" w:rsidP="00A62BEB">
      <w:pPr>
        <w:widowControl/>
        <w:autoSpaceDE/>
        <w:autoSpaceDN/>
        <w:ind w:left="709" w:hanging="709"/>
        <w:rPr>
          <w:rFonts w:eastAsia="Times New Roman"/>
          <w:sz w:val="24"/>
          <w:szCs w:val="24"/>
          <w:lang w:bidi="ar-SA"/>
        </w:rPr>
      </w:pPr>
      <w:r>
        <w:rPr>
          <w:rFonts w:eastAsia="Times New Roman"/>
          <w:sz w:val="24"/>
          <w:szCs w:val="24"/>
          <w:lang w:bidi="ar-SA"/>
        </w:rPr>
        <w:tab/>
      </w:r>
      <w:r w:rsidRPr="00A62BEB">
        <w:rPr>
          <w:rFonts w:eastAsia="Times New Roman"/>
          <w:sz w:val="24"/>
          <w:szCs w:val="24"/>
          <w:lang w:bidi="ar-SA"/>
        </w:rPr>
        <w:t xml:space="preserve">To enable consistency and ensure that data is comparable across contracts, the central digital platform will require KPI data to be published using the same standardised rating system: </w:t>
      </w:r>
    </w:p>
    <w:p w14:paraId="10473F89" w14:textId="77777777" w:rsidR="00A62BEB" w:rsidRDefault="00A62BEB" w:rsidP="00A62BEB">
      <w:pPr>
        <w:widowControl/>
        <w:autoSpaceDE/>
        <w:autoSpaceDN/>
        <w:ind w:left="709" w:hanging="709"/>
        <w:rPr>
          <w:rFonts w:eastAsia="Times New Roman"/>
          <w:sz w:val="24"/>
          <w:szCs w:val="24"/>
          <w:lang w:bidi="ar-SA"/>
        </w:rPr>
      </w:pPr>
    </w:p>
    <w:p w14:paraId="1F4BEEFB" w14:textId="77777777" w:rsidR="00626ADA" w:rsidRDefault="00626ADA" w:rsidP="00A62BEB">
      <w:pPr>
        <w:widowControl/>
        <w:autoSpaceDE/>
        <w:autoSpaceDN/>
        <w:ind w:left="709" w:hanging="709"/>
        <w:rPr>
          <w:rFonts w:eastAsia="Times New Roman"/>
          <w:sz w:val="24"/>
          <w:szCs w:val="24"/>
          <w:lang w:bidi="ar-SA"/>
        </w:rPr>
      </w:pPr>
      <w:r>
        <w:rPr>
          <w:rFonts w:eastAsia="Times New Roman"/>
          <w:sz w:val="24"/>
          <w:szCs w:val="24"/>
          <w:lang w:bidi="ar-SA"/>
        </w:rPr>
        <w:tab/>
      </w:r>
      <w:r>
        <w:rPr>
          <w:rFonts w:eastAsia="Times New Roman"/>
          <w:sz w:val="24"/>
          <w:szCs w:val="24"/>
          <w:lang w:bidi="ar-SA"/>
        </w:rPr>
        <w:tab/>
      </w:r>
    </w:p>
    <w:tbl>
      <w:tblPr>
        <w:tblStyle w:val="TableGrid"/>
        <w:tblW w:w="0" w:type="auto"/>
        <w:tblInd w:w="709" w:type="dxa"/>
        <w:tblLook w:val="04A0" w:firstRow="1" w:lastRow="0" w:firstColumn="1" w:lastColumn="0" w:noHBand="0" w:noVBand="1"/>
      </w:tblPr>
      <w:tblGrid>
        <w:gridCol w:w="2830"/>
        <w:gridCol w:w="5681"/>
      </w:tblGrid>
      <w:tr w:rsidR="00626ADA" w14:paraId="2209921D" w14:textId="77777777" w:rsidTr="00626ADA">
        <w:tc>
          <w:tcPr>
            <w:tcW w:w="2830" w:type="dxa"/>
          </w:tcPr>
          <w:p w14:paraId="43EC1F2D" w14:textId="146605DE" w:rsidR="00626ADA" w:rsidRDefault="00626ADA" w:rsidP="00A62BEB">
            <w:pPr>
              <w:rPr>
                <w:rFonts w:eastAsia="Times New Roman"/>
                <w:sz w:val="24"/>
                <w:szCs w:val="24"/>
                <w:lang w:bidi="ar-SA"/>
              </w:rPr>
            </w:pPr>
            <w:r w:rsidRPr="00A62BEB">
              <w:rPr>
                <w:rFonts w:eastAsia="Times New Roman"/>
                <w:b/>
                <w:bCs/>
                <w:sz w:val="24"/>
                <w:szCs w:val="24"/>
                <w:lang w:bidi="ar-SA"/>
              </w:rPr>
              <w:t>Good</w:t>
            </w:r>
          </w:p>
        </w:tc>
        <w:tc>
          <w:tcPr>
            <w:tcW w:w="5681" w:type="dxa"/>
          </w:tcPr>
          <w:p w14:paraId="5474DB30" w14:textId="4A975AD8" w:rsidR="00626ADA" w:rsidRDefault="00626ADA" w:rsidP="00A62BEB">
            <w:pPr>
              <w:rPr>
                <w:rFonts w:eastAsia="Times New Roman"/>
                <w:sz w:val="24"/>
                <w:szCs w:val="24"/>
                <w:lang w:bidi="ar-SA"/>
              </w:rPr>
            </w:pPr>
            <w:r w:rsidRPr="00A62BEB">
              <w:rPr>
                <w:rFonts w:eastAsia="Times New Roman"/>
                <w:sz w:val="24"/>
                <w:szCs w:val="24"/>
                <w:lang w:bidi="ar-SA"/>
              </w:rPr>
              <w:t>Performance is meeting or exceeding the key performance indicators</w:t>
            </w:r>
          </w:p>
        </w:tc>
      </w:tr>
      <w:tr w:rsidR="00626ADA" w14:paraId="15EB90E3" w14:textId="77777777" w:rsidTr="00626ADA">
        <w:tc>
          <w:tcPr>
            <w:tcW w:w="2830" w:type="dxa"/>
          </w:tcPr>
          <w:p w14:paraId="6437158F" w14:textId="7E537641" w:rsidR="00626ADA" w:rsidRDefault="00626ADA" w:rsidP="00A62BEB">
            <w:pPr>
              <w:rPr>
                <w:rFonts w:eastAsia="Times New Roman"/>
                <w:sz w:val="24"/>
                <w:szCs w:val="24"/>
                <w:lang w:bidi="ar-SA"/>
              </w:rPr>
            </w:pPr>
            <w:r w:rsidRPr="00A62BEB">
              <w:rPr>
                <w:rFonts w:eastAsia="Times New Roman"/>
                <w:b/>
                <w:bCs/>
                <w:sz w:val="24"/>
                <w:szCs w:val="24"/>
                <w:lang w:bidi="ar-SA"/>
              </w:rPr>
              <w:t>Approaching target</w:t>
            </w:r>
          </w:p>
        </w:tc>
        <w:tc>
          <w:tcPr>
            <w:tcW w:w="5681" w:type="dxa"/>
          </w:tcPr>
          <w:p w14:paraId="3043038A" w14:textId="7EACF89D" w:rsidR="00626ADA" w:rsidRDefault="00626ADA" w:rsidP="00A62BEB">
            <w:pPr>
              <w:rPr>
                <w:rFonts w:eastAsia="Times New Roman"/>
                <w:sz w:val="24"/>
                <w:szCs w:val="24"/>
                <w:lang w:bidi="ar-SA"/>
              </w:rPr>
            </w:pPr>
            <w:r w:rsidRPr="00A62BEB">
              <w:rPr>
                <w:rFonts w:eastAsia="Times New Roman"/>
                <w:sz w:val="24"/>
                <w:szCs w:val="24"/>
                <w:lang w:bidi="ar-SA"/>
              </w:rPr>
              <w:t>Performance is close to meeting the key performance</w:t>
            </w:r>
            <w:r>
              <w:rPr>
                <w:rFonts w:eastAsia="Times New Roman"/>
                <w:sz w:val="24"/>
                <w:szCs w:val="24"/>
                <w:lang w:bidi="ar-SA"/>
              </w:rPr>
              <w:t xml:space="preserve"> </w:t>
            </w:r>
            <w:r w:rsidRPr="00A62BEB">
              <w:rPr>
                <w:rFonts w:eastAsia="Times New Roman"/>
                <w:sz w:val="24"/>
                <w:szCs w:val="24"/>
                <w:lang w:bidi="ar-SA"/>
              </w:rPr>
              <w:t>indicators</w:t>
            </w:r>
          </w:p>
        </w:tc>
      </w:tr>
      <w:tr w:rsidR="00626ADA" w14:paraId="1F29F858" w14:textId="77777777" w:rsidTr="00626ADA">
        <w:tc>
          <w:tcPr>
            <w:tcW w:w="2830" w:type="dxa"/>
          </w:tcPr>
          <w:p w14:paraId="09222072" w14:textId="5B16DEE2" w:rsidR="00626ADA" w:rsidRDefault="00626ADA" w:rsidP="00A62BEB">
            <w:pPr>
              <w:rPr>
                <w:rFonts w:eastAsia="Times New Roman"/>
                <w:sz w:val="24"/>
                <w:szCs w:val="24"/>
                <w:lang w:bidi="ar-SA"/>
              </w:rPr>
            </w:pPr>
            <w:r w:rsidRPr="00A62BEB">
              <w:rPr>
                <w:rFonts w:eastAsia="Times New Roman"/>
                <w:b/>
                <w:bCs/>
                <w:sz w:val="24"/>
                <w:szCs w:val="24"/>
                <w:lang w:bidi="ar-SA"/>
              </w:rPr>
              <w:t>Requires improvement</w:t>
            </w:r>
          </w:p>
        </w:tc>
        <w:tc>
          <w:tcPr>
            <w:tcW w:w="5681" w:type="dxa"/>
          </w:tcPr>
          <w:p w14:paraId="7D436FEE" w14:textId="37DD0204" w:rsidR="00626ADA" w:rsidRDefault="00626ADA" w:rsidP="00A62BEB">
            <w:pPr>
              <w:rPr>
                <w:rFonts w:eastAsia="Times New Roman"/>
                <w:sz w:val="24"/>
                <w:szCs w:val="24"/>
                <w:lang w:bidi="ar-SA"/>
              </w:rPr>
            </w:pPr>
            <w:r w:rsidRPr="00A62BEB">
              <w:rPr>
                <w:rFonts w:eastAsia="Times New Roman"/>
                <w:sz w:val="24"/>
                <w:szCs w:val="24"/>
                <w:lang w:bidi="ar-SA"/>
              </w:rPr>
              <w:t>Performance is below the key performance indicators</w:t>
            </w:r>
          </w:p>
        </w:tc>
      </w:tr>
      <w:tr w:rsidR="00626ADA" w14:paraId="611FC186" w14:textId="77777777" w:rsidTr="00626ADA">
        <w:tc>
          <w:tcPr>
            <w:tcW w:w="2830" w:type="dxa"/>
          </w:tcPr>
          <w:p w14:paraId="28291D9D" w14:textId="2B4A71C1" w:rsidR="00626ADA" w:rsidRDefault="00626ADA" w:rsidP="00A62BEB">
            <w:pPr>
              <w:rPr>
                <w:rFonts w:eastAsia="Times New Roman"/>
                <w:sz w:val="24"/>
                <w:szCs w:val="24"/>
                <w:lang w:bidi="ar-SA"/>
              </w:rPr>
            </w:pPr>
            <w:r w:rsidRPr="00A62BEB">
              <w:rPr>
                <w:rFonts w:eastAsia="Times New Roman"/>
                <w:b/>
                <w:bCs/>
                <w:sz w:val="24"/>
                <w:szCs w:val="24"/>
                <w:lang w:bidi="ar-SA"/>
              </w:rPr>
              <w:t>Inadequate</w:t>
            </w:r>
          </w:p>
        </w:tc>
        <w:tc>
          <w:tcPr>
            <w:tcW w:w="5681" w:type="dxa"/>
          </w:tcPr>
          <w:p w14:paraId="4C61DB1D" w14:textId="18F17D8F" w:rsidR="00626ADA" w:rsidRDefault="00626ADA" w:rsidP="00A62BEB">
            <w:pPr>
              <w:rPr>
                <w:rFonts w:eastAsia="Times New Roman"/>
                <w:sz w:val="24"/>
                <w:szCs w:val="24"/>
                <w:lang w:bidi="ar-SA"/>
              </w:rPr>
            </w:pPr>
            <w:r w:rsidRPr="00A62BEB">
              <w:rPr>
                <w:rFonts w:eastAsia="Times New Roman"/>
                <w:sz w:val="24"/>
                <w:szCs w:val="24"/>
                <w:lang w:bidi="ar-SA"/>
              </w:rPr>
              <w:t>Performance is significantly below the key performance indicators</w:t>
            </w:r>
          </w:p>
        </w:tc>
      </w:tr>
      <w:tr w:rsidR="00626ADA" w14:paraId="7397A2E1" w14:textId="77777777" w:rsidTr="00626ADA">
        <w:tc>
          <w:tcPr>
            <w:tcW w:w="2830" w:type="dxa"/>
          </w:tcPr>
          <w:p w14:paraId="1A50114A" w14:textId="60AD315E" w:rsidR="00626ADA" w:rsidRDefault="00626ADA" w:rsidP="00A62BEB">
            <w:pPr>
              <w:rPr>
                <w:rFonts w:eastAsia="Times New Roman"/>
                <w:sz w:val="24"/>
                <w:szCs w:val="24"/>
                <w:lang w:bidi="ar-SA"/>
              </w:rPr>
            </w:pPr>
            <w:r w:rsidRPr="00A62BEB">
              <w:rPr>
                <w:rFonts w:eastAsia="Times New Roman"/>
                <w:b/>
                <w:bCs/>
                <w:sz w:val="24"/>
                <w:szCs w:val="24"/>
                <w:lang w:bidi="ar-SA"/>
              </w:rPr>
              <w:t>Other</w:t>
            </w:r>
          </w:p>
        </w:tc>
        <w:tc>
          <w:tcPr>
            <w:tcW w:w="5681" w:type="dxa"/>
          </w:tcPr>
          <w:p w14:paraId="0CB41509" w14:textId="7F5A3A1C" w:rsidR="00626ADA" w:rsidRDefault="00626ADA" w:rsidP="00A62BEB">
            <w:pPr>
              <w:rPr>
                <w:rFonts w:eastAsia="Times New Roman"/>
                <w:sz w:val="24"/>
                <w:szCs w:val="24"/>
                <w:lang w:bidi="ar-SA"/>
              </w:rPr>
            </w:pPr>
            <w:r w:rsidRPr="00A62BEB">
              <w:rPr>
                <w:rFonts w:eastAsia="Times New Roman"/>
                <w:sz w:val="24"/>
                <w:szCs w:val="24"/>
                <w:lang w:bidi="ar-SA"/>
              </w:rPr>
              <w:t>Where performance cannot be described as good, approaching target, requires improvement or inadequate</w:t>
            </w:r>
          </w:p>
        </w:tc>
      </w:tr>
    </w:tbl>
    <w:p w14:paraId="3D185ABD" w14:textId="1778A6BA" w:rsidR="00A62BEB" w:rsidRDefault="00A62BEB" w:rsidP="00626ADA">
      <w:pPr>
        <w:widowControl/>
        <w:autoSpaceDE/>
        <w:autoSpaceDN/>
        <w:rPr>
          <w:rFonts w:eastAsia="Times New Roman"/>
          <w:sz w:val="24"/>
          <w:szCs w:val="24"/>
          <w:lang w:bidi="ar-SA"/>
        </w:rPr>
      </w:pPr>
    </w:p>
    <w:p w14:paraId="4AB10247" w14:textId="77E4CA1E" w:rsidR="00A62BEB" w:rsidRPr="00A62BEB" w:rsidRDefault="00A62BEB" w:rsidP="00A62BEB">
      <w:pPr>
        <w:widowControl/>
        <w:autoSpaceDE/>
        <w:autoSpaceDN/>
        <w:ind w:left="709" w:hanging="709"/>
        <w:rPr>
          <w:rFonts w:eastAsia="Times New Roman"/>
          <w:b/>
          <w:bCs/>
          <w:sz w:val="24"/>
          <w:szCs w:val="24"/>
          <w:lang w:bidi="ar-SA"/>
        </w:rPr>
      </w:pPr>
      <w:r w:rsidRPr="00A62BEB">
        <w:rPr>
          <w:rFonts w:eastAsia="Times New Roman"/>
          <w:b/>
          <w:bCs/>
          <w:sz w:val="24"/>
          <w:szCs w:val="24"/>
          <w:lang w:bidi="ar-SA"/>
        </w:rPr>
        <w:t>8.5.2</w:t>
      </w:r>
      <w:r w:rsidRPr="00A62BEB">
        <w:rPr>
          <w:rFonts w:eastAsia="Times New Roman"/>
          <w:b/>
          <w:bCs/>
          <w:sz w:val="24"/>
          <w:szCs w:val="24"/>
          <w:lang w:bidi="ar-SA"/>
        </w:rPr>
        <w:tab/>
        <w:t>Poor Performance and Breach of Contract</w:t>
      </w:r>
    </w:p>
    <w:p w14:paraId="56836C3D" w14:textId="77777777" w:rsidR="00A62BEB" w:rsidRDefault="00A62BEB" w:rsidP="00A62BEB">
      <w:pPr>
        <w:widowControl/>
        <w:autoSpaceDE/>
        <w:autoSpaceDN/>
        <w:ind w:left="709"/>
        <w:rPr>
          <w:rFonts w:eastAsia="Times New Roman"/>
          <w:sz w:val="24"/>
          <w:szCs w:val="24"/>
          <w:lang w:bidi="ar-SA"/>
        </w:rPr>
      </w:pPr>
      <w:r>
        <w:rPr>
          <w:rFonts w:eastAsia="Times New Roman"/>
          <w:b/>
          <w:bCs/>
          <w:sz w:val="24"/>
          <w:szCs w:val="24"/>
          <w:lang w:bidi="ar-SA"/>
        </w:rPr>
        <w:tab/>
      </w:r>
      <w:r w:rsidRPr="00A62BEB">
        <w:rPr>
          <w:rFonts w:eastAsia="Times New Roman"/>
          <w:sz w:val="24"/>
          <w:szCs w:val="24"/>
          <w:lang w:bidi="ar-SA"/>
        </w:rPr>
        <w:t>In certain situations where a supplier breaches a public contract, or fails to</w:t>
      </w:r>
      <w:r>
        <w:rPr>
          <w:rFonts w:eastAsia="Times New Roman"/>
          <w:sz w:val="24"/>
          <w:szCs w:val="24"/>
          <w:lang w:bidi="ar-SA"/>
        </w:rPr>
        <w:t xml:space="preserve"> </w:t>
      </w:r>
      <w:r w:rsidRPr="00A62BEB">
        <w:rPr>
          <w:rFonts w:eastAsia="Times New Roman"/>
          <w:sz w:val="24"/>
          <w:szCs w:val="24"/>
          <w:lang w:bidi="ar-SA"/>
        </w:rPr>
        <w:t>satisfactorily perform a public</w:t>
      </w:r>
      <w:r>
        <w:rPr>
          <w:rFonts w:eastAsia="Times New Roman"/>
          <w:sz w:val="24"/>
          <w:szCs w:val="24"/>
          <w:lang w:bidi="ar-SA"/>
        </w:rPr>
        <w:t xml:space="preserve"> </w:t>
      </w:r>
      <w:r w:rsidRPr="00A62BEB">
        <w:rPr>
          <w:rFonts w:eastAsia="Times New Roman"/>
          <w:sz w:val="24"/>
          <w:szCs w:val="24"/>
          <w:lang w:bidi="ar-SA"/>
        </w:rPr>
        <w:t>contract, the contracting authority must report this by</w:t>
      </w:r>
      <w:r>
        <w:rPr>
          <w:rFonts w:eastAsia="Times New Roman"/>
          <w:sz w:val="24"/>
          <w:szCs w:val="24"/>
          <w:lang w:bidi="ar-SA"/>
        </w:rPr>
        <w:t xml:space="preserve"> </w:t>
      </w:r>
      <w:r w:rsidRPr="00A62BEB">
        <w:rPr>
          <w:rFonts w:eastAsia="Times New Roman"/>
          <w:sz w:val="24"/>
          <w:szCs w:val="24"/>
          <w:lang w:bidi="ar-SA"/>
        </w:rPr>
        <w:t>publishing details in a contract performance notice.</w:t>
      </w:r>
    </w:p>
    <w:p w14:paraId="688C4BD6" w14:textId="77777777" w:rsidR="00A62BEB" w:rsidRDefault="00A62BEB" w:rsidP="00A62BEB">
      <w:pPr>
        <w:widowControl/>
        <w:autoSpaceDE/>
        <w:autoSpaceDN/>
        <w:ind w:left="709"/>
        <w:rPr>
          <w:rFonts w:eastAsia="Times New Roman"/>
          <w:sz w:val="24"/>
          <w:szCs w:val="24"/>
          <w:lang w:bidi="ar-SA"/>
        </w:rPr>
      </w:pPr>
    </w:p>
    <w:p w14:paraId="69872704" w14:textId="0ADC34AF" w:rsidR="001439AA" w:rsidRPr="00A62BEB" w:rsidRDefault="00A62BEB" w:rsidP="00A62BEB">
      <w:pPr>
        <w:widowControl/>
        <w:autoSpaceDE/>
        <w:autoSpaceDN/>
        <w:ind w:left="709"/>
        <w:rPr>
          <w:rFonts w:eastAsia="Times New Roman"/>
          <w:sz w:val="24"/>
          <w:szCs w:val="24"/>
          <w:lang w:bidi="ar-SA"/>
        </w:rPr>
      </w:pPr>
      <w:r w:rsidRPr="00A62BEB">
        <w:rPr>
          <w:rFonts w:eastAsia="Times New Roman"/>
          <w:sz w:val="24"/>
          <w:szCs w:val="24"/>
          <w:lang w:bidi="ar-SA"/>
        </w:rPr>
        <w:t xml:space="preserve">These provisions are intended to capture the </w:t>
      </w:r>
      <w:r w:rsidRPr="00A62BEB">
        <w:rPr>
          <w:rFonts w:eastAsia="Times New Roman"/>
          <w:b/>
          <w:bCs/>
          <w:sz w:val="24"/>
          <w:szCs w:val="24"/>
          <w:lang w:bidi="ar-SA"/>
        </w:rPr>
        <w:t>most serious and persistent</w:t>
      </w:r>
      <w:r w:rsidRPr="00A62BEB">
        <w:rPr>
          <w:rFonts w:eastAsia="Times New Roman"/>
          <w:sz w:val="24"/>
          <w:szCs w:val="24"/>
          <w:lang w:bidi="ar-SA"/>
        </w:rPr>
        <w:t xml:space="preserve"> performance failures</w:t>
      </w:r>
      <w:r>
        <w:rPr>
          <w:rFonts w:eastAsia="Times New Roman"/>
          <w:sz w:val="24"/>
          <w:szCs w:val="24"/>
          <w:lang w:bidi="ar-SA"/>
        </w:rPr>
        <w:t>.</w:t>
      </w:r>
    </w:p>
    <w:p w14:paraId="01A1BBB9" w14:textId="77777777" w:rsidR="00870FCB" w:rsidRDefault="00870FCB" w:rsidP="00D14B65">
      <w:pPr>
        <w:widowControl/>
        <w:autoSpaceDE/>
        <w:autoSpaceDN/>
        <w:rPr>
          <w:rFonts w:eastAsia="Times New Roman"/>
          <w:b/>
          <w:bCs/>
          <w:sz w:val="24"/>
          <w:szCs w:val="24"/>
          <w:lang w:bidi="ar-SA"/>
        </w:rPr>
      </w:pPr>
    </w:p>
    <w:p w14:paraId="45BF5213" w14:textId="42C7FF90" w:rsidR="00A62BEB" w:rsidRDefault="00A62BEB" w:rsidP="00D14B65">
      <w:pPr>
        <w:widowControl/>
        <w:autoSpaceDE/>
        <w:autoSpaceDN/>
        <w:rPr>
          <w:rFonts w:eastAsia="Times New Roman"/>
          <w:b/>
          <w:bCs/>
          <w:sz w:val="24"/>
          <w:szCs w:val="24"/>
          <w:lang w:bidi="ar-SA"/>
        </w:rPr>
      </w:pPr>
      <w:r>
        <w:rPr>
          <w:rFonts w:eastAsia="Times New Roman"/>
          <w:b/>
          <w:bCs/>
          <w:sz w:val="24"/>
          <w:szCs w:val="24"/>
          <w:lang w:bidi="ar-SA"/>
        </w:rPr>
        <w:t>8.5.3</w:t>
      </w:r>
      <w:r>
        <w:rPr>
          <w:rFonts w:eastAsia="Times New Roman"/>
          <w:b/>
          <w:bCs/>
          <w:sz w:val="24"/>
          <w:szCs w:val="24"/>
          <w:lang w:bidi="ar-SA"/>
        </w:rPr>
        <w:tab/>
      </w:r>
      <w:r w:rsidR="00870FCB">
        <w:rPr>
          <w:rFonts w:eastAsia="Times New Roman"/>
          <w:b/>
          <w:bCs/>
          <w:sz w:val="24"/>
          <w:szCs w:val="24"/>
          <w:lang w:bidi="ar-SA"/>
        </w:rPr>
        <w:t>Contract Payment Reporting</w:t>
      </w:r>
    </w:p>
    <w:p w14:paraId="485CFABA" w14:textId="2994D3E6" w:rsidR="00870FCB" w:rsidRPr="00870FCB" w:rsidRDefault="00870FCB" w:rsidP="00870FCB">
      <w:pPr>
        <w:widowControl/>
        <w:autoSpaceDE/>
        <w:autoSpaceDN/>
        <w:ind w:left="709"/>
        <w:rPr>
          <w:rFonts w:eastAsia="Times New Roman"/>
          <w:sz w:val="24"/>
          <w:szCs w:val="24"/>
          <w:lang w:bidi="ar-SA"/>
        </w:rPr>
      </w:pPr>
      <w:r>
        <w:rPr>
          <w:rFonts w:eastAsia="Times New Roman"/>
          <w:b/>
          <w:bCs/>
          <w:sz w:val="24"/>
          <w:szCs w:val="24"/>
          <w:lang w:bidi="ar-SA"/>
        </w:rPr>
        <w:tab/>
      </w:r>
      <w:r w:rsidRPr="00870FCB">
        <w:rPr>
          <w:rFonts w:eastAsia="Times New Roman"/>
          <w:sz w:val="24"/>
          <w:szCs w:val="24"/>
          <w:lang w:bidi="ar-SA"/>
        </w:rPr>
        <w:t>The Procurement Act requires the ICB to publish information about individual payments of more than £30,000 made by the ICB under a public contract, on a quarterly basis.</w:t>
      </w:r>
    </w:p>
    <w:p w14:paraId="6FF97A24" w14:textId="77777777" w:rsidR="00870FCB" w:rsidRPr="00870FCB" w:rsidRDefault="00870FCB" w:rsidP="00870FCB">
      <w:pPr>
        <w:widowControl/>
        <w:autoSpaceDE/>
        <w:autoSpaceDN/>
        <w:rPr>
          <w:rFonts w:eastAsia="Times New Roman"/>
          <w:b/>
          <w:bCs/>
          <w:sz w:val="24"/>
          <w:szCs w:val="24"/>
          <w:lang w:bidi="ar-SA"/>
        </w:rPr>
      </w:pPr>
    </w:p>
    <w:p w14:paraId="2E8FA73D" w14:textId="77777777" w:rsidR="00870FCB" w:rsidRDefault="00870FCB" w:rsidP="00D14B65">
      <w:pPr>
        <w:widowControl/>
        <w:autoSpaceDE/>
        <w:autoSpaceDN/>
        <w:rPr>
          <w:rFonts w:eastAsia="Times New Roman"/>
          <w:b/>
          <w:bCs/>
          <w:sz w:val="24"/>
          <w:szCs w:val="24"/>
          <w:lang w:bidi="ar-SA"/>
        </w:rPr>
      </w:pPr>
    </w:p>
    <w:p w14:paraId="52EE5E16" w14:textId="04424C54" w:rsidR="00D14B65" w:rsidRPr="00D14B65" w:rsidRDefault="00870FCB" w:rsidP="00D14B65">
      <w:pPr>
        <w:widowControl/>
        <w:autoSpaceDE/>
        <w:autoSpaceDN/>
        <w:rPr>
          <w:rFonts w:eastAsia="Times New Roman"/>
          <w:b/>
          <w:bCs/>
          <w:sz w:val="24"/>
          <w:szCs w:val="24"/>
          <w:lang w:bidi="ar-SA"/>
        </w:rPr>
      </w:pPr>
      <w:r>
        <w:rPr>
          <w:rFonts w:eastAsia="Times New Roman"/>
          <w:b/>
          <w:bCs/>
          <w:sz w:val="24"/>
          <w:szCs w:val="24"/>
          <w:lang w:bidi="ar-SA"/>
        </w:rPr>
        <w:t>8.6</w:t>
      </w:r>
      <w:r>
        <w:rPr>
          <w:rFonts w:eastAsia="Times New Roman"/>
          <w:b/>
          <w:bCs/>
          <w:sz w:val="24"/>
          <w:szCs w:val="24"/>
          <w:lang w:bidi="ar-SA"/>
        </w:rPr>
        <w:tab/>
      </w:r>
      <w:r w:rsidR="00D14B65" w:rsidRPr="00D14B65">
        <w:rPr>
          <w:rFonts w:eastAsia="Times New Roman"/>
          <w:b/>
          <w:bCs/>
          <w:sz w:val="24"/>
          <w:szCs w:val="24"/>
          <w:lang w:bidi="ar-SA"/>
        </w:rPr>
        <w:t>Transparency Notices</w:t>
      </w:r>
    </w:p>
    <w:p w14:paraId="1CA6ACEB" w14:textId="48B1F8D7" w:rsidR="00D14B65" w:rsidRDefault="00D14B65" w:rsidP="00D14B65">
      <w:pPr>
        <w:widowControl/>
        <w:autoSpaceDE/>
        <w:autoSpaceDN/>
        <w:ind w:left="709" w:hanging="709"/>
        <w:rPr>
          <w:rFonts w:eastAsia="Times New Roman"/>
          <w:sz w:val="24"/>
          <w:szCs w:val="24"/>
          <w:lang w:bidi="ar-SA"/>
        </w:rPr>
      </w:pPr>
      <w:r>
        <w:rPr>
          <w:rFonts w:eastAsia="Times New Roman"/>
          <w:sz w:val="24"/>
          <w:szCs w:val="24"/>
          <w:lang w:bidi="ar-SA"/>
        </w:rPr>
        <w:tab/>
        <w:t>The Procurement Act 2023 requires increased publication of transparency notices via the Central Digital Platform. A full list of the notices is published at Appendix A.</w:t>
      </w:r>
    </w:p>
    <w:p w14:paraId="57836386" w14:textId="77777777" w:rsidR="00D14B65" w:rsidRDefault="00D14B65" w:rsidP="00D14B65">
      <w:pPr>
        <w:widowControl/>
        <w:autoSpaceDE/>
        <w:autoSpaceDN/>
        <w:rPr>
          <w:rFonts w:eastAsia="Times New Roman"/>
          <w:sz w:val="24"/>
          <w:szCs w:val="24"/>
          <w:lang w:bidi="ar-SA"/>
        </w:rPr>
      </w:pPr>
    </w:p>
    <w:p w14:paraId="6F263468" w14:textId="77777777" w:rsidR="00D14B65" w:rsidRPr="00717D69" w:rsidRDefault="00D14B65" w:rsidP="00D14B65">
      <w:pPr>
        <w:widowControl/>
        <w:autoSpaceDE/>
        <w:autoSpaceDN/>
        <w:rPr>
          <w:rFonts w:eastAsia="Times New Roman"/>
          <w:b/>
          <w:bCs/>
          <w:sz w:val="24"/>
          <w:szCs w:val="24"/>
          <w:lang w:bidi="ar-SA"/>
        </w:rPr>
      </w:pPr>
    </w:p>
    <w:p w14:paraId="73C2DC28" w14:textId="30C145B3" w:rsidR="00D14B65" w:rsidRPr="00717D69" w:rsidRDefault="00D14B65" w:rsidP="00D14B65">
      <w:pPr>
        <w:widowControl/>
        <w:autoSpaceDE/>
        <w:autoSpaceDN/>
        <w:rPr>
          <w:rFonts w:eastAsia="Times New Roman"/>
          <w:b/>
          <w:bCs/>
          <w:sz w:val="24"/>
          <w:szCs w:val="24"/>
          <w:lang w:bidi="ar-SA"/>
        </w:rPr>
      </w:pPr>
      <w:r w:rsidRPr="00717D69">
        <w:rPr>
          <w:rFonts w:eastAsia="Times New Roman"/>
          <w:b/>
          <w:bCs/>
          <w:sz w:val="24"/>
          <w:szCs w:val="24"/>
          <w:lang w:bidi="ar-SA"/>
        </w:rPr>
        <w:t>8.</w:t>
      </w:r>
      <w:r w:rsidR="00870FCB">
        <w:rPr>
          <w:rFonts w:eastAsia="Times New Roman"/>
          <w:b/>
          <w:bCs/>
          <w:sz w:val="24"/>
          <w:szCs w:val="24"/>
          <w:lang w:bidi="ar-SA"/>
        </w:rPr>
        <w:t>7</w:t>
      </w:r>
      <w:r w:rsidRPr="00717D69">
        <w:rPr>
          <w:rFonts w:eastAsia="Times New Roman"/>
          <w:b/>
          <w:bCs/>
          <w:sz w:val="24"/>
          <w:szCs w:val="24"/>
          <w:lang w:bidi="ar-SA"/>
        </w:rPr>
        <w:tab/>
        <w:t>Below-Threshold Procurements</w:t>
      </w:r>
    </w:p>
    <w:p w14:paraId="698D30E7" w14:textId="55964322" w:rsidR="00D14B65" w:rsidRDefault="00D14B65" w:rsidP="00D14B65">
      <w:pPr>
        <w:widowControl/>
        <w:autoSpaceDE/>
        <w:autoSpaceDN/>
        <w:rPr>
          <w:rFonts w:eastAsia="Times New Roman"/>
          <w:sz w:val="24"/>
          <w:szCs w:val="24"/>
          <w:lang w:bidi="ar-SA"/>
        </w:rPr>
      </w:pPr>
      <w:r>
        <w:rPr>
          <w:rFonts w:eastAsia="Times New Roman"/>
          <w:sz w:val="24"/>
          <w:szCs w:val="24"/>
          <w:lang w:bidi="ar-SA"/>
        </w:rPr>
        <w:tab/>
        <w:t>Below-threshold procurements are those with a contract value below £214,904.</w:t>
      </w:r>
    </w:p>
    <w:p w14:paraId="3919586E" w14:textId="3874B64E" w:rsidR="00D14B65" w:rsidRDefault="00717D69" w:rsidP="00951CAA">
      <w:pPr>
        <w:widowControl/>
        <w:autoSpaceDE/>
        <w:autoSpaceDN/>
        <w:ind w:left="709"/>
        <w:rPr>
          <w:rFonts w:eastAsia="Times New Roman"/>
          <w:sz w:val="24"/>
          <w:szCs w:val="24"/>
          <w:lang w:bidi="ar-SA"/>
        </w:rPr>
      </w:pPr>
      <w:r>
        <w:rPr>
          <w:rFonts w:eastAsia="Times New Roman"/>
          <w:sz w:val="24"/>
          <w:szCs w:val="24"/>
          <w:lang w:bidi="ar-SA"/>
        </w:rPr>
        <w:tab/>
        <w:t>Regulated Below-Threshold Procurements refers to those procurements with a contract value between £30,000 and £214,904.</w:t>
      </w:r>
    </w:p>
    <w:p w14:paraId="400C0E23" w14:textId="77777777" w:rsidR="00717D69" w:rsidRDefault="00717D69" w:rsidP="00951CAA">
      <w:pPr>
        <w:widowControl/>
        <w:autoSpaceDE/>
        <w:autoSpaceDN/>
        <w:ind w:left="709"/>
        <w:rPr>
          <w:rFonts w:eastAsia="Times New Roman"/>
          <w:sz w:val="24"/>
          <w:szCs w:val="24"/>
          <w:lang w:bidi="ar-SA"/>
        </w:rPr>
      </w:pPr>
    </w:p>
    <w:p w14:paraId="23DD7CC7" w14:textId="77777777" w:rsidR="0022643F" w:rsidRDefault="00717D69" w:rsidP="00951CAA">
      <w:pPr>
        <w:widowControl/>
        <w:autoSpaceDE/>
        <w:autoSpaceDN/>
        <w:ind w:left="709"/>
        <w:rPr>
          <w:rFonts w:eastAsia="Times New Roman"/>
          <w:sz w:val="24"/>
          <w:szCs w:val="24"/>
          <w:lang w:bidi="ar-SA"/>
        </w:rPr>
      </w:pPr>
      <w:r>
        <w:rPr>
          <w:rFonts w:eastAsia="Times New Roman"/>
          <w:sz w:val="24"/>
          <w:szCs w:val="24"/>
          <w:lang w:bidi="ar-SA"/>
        </w:rPr>
        <w:tab/>
        <w:t xml:space="preserve">The ICB can choose to publish </w:t>
      </w:r>
      <w:r w:rsidR="0022643F">
        <w:rPr>
          <w:rFonts w:eastAsia="Times New Roman"/>
          <w:sz w:val="24"/>
          <w:szCs w:val="24"/>
          <w:lang w:bidi="ar-SA"/>
        </w:rPr>
        <w:t xml:space="preserve">a Below Threshold Tender Notice and </w:t>
      </w:r>
      <w:r>
        <w:rPr>
          <w:rFonts w:eastAsia="Times New Roman"/>
          <w:sz w:val="24"/>
          <w:szCs w:val="24"/>
          <w:lang w:bidi="ar-SA"/>
        </w:rPr>
        <w:t xml:space="preserve">an invitation to tender </w:t>
      </w:r>
      <w:r w:rsidR="0022643F">
        <w:rPr>
          <w:rFonts w:eastAsia="Times New Roman"/>
          <w:sz w:val="24"/>
          <w:szCs w:val="24"/>
          <w:lang w:bidi="ar-SA"/>
        </w:rPr>
        <w:t>via</w:t>
      </w:r>
      <w:r>
        <w:rPr>
          <w:rFonts w:eastAsia="Times New Roman"/>
          <w:sz w:val="24"/>
          <w:szCs w:val="24"/>
          <w:lang w:bidi="ar-SA"/>
        </w:rPr>
        <w:t xml:space="preserve"> the Central Digital Platform</w:t>
      </w:r>
      <w:r w:rsidR="0022643F">
        <w:rPr>
          <w:rFonts w:eastAsia="Times New Roman"/>
          <w:sz w:val="24"/>
          <w:szCs w:val="24"/>
          <w:lang w:bidi="ar-SA"/>
        </w:rPr>
        <w:t>. Pre-market engagement is optional, as is the standstill period following the publication of the Contract Award Notice.</w:t>
      </w:r>
    </w:p>
    <w:p w14:paraId="7BE0F7D2" w14:textId="77777777" w:rsidR="0022643F" w:rsidRDefault="0022643F" w:rsidP="00717D69">
      <w:pPr>
        <w:widowControl/>
        <w:autoSpaceDE/>
        <w:autoSpaceDN/>
        <w:ind w:left="851" w:hanging="851"/>
        <w:rPr>
          <w:rFonts w:eastAsia="Times New Roman"/>
          <w:sz w:val="24"/>
          <w:szCs w:val="24"/>
          <w:lang w:bidi="ar-SA"/>
        </w:rPr>
      </w:pPr>
    </w:p>
    <w:p w14:paraId="3F9F2B73" w14:textId="35240769" w:rsidR="00717D69" w:rsidRDefault="0022643F" w:rsidP="00951CAA">
      <w:pPr>
        <w:widowControl/>
        <w:autoSpaceDE/>
        <w:autoSpaceDN/>
        <w:ind w:left="709"/>
        <w:rPr>
          <w:rFonts w:eastAsia="Times New Roman"/>
          <w:sz w:val="24"/>
          <w:szCs w:val="24"/>
          <w:lang w:bidi="ar-SA"/>
        </w:rPr>
      </w:pPr>
      <w:r>
        <w:rPr>
          <w:rFonts w:eastAsia="Times New Roman"/>
          <w:sz w:val="24"/>
          <w:szCs w:val="24"/>
          <w:lang w:bidi="ar-SA"/>
        </w:rPr>
        <w:t>A</w:t>
      </w:r>
      <w:r w:rsidR="00717D69">
        <w:rPr>
          <w:rFonts w:eastAsia="Times New Roman"/>
          <w:sz w:val="24"/>
          <w:szCs w:val="24"/>
          <w:lang w:bidi="ar-SA"/>
        </w:rPr>
        <w:t>lternatively</w:t>
      </w:r>
      <w:r>
        <w:rPr>
          <w:rFonts w:eastAsia="Times New Roman"/>
          <w:sz w:val="24"/>
          <w:szCs w:val="24"/>
          <w:lang w:bidi="ar-SA"/>
        </w:rPr>
        <w:t>,</w:t>
      </w:r>
      <w:r w:rsidR="00717D69">
        <w:rPr>
          <w:rFonts w:eastAsia="Times New Roman"/>
          <w:sz w:val="24"/>
          <w:szCs w:val="24"/>
          <w:lang w:bidi="ar-SA"/>
        </w:rPr>
        <w:t xml:space="preserve"> the ICB </w:t>
      </w:r>
      <w:proofErr w:type="gramStart"/>
      <w:r>
        <w:rPr>
          <w:rFonts w:eastAsia="Times New Roman"/>
          <w:sz w:val="24"/>
          <w:szCs w:val="24"/>
          <w:lang w:bidi="ar-SA"/>
        </w:rPr>
        <w:t>is able to</w:t>
      </w:r>
      <w:proofErr w:type="gramEnd"/>
      <w:r w:rsidR="00717D69">
        <w:rPr>
          <w:rFonts w:eastAsia="Times New Roman"/>
          <w:sz w:val="24"/>
          <w:szCs w:val="24"/>
          <w:lang w:bidi="ar-SA"/>
        </w:rPr>
        <w:t xml:space="preserve"> seek quotations from appropriate suppliers:</w:t>
      </w:r>
    </w:p>
    <w:p w14:paraId="6B84BCFA" w14:textId="77777777" w:rsidR="00717D69" w:rsidRDefault="00717D69" w:rsidP="00717D69">
      <w:pPr>
        <w:widowControl/>
        <w:autoSpaceDE/>
        <w:autoSpaceDN/>
        <w:ind w:left="851" w:hanging="851"/>
        <w:rPr>
          <w:rFonts w:eastAsia="Times New Roman"/>
          <w:sz w:val="24"/>
          <w:szCs w:val="24"/>
          <w:lang w:bidi="ar-SA"/>
        </w:rPr>
      </w:pPr>
      <w:r>
        <w:rPr>
          <w:rFonts w:eastAsia="Times New Roman"/>
          <w:sz w:val="24"/>
          <w:szCs w:val="24"/>
          <w:lang w:bidi="ar-SA"/>
        </w:rPr>
        <w:tab/>
      </w:r>
    </w:p>
    <w:tbl>
      <w:tblPr>
        <w:tblStyle w:val="TableGrid"/>
        <w:tblW w:w="0" w:type="auto"/>
        <w:tblInd w:w="851" w:type="dxa"/>
        <w:tblLook w:val="04A0" w:firstRow="1" w:lastRow="0" w:firstColumn="1" w:lastColumn="0" w:noHBand="0" w:noVBand="1"/>
      </w:tblPr>
      <w:tblGrid>
        <w:gridCol w:w="4194"/>
        <w:gridCol w:w="4239"/>
      </w:tblGrid>
      <w:tr w:rsidR="00717D69" w14:paraId="07A5CCD7" w14:textId="77777777" w:rsidTr="00717D69">
        <w:tc>
          <w:tcPr>
            <w:tcW w:w="4610" w:type="dxa"/>
          </w:tcPr>
          <w:p w14:paraId="59E6F77C" w14:textId="05690AFA" w:rsidR="00717D69" w:rsidRDefault="00717D69" w:rsidP="00717D69">
            <w:pPr>
              <w:rPr>
                <w:rFonts w:eastAsia="Times New Roman"/>
                <w:sz w:val="24"/>
                <w:szCs w:val="24"/>
                <w:lang w:bidi="ar-SA"/>
              </w:rPr>
            </w:pPr>
            <w:r>
              <w:rPr>
                <w:rFonts w:eastAsia="Times New Roman"/>
                <w:sz w:val="24"/>
                <w:szCs w:val="24"/>
                <w:lang w:bidi="ar-SA"/>
              </w:rPr>
              <w:t xml:space="preserve">Contract value </w:t>
            </w:r>
          </w:p>
        </w:tc>
        <w:tc>
          <w:tcPr>
            <w:tcW w:w="4610" w:type="dxa"/>
          </w:tcPr>
          <w:p w14:paraId="0CB144B7" w14:textId="1B7A0711" w:rsidR="00717D69" w:rsidRDefault="00717D69" w:rsidP="00717D69">
            <w:pPr>
              <w:rPr>
                <w:rFonts w:eastAsia="Times New Roman"/>
                <w:sz w:val="24"/>
                <w:szCs w:val="24"/>
                <w:lang w:bidi="ar-SA"/>
              </w:rPr>
            </w:pPr>
            <w:r>
              <w:rPr>
                <w:rFonts w:eastAsia="Times New Roman"/>
                <w:sz w:val="24"/>
                <w:szCs w:val="24"/>
                <w:lang w:bidi="ar-SA"/>
              </w:rPr>
              <w:t>Requirement</w:t>
            </w:r>
          </w:p>
        </w:tc>
      </w:tr>
      <w:tr w:rsidR="00717D69" w14:paraId="7F9F0445" w14:textId="77777777" w:rsidTr="00717D69">
        <w:tc>
          <w:tcPr>
            <w:tcW w:w="4610" w:type="dxa"/>
          </w:tcPr>
          <w:p w14:paraId="481BAA56" w14:textId="77777777" w:rsidR="00717D69" w:rsidRDefault="00717D69" w:rsidP="00717D69">
            <w:pPr>
              <w:rPr>
                <w:rFonts w:eastAsia="Times New Roman"/>
                <w:sz w:val="24"/>
                <w:szCs w:val="24"/>
                <w:lang w:bidi="ar-SA"/>
              </w:rPr>
            </w:pPr>
          </w:p>
          <w:p w14:paraId="27F9A00D" w14:textId="604E650B" w:rsidR="00717D69" w:rsidRDefault="00717D69" w:rsidP="00717D69">
            <w:pPr>
              <w:rPr>
                <w:rFonts w:eastAsia="Times New Roman"/>
                <w:sz w:val="24"/>
                <w:szCs w:val="24"/>
                <w:lang w:bidi="ar-SA"/>
              </w:rPr>
            </w:pPr>
            <w:r>
              <w:rPr>
                <w:rFonts w:eastAsia="Times New Roman"/>
                <w:sz w:val="24"/>
                <w:szCs w:val="24"/>
                <w:lang w:bidi="ar-SA"/>
              </w:rPr>
              <w:t>Less that £1,000</w:t>
            </w:r>
          </w:p>
          <w:p w14:paraId="7EB01BF5" w14:textId="77777777" w:rsidR="00717D69" w:rsidRDefault="00717D69" w:rsidP="00717D69">
            <w:pPr>
              <w:rPr>
                <w:rFonts w:eastAsia="Times New Roman"/>
                <w:sz w:val="24"/>
                <w:szCs w:val="24"/>
                <w:lang w:bidi="ar-SA"/>
              </w:rPr>
            </w:pPr>
          </w:p>
        </w:tc>
        <w:tc>
          <w:tcPr>
            <w:tcW w:w="4610" w:type="dxa"/>
          </w:tcPr>
          <w:p w14:paraId="722C7399" w14:textId="77777777" w:rsidR="00717D69" w:rsidRDefault="00717D69" w:rsidP="00717D69">
            <w:pPr>
              <w:rPr>
                <w:rFonts w:eastAsia="Times New Roman"/>
                <w:sz w:val="24"/>
                <w:szCs w:val="24"/>
                <w:lang w:bidi="ar-SA"/>
              </w:rPr>
            </w:pPr>
          </w:p>
          <w:p w14:paraId="661A57F6" w14:textId="77777777" w:rsidR="00717D69" w:rsidRDefault="00717D69" w:rsidP="00717D69">
            <w:pPr>
              <w:rPr>
                <w:rFonts w:eastAsia="Times New Roman"/>
                <w:sz w:val="24"/>
                <w:szCs w:val="24"/>
                <w:lang w:bidi="ar-SA"/>
              </w:rPr>
            </w:pPr>
            <w:r>
              <w:rPr>
                <w:rFonts w:eastAsia="Times New Roman"/>
                <w:sz w:val="24"/>
                <w:szCs w:val="24"/>
                <w:lang w:bidi="ar-SA"/>
              </w:rPr>
              <w:t>Minimum of one quotation (non-competitive)</w:t>
            </w:r>
          </w:p>
          <w:p w14:paraId="688FCF5D" w14:textId="2E88780D" w:rsidR="00717D69" w:rsidRDefault="00717D69" w:rsidP="00717D69">
            <w:pPr>
              <w:rPr>
                <w:rFonts w:eastAsia="Times New Roman"/>
                <w:sz w:val="24"/>
                <w:szCs w:val="24"/>
                <w:lang w:bidi="ar-SA"/>
              </w:rPr>
            </w:pPr>
            <w:r>
              <w:rPr>
                <w:rFonts w:eastAsia="Times New Roman"/>
                <w:sz w:val="24"/>
                <w:szCs w:val="24"/>
                <w:lang w:bidi="ar-SA"/>
              </w:rPr>
              <w:t>Purchases are generally made using the ICB credit card.</w:t>
            </w:r>
          </w:p>
          <w:p w14:paraId="452D8DA0" w14:textId="2F0BD8E9" w:rsidR="00717D69" w:rsidRDefault="00717D69" w:rsidP="00717D69">
            <w:pPr>
              <w:rPr>
                <w:rFonts w:eastAsia="Times New Roman"/>
                <w:sz w:val="24"/>
                <w:szCs w:val="24"/>
                <w:lang w:bidi="ar-SA"/>
              </w:rPr>
            </w:pPr>
          </w:p>
        </w:tc>
      </w:tr>
      <w:tr w:rsidR="00717D69" w14:paraId="5B6FDCA5" w14:textId="77777777" w:rsidTr="00717D69">
        <w:tc>
          <w:tcPr>
            <w:tcW w:w="4610" w:type="dxa"/>
          </w:tcPr>
          <w:p w14:paraId="71BCCEAC" w14:textId="77777777" w:rsidR="00717D69" w:rsidRDefault="00717D69" w:rsidP="00717D69">
            <w:pPr>
              <w:rPr>
                <w:rFonts w:eastAsia="Times New Roman"/>
                <w:sz w:val="24"/>
                <w:szCs w:val="24"/>
                <w:lang w:bidi="ar-SA"/>
              </w:rPr>
            </w:pPr>
          </w:p>
          <w:p w14:paraId="1DF7920C" w14:textId="42F25F94" w:rsidR="00717D69" w:rsidRDefault="00717D69" w:rsidP="00717D69">
            <w:pPr>
              <w:rPr>
                <w:rFonts w:eastAsia="Times New Roman"/>
                <w:sz w:val="24"/>
                <w:szCs w:val="24"/>
                <w:lang w:bidi="ar-SA"/>
              </w:rPr>
            </w:pPr>
            <w:r>
              <w:rPr>
                <w:rFonts w:eastAsia="Times New Roman"/>
                <w:sz w:val="24"/>
                <w:szCs w:val="24"/>
                <w:lang w:bidi="ar-SA"/>
              </w:rPr>
              <w:t>More than £1,000 and less than £10,000</w:t>
            </w:r>
          </w:p>
          <w:p w14:paraId="1273C068" w14:textId="77777777" w:rsidR="00717D69" w:rsidRDefault="00717D69" w:rsidP="00717D69">
            <w:pPr>
              <w:rPr>
                <w:rFonts w:eastAsia="Times New Roman"/>
                <w:sz w:val="24"/>
                <w:szCs w:val="24"/>
                <w:lang w:bidi="ar-SA"/>
              </w:rPr>
            </w:pPr>
          </w:p>
        </w:tc>
        <w:tc>
          <w:tcPr>
            <w:tcW w:w="4610" w:type="dxa"/>
          </w:tcPr>
          <w:p w14:paraId="09C79FF6" w14:textId="77777777" w:rsidR="00717D69" w:rsidRDefault="00717D69" w:rsidP="00717D69">
            <w:pPr>
              <w:rPr>
                <w:rFonts w:eastAsia="Times New Roman"/>
                <w:sz w:val="24"/>
                <w:szCs w:val="24"/>
                <w:lang w:bidi="ar-SA"/>
              </w:rPr>
            </w:pPr>
          </w:p>
          <w:p w14:paraId="7DA91AA3" w14:textId="10C89647" w:rsidR="00717D69" w:rsidRDefault="00717D69" w:rsidP="00717D69">
            <w:pPr>
              <w:rPr>
                <w:rFonts w:eastAsia="Times New Roman"/>
                <w:sz w:val="24"/>
                <w:szCs w:val="24"/>
                <w:lang w:bidi="ar-SA"/>
              </w:rPr>
            </w:pPr>
            <w:r>
              <w:rPr>
                <w:rFonts w:eastAsia="Times New Roman"/>
                <w:sz w:val="24"/>
                <w:szCs w:val="24"/>
                <w:lang w:bidi="ar-SA"/>
              </w:rPr>
              <w:t>Minimum of two quotations (competitive)</w:t>
            </w:r>
          </w:p>
        </w:tc>
      </w:tr>
      <w:tr w:rsidR="00717D69" w14:paraId="119E6D1F" w14:textId="77777777" w:rsidTr="00717D69">
        <w:tc>
          <w:tcPr>
            <w:tcW w:w="4610" w:type="dxa"/>
          </w:tcPr>
          <w:p w14:paraId="1B552019" w14:textId="77777777" w:rsidR="00717D69" w:rsidRDefault="00717D69" w:rsidP="00717D69">
            <w:pPr>
              <w:rPr>
                <w:rFonts w:eastAsia="Times New Roman"/>
                <w:sz w:val="24"/>
                <w:szCs w:val="24"/>
                <w:lang w:bidi="ar-SA"/>
              </w:rPr>
            </w:pPr>
          </w:p>
          <w:p w14:paraId="11C82F3E" w14:textId="4C6382BF" w:rsidR="00717D69" w:rsidRDefault="00717D69" w:rsidP="00717D69">
            <w:pPr>
              <w:rPr>
                <w:rFonts w:eastAsia="Times New Roman"/>
                <w:sz w:val="24"/>
                <w:szCs w:val="24"/>
                <w:lang w:bidi="ar-SA"/>
              </w:rPr>
            </w:pPr>
            <w:r>
              <w:rPr>
                <w:rFonts w:eastAsia="Times New Roman"/>
                <w:sz w:val="24"/>
                <w:szCs w:val="24"/>
                <w:lang w:bidi="ar-SA"/>
              </w:rPr>
              <w:t>More than £10,000 but less than £214,904</w:t>
            </w:r>
          </w:p>
          <w:p w14:paraId="6D70827A" w14:textId="77777777" w:rsidR="00717D69" w:rsidRDefault="00717D69" w:rsidP="00717D69">
            <w:pPr>
              <w:rPr>
                <w:rFonts w:eastAsia="Times New Roman"/>
                <w:sz w:val="24"/>
                <w:szCs w:val="24"/>
                <w:lang w:bidi="ar-SA"/>
              </w:rPr>
            </w:pPr>
          </w:p>
        </w:tc>
        <w:tc>
          <w:tcPr>
            <w:tcW w:w="4610" w:type="dxa"/>
          </w:tcPr>
          <w:p w14:paraId="0ECD5A0A" w14:textId="77777777" w:rsidR="00717D69" w:rsidRDefault="00717D69" w:rsidP="00717D69">
            <w:pPr>
              <w:rPr>
                <w:rFonts w:eastAsia="Times New Roman"/>
                <w:sz w:val="24"/>
                <w:szCs w:val="24"/>
                <w:lang w:bidi="ar-SA"/>
              </w:rPr>
            </w:pPr>
          </w:p>
          <w:p w14:paraId="104A68AD" w14:textId="03C5E4CD" w:rsidR="00717D69" w:rsidRDefault="00717D69" w:rsidP="00717D69">
            <w:pPr>
              <w:rPr>
                <w:rFonts w:eastAsia="Times New Roman"/>
                <w:sz w:val="24"/>
                <w:szCs w:val="24"/>
                <w:lang w:bidi="ar-SA"/>
              </w:rPr>
            </w:pPr>
            <w:r>
              <w:rPr>
                <w:rFonts w:eastAsia="Times New Roman"/>
                <w:sz w:val="24"/>
                <w:szCs w:val="24"/>
                <w:lang w:bidi="ar-SA"/>
              </w:rPr>
              <w:t>Minimum of three competitive quotations.</w:t>
            </w:r>
          </w:p>
        </w:tc>
      </w:tr>
    </w:tbl>
    <w:p w14:paraId="5DD6EAE6" w14:textId="77777777" w:rsidR="00717D69" w:rsidRDefault="00717D69" w:rsidP="00D14B65">
      <w:pPr>
        <w:widowControl/>
        <w:autoSpaceDE/>
        <w:autoSpaceDN/>
        <w:rPr>
          <w:rFonts w:eastAsia="Times New Roman"/>
          <w:sz w:val="24"/>
          <w:szCs w:val="24"/>
          <w:lang w:bidi="ar-SA"/>
        </w:rPr>
      </w:pPr>
    </w:p>
    <w:p w14:paraId="5ADAD506" w14:textId="1B065D2D" w:rsidR="00717D69" w:rsidRDefault="00717D69" w:rsidP="00717D69">
      <w:pPr>
        <w:widowControl/>
        <w:autoSpaceDE/>
        <w:autoSpaceDN/>
        <w:ind w:left="851"/>
        <w:rPr>
          <w:rFonts w:eastAsia="Times New Roman"/>
          <w:sz w:val="24"/>
          <w:szCs w:val="24"/>
          <w:lang w:bidi="ar-SA"/>
        </w:rPr>
      </w:pPr>
      <w:proofErr w:type="gramStart"/>
      <w:r>
        <w:rPr>
          <w:rFonts w:eastAsia="Times New Roman"/>
          <w:sz w:val="24"/>
          <w:szCs w:val="24"/>
          <w:lang w:bidi="ar-SA"/>
        </w:rPr>
        <w:t>In order to</w:t>
      </w:r>
      <w:proofErr w:type="gramEnd"/>
      <w:r>
        <w:rPr>
          <w:rFonts w:eastAsia="Times New Roman"/>
          <w:sz w:val="24"/>
          <w:szCs w:val="24"/>
          <w:lang w:bidi="ar-SA"/>
        </w:rPr>
        <w:t xml:space="preserve"> obtain quotations, the ICB must publish an appropriate specification and evaluation criteria, this will be a combination of price and qualitative assessment.</w:t>
      </w:r>
    </w:p>
    <w:p w14:paraId="7E99E76E" w14:textId="77777777" w:rsidR="00717D69" w:rsidRDefault="00717D69" w:rsidP="00717D69">
      <w:pPr>
        <w:widowControl/>
        <w:autoSpaceDE/>
        <w:autoSpaceDN/>
        <w:ind w:left="851"/>
        <w:rPr>
          <w:rFonts w:eastAsia="Times New Roman"/>
          <w:sz w:val="24"/>
          <w:szCs w:val="24"/>
          <w:lang w:bidi="ar-SA"/>
        </w:rPr>
      </w:pPr>
    </w:p>
    <w:p w14:paraId="3555FF36" w14:textId="5D751B24" w:rsidR="00717D69" w:rsidRDefault="00717D69" w:rsidP="00717D69">
      <w:pPr>
        <w:widowControl/>
        <w:autoSpaceDE/>
        <w:autoSpaceDN/>
        <w:ind w:left="851"/>
        <w:rPr>
          <w:rFonts w:eastAsia="Times New Roman"/>
          <w:sz w:val="24"/>
          <w:szCs w:val="24"/>
          <w:lang w:bidi="ar-SA"/>
        </w:rPr>
      </w:pPr>
      <w:r>
        <w:rPr>
          <w:rFonts w:eastAsia="Times New Roman"/>
          <w:sz w:val="24"/>
          <w:szCs w:val="24"/>
          <w:lang w:bidi="ar-SA"/>
        </w:rPr>
        <w:t xml:space="preserve">If it is determined that there are grounds </w:t>
      </w:r>
      <w:r w:rsidR="0022643F">
        <w:rPr>
          <w:rFonts w:eastAsia="Times New Roman"/>
          <w:sz w:val="24"/>
          <w:szCs w:val="24"/>
          <w:lang w:bidi="ar-SA"/>
        </w:rPr>
        <w:t xml:space="preserve">for the ICB </w:t>
      </w:r>
      <w:r>
        <w:rPr>
          <w:rFonts w:eastAsia="Times New Roman"/>
          <w:sz w:val="24"/>
          <w:szCs w:val="24"/>
          <w:lang w:bidi="ar-SA"/>
        </w:rPr>
        <w:t>to award a below-threshold contract outside of this framework, e.g. direct award</w:t>
      </w:r>
      <w:r w:rsidR="0022643F">
        <w:rPr>
          <w:rFonts w:eastAsia="Times New Roman"/>
          <w:sz w:val="24"/>
          <w:szCs w:val="24"/>
          <w:lang w:bidi="ar-SA"/>
        </w:rPr>
        <w:t>, these must be appropriately documented and approved.</w:t>
      </w:r>
    </w:p>
    <w:p w14:paraId="67A47615" w14:textId="77777777" w:rsidR="0022643F" w:rsidRDefault="0022643F" w:rsidP="00717D69">
      <w:pPr>
        <w:widowControl/>
        <w:autoSpaceDE/>
        <w:autoSpaceDN/>
        <w:ind w:left="851"/>
        <w:rPr>
          <w:rFonts w:eastAsia="Times New Roman"/>
          <w:sz w:val="24"/>
          <w:szCs w:val="24"/>
          <w:lang w:bidi="ar-SA"/>
        </w:rPr>
      </w:pPr>
    </w:p>
    <w:p w14:paraId="26AAC363" w14:textId="52C33287" w:rsidR="0022643F" w:rsidRDefault="0022643F" w:rsidP="00717D69">
      <w:pPr>
        <w:widowControl/>
        <w:autoSpaceDE/>
        <w:autoSpaceDN/>
        <w:ind w:left="851"/>
        <w:rPr>
          <w:rFonts w:eastAsia="Times New Roman"/>
          <w:sz w:val="24"/>
          <w:szCs w:val="24"/>
          <w:lang w:bidi="ar-SA"/>
        </w:rPr>
      </w:pPr>
      <w:r>
        <w:rPr>
          <w:rFonts w:eastAsia="Times New Roman"/>
          <w:sz w:val="24"/>
          <w:szCs w:val="24"/>
          <w:lang w:bidi="ar-SA"/>
        </w:rPr>
        <w:t>For all Regulated Below-Threshold procurements with a contract value over £30,000 a Contract Details Notice must be published on the Central Digital Platform.</w:t>
      </w:r>
    </w:p>
    <w:p w14:paraId="13DA1C78" w14:textId="77777777" w:rsidR="0022643F" w:rsidRDefault="0022643F" w:rsidP="00717D69">
      <w:pPr>
        <w:widowControl/>
        <w:autoSpaceDE/>
        <w:autoSpaceDN/>
        <w:ind w:left="851"/>
        <w:rPr>
          <w:rFonts w:eastAsia="Times New Roman"/>
          <w:sz w:val="24"/>
          <w:szCs w:val="24"/>
          <w:lang w:bidi="ar-SA"/>
        </w:rPr>
      </w:pPr>
    </w:p>
    <w:p w14:paraId="2DAA9CBD" w14:textId="423D1FDC" w:rsidR="0098734F" w:rsidRDefault="0098734F">
      <w:pPr>
        <w:rPr>
          <w:rFonts w:eastAsia="Times New Roman"/>
          <w:sz w:val="24"/>
          <w:szCs w:val="24"/>
          <w:lang w:bidi="ar-SA"/>
        </w:rPr>
      </w:pPr>
    </w:p>
    <w:p w14:paraId="0B114A60" w14:textId="4447E771" w:rsidR="0022643F" w:rsidRPr="00870FCB" w:rsidRDefault="001439AA" w:rsidP="0022643F">
      <w:pPr>
        <w:ind w:left="851" w:hanging="851"/>
        <w:rPr>
          <w:rFonts w:eastAsia="Times New Roman"/>
          <w:b/>
          <w:bCs/>
          <w:sz w:val="24"/>
          <w:szCs w:val="24"/>
          <w:lang w:bidi="ar-SA"/>
        </w:rPr>
      </w:pPr>
      <w:r w:rsidRPr="00870FCB">
        <w:rPr>
          <w:rFonts w:eastAsia="Times New Roman"/>
          <w:b/>
          <w:bCs/>
          <w:sz w:val="24"/>
          <w:szCs w:val="24"/>
          <w:lang w:bidi="ar-SA"/>
        </w:rPr>
        <w:t>8.</w:t>
      </w:r>
      <w:r w:rsidR="00870FCB" w:rsidRPr="00870FCB">
        <w:rPr>
          <w:rFonts w:eastAsia="Times New Roman"/>
          <w:b/>
          <w:bCs/>
          <w:sz w:val="24"/>
          <w:szCs w:val="24"/>
          <w:lang w:bidi="ar-SA"/>
        </w:rPr>
        <w:t>8</w:t>
      </w:r>
      <w:r w:rsidRPr="00870FCB">
        <w:rPr>
          <w:rFonts w:eastAsia="Times New Roman"/>
          <w:b/>
          <w:bCs/>
          <w:sz w:val="24"/>
          <w:szCs w:val="24"/>
          <w:lang w:bidi="ar-SA"/>
        </w:rPr>
        <w:tab/>
      </w:r>
      <w:r w:rsidR="0022643F" w:rsidRPr="00870FCB">
        <w:rPr>
          <w:rFonts w:eastAsia="Times New Roman"/>
          <w:b/>
          <w:bCs/>
          <w:sz w:val="24"/>
          <w:szCs w:val="24"/>
          <w:lang w:bidi="ar-SA"/>
        </w:rPr>
        <w:t>Convertible Contracts</w:t>
      </w:r>
    </w:p>
    <w:p w14:paraId="42708132" w14:textId="703BFA55" w:rsidR="0022643F" w:rsidRDefault="0022643F" w:rsidP="0022643F">
      <w:pPr>
        <w:ind w:left="851"/>
        <w:rPr>
          <w:rFonts w:eastAsia="Times New Roman"/>
          <w:sz w:val="24"/>
          <w:szCs w:val="24"/>
          <w:lang w:bidi="ar-SA"/>
        </w:rPr>
      </w:pPr>
      <w:r>
        <w:rPr>
          <w:rFonts w:eastAsia="Times New Roman"/>
          <w:sz w:val="24"/>
          <w:szCs w:val="24"/>
          <w:lang w:bidi="ar-SA"/>
        </w:rPr>
        <w:t>A Convertible Contract is a contract that:</w:t>
      </w:r>
    </w:p>
    <w:p w14:paraId="716A8840" w14:textId="58B8C82D" w:rsidR="0022643F" w:rsidRDefault="0022643F" w:rsidP="00870FCB">
      <w:pPr>
        <w:pStyle w:val="ListParagraph"/>
        <w:numPr>
          <w:ilvl w:val="0"/>
          <w:numId w:val="39"/>
        </w:numPr>
        <w:rPr>
          <w:rFonts w:eastAsia="Times New Roman"/>
          <w:sz w:val="24"/>
          <w:szCs w:val="24"/>
          <w:lang w:bidi="ar-SA"/>
        </w:rPr>
      </w:pPr>
      <w:r>
        <w:rPr>
          <w:rFonts w:eastAsia="Times New Roman"/>
          <w:sz w:val="24"/>
          <w:szCs w:val="24"/>
          <w:lang w:bidi="ar-SA"/>
        </w:rPr>
        <w:t>(</w:t>
      </w:r>
      <w:r w:rsidR="001439AA">
        <w:rPr>
          <w:rFonts w:eastAsia="Times New Roman"/>
          <w:sz w:val="24"/>
          <w:szCs w:val="24"/>
          <w:lang w:bidi="ar-SA"/>
        </w:rPr>
        <w:t>P</w:t>
      </w:r>
      <w:r>
        <w:rPr>
          <w:rFonts w:eastAsia="Times New Roman"/>
          <w:sz w:val="24"/>
          <w:szCs w:val="24"/>
          <w:lang w:bidi="ar-SA"/>
        </w:rPr>
        <w:t xml:space="preserve">rior to modification) </w:t>
      </w:r>
      <w:r w:rsidR="001439AA">
        <w:rPr>
          <w:rFonts w:eastAsia="Times New Roman"/>
          <w:sz w:val="24"/>
          <w:szCs w:val="24"/>
          <w:lang w:bidi="ar-SA"/>
        </w:rPr>
        <w:t>is below threshold (less than £214,904)</w:t>
      </w:r>
    </w:p>
    <w:p w14:paraId="7E07E1B5" w14:textId="77777777" w:rsidR="001439AA" w:rsidRDefault="001439AA" w:rsidP="00870FCB">
      <w:pPr>
        <w:pStyle w:val="ListParagraph"/>
        <w:numPr>
          <w:ilvl w:val="0"/>
          <w:numId w:val="39"/>
        </w:numPr>
        <w:rPr>
          <w:rFonts w:eastAsia="Times New Roman"/>
          <w:sz w:val="24"/>
          <w:szCs w:val="24"/>
          <w:lang w:bidi="ar-SA"/>
        </w:rPr>
      </w:pPr>
      <w:r>
        <w:rPr>
          <w:rFonts w:eastAsia="Times New Roman"/>
          <w:sz w:val="24"/>
          <w:szCs w:val="24"/>
          <w:lang w:bidi="ar-SA"/>
        </w:rPr>
        <w:t>Was established in accordance with the rules surrounding below-threshold contracts</w:t>
      </w:r>
    </w:p>
    <w:p w14:paraId="404334F1" w14:textId="1163CA2E" w:rsidR="001439AA" w:rsidRDefault="001439AA" w:rsidP="00870FCB">
      <w:pPr>
        <w:pStyle w:val="ListParagraph"/>
        <w:numPr>
          <w:ilvl w:val="0"/>
          <w:numId w:val="39"/>
        </w:numPr>
        <w:rPr>
          <w:rFonts w:eastAsia="Times New Roman"/>
          <w:sz w:val="24"/>
          <w:szCs w:val="24"/>
          <w:lang w:bidi="ar-SA"/>
        </w:rPr>
      </w:pPr>
      <w:r>
        <w:rPr>
          <w:rFonts w:eastAsia="Times New Roman"/>
          <w:sz w:val="24"/>
          <w:szCs w:val="24"/>
          <w:lang w:bidi="ar-SA"/>
        </w:rPr>
        <w:t>Will be above threshold (more than £214,904) once a modification has taken place.</w:t>
      </w:r>
    </w:p>
    <w:p w14:paraId="11D938B5" w14:textId="77777777" w:rsidR="001439AA" w:rsidRDefault="001439AA" w:rsidP="001439AA">
      <w:pPr>
        <w:pStyle w:val="ListParagraph"/>
        <w:ind w:left="1571" w:firstLine="0"/>
        <w:rPr>
          <w:rFonts w:eastAsia="Times New Roman"/>
          <w:sz w:val="24"/>
          <w:szCs w:val="24"/>
          <w:lang w:bidi="ar-SA"/>
        </w:rPr>
      </w:pPr>
    </w:p>
    <w:p w14:paraId="71FF4506" w14:textId="77777777" w:rsidR="002055B1" w:rsidRDefault="001439AA" w:rsidP="001439AA">
      <w:pPr>
        <w:ind w:left="720"/>
        <w:rPr>
          <w:rFonts w:eastAsia="Times New Roman"/>
          <w:sz w:val="24"/>
          <w:szCs w:val="24"/>
          <w:lang w:bidi="ar-SA"/>
        </w:rPr>
      </w:pPr>
      <w:r>
        <w:rPr>
          <w:rFonts w:eastAsia="Times New Roman"/>
          <w:sz w:val="24"/>
          <w:szCs w:val="24"/>
          <w:lang w:bidi="ar-SA"/>
        </w:rPr>
        <w:t xml:space="preserve">Once the modification has taken place, the modified contract will be a public </w:t>
      </w:r>
    </w:p>
    <w:p w14:paraId="66B60D25" w14:textId="1EE982C7" w:rsidR="001439AA" w:rsidRDefault="002055B1" w:rsidP="001439AA">
      <w:pPr>
        <w:ind w:left="720"/>
        <w:rPr>
          <w:rFonts w:eastAsia="Times New Roman"/>
          <w:sz w:val="24"/>
          <w:szCs w:val="24"/>
          <w:lang w:bidi="ar-SA"/>
        </w:rPr>
      </w:pPr>
      <w:r>
        <w:rPr>
          <w:rFonts w:eastAsia="Times New Roman"/>
          <w:sz w:val="24"/>
          <w:szCs w:val="24"/>
          <w:lang w:bidi="ar-SA"/>
        </w:rPr>
        <w:t>c</w:t>
      </w:r>
      <w:r w:rsidR="001439AA">
        <w:rPr>
          <w:rFonts w:eastAsia="Times New Roman"/>
          <w:sz w:val="24"/>
          <w:szCs w:val="24"/>
          <w:lang w:bidi="ar-SA"/>
        </w:rPr>
        <w:t>ontract and the full scope of the Procurement Act 2023 will apply to it.</w:t>
      </w:r>
    </w:p>
    <w:p w14:paraId="06360A92" w14:textId="77777777" w:rsidR="00870FCB" w:rsidRDefault="00870FCB" w:rsidP="00870FCB">
      <w:pPr>
        <w:rPr>
          <w:rFonts w:eastAsia="Times New Roman"/>
          <w:sz w:val="24"/>
          <w:szCs w:val="24"/>
          <w:lang w:bidi="ar-SA"/>
        </w:rPr>
      </w:pPr>
    </w:p>
    <w:p w14:paraId="32879A0B" w14:textId="77777777" w:rsidR="006D185B" w:rsidRDefault="006D185B" w:rsidP="00870FCB">
      <w:pPr>
        <w:rPr>
          <w:rFonts w:eastAsia="Times New Roman"/>
          <w:sz w:val="24"/>
          <w:szCs w:val="24"/>
          <w:lang w:bidi="ar-SA"/>
        </w:rPr>
      </w:pPr>
    </w:p>
    <w:p w14:paraId="6044B167" w14:textId="50813DDA" w:rsidR="006D185B" w:rsidRPr="003A2180" w:rsidRDefault="006D185B" w:rsidP="003A2180">
      <w:pPr>
        <w:ind w:left="709" w:hanging="709"/>
        <w:rPr>
          <w:rFonts w:eastAsia="Times New Roman"/>
          <w:b/>
          <w:bCs/>
          <w:sz w:val="24"/>
          <w:szCs w:val="24"/>
          <w:lang w:bidi="ar-SA"/>
        </w:rPr>
      </w:pPr>
      <w:r w:rsidRPr="006D185B">
        <w:rPr>
          <w:rFonts w:eastAsia="Times New Roman"/>
          <w:b/>
          <w:bCs/>
          <w:sz w:val="24"/>
          <w:szCs w:val="24"/>
          <w:lang w:bidi="ar-SA"/>
        </w:rPr>
        <w:t>8.9</w:t>
      </w:r>
      <w:r w:rsidRPr="006D185B">
        <w:rPr>
          <w:rFonts w:eastAsia="Times New Roman"/>
          <w:b/>
          <w:bCs/>
          <w:sz w:val="24"/>
          <w:szCs w:val="24"/>
          <w:lang w:bidi="ar-SA"/>
        </w:rPr>
        <w:tab/>
      </w:r>
      <w:r w:rsidRPr="003A2180">
        <w:rPr>
          <w:rFonts w:eastAsia="Times New Roman"/>
          <w:b/>
          <w:bCs/>
          <w:sz w:val="24"/>
          <w:szCs w:val="24"/>
          <w:lang w:bidi="ar-SA"/>
        </w:rPr>
        <w:t>Contract Termination</w:t>
      </w:r>
    </w:p>
    <w:p w14:paraId="0295B63D" w14:textId="61D7992C" w:rsidR="006D185B" w:rsidRPr="003A2180" w:rsidRDefault="006D185B" w:rsidP="003A2180">
      <w:pPr>
        <w:ind w:left="709" w:hanging="709"/>
        <w:rPr>
          <w:rFonts w:eastAsia="Times New Roman"/>
          <w:sz w:val="24"/>
          <w:szCs w:val="24"/>
          <w:lang w:bidi="ar-SA"/>
        </w:rPr>
      </w:pPr>
      <w:r w:rsidRPr="003A2180">
        <w:rPr>
          <w:rFonts w:eastAsia="Times New Roman"/>
          <w:sz w:val="24"/>
          <w:szCs w:val="24"/>
          <w:lang w:bidi="ar-SA"/>
        </w:rPr>
        <w:tab/>
      </w:r>
      <w:r w:rsidR="003A2180" w:rsidRPr="003A2180">
        <w:rPr>
          <w:rFonts w:eastAsia="Times New Roman"/>
          <w:sz w:val="24"/>
          <w:szCs w:val="24"/>
          <w:lang w:bidi="ar-SA"/>
        </w:rPr>
        <w:t xml:space="preserve">The Procurement Act 2023 includes a requirement that a Contract Termination Notice be published if a contract is terminated for whatever reason, including reaching its expiry date. </w:t>
      </w:r>
    </w:p>
    <w:p w14:paraId="5E111554" w14:textId="77777777" w:rsidR="006D185B" w:rsidRDefault="006D185B" w:rsidP="00870FCB">
      <w:pPr>
        <w:rPr>
          <w:rFonts w:eastAsia="Times New Roman"/>
          <w:sz w:val="24"/>
          <w:szCs w:val="24"/>
          <w:lang w:bidi="ar-SA"/>
        </w:rPr>
      </w:pPr>
    </w:p>
    <w:p w14:paraId="795D19CB" w14:textId="77777777" w:rsidR="003E0D82" w:rsidRPr="003E0D82" w:rsidRDefault="003E0D82" w:rsidP="00870FCB">
      <w:pPr>
        <w:rPr>
          <w:rFonts w:eastAsia="Times New Roman"/>
          <w:sz w:val="24"/>
          <w:szCs w:val="24"/>
          <w:lang w:bidi="ar-SA"/>
        </w:rPr>
      </w:pPr>
    </w:p>
    <w:p w14:paraId="572458D8" w14:textId="77777777" w:rsidR="00870FCB" w:rsidRPr="003E0D82" w:rsidRDefault="00870FCB" w:rsidP="00870FCB">
      <w:pPr>
        <w:rPr>
          <w:rFonts w:eastAsia="Times New Roman"/>
          <w:b/>
          <w:bCs/>
          <w:sz w:val="24"/>
          <w:szCs w:val="24"/>
          <w:lang w:bidi="ar-SA"/>
        </w:rPr>
      </w:pPr>
    </w:p>
    <w:p w14:paraId="5A403748" w14:textId="23DE3B6E" w:rsidR="006D185B" w:rsidRPr="003E0D82" w:rsidRDefault="006D185B" w:rsidP="009F5CAC">
      <w:pPr>
        <w:pStyle w:val="Heading1"/>
        <w:numPr>
          <w:ilvl w:val="0"/>
          <w:numId w:val="49"/>
        </w:numPr>
        <w:ind w:left="709" w:hanging="709"/>
        <w:jc w:val="left"/>
        <w:rPr>
          <w:rFonts w:eastAsia="Times New Roman"/>
          <w:lang w:bidi="ar-SA"/>
        </w:rPr>
      </w:pPr>
      <w:bookmarkStart w:id="16" w:name="_Toc190529412"/>
      <w:r w:rsidRPr="003E0D82">
        <w:rPr>
          <w:rFonts w:eastAsia="Times New Roman"/>
          <w:lang w:bidi="ar-SA"/>
        </w:rPr>
        <w:t>Procurement via Framework Agreements</w:t>
      </w:r>
      <w:bookmarkEnd w:id="16"/>
    </w:p>
    <w:p w14:paraId="03877942" w14:textId="6601ABCE" w:rsidR="006D185B" w:rsidRPr="00951CAA" w:rsidRDefault="003E0D82" w:rsidP="00951CAA">
      <w:pPr>
        <w:ind w:left="709"/>
        <w:rPr>
          <w:sz w:val="24"/>
          <w:szCs w:val="24"/>
          <w:lang w:bidi="ar-SA"/>
        </w:rPr>
      </w:pPr>
      <w:r w:rsidRPr="00951CAA">
        <w:rPr>
          <w:sz w:val="24"/>
          <w:szCs w:val="24"/>
          <w:lang w:bidi="ar-SA"/>
        </w:rPr>
        <w:t>Framework agreements can provide a useful and time-efficient route to procurement for both healthcare and non-healthcare procurements. The Contracting Authority or Relevant Authority who has awarded the contracts within the Framework will have accredited the providers.</w:t>
      </w:r>
    </w:p>
    <w:p w14:paraId="32BFCEAB" w14:textId="77777777" w:rsidR="003E0D82" w:rsidRPr="00951CAA" w:rsidRDefault="003E0D82" w:rsidP="00951CAA">
      <w:pPr>
        <w:ind w:left="709"/>
        <w:rPr>
          <w:sz w:val="24"/>
          <w:szCs w:val="24"/>
          <w:lang w:bidi="ar-SA"/>
        </w:rPr>
      </w:pPr>
    </w:p>
    <w:p w14:paraId="52C22E32" w14:textId="42A62839" w:rsidR="003E0D82" w:rsidRPr="00951CAA" w:rsidRDefault="003E0D82" w:rsidP="00951CAA">
      <w:pPr>
        <w:ind w:left="709"/>
        <w:rPr>
          <w:sz w:val="24"/>
          <w:szCs w:val="24"/>
          <w:lang w:bidi="ar-SA"/>
        </w:rPr>
      </w:pPr>
      <w:r w:rsidRPr="00951CAA">
        <w:rPr>
          <w:sz w:val="24"/>
          <w:szCs w:val="24"/>
          <w:lang w:bidi="ar-SA"/>
        </w:rPr>
        <w:t xml:space="preserve">Depending on the individual terms of the Framework, procurement may be by direct award to a Framework provider or by sharing the ICB’s requirements with the Framework providers and holding a </w:t>
      </w:r>
      <w:proofErr w:type="gramStart"/>
      <w:r w:rsidRPr="00951CAA">
        <w:rPr>
          <w:sz w:val="24"/>
          <w:szCs w:val="24"/>
          <w:lang w:bidi="ar-SA"/>
        </w:rPr>
        <w:t>mini-competition</w:t>
      </w:r>
      <w:proofErr w:type="gramEnd"/>
      <w:r w:rsidRPr="00951CAA">
        <w:rPr>
          <w:sz w:val="24"/>
          <w:szCs w:val="24"/>
          <w:lang w:bidi="ar-SA"/>
        </w:rPr>
        <w:t>.</w:t>
      </w:r>
    </w:p>
    <w:p w14:paraId="767A6B81" w14:textId="77777777" w:rsidR="003E0D82" w:rsidRPr="00951CAA" w:rsidRDefault="003E0D82" w:rsidP="00951CAA">
      <w:pPr>
        <w:ind w:left="709"/>
        <w:rPr>
          <w:sz w:val="24"/>
          <w:szCs w:val="24"/>
          <w:lang w:bidi="ar-SA"/>
        </w:rPr>
      </w:pPr>
    </w:p>
    <w:p w14:paraId="7B6FE59D" w14:textId="0117D123" w:rsidR="003E0D82" w:rsidRPr="00951CAA" w:rsidRDefault="003E0D82" w:rsidP="00951CAA">
      <w:pPr>
        <w:ind w:left="709"/>
        <w:rPr>
          <w:sz w:val="24"/>
          <w:szCs w:val="24"/>
          <w:lang w:bidi="ar-SA"/>
        </w:rPr>
      </w:pPr>
      <w:r w:rsidRPr="00951CAA">
        <w:rPr>
          <w:sz w:val="24"/>
          <w:szCs w:val="24"/>
          <w:lang w:bidi="ar-SA"/>
        </w:rPr>
        <w:t>Contracts awarded from a Framework are referred to as Call Off contracts.</w:t>
      </w:r>
    </w:p>
    <w:p w14:paraId="562E2919" w14:textId="77777777" w:rsidR="006D185B" w:rsidRDefault="006D185B" w:rsidP="006D185B">
      <w:pPr>
        <w:pStyle w:val="Heading1"/>
        <w:numPr>
          <w:ilvl w:val="0"/>
          <w:numId w:val="0"/>
        </w:numPr>
        <w:ind w:left="709"/>
        <w:jc w:val="left"/>
        <w:rPr>
          <w:rFonts w:eastAsia="Times New Roman"/>
          <w:lang w:bidi="ar-SA"/>
        </w:rPr>
      </w:pPr>
    </w:p>
    <w:p w14:paraId="3DB1E83E" w14:textId="77777777" w:rsidR="006D185B" w:rsidRDefault="006D185B" w:rsidP="006D185B">
      <w:pPr>
        <w:pStyle w:val="Heading1"/>
        <w:numPr>
          <w:ilvl w:val="0"/>
          <w:numId w:val="0"/>
        </w:numPr>
        <w:ind w:left="709"/>
        <w:jc w:val="left"/>
        <w:rPr>
          <w:rFonts w:eastAsia="Times New Roman"/>
          <w:lang w:bidi="ar-SA"/>
        </w:rPr>
      </w:pPr>
    </w:p>
    <w:p w14:paraId="6B019F70" w14:textId="77777777" w:rsidR="003E0D82" w:rsidRDefault="003E0D82" w:rsidP="006D185B">
      <w:pPr>
        <w:pStyle w:val="Heading1"/>
        <w:numPr>
          <w:ilvl w:val="0"/>
          <w:numId w:val="0"/>
        </w:numPr>
        <w:ind w:left="709"/>
        <w:jc w:val="left"/>
        <w:rPr>
          <w:rFonts w:eastAsia="Times New Roman"/>
          <w:lang w:bidi="ar-SA"/>
        </w:rPr>
      </w:pPr>
    </w:p>
    <w:p w14:paraId="1BC3FC70" w14:textId="5BFA83F3" w:rsidR="00870FCB" w:rsidRDefault="00870FCB" w:rsidP="009F5CAC">
      <w:pPr>
        <w:pStyle w:val="Heading1"/>
        <w:numPr>
          <w:ilvl w:val="1"/>
          <w:numId w:val="41"/>
        </w:numPr>
        <w:ind w:left="709" w:hanging="709"/>
        <w:jc w:val="left"/>
        <w:rPr>
          <w:rFonts w:eastAsia="Times New Roman"/>
          <w:lang w:bidi="ar-SA"/>
        </w:rPr>
      </w:pPr>
      <w:bookmarkStart w:id="17" w:name="_Toc190529413"/>
      <w:r w:rsidRPr="00CE2AAA">
        <w:rPr>
          <w:rFonts w:eastAsia="Times New Roman"/>
          <w:lang w:bidi="ar-SA"/>
        </w:rPr>
        <w:t>Contract Award, Contract Signature and Contract Modification Decisions</w:t>
      </w:r>
      <w:bookmarkEnd w:id="17"/>
    </w:p>
    <w:p w14:paraId="67068FB4" w14:textId="77777777" w:rsidR="006D185B" w:rsidRPr="006D185B" w:rsidRDefault="006D185B" w:rsidP="006D185B">
      <w:pPr>
        <w:ind w:left="709"/>
        <w:rPr>
          <w:rFonts w:eastAsia="Times New Roman"/>
          <w:sz w:val="24"/>
          <w:szCs w:val="24"/>
          <w:lang w:bidi="ar-SA"/>
        </w:rPr>
      </w:pPr>
      <w:r w:rsidRPr="006D185B">
        <w:rPr>
          <w:rFonts w:eastAsia="Times New Roman"/>
          <w:sz w:val="24"/>
          <w:szCs w:val="24"/>
          <w:lang w:bidi="ar-SA"/>
        </w:rPr>
        <w:t>The roles and responsibilities for taking decisions in respect of awarding and modifying contracts and for signing contracts is described in the ICB Operational Scheme of Delegation.</w:t>
      </w:r>
    </w:p>
    <w:p w14:paraId="231AF27E" w14:textId="77777777" w:rsidR="006D185B" w:rsidRDefault="006D185B" w:rsidP="006D185B">
      <w:pPr>
        <w:pStyle w:val="ListParagraph"/>
        <w:ind w:left="1562"/>
        <w:rPr>
          <w:rFonts w:eastAsia="Times New Roman"/>
          <w:lang w:bidi="ar-SA"/>
        </w:rPr>
      </w:pPr>
    </w:p>
    <w:p w14:paraId="338FADEB" w14:textId="384E720A" w:rsidR="003E0D82" w:rsidRDefault="003E0D82">
      <w:pPr>
        <w:rPr>
          <w:rFonts w:eastAsia="Times New Roman"/>
          <w:lang w:bidi="ar-SA"/>
        </w:rPr>
      </w:pPr>
      <w:r>
        <w:rPr>
          <w:rFonts w:eastAsia="Times New Roman"/>
          <w:lang w:bidi="ar-SA"/>
        </w:rPr>
        <w:br w:type="page"/>
      </w:r>
    </w:p>
    <w:p w14:paraId="3479C845" w14:textId="77777777" w:rsidR="006D185B" w:rsidRDefault="006D185B" w:rsidP="006D185B">
      <w:pPr>
        <w:pStyle w:val="ListParagraph"/>
        <w:rPr>
          <w:rFonts w:eastAsia="Times New Roman"/>
          <w:lang w:bidi="ar-SA"/>
        </w:rPr>
      </w:pPr>
    </w:p>
    <w:p w14:paraId="1B3F409E" w14:textId="7779B91C" w:rsidR="006D185B" w:rsidRDefault="006D185B" w:rsidP="009F5CAC">
      <w:pPr>
        <w:pStyle w:val="Heading1"/>
        <w:numPr>
          <w:ilvl w:val="0"/>
          <w:numId w:val="52"/>
        </w:numPr>
        <w:ind w:left="709" w:hanging="709"/>
        <w:jc w:val="left"/>
        <w:rPr>
          <w:rFonts w:eastAsia="Times New Roman"/>
          <w:lang w:bidi="ar-SA"/>
        </w:rPr>
      </w:pPr>
      <w:bookmarkStart w:id="18" w:name="_Toc190529414"/>
      <w:r w:rsidRPr="00CE2AAA">
        <w:rPr>
          <w:rFonts w:eastAsia="Times New Roman"/>
          <w:lang w:bidi="ar-SA"/>
        </w:rPr>
        <w:t>Public Sector Equality Duty</w:t>
      </w:r>
      <w:bookmarkEnd w:id="18"/>
    </w:p>
    <w:p w14:paraId="4DBEF7D1" w14:textId="77777777" w:rsidR="006D185B" w:rsidRPr="006D185B" w:rsidRDefault="006D185B" w:rsidP="006D185B">
      <w:pPr>
        <w:pStyle w:val="BodyText"/>
        <w:ind w:left="709"/>
      </w:pPr>
      <w:r w:rsidRPr="000D4B4C">
        <w:t xml:space="preserve">All policies should include a statement that NHS Humber and North Yorkshire aims to </w:t>
      </w:r>
      <w:r w:rsidRPr="006D185B">
        <w:t>design and implement services, policies and measures that meet the diverse needs of our service, population and workforce, ensuring that none are placed at a disadvantage over others.</w:t>
      </w:r>
    </w:p>
    <w:p w14:paraId="3235DC0D" w14:textId="77777777" w:rsidR="006D185B" w:rsidRPr="006D185B" w:rsidRDefault="006D185B" w:rsidP="006D185B">
      <w:pPr>
        <w:pStyle w:val="BodyText"/>
        <w:ind w:left="927"/>
      </w:pPr>
    </w:p>
    <w:p w14:paraId="5747B15E" w14:textId="77777777" w:rsidR="006D185B" w:rsidRPr="006D185B" w:rsidRDefault="006D185B" w:rsidP="006D185B">
      <w:pPr>
        <w:pStyle w:val="BodyText"/>
        <w:ind w:left="709"/>
      </w:pPr>
      <w:r w:rsidRPr="006D185B">
        <w:t xml:space="preserve">It is required that </w:t>
      </w:r>
      <w:proofErr w:type="gramStart"/>
      <w:r w:rsidRPr="006D185B">
        <w:t>a</w:t>
      </w:r>
      <w:proofErr w:type="gramEnd"/>
      <w:r w:rsidRPr="006D185B">
        <w:t xml:space="preserve"> Equality Impact Assessment (QEIA) is carried out on a new policy that is likely to impact on patients, carers, communities or staff. </w:t>
      </w:r>
    </w:p>
    <w:p w14:paraId="746C4A66" w14:textId="77777777" w:rsidR="006D185B" w:rsidRPr="006D185B" w:rsidRDefault="006D185B" w:rsidP="006D185B">
      <w:pPr>
        <w:pStyle w:val="BodyText"/>
        <w:ind w:left="709"/>
      </w:pPr>
    </w:p>
    <w:p w14:paraId="796F106E" w14:textId="77777777" w:rsidR="006D185B" w:rsidRPr="006D185B" w:rsidRDefault="006D185B" w:rsidP="006D185B">
      <w:pPr>
        <w:pStyle w:val="ListParagraph"/>
        <w:ind w:left="709" w:firstLine="0"/>
        <w:rPr>
          <w:rFonts w:eastAsia="Times New Roman"/>
          <w:sz w:val="24"/>
          <w:szCs w:val="24"/>
          <w:lang w:bidi="ar-SA"/>
        </w:rPr>
      </w:pPr>
      <w:r w:rsidRPr="006D185B">
        <w:rPr>
          <w:sz w:val="24"/>
          <w:szCs w:val="24"/>
        </w:rPr>
        <w:t>Potential adverse impact on any protected group identified through the QEIA will be monitored as part of the routine work to monitor compliance with the policy</w:t>
      </w:r>
    </w:p>
    <w:p w14:paraId="2A4B6D5A" w14:textId="77777777" w:rsidR="006D185B" w:rsidRDefault="006D185B" w:rsidP="006D185B">
      <w:pPr>
        <w:pStyle w:val="Heading1"/>
        <w:numPr>
          <w:ilvl w:val="0"/>
          <w:numId w:val="0"/>
        </w:numPr>
        <w:ind w:left="709"/>
        <w:jc w:val="left"/>
        <w:rPr>
          <w:rFonts w:eastAsia="Times New Roman"/>
          <w:lang w:bidi="ar-SA"/>
        </w:rPr>
      </w:pPr>
    </w:p>
    <w:p w14:paraId="33173AFF" w14:textId="77777777" w:rsidR="006D185B" w:rsidRDefault="006D185B" w:rsidP="006D185B">
      <w:pPr>
        <w:pStyle w:val="Heading1"/>
        <w:numPr>
          <w:ilvl w:val="0"/>
          <w:numId w:val="0"/>
        </w:numPr>
        <w:ind w:left="709"/>
        <w:jc w:val="left"/>
        <w:rPr>
          <w:rFonts w:eastAsia="Times New Roman"/>
          <w:lang w:bidi="ar-SA"/>
        </w:rPr>
      </w:pPr>
    </w:p>
    <w:p w14:paraId="67D6E9AD" w14:textId="77777777" w:rsidR="006D185B" w:rsidRPr="006D185B" w:rsidRDefault="006D185B" w:rsidP="009F5CAC">
      <w:pPr>
        <w:pStyle w:val="Heading1"/>
        <w:numPr>
          <w:ilvl w:val="0"/>
          <w:numId w:val="52"/>
        </w:numPr>
        <w:ind w:left="709" w:hanging="709"/>
        <w:jc w:val="left"/>
        <w:rPr>
          <w:rFonts w:eastAsia="Times New Roman"/>
          <w:lang w:bidi="ar-SA"/>
        </w:rPr>
      </w:pPr>
      <w:bookmarkStart w:id="19" w:name="_Toc190529415"/>
      <w:r w:rsidRPr="00515EAD">
        <w:t>Consultation</w:t>
      </w:r>
      <w:bookmarkEnd w:id="19"/>
    </w:p>
    <w:p w14:paraId="26D774CA" w14:textId="77777777" w:rsidR="006D185B" w:rsidRPr="00515EAD" w:rsidRDefault="006D185B" w:rsidP="006D185B">
      <w:pPr>
        <w:pStyle w:val="BodyText"/>
        <w:ind w:left="709"/>
      </w:pPr>
      <w:r>
        <w:t>Consultation has been undertaken with the Senior Leadership Team and members of the Procurement and Contracts Team.</w:t>
      </w:r>
    </w:p>
    <w:p w14:paraId="15BF31AD" w14:textId="77777777" w:rsidR="006D185B" w:rsidRDefault="006D185B" w:rsidP="006D185B">
      <w:pPr>
        <w:pStyle w:val="Heading1"/>
        <w:numPr>
          <w:ilvl w:val="0"/>
          <w:numId w:val="0"/>
        </w:numPr>
        <w:ind w:left="709"/>
        <w:jc w:val="left"/>
      </w:pPr>
    </w:p>
    <w:p w14:paraId="757EC39A" w14:textId="77777777" w:rsidR="006D185B" w:rsidRDefault="006D185B" w:rsidP="006D185B">
      <w:pPr>
        <w:pStyle w:val="Heading1"/>
        <w:numPr>
          <w:ilvl w:val="0"/>
          <w:numId w:val="0"/>
        </w:numPr>
        <w:ind w:left="709"/>
        <w:jc w:val="left"/>
        <w:rPr>
          <w:rFonts w:eastAsia="Times New Roman"/>
          <w:lang w:bidi="ar-SA"/>
        </w:rPr>
      </w:pPr>
    </w:p>
    <w:p w14:paraId="201193FD" w14:textId="77777777" w:rsidR="006D185B" w:rsidRPr="006D185B" w:rsidRDefault="006D185B" w:rsidP="009F5CAC">
      <w:pPr>
        <w:pStyle w:val="Heading1"/>
        <w:numPr>
          <w:ilvl w:val="0"/>
          <w:numId w:val="52"/>
        </w:numPr>
        <w:ind w:left="709" w:hanging="709"/>
        <w:jc w:val="left"/>
        <w:rPr>
          <w:rFonts w:eastAsia="Times New Roman"/>
          <w:lang w:bidi="ar-SA"/>
        </w:rPr>
      </w:pPr>
      <w:bookmarkStart w:id="20" w:name="_Toc190529416"/>
      <w:r w:rsidRPr="00515EAD">
        <w:t>Training</w:t>
      </w:r>
      <w:bookmarkEnd w:id="20"/>
    </w:p>
    <w:p w14:paraId="1E18AF0D" w14:textId="77777777" w:rsidR="006D185B" w:rsidRDefault="006D185B" w:rsidP="006D185B">
      <w:pPr>
        <w:pStyle w:val="BodyText"/>
        <w:ind w:left="709"/>
      </w:pPr>
      <w:r>
        <w:t>This policy will be published on the ICB’s website.</w:t>
      </w:r>
    </w:p>
    <w:p w14:paraId="34004BC8" w14:textId="77777777" w:rsidR="006D185B" w:rsidRDefault="006D185B" w:rsidP="006D185B">
      <w:pPr>
        <w:pStyle w:val="BodyText"/>
        <w:ind w:left="709"/>
      </w:pPr>
      <w:r>
        <w:t xml:space="preserve">All members of the Procurement and Contracts Team will be given training for implementation of this policy. </w:t>
      </w:r>
    </w:p>
    <w:p w14:paraId="547FB1CD" w14:textId="77777777" w:rsidR="006D185B" w:rsidRDefault="006D185B" w:rsidP="006D185B">
      <w:pPr>
        <w:pStyle w:val="BodyText"/>
        <w:ind w:left="709"/>
      </w:pPr>
      <w:r>
        <w:t xml:space="preserve">Due to the potential legal </w:t>
      </w:r>
      <w:proofErr w:type="gramStart"/>
      <w:r>
        <w:t>implications</w:t>
      </w:r>
      <w:proofErr w:type="gramEnd"/>
      <w:r>
        <w:t xml:space="preserve"> there is a need to ensure that there is wide understanding of the requirements of the Procurement Policy across the ICB and training will be undertaken in a variety of formats to meet these needs. </w:t>
      </w:r>
    </w:p>
    <w:p w14:paraId="1F3729D9" w14:textId="77777777" w:rsidR="006D185B" w:rsidRDefault="006D185B" w:rsidP="006D185B">
      <w:pPr>
        <w:pStyle w:val="BodyText"/>
        <w:ind w:left="709"/>
      </w:pPr>
      <w:r>
        <w:t xml:space="preserve">The policy will be brought to the attention of all new employees as part of the </w:t>
      </w:r>
    </w:p>
    <w:p w14:paraId="224D2E05" w14:textId="77777777" w:rsidR="006D185B" w:rsidRDefault="006D185B" w:rsidP="006D185B">
      <w:pPr>
        <w:pStyle w:val="BodyText"/>
        <w:ind w:left="709"/>
      </w:pPr>
      <w:r>
        <w:t xml:space="preserve">induction process. </w:t>
      </w:r>
    </w:p>
    <w:p w14:paraId="2B4B2085" w14:textId="77777777" w:rsidR="006D185B" w:rsidRDefault="006D185B" w:rsidP="006D185B">
      <w:pPr>
        <w:pStyle w:val="BodyText"/>
        <w:ind w:left="709"/>
      </w:pPr>
      <w:r>
        <w:t>It will be continually reiterated that specialist technical advice and support is available from the Procurement and Contracts team.</w:t>
      </w:r>
    </w:p>
    <w:p w14:paraId="66BF7465" w14:textId="77777777" w:rsidR="006D185B" w:rsidRDefault="006D185B" w:rsidP="006D185B">
      <w:pPr>
        <w:pStyle w:val="Heading1"/>
        <w:numPr>
          <w:ilvl w:val="0"/>
          <w:numId w:val="0"/>
        </w:numPr>
        <w:ind w:left="709"/>
        <w:jc w:val="left"/>
      </w:pPr>
    </w:p>
    <w:p w14:paraId="316F7C1E" w14:textId="77777777" w:rsidR="006D185B" w:rsidRDefault="006D185B" w:rsidP="006D185B">
      <w:pPr>
        <w:pStyle w:val="Heading1"/>
        <w:numPr>
          <w:ilvl w:val="0"/>
          <w:numId w:val="0"/>
        </w:numPr>
        <w:ind w:left="709"/>
        <w:jc w:val="left"/>
        <w:rPr>
          <w:rFonts w:eastAsia="Times New Roman"/>
          <w:lang w:bidi="ar-SA"/>
        </w:rPr>
      </w:pPr>
    </w:p>
    <w:p w14:paraId="340137E9" w14:textId="77777777" w:rsidR="006D185B" w:rsidRPr="006D185B" w:rsidRDefault="006D185B" w:rsidP="009F5CAC">
      <w:pPr>
        <w:pStyle w:val="Heading1"/>
        <w:numPr>
          <w:ilvl w:val="0"/>
          <w:numId w:val="52"/>
        </w:numPr>
        <w:ind w:left="709" w:hanging="709"/>
        <w:jc w:val="left"/>
        <w:rPr>
          <w:rFonts w:eastAsia="Times New Roman"/>
          <w:lang w:bidi="ar-SA"/>
        </w:rPr>
      </w:pPr>
      <w:bookmarkStart w:id="21" w:name="_Toc190529417"/>
      <w:r>
        <w:t>M</w:t>
      </w:r>
      <w:r w:rsidRPr="00515EAD">
        <w:t>onitoring Compliance with the</w:t>
      </w:r>
      <w:r w:rsidRPr="004F664A">
        <w:t xml:space="preserve"> </w:t>
      </w:r>
      <w:r w:rsidRPr="00515EAD">
        <w:t>Document</w:t>
      </w:r>
      <w:bookmarkEnd w:id="21"/>
    </w:p>
    <w:p w14:paraId="3A7A268F" w14:textId="77777777" w:rsidR="006D185B" w:rsidRPr="00515EAD" w:rsidRDefault="006D185B" w:rsidP="006D185B">
      <w:pPr>
        <w:pStyle w:val="BodyText"/>
        <w:ind w:left="709"/>
      </w:pPr>
      <w:r>
        <w:t xml:space="preserve">Compliance with the policy will be through the maintenance of the ICB’s official contract register and identifying instances where appropriate governance in respect of procurement has not been undertaken. </w:t>
      </w:r>
    </w:p>
    <w:p w14:paraId="48556A41" w14:textId="77777777" w:rsidR="006D185B" w:rsidRDefault="006D185B" w:rsidP="006D185B">
      <w:pPr>
        <w:pStyle w:val="Heading1"/>
        <w:numPr>
          <w:ilvl w:val="0"/>
          <w:numId w:val="0"/>
        </w:numPr>
        <w:jc w:val="left"/>
        <w:rPr>
          <w:rFonts w:eastAsia="Times New Roman"/>
          <w:lang w:bidi="ar-SA"/>
        </w:rPr>
      </w:pPr>
    </w:p>
    <w:p w14:paraId="2C9BAEF5" w14:textId="77777777" w:rsidR="006D185B" w:rsidRDefault="006D185B" w:rsidP="006D185B">
      <w:pPr>
        <w:pStyle w:val="Heading1"/>
        <w:numPr>
          <w:ilvl w:val="0"/>
          <w:numId w:val="0"/>
        </w:numPr>
        <w:jc w:val="left"/>
        <w:rPr>
          <w:rFonts w:eastAsia="Times New Roman"/>
          <w:lang w:bidi="ar-SA"/>
        </w:rPr>
      </w:pPr>
    </w:p>
    <w:p w14:paraId="7CE13C9E" w14:textId="77777777" w:rsidR="006D185B" w:rsidRPr="006D185B" w:rsidRDefault="006D185B" w:rsidP="009F5CAC">
      <w:pPr>
        <w:pStyle w:val="Heading1"/>
        <w:numPr>
          <w:ilvl w:val="0"/>
          <w:numId w:val="52"/>
        </w:numPr>
        <w:ind w:left="709" w:hanging="709"/>
        <w:jc w:val="left"/>
        <w:rPr>
          <w:rFonts w:eastAsia="Times New Roman"/>
          <w:lang w:bidi="ar-SA"/>
        </w:rPr>
      </w:pPr>
      <w:bookmarkStart w:id="22" w:name="_Toc190529418"/>
      <w:r w:rsidRPr="00515EAD">
        <w:t>Arrangements for</w:t>
      </w:r>
      <w:r w:rsidRPr="003D5110">
        <w:t xml:space="preserve"> </w:t>
      </w:r>
      <w:r w:rsidRPr="00515EAD">
        <w:t>Review</w:t>
      </w:r>
      <w:bookmarkEnd w:id="22"/>
    </w:p>
    <w:p w14:paraId="1A029639" w14:textId="77777777" w:rsidR="006D185B" w:rsidRDefault="006D185B" w:rsidP="006D185B">
      <w:pPr>
        <w:pStyle w:val="BodyText"/>
        <w:ind w:left="709"/>
      </w:pPr>
      <w:r>
        <w:t>This Procurement Policy will be reviewed every year as a minimum and more frequently if indicated by changes in legislation or regulations.</w:t>
      </w:r>
    </w:p>
    <w:p w14:paraId="44325F49" w14:textId="77777777" w:rsidR="006D185B" w:rsidRDefault="006D185B" w:rsidP="006D185B">
      <w:pPr>
        <w:pStyle w:val="Heading1"/>
        <w:numPr>
          <w:ilvl w:val="0"/>
          <w:numId w:val="0"/>
        </w:numPr>
        <w:jc w:val="left"/>
        <w:rPr>
          <w:rFonts w:eastAsia="Times New Roman"/>
          <w:lang w:bidi="ar-SA"/>
        </w:rPr>
      </w:pPr>
    </w:p>
    <w:p w14:paraId="1BF0244B" w14:textId="77777777" w:rsidR="006D185B" w:rsidRDefault="006D185B" w:rsidP="006D185B">
      <w:pPr>
        <w:pStyle w:val="Heading1"/>
        <w:numPr>
          <w:ilvl w:val="0"/>
          <w:numId w:val="0"/>
        </w:numPr>
        <w:jc w:val="left"/>
        <w:rPr>
          <w:rFonts w:eastAsia="Times New Roman"/>
          <w:lang w:bidi="ar-SA"/>
        </w:rPr>
      </w:pPr>
    </w:p>
    <w:p w14:paraId="7E45A5C5" w14:textId="77777777" w:rsidR="006D185B" w:rsidRPr="006D185B" w:rsidRDefault="006D185B" w:rsidP="009F5CAC">
      <w:pPr>
        <w:pStyle w:val="Heading1"/>
        <w:numPr>
          <w:ilvl w:val="0"/>
          <w:numId w:val="52"/>
        </w:numPr>
        <w:ind w:left="709" w:hanging="709"/>
        <w:jc w:val="left"/>
        <w:rPr>
          <w:rFonts w:eastAsia="Times New Roman"/>
          <w:lang w:bidi="ar-SA"/>
        </w:rPr>
      </w:pPr>
      <w:bookmarkStart w:id="23" w:name="_Toc190529419"/>
      <w:r w:rsidRPr="00515EAD">
        <w:t>Dissemination</w:t>
      </w:r>
      <w:bookmarkEnd w:id="23"/>
    </w:p>
    <w:p w14:paraId="2B9E8894" w14:textId="56C138DC" w:rsidR="006D185B" w:rsidRDefault="006D185B" w:rsidP="006D185B">
      <w:pPr>
        <w:pStyle w:val="BodyText"/>
        <w:ind w:left="709"/>
      </w:pPr>
      <w:r>
        <w:t xml:space="preserve">Notification of this policy will be included in the staff email bulletin and staff briefings. </w:t>
      </w:r>
    </w:p>
    <w:p w14:paraId="67954F59" w14:textId="5240A378" w:rsidR="006D185B" w:rsidRPr="00515EAD" w:rsidRDefault="006D185B" w:rsidP="006D185B">
      <w:pPr>
        <w:pStyle w:val="BodyText"/>
        <w:ind w:left="709"/>
      </w:pPr>
      <w:r>
        <w:t>The policy will be published on the ICB website for transparency in respect of the ICB’s procurement processes.</w:t>
      </w:r>
    </w:p>
    <w:p w14:paraId="32674B61" w14:textId="77777777" w:rsidR="006D185B" w:rsidRDefault="006D185B" w:rsidP="006D185B">
      <w:pPr>
        <w:pStyle w:val="Heading1"/>
        <w:numPr>
          <w:ilvl w:val="0"/>
          <w:numId w:val="0"/>
        </w:numPr>
        <w:jc w:val="left"/>
        <w:rPr>
          <w:rFonts w:eastAsia="Times New Roman"/>
          <w:lang w:bidi="ar-SA"/>
        </w:rPr>
      </w:pPr>
    </w:p>
    <w:p w14:paraId="1A8351E0" w14:textId="77777777" w:rsidR="006D185B" w:rsidRPr="006D185B" w:rsidRDefault="006D185B" w:rsidP="006D185B">
      <w:pPr>
        <w:pStyle w:val="Heading1"/>
        <w:numPr>
          <w:ilvl w:val="0"/>
          <w:numId w:val="0"/>
        </w:numPr>
        <w:jc w:val="left"/>
        <w:rPr>
          <w:rFonts w:eastAsia="Times New Roman"/>
          <w:lang w:bidi="ar-SA"/>
        </w:rPr>
      </w:pPr>
    </w:p>
    <w:p w14:paraId="20CFC75E" w14:textId="77777777" w:rsidR="006D185B" w:rsidRDefault="006D185B" w:rsidP="009F5CAC">
      <w:pPr>
        <w:pStyle w:val="Heading1"/>
        <w:numPr>
          <w:ilvl w:val="0"/>
          <w:numId w:val="52"/>
        </w:numPr>
        <w:ind w:left="709" w:hanging="709"/>
        <w:jc w:val="left"/>
        <w:rPr>
          <w:rFonts w:eastAsia="Times New Roman"/>
          <w:lang w:bidi="ar-SA"/>
        </w:rPr>
      </w:pPr>
      <w:bookmarkStart w:id="24" w:name="_Toc190529420"/>
      <w:r w:rsidRPr="006D185B">
        <w:rPr>
          <w:rFonts w:eastAsia="Times New Roman"/>
          <w:lang w:bidi="ar-SA"/>
        </w:rPr>
        <w:t>Associated ICB Governance Publications</w:t>
      </w:r>
      <w:bookmarkEnd w:id="24"/>
    </w:p>
    <w:p w14:paraId="22FF6EB9" w14:textId="77777777" w:rsidR="006D185B" w:rsidRPr="00951CAA" w:rsidRDefault="006D185B" w:rsidP="006D185B">
      <w:pPr>
        <w:pStyle w:val="BodyText"/>
        <w:ind w:left="709"/>
      </w:pPr>
      <w:r w:rsidRPr="00951CAA">
        <w:t>ICB Standing Financial Instructions</w:t>
      </w:r>
    </w:p>
    <w:p w14:paraId="3C4786CD" w14:textId="77777777" w:rsidR="006D185B" w:rsidRPr="00951CAA" w:rsidRDefault="006D185B" w:rsidP="006D185B">
      <w:pPr>
        <w:pStyle w:val="BodyText"/>
        <w:ind w:left="709"/>
      </w:pPr>
      <w:r w:rsidRPr="00951CAA">
        <w:t>ICB Scheme of Reservation and Delegation</w:t>
      </w:r>
    </w:p>
    <w:p w14:paraId="4B4E61EE" w14:textId="1F0B354D" w:rsidR="006D185B" w:rsidRPr="00951CAA" w:rsidRDefault="006D185B" w:rsidP="00951CAA">
      <w:pPr>
        <w:ind w:firstLine="709"/>
        <w:rPr>
          <w:rFonts w:eastAsia="Times New Roman"/>
          <w:sz w:val="24"/>
          <w:szCs w:val="24"/>
          <w:lang w:bidi="ar-SA"/>
        </w:rPr>
      </w:pPr>
      <w:r w:rsidRPr="00951CAA">
        <w:rPr>
          <w:sz w:val="24"/>
          <w:szCs w:val="24"/>
        </w:rPr>
        <w:t>ICB Operational Scheme of Delegation</w:t>
      </w:r>
    </w:p>
    <w:p w14:paraId="558519BF" w14:textId="77777777" w:rsidR="006D185B" w:rsidRDefault="006D185B" w:rsidP="006D185B">
      <w:pPr>
        <w:pStyle w:val="Heading1"/>
        <w:numPr>
          <w:ilvl w:val="0"/>
          <w:numId w:val="0"/>
        </w:numPr>
        <w:jc w:val="left"/>
        <w:rPr>
          <w:rFonts w:eastAsia="Times New Roman"/>
          <w:lang w:bidi="ar-SA"/>
        </w:rPr>
      </w:pPr>
    </w:p>
    <w:p w14:paraId="0F76E1C8" w14:textId="77777777" w:rsidR="006D185B" w:rsidRDefault="006D185B" w:rsidP="006D185B">
      <w:pPr>
        <w:pStyle w:val="Heading1"/>
        <w:numPr>
          <w:ilvl w:val="0"/>
          <w:numId w:val="0"/>
        </w:numPr>
        <w:jc w:val="left"/>
        <w:rPr>
          <w:rFonts w:eastAsia="Times New Roman"/>
          <w:lang w:bidi="ar-SA"/>
        </w:rPr>
      </w:pPr>
    </w:p>
    <w:p w14:paraId="198926A1" w14:textId="77777777" w:rsidR="006D185B" w:rsidRPr="006D185B" w:rsidRDefault="006D185B" w:rsidP="009F5CAC">
      <w:pPr>
        <w:pStyle w:val="Heading1"/>
        <w:numPr>
          <w:ilvl w:val="0"/>
          <w:numId w:val="52"/>
        </w:numPr>
        <w:ind w:left="709" w:hanging="709"/>
        <w:jc w:val="left"/>
        <w:rPr>
          <w:rFonts w:eastAsia="Times New Roman"/>
          <w:lang w:bidi="ar-SA"/>
        </w:rPr>
      </w:pPr>
      <w:bookmarkStart w:id="25" w:name="_Toc190529421"/>
      <w:r>
        <w:rPr>
          <w:rFonts w:eastAsia="Times New Roman"/>
          <w:lang w:bidi="ar-SA"/>
        </w:rPr>
        <w:t>R</w:t>
      </w:r>
      <w:r w:rsidRPr="00515EAD">
        <w:t>eferences</w:t>
      </w:r>
      <w:bookmarkEnd w:id="25"/>
    </w:p>
    <w:p w14:paraId="5C169DB3" w14:textId="77777777" w:rsidR="006D185B" w:rsidRDefault="006D185B" w:rsidP="006D185B">
      <w:pPr>
        <w:pStyle w:val="BodyText"/>
        <w:ind w:firstLine="709"/>
      </w:pPr>
      <w:r w:rsidRPr="00617798">
        <w:t>The Health Care Services (Provider Selection Regime) Regulations 2023</w:t>
      </w:r>
    </w:p>
    <w:p w14:paraId="6AACB6FD" w14:textId="77777777" w:rsidR="006D185B" w:rsidRDefault="006D185B" w:rsidP="006D185B">
      <w:pPr>
        <w:pStyle w:val="BodyText"/>
        <w:ind w:firstLine="709"/>
      </w:pPr>
      <w:r>
        <w:t>Procurement Act 2023</w:t>
      </w:r>
    </w:p>
    <w:p w14:paraId="7EF4F560" w14:textId="275929E2" w:rsidR="006D185B" w:rsidRDefault="006D185B" w:rsidP="006D185B">
      <w:pPr>
        <w:pStyle w:val="BodyText"/>
        <w:ind w:firstLine="709"/>
      </w:pPr>
      <w:r>
        <w:t xml:space="preserve">Procurement Regulations 2024 </w:t>
      </w:r>
    </w:p>
    <w:p w14:paraId="1676728B" w14:textId="43E99274" w:rsidR="006D185B" w:rsidRPr="002B57AB" w:rsidRDefault="006D185B" w:rsidP="006D185B">
      <w:pPr>
        <w:pStyle w:val="BodyText"/>
        <w:ind w:firstLine="709"/>
      </w:pPr>
      <w:r>
        <w:t>P</w:t>
      </w:r>
      <w:r w:rsidRPr="002B57AB">
        <w:t>ublic Services (Social Value) Act 2012</w:t>
      </w:r>
    </w:p>
    <w:p w14:paraId="6E0DCE0D" w14:textId="77777777" w:rsidR="006D185B" w:rsidRDefault="006D185B" w:rsidP="006D185B">
      <w:pPr>
        <w:pStyle w:val="Heading1"/>
        <w:numPr>
          <w:ilvl w:val="0"/>
          <w:numId w:val="0"/>
        </w:numPr>
        <w:jc w:val="left"/>
        <w:rPr>
          <w:rFonts w:eastAsia="Times New Roman"/>
          <w:lang w:bidi="ar-SA"/>
        </w:rPr>
      </w:pPr>
    </w:p>
    <w:p w14:paraId="14C223B8" w14:textId="77777777" w:rsidR="006D185B" w:rsidRDefault="006D185B" w:rsidP="006D185B">
      <w:pPr>
        <w:pStyle w:val="Heading1"/>
        <w:numPr>
          <w:ilvl w:val="0"/>
          <w:numId w:val="0"/>
        </w:numPr>
        <w:jc w:val="left"/>
        <w:rPr>
          <w:rFonts w:eastAsia="Times New Roman"/>
          <w:lang w:bidi="ar-SA"/>
        </w:rPr>
      </w:pPr>
    </w:p>
    <w:p w14:paraId="0A3B1B45" w14:textId="77777777" w:rsidR="006D185B" w:rsidRPr="006D185B" w:rsidRDefault="006D185B" w:rsidP="009F5CAC">
      <w:pPr>
        <w:pStyle w:val="Heading1"/>
        <w:numPr>
          <w:ilvl w:val="0"/>
          <w:numId w:val="52"/>
        </w:numPr>
        <w:ind w:left="709" w:hanging="709"/>
        <w:jc w:val="left"/>
        <w:rPr>
          <w:rFonts w:eastAsia="Times New Roman"/>
          <w:lang w:bidi="ar-SA"/>
        </w:rPr>
      </w:pPr>
      <w:bookmarkStart w:id="26" w:name="_Toc190529422"/>
      <w:r w:rsidRPr="00E6729A">
        <w:t>Appendices</w:t>
      </w:r>
      <w:bookmarkEnd w:id="26"/>
    </w:p>
    <w:p w14:paraId="528DC877" w14:textId="22574D3E" w:rsidR="006D185B" w:rsidRPr="006D185B" w:rsidRDefault="006D185B" w:rsidP="00951CAA">
      <w:pPr>
        <w:ind w:firstLine="709"/>
        <w:rPr>
          <w:rFonts w:eastAsia="Times New Roman"/>
          <w:lang w:bidi="ar-SA"/>
        </w:rPr>
      </w:pPr>
      <w:r w:rsidRPr="006D185B">
        <w:t>Appendix A – Procurement Act 2023 Transparency Notices</w:t>
      </w:r>
    </w:p>
    <w:p w14:paraId="5591B9B2" w14:textId="77777777" w:rsidR="006D185B" w:rsidRPr="006D185B" w:rsidRDefault="006D185B" w:rsidP="006D185B">
      <w:pPr>
        <w:pStyle w:val="Heading1"/>
        <w:numPr>
          <w:ilvl w:val="0"/>
          <w:numId w:val="0"/>
        </w:numPr>
        <w:ind w:left="709"/>
        <w:jc w:val="left"/>
        <w:rPr>
          <w:rFonts w:eastAsia="Times New Roman"/>
          <w:lang w:bidi="ar-SA"/>
        </w:rPr>
      </w:pPr>
    </w:p>
    <w:p w14:paraId="1034B3BA" w14:textId="77777777" w:rsidR="001819E3" w:rsidRPr="001819E3" w:rsidRDefault="001819E3" w:rsidP="003D5110">
      <w:pPr>
        <w:pStyle w:val="BodyText"/>
        <w:ind w:left="720"/>
      </w:pPr>
    </w:p>
    <w:p w14:paraId="28B5E9D9" w14:textId="37E8EB7B" w:rsidR="001B0BFE" w:rsidRPr="003D5110" w:rsidRDefault="001B0BFE" w:rsidP="002B57AB">
      <w:pPr>
        <w:pStyle w:val="BodyText"/>
        <w:ind w:left="720"/>
      </w:pPr>
    </w:p>
    <w:p w14:paraId="7D9E91DD" w14:textId="2EE68E4E" w:rsidR="002B57AB" w:rsidRDefault="002B57AB" w:rsidP="002B57AB">
      <w:pPr>
        <w:pStyle w:val="BodyText"/>
        <w:ind w:left="720"/>
      </w:pPr>
    </w:p>
    <w:p w14:paraId="34A0D4E2" w14:textId="77777777" w:rsidR="003E0D82" w:rsidRDefault="003E0D82">
      <w:pPr>
        <w:rPr>
          <w:b/>
          <w:bCs/>
          <w:sz w:val="24"/>
          <w:szCs w:val="24"/>
        </w:rPr>
      </w:pPr>
      <w:r>
        <w:br w:type="page"/>
      </w:r>
    </w:p>
    <w:p w14:paraId="297C4BD3" w14:textId="3F04C25A" w:rsidR="00141787" w:rsidRPr="00ED462F" w:rsidRDefault="00141787" w:rsidP="00ED462F">
      <w:pPr>
        <w:pStyle w:val="Heading1"/>
        <w:numPr>
          <w:ilvl w:val="0"/>
          <w:numId w:val="0"/>
        </w:numPr>
        <w:ind w:left="432" w:hanging="432"/>
        <w:jc w:val="left"/>
      </w:pPr>
      <w:bookmarkStart w:id="27" w:name="_Toc190529423"/>
      <w:r w:rsidRPr="00ED462F">
        <w:t xml:space="preserve">APPENDIX A – </w:t>
      </w:r>
      <w:r w:rsidR="00CE2AAA">
        <w:t>Procurement Act 2023 Transparency Notices</w:t>
      </w:r>
      <w:bookmarkEnd w:id="27"/>
      <w:r w:rsidR="00CE2AAA">
        <w:tab/>
      </w:r>
    </w:p>
    <w:p w14:paraId="2E8A5DF2" w14:textId="77777777" w:rsidR="00141787" w:rsidRDefault="00141787">
      <w:pPr>
        <w:rPr>
          <w:b/>
          <w:bCs/>
          <w:sz w:val="28"/>
          <w:szCs w:val="28"/>
        </w:rPr>
      </w:pPr>
    </w:p>
    <w:tbl>
      <w:tblPr>
        <w:tblStyle w:val="TableGrid"/>
        <w:tblW w:w="0" w:type="auto"/>
        <w:tblLook w:val="04A0" w:firstRow="1" w:lastRow="0" w:firstColumn="1" w:lastColumn="0" w:noHBand="0" w:noVBand="1"/>
      </w:tblPr>
      <w:tblGrid>
        <w:gridCol w:w="1571"/>
        <w:gridCol w:w="3669"/>
        <w:gridCol w:w="3980"/>
      </w:tblGrid>
      <w:tr w:rsidR="002055B1" w:rsidRPr="002055B1" w14:paraId="2A959BC5" w14:textId="77777777" w:rsidTr="002055B1">
        <w:trPr>
          <w:tblHeader/>
        </w:trPr>
        <w:tc>
          <w:tcPr>
            <w:tcW w:w="1571" w:type="dxa"/>
          </w:tcPr>
          <w:p w14:paraId="72EC654B" w14:textId="3365A3DD" w:rsidR="002055B1" w:rsidRPr="002055B1" w:rsidRDefault="002055B1">
            <w:pPr>
              <w:rPr>
                <w:b/>
                <w:bCs/>
                <w:sz w:val="22"/>
                <w:szCs w:val="22"/>
              </w:rPr>
            </w:pPr>
            <w:r w:rsidRPr="002055B1">
              <w:rPr>
                <w:b/>
                <w:bCs/>
                <w:sz w:val="22"/>
                <w:szCs w:val="22"/>
              </w:rPr>
              <w:t>Reference</w:t>
            </w:r>
          </w:p>
        </w:tc>
        <w:tc>
          <w:tcPr>
            <w:tcW w:w="3669" w:type="dxa"/>
          </w:tcPr>
          <w:p w14:paraId="0A62D104" w14:textId="77777777" w:rsidR="002055B1" w:rsidRDefault="002055B1">
            <w:pPr>
              <w:rPr>
                <w:b/>
                <w:bCs/>
                <w:sz w:val="22"/>
                <w:szCs w:val="22"/>
              </w:rPr>
            </w:pPr>
            <w:r w:rsidRPr="002055B1">
              <w:rPr>
                <w:b/>
                <w:bCs/>
                <w:sz w:val="22"/>
                <w:szCs w:val="22"/>
              </w:rPr>
              <w:t>Notice name</w:t>
            </w:r>
          </w:p>
          <w:p w14:paraId="71F6D74B" w14:textId="318D8AFD" w:rsidR="002055B1" w:rsidRPr="002055B1" w:rsidRDefault="002055B1">
            <w:pPr>
              <w:rPr>
                <w:b/>
                <w:bCs/>
                <w:sz w:val="22"/>
                <w:szCs w:val="22"/>
              </w:rPr>
            </w:pPr>
          </w:p>
        </w:tc>
        <w:tc>
          <w:tcPr>
            <w:tcW w:w="3980" w:type="dxa"/>
          </w:tcPr>
          <w:p w14:paraId="25AE4B90" w14:textId="4DEF5036" w:rsidR="002055B1" w:rsidRPr="002055B1" w:rsidRDefault="002055B1">
            <w:pPr>
              <w:rPr>
                <w:b/>
                <w:bCs/>
                <w:sz w:val="22"/>
                <w:szCs w:val="22"/>
              </w:rPr>
            </w:pPr>
            <w:r w:rsidRPr="002055B1">
              <w:rPr>
                <w:b/>
                <w:bCs/>
                <w:sz w:val="22"/>
                <w:szCs w:val="22"/>
              </w:rPr>
              <w:t>Requirement</w:t>
            </w:r>
          </w:p>
        </w:tc>
      </w:tr>
      <w:tr w:rsidR="002055B1" w:rsidRPr="002055B1" w14:paraId="7BCE2EED" w14:textId="77777777" w:rsidTr="002055B1">
        <w:tc>
          <w:tcPr>
            <w:tcW w:w="1571" w:type="dxa"/>
          </w:tcPr>
          <w:p w14:paraId="4885A0D8" w14:textId="20450E0C" w:rsidR="002055B1" w:rsidRPr="002055B1" w:rsidRDefault="002055B1">
            <w:pPr>
              <w:rPr>
                <w:sz w:val="22"/>
                <w:szCs w:val="22"/>
              </w:rPr>
            </w:pPr>
            <w:r w:rsidRPr="002055B1">
              <w:rPr>
                <w:sz w:val="22"/>
                <w:szCs w:val="22"/>
              </w:rPr>
              <w:t>UK1</w:t>
            </w:r>
          </w:p>
        </w:tc>
        <w:tc>
          <w:tcPr>
            <w:tcW w:w="3669" w:type="dxa"/>
          </w:tcPr>
          <w:p w14:paraId="497854DC" w14:textId="12020333" w:rsidR="002055B1" w:rsidRPr="002055B1" w:rsidRDefault="002055B1">
            <w:pPr>
              <w:rPr>
                <w:sz w:val="22"/>
                <w:szCs w:val="22"/>
              </w:rPr>
            </w:pPr>
            <w:r w:rsidRPr="002055B1">
              <w:rPr>
                <w:sz w:val="22"/>
                <w:szCs w:val="22"/>
              </w:rPr>
              <w:t>Pipeline notice</w:t>
            </w:r>
          </w:p>
        </w:tc>
        <w:tc>
          <w:tcPr>
            <w:tcW w:w="3980" w:type="dxa"/>
          </w:tcPr>
          <w:p w14:paraId="285C6652" w14:textId="0FDBB2DF" w:rsidR="002055B1" w:rsidRPr="002055B1" w:rsidRDefault="002055B1">
            <w:pPr>
              <w:rPr>
                <w:sz w:val="22"/>
                <w:szCs w:val="22"/>
              </w:rPr>
            </w:pPr>
            <w:r w:rsidRPr="002055B1">
              <w:rPr>
                <w:b/>
                <w:bCs/>
                <w:sz w:val="22"/>
                <w:szCs w:val="22"/>
              </w:rPr>
              <w:t>Mandatory</w:t>
            </w:r>
            <w:r w:rsidRPr="002055B1">
              <w:rPr>
                <w:sz w:val="22"/>
                <w:szCs w:val="22"/>
              </w:rPr>
              <w:t xml:space="preserve"> (for organisations where spend is £100m+ PA) 12-month forward-look at planned procurements £2m+ value</w:t>
            </w:r>
          </w:p>
        </w:tc>
      </w:tr>
      <w:tr w:rsidR="002055B1" w:rsidRPr="002055B1" w14:paraId="343124CA" w14:textId="77777777" w:rsidTr="002055B1">
        <w:tc>
          <w:tcPr>
            <w:tcW w:w="1571" w:type="dxa"/>
          </w:tcPr>
          <w:p w14:paraId="2FEB43D1" w14:textId="23A367CA" w:rsidR="002055B1" w:rsidRPr="002055B1" w:rsidRDefault="002055B1">
            <w:pPr>
              <w:rPr>
                <w:sz w:val="22"/>
                <w:szCs w:val="22"/>
              </w:rPr>
            </w:pPr>
            <w:r>
              <w:rPr>
                <w:sz w:val="22"/>
                <w:szCs w:val="22"/>
              </w:rPr>
              <w:t>UK2</w:t>
            </w:r>
          </w:p>
        </w:tc>
        <w:tc>
          <w:tcPr>
            <w:tcW w:w="3669" w:type="dxa"/>
          </w:tcPr>
          <w:p w14:paraId="6F957D5E" w14:textId="0BC239A1" w:rsidR="002055B1" w:rsidRPr="002055B1" w:rsidRDefault="002055B1">
            <w:pPr>
              <w:rPr>
                <w:sz w:val="22"/>
                <w:szCs w:val="22"/>
              </w:rPr>
            </w:pPr>
            <w:r w:rsidRPr="002055B1">
              <w:rPr>
                <w:sz w:val="22"/>
                <w:szCs w:val="22"/>
              </w:rPr>
              <w:t>Preliminary market engagement notice</w:t>
            </w:r>
          </w:p>
        </w:tc>
        <w:tc>
          <w:tcPr>
            <w:tcW w:w="3980" w:type="dxa"/>
          </w:tcPr>
          <w:p w14:paraId="0D8AFCB5" w14:textId="77777777" w:rsidR="002055B1" w:rsidRPr="002055B1" w:rsidRDefault="002055B1" w:rsidP="002055B1">
            <w:pPr>
              <w:rPr>
                <w:sz w:val="22"/>
                <w:szCs w:val="22"/>
              </w:rPr>
            </w:pPr>
            <w:r w:rsidRPr="002055B1">
              <w:rPr>
                <w:b/>
                <w:bCs/>
                <w:sz w:val="22"/>
                <w:szCs w:val="22"/>
              </w:rPr>
              <w:t>Mandatory</w:t>
            </w:r>
            <w:r w:rsidRPr="002055B1">
              <w:rPr>
                <w:sz w:val="22"/>
                <w:szCs w:val="22"/>
              </w:rPr>
              <w:t xml:space="preserve"> where pre-market</w:t>
            </w:r>
          </w:p>
          <w:p w14:paraId="280D6C58" w14:textId="77777777" w:rsidR="002055B1" w:rsidRPr="002055B1" w:rsidRDefault="002055B1" w:rsidP="002055B1">
            <w:pPr>
              <w:rPr>
                <w:sz w:val="22"/>
                <w:szCs w:val="22"/>
              </w:rPr>
            </w:pPr>
            <w:r w:rsidRPr="002055B1">
              <w:rPr>
                <w:sz w:val="22"/>
                <w:szCs w:val="22"/>
              </w:rPr>
              <w:t>engagement is anticipated or</w:t>
            </w:r>
          </w:p>
          <w:p w14:paraId="2602357A" w14:textId="77777777" w:rsidR="002055B1" w:rsidRPr="002055B1" w:rsidRDefault="002055B1" w:rsidP="002055B1">
            <w:pPr>
              <w:rPr>
                <w:sz w:val="22"/>
                <w:szCs w:val="22"/>
              </w:rPr>
            </w:pPr>
            <w:r w:rsidRPr="002055B1">
              <w:rPr>
                <w:sz w:val="22"/>
                <w:szCs w:val="22"/>
              </w:rPr>
              <w:t>has taken place (</w:t>
            </w:r>
            <w:proofErr w:type="gramStart"/>
            <w:r w:rsidRPr="002055B1">
              <w:rPr>
                <w:sz w:val="22"/>
                <w:szCs w:val="22"/>
              </w:rPr>
              <w:t>or,</w:t>
            </w:r>
            <w:proofErr w:type="gramEnd"/>
            <w:r w:rsidRPr="002055B1">
              <w:rPr>
                <w:sz w:val="22"/>
                <w:szCs w:val="22"/>
              </w:rPr>
              <w:t xml:space="preserve"> explain</w:t>
            </w:r>
          </w:p>
          <w:p w14:paraId="3DCA4411" w14:textId="77777777" w:rsidR="002055B1" w:rsidRPr="002055B1" w:rsidRDefault="002055B1" w:rsidP="002055B1">
            <w:pPr>
              <w:rPr>
                <w:sz w:val="22"/>
                <w:szCs w:val="22"/>
              </w:rPr>
            </w:pPr>
            <w:r w:rsidRPr="002055B1">
              <w:rPr>
                <w:sz w:val="22"/>
                <w:szCs w:val="22"/>
              </w:rPr>
              <w:t>in the tender notice reason</w:t>
            </w:r>
          </w:p>
          <w:p w14:paraId="54F7742F" w14:textId="13A2033D" w:rsidR="002055B1" w:rsidRPr="002055B1" w:rsidRDefault="002055B1" w:rsidP="002055B1">
            <w:pPr>
              <w:rPr>
                <w:sz w:val="22"/>
                <w:szCs w:val="22"/>
              </w:rPr>
            </w:pPr>
            <w:r w:rsidRPr="002055B1">
              <w:rPr>
                <w:sz w:val="22"/>
                <w:szCs w:val="22"/>
              </w:rPr>
              <w:t>for not publishing)</w:t>
            </w:r>
          </w:p>
        </w:tc>
      </w:tr>
      <w:tr w:rsidR="002055B1" w:rsidRPr="002055B1" w14:paraId="1AEBB101" w14:textId="77777777" w:rsidTr="002055B1">
        <w:tc>
          <w:tcPr>
            <w:tcW w:w="1571" w:type="dxa"/>
          </w:tcPr>
          <w:p w14:paraId="5C5D1A92" w14:textId="7FA6331B" w:rsidR="002055B1" w:rsidRPr="002055B1" w:rsidRDefault="002055B1">
            <w:pPr>
              <w:rPr>
                <w:sz w:val="22"/>
                <w:szCs w:val="22"/>
              </w:rPr>
            </w:pPr>
            <w:r>
              <w:rPr>
                <w:sz w:val="22"/>
                <w:szCs w:val="22"/>
              </w:rPr>
              <w:t>UK3</w:t>
            </w:r>
          </w:p>
        </w:tc>
        <w:tc>
          <w:tcPr>
            <w:tcW w:w="3669" w:type="dxa"/>
          </w:tcPr>
          <w:p w14:paraId="7AD12DEC" w14:textId="3BAD331E" w:rsidR="002055B1" w:rsidRPr="002055B1" w:rsidRDefault="002055B1">
            <w:pPr>
              <w:rPr>
                <w:sz w:val="22"/>
                <w:szCs w:val="22"/>
              </w:rPr>
            </w:pPr>
            <w:r w:rsidRPr="002055B1">
              <w:rPr>
                <w:sz w:val="22"/>
                <w:szCs w:val="22"/>
              </w:rPr>
              <w:t>Planned procurement notice</w:t>
            </w:r>
          </w:p>
        </w:tc>
        <w:tc>
          <w:tcPr>
            <w:tcW w:w="3980" w:type="dxa"/>
          </w:tcPr>
          <w:p w14:paraId="45DBC399" w14:textId="4FCBDD5E" w:rsidR="002055B1" w:rsidRPr="002055B1" w:rsidRDefault="002055B1">
            <w:pPr>
              <w:rPr>
                <w:sz w:val="22"/>
                <w:szCs w:val="22"/>
              </w:rPr>
            </w:pPr>
            <w:r w:rsidRPr="002055B1">
              <w:rPr>
                <w:b/>
                <w:bCs/>
                <w:sz w:val="22"/>
                <w:szCs w:val="22"/>
              </w:rPr>
              <w:t>Optional and best practice</w:t>
            </w:r>
            <w:r w:rsidRPr="002055B1">
              <w:rPr>
                <w:sz w:val="22"/>
                <w:szCs w:val="22"/>
              </w:rPr>
              <w:t xml:space="preserve"> advises the market of an upcoming procurement. A qualifying planned procurement notice can reduce tender timescales to 10 days</w:t>
            </w:r>
          </w:p>
        </w:tc>
      </w:tr>
      <w:tr w:rsidR="002055B1" w:rsidRPr="002055B1" w14:paraId="76BEBC61" w14:textId="77777777" w:rsidTr="002055B1">
        <w:tc>
          <w:tcPr>
            <w:tcW w:w="1571" w:type="dxa"/>
          </w:tcPr>
          <w:p w14:paraId="5EF246D5" w14:textId="4FABAD72" w:rsidR="002055B1" w:rsidRPr="002055B1" w:rsidRDefault="002055B1">
            <w:pPr>
              <w:rPr>
                <w:sz w:val="22"/>
                <w:szCs w:val="22"/>
              </w:rPr>
            </w:pPr>
            <w:r>
              <w:rPr>
                <w:sz w:val="22"/>
                <w:szCs w:val="22"/>
              </w:rPr>
              <w:t>UK4</w:t>
            </w:r>
          </w:p>
        </w:tc>
        <w:tc>
          <w:tcPr>
            <w:tcW w:w="3669" w:type="dxa"/>
          </w:tcPr>
          <w:p w14:paraId="0F94408F" w14:textId="331B97A1" w:rsidR="002055B1" w:rsidRPr="002055B1" w:rsidRDefault="002055B1">
            <w:pPr>
              <w:rPr>
                <w:sz w:val="22"/>
                <w:szCs w:val="22"/>
              </w:rPr>
            </w:pPr>
            <w:r>
              <w:rPr>
                <w:sz w:val="22"/>
                <w:szCs w:val="22"/>
              </w:rPr>
              <w:t>Tender Notice</w:t>
            </w:r>
          </w:p>
        </w:tc>
        <w:tc>
          <w:tcPr>
            <w:tcW w:w="3980" w:type="dxa"/>
          </w:tcPr>
          <w:p w14:paraId="457D65FF" w14:textId="411B932B" w:rsidR="002055B1" w:rsidRPr="002055B1" w:rsidRDefault="002055B1">
            <w:pPr>
              <w:rPr>
                <w:sz w:val="22"/>
                <w:szCs w:val="22"/>
              </w:rPr>
            </w:pPr>
            <w:r w:rsidRPr="002055B1">
              <w:rPr>
                <w:b/>
                <w:bCs/>
                <w:sz w:val="22"/>
                <w:szCs w:val="22"/>
              </w:rPr>
              <w:t>Mandatory</w:t>
            </w:r>
            <w:r w:rsidRPr="002055B1">
              <w:rPr>
                <w:sz w:val="22"/>
                <w:szCs w:val="22"/>
              </w:rPr>
              <w:t xml:space="preserve"> when undertaking an open or competitive flexible procedure (including to establish a framework and award a contract under an existing dynamic market) or a regulated below-threshold procedure</w:t>
            </w:r>
          </w:p>
        </w:tc>
      </w:tr>
      <w:tr w:rsidR="002055B1" w:rsidRPr="002055B1" w14:paraId="47FBF7FD" w14:textId="77777777" w:rsidTr="002055B1">
        <w:tc>
          <w:tcPr>
            <w:tcW w:w="1571" w:type="dxa"/>
          </w:tcPr>
          <w:p w14:paraId="0E4DBFCA" w14:textId="36A98C6E" w:rsidR="002055B1" w:rsidRPr="002055B1" w:rsidRDefault="002055B1">
            <w:pPr>
              <w:rPr>
                <w:sz w:val="22"/>
                <w:szCs w:val="22"/>
              </w:rPr>
            </w:pPr>
            <w:r>
              <w:rPr>
                <w:sz w:val="22"/>
                <w:szCs w:val="22"/>
              </w:rPr>
              <w:t xml:space="preserve">UK5 </w:t>
            </w:r>
          </w:p>
        </w:tc>
        <w:tc>
          <w:tcPr>
            <w:tcW w:w="3669" w:type="dxa"/>
          </w:tcPr>
          <w:p w14:paraId="57C3673F" w14:textId="2E1B7D50" w:rsidR="002055B1" w:rsidRPr="002055B1" w:rsidRDefault="002055B1">
            <w:pPr>
              <w:rPr>
                <w:sz w:val="22"/>
                <w:szCs w:val="22"/>
              </w:rPr>
            </w:pPr>
            <w:r>
              <w:rPr>
                <w:sz w:val="22"/>
                <w:szCs w:val="22"/>
              </w:rPr>
              <w:t>Transparency Notice</w:t>
            </w:r>
          </w:p>
        </w:tc>
        <w:tc>
          <w:tcPr>
            <w:tcW w:w="3980" w:type="dxa"/>
          </w:tcPr>
          <w:p w14:paraId="7E5CC4EF" w14:textId="0C697FE4" w:rsidR="002055B1" w:rsidRPr="002055B1" w:rsidRDefault="002055B1">
            <w:pPr>
              <w:rPr>
                <w:sz w:val="22"/>
                <w:szCs w:val="22"/>
              </w:rPr>
            </w:pPr>
            <w:r w:rsidRPr="002055B1">
              <w:rPr>
                <w:b/>
                <w:bCs/>
                <w:sz w:val="22"/>
                <w:szCs w:val="22"/>
              </w:rPr>
              <w:t>Mandatory</w:t>
            </w:r>
            <w:r w:rsidRPr="002055B1">
              <w:rPr>
                <w:sz w:val="22"/>
                <w:szCs w:val="22"/>
              </w:rPr>
              <w:t xml:space="preserve"> when undertaking a direct award (publish prior to award)</w:t>
            </w:r>
          </w:p>
        </w:tc>
      </w:tr>
      <w:tr w:rsidR="002055B1" w:rsidRPr="002055B1" w14:paraId="1974286A" w14:textId="77777777" w:rsidTr="002055B1">
        <w:tc>
          <w:tcPr>
            <w:tcW w:w="1571" w:type="dxa"/>
          </w:tcPr>
          <w:p w14:paraId="286585CB" w14:textId="556ADD27" w:rsidR="002055B1" w:rsidRPr="002055B1" w:rsidRDefault="002055B1">
            <w:pPr>
              <w:rPr>
                <w:sz w:val="22"/>
                <w:szCs w:val="22"/>
              </w:rPr>
            </w:pPr>
            <w:r>
              <w:rPr>
                <w:sz w:val="22"/>
                <w:szCs w:val="22"/>
              </w:rPr>
              <w:t>UK6</w:t>
            </w:r>
          </w:p>
        </w:tc>
        <w:tc>
          <w:tcPr>
            <w:tcW w:w="3669" w:type="dxa"/>
          </w:tcPr>
          <w:p w14:paraId="59CA9144" w14:textId="40E6FFEF" w:rsidR="002055B1" w:rsidRPr="002055B1" w:rsidRDefault="002055B1">
            <w:pPr>
              <w:rPr>
                <w:sz w:val="22"/>
                <w:szCs w:val="22"/>
              </w:rPr>
            </w:pPr>
            <w:r>
              <w:rPr>
                <w:sz w:val="22"/>
                <w:szCs w:val="22"/>
              </w:rPr>
              <w:t>Contract Award Notice</w:t>
            </w:r>
          </w:p>
        </w:tc>
        <w:tc>
          <w:tcPr>
            <w:tcW w:w="3980" w:type="dxa"/>
          </w:tcPr>
          <w:p w14:paraId="4B33B359" w14:textId="7B4992D9" w:rsidR="002055B1" w:rsidRPr="002055B1" w:rsidRDefault="002055B1">
            <w:pPr>
              <w:rPr>
                <w:sz w:val="22"/>
                <w:szCs w:val="22"/>
              </w:rPr>
            </w:pPr>
            <w:r w:rsidRPr="002055B1">
              <w:rPr>
                <w:b/>
                <w:bCs/>
                <w:sz w:val="22"/>
                <w:szCs w:val="22"/>
              </w:rPr>
              <w:t>Mandatory</w:t>
            </w:r>
            <w:r w:rsidRPr="002055B1">
              <w:rPr>
                <w:sz w:val="22"/>
                <w:szCs w:val="22"/>
              </w:rPr>
              <w:t xml:space="preserve"> communicates the outcome of the procurement and (commences standstill prior to awarding a contract open or competitive flexible procedure)</w:t>
            </w:r>
          </w:p>
        </w:tc>
      </w:tr>
      <w:tr w:rsidR="002055B1" w:rsidRPr="002055B1" w14:paraId="2C2251EE" w14:textId="77777777" w:rsidTr="002055B1">
        <w:tc>
          <w:tcPr>
            <w:tcW w:w="1571" w:type="dxa"/>
          </w:tcPr>
          <w:p w14:paraId="183F1E23" w14:textId="48B6ACC2" w:rsidR="002055B1" w:rsidRPr="002055B1" w:rsidRDefault="002055B1">
            <w:pPr>
              <w:rPr>
                <w:sz w:val="22"/>
                <w:szCs w:val="22"/>
              </w:rPr>
            </w:pPr>
            <w:r>
              <w:rPr>
                <w:sz w:val="22"/>
                <w:szCs w:val="22"/>
              </w:rPr>
              <w:t>UK7</w:t>
            </w:r>
          </w:p>
        </w:tc>
        <w:tc>
          <w:tcPr>
            <w:tcW w:w="3669" w:type="dxa"/>
          </w:tcPr>
          <w:p w14:paraId="4873DDF6" w14:textId="5477699F" w:rsidR="002055B1" w:rsidRPr="002055B1" w:rsidRDefault="002055B1">
            <w:pPr>
              <w:rPr>
                <w:sz w:val="22"/>
                <w:szCs w:val="22"/>
              </w:rPr>
            </w:pPr>
            <w:r>
              <w:rPr>
                <w:sz w:val="22"/>
                <w:szCs w:val="22"/>
              </w:rPr>
              <w:t>Contract Details Notice</w:t>
            </w:r>
          </w:p>
        </w:tc>
        <w:tc>
          <w:tcPr>
            <w:tcW w:w="3980" w:type="dxa"/>
          </w:tcPr>
          <w:p w14:paraId="2016F784" w14:textId="6DA7F654" w:rsidR="002055B1" w:rsidRPr="002055B1" w:rsidRDefault="002055B1">
            <w:pPr>
              <w:rPr>
                <w:sz w:val="22"/>
                <w:szCs w:val="22"/>
              </w:rPr>
            </w:pPr>
            <w:r w:rsidRPr="002055B1">
              <w:rPr>
                <w:b/>
                <w:bCs/>
                <w:sz w:val="22"/>
                <w:szCs w:val="22"/>
              </w:rPr>
              <w:t>Mandatory</w:t>
            </w:r>
            <w:r w:rsidRPr="002055B1">
              <w:rPr>
                <w:sz w:val="22"/>
                <w:szCs w:val="22"/>
              </w:rPr>
              <w:t xml:space="preserve"> details of the awarded contract (including the redacted contract, for public contracts £5m+ and KPI information)</w:t>
            </w:r>
          </w:p>
        </w:tc>
      </w:tr>
      <w:tr w:rsidR="002055B1" w:rsidRPr="002055B1" w14:paraId="6DF969B8" w14:textId="77777777" w:rsidTr="002055B1">
        <w:tc>
          <w:tcPr>
            <w:tcW w:w="1571" w:type="dxa"/>
          </w:tcPr>
          <w:p w14:paraId="01309922" w14:textId="488D0E5D" w:rsidR="002055B1" w:rsidRPr="002055B1" w:rsidRDefault="002055B1">
            <w:pPr>
              <w:rPr>
                <w:sz w:val="22"/>
                <w:szCs w:val="22"/>
              </w:rPr>
            </w:pPr>
            <w:r>
              <w:rPr>
                <w:sz w:val="22"/>
                <w:szCs w:val="22"/>
              </w:rPr>
              <w:t>UK8</w:t>
            </w:r>
          </w:p>
        </w:tc>
        <w:tc>
          <w:tcPr>
            <w:tcW w:w="3669" w:type="dxa"/>
          </w:tcPr>
          <w:p w14:paraId="406F70A3" w14:textId="6774BFEF" w:rsidR="002055B1" w:rsidRPr="002055B1" w:rsidRDefault="002055B1">
            <w:pPr>
              <w:rPr>
                <w:sz w:val="22"/>
                <w:szCs w:val="22"/>
              </w:rPr>
            </w:pPr>
            <w:r>
              <w:rPr>
                <w:sz w:val="22"/>
                <w:szCs w:val="22"/>
              </w:rPr>
              <w:t>Contract Payment Notice</w:t>
            </w:r>
          </w:p>
        </w:tc>
        <w:tc>
          <w:tcPr>
            <w:tcW w:w="3980" w:type="dxa"/>
          </w:tcPr>
          <w:p w14:paraId="0E40FB67" w14:textId="42F86EC3" w:rsidR="002055B1" w:rsidRPr="002055B1" w:rsidRDefault="002055B1">
            <w:pPr>
              <w:rPr>
                <w:b/>
                <w:bCs/>
                <w:sz w:val="22"/>
                <w:szCs w:val="22"/>
              </w:rPr>
            </w:pPr>
            <w:r w:rsidRPr="002055B1">
              <w:rPr>
                <w:b/>
                <w:bCs/>
                <w:sz w:val="22"/>
                <w:szCs w:val="22"/>
              </w:rPr>
              <w:t xml:space="preserve">Mandatory </w:t>
            </w:r>
            <w:r w:rsidRPr="002055B1">
              <w:rPr>
                <w:sz w:val="22"/>
                <w:szCs w:val="22"/>
              </w:rPr>
              <w:t>details of payments over £30,000 made under a public contract (quarterly)</w:t>
            </w:r>
          </w:p>
        </w:tc>
      </w:tr>
      <w:tr w:rsidR="002055B1" w:rsidRPr="002055B1" w14:paraId="1BBED4FF" w14:textId="77777777" w:rsidTr="002055B1">
        <w:tc>
          <w:tcPr>
            <w:tcW w:w="1571" w:type="dxa"/>
          </w:tcPr>
          <w:p w14:paraId="1459A6BE" w14:textId="2C4CEB77" w:rsidR="002055B1" w:rsidRPr="002055B1" w:rsidRDefault="002055B1">
            <w:pPr>
              <w:rPr>
                <w:sz w:val="22"/>
                <w:szCs w:val="22"/>
              </w:rPr>
            </w:pPr>
            <w:r>
              <w:rPr>
                <w:sz w:val="22"/>
                <w:szCs w:val="22"/>
              </w:rPr>
              <w:t>UK9</w:t>
            </w:r>
          </w:p>
        </w:tc>
        <w:tc>
          <w:tcPr>
            <w:tcW w:w="3669" w:type="dxa"/>
          </w:tcPr>
          <w:p w14:paraId="4E5E73E8" w14:textId="3442D81E" w:rsidR="002055B1" w:rsidRPr="002055B1" w:rsidRDefault="002055B1">
            <w:pPr>
              <w:rPr>
                <w:sz w:val="22"/>
                <w:szCs w:val="22"/>
              </w:rPr>
            </w:pPr>
            <w:r>
              <w:rPr>
                <w:sz w:val="22"/>
                <w:szCs w:val="22"/>
              </w:rPr>
              <w:t>Contract Performance Notice</w:t>
            </w:r>
          </w:p>
        </w:tc>
        <w:tc>
          <w:tcPr>
            <w:tcW w:w="3980" w:type="dxa"/>
          </w:tcPr>
          <w:p w14:paraId="68283670" w14:textId="77777777" w:rsidR="002055B1" w:rsidRDefault="002055B1">
            <w:pPr>
              <w:rPr>
                <w:sz w:val="22"/>
                <w:szCs w:val="22"/>
              </w:rPr>
            </w:pPr>
            <w:r w:rsidRPr="002055B1">
              <w:rPr>
                <w:b/>
                <w:bCs/>
                <w:sz w:val="22"/>
                <w:szCs w:val="22"/>
              </w:rPr>
              <w:t>Mandatory</w:t>
            </w:r>
            <w:r w:rsidRPr="002055B1">
              <w:rPr>
                <w:sz w:val="22"/>
                <w:szCs w:val="22"/>
              </w:rPr>
              <w:t xml:space="preserve"> to report: </w:t>
            </w:r>
          </w:p>
          <w:p w14:paraId="21FE8C0E" w14:textId="77777777" w:rsidR="002055B1" w:rsidRDefault="002055B1">
            <w:pPr>
              <w:rPr>
                <w:sz w:val="22"/>
                <w:szCs w:val="22"/>
              </w:rPr>
            </w:pPr>
            <w:r w:rsidRPr="002055B1">
              <w:rPr>
                <w:sz w:val="22"/>
                <w:szCs w:val="22"/>
              </w:rPr>
              <w:t xml:space="preserve">a. annual KPI scores for public contracts valued £5m+ </w:t>
            </w:r>
          </w:p>
          <w:p w14:paraId="18915D8E" w14:textId="69BD65FD" w:rsidR="002055B1" w:rsidRPr="002055B1" w:rsidRDefault="002055B1">
            <w:pPr>
              <w:rPr>
                <w:sz w:val="22"/>
                <w:szCs w:val="22"/>
              </w:rPr>
            </w:pPr>
            <w:r w:rsidRPr="002055B1">
              <w:rPr>
                <w:sz w:val="22"/>
                <w:szCs w:val="22"/>
              </w:rPr>
              <w:t>b. poor supplier performance / breach of contract (within 30 days of event)</w:t>
            </w:r>
          </w:p>
        </w:tc>
      </w:tr>
      <w:tr w:rsidR="002055B1" w:rsidRPr="002055B1" w14:paraId="6BF30827" w14:textId="77777777" w:rsidTr="002055B1">
        <w:tc>
          <w:tcPr>
            <w:tcW w:w="1571" w:type="dxa"/>
          </w:tcPr>
          <w:p w14:paraId="02FE0E43" w14:textId="6A7DDF08" w:rsidR="002055B1" w:rsidRPr="002055B1" w:rsidRDefault="002055B1">
            <w:pPr>
              <w:rPr>
                <w:sz w:val="22"/>
                <w:szCs w:val="22"/>
              </w:rPr>
            </w:pPr>
            <w:r>
              <w:rPr>
                <w:sz w:val="22"/>
                <w:szCs w:val="22"/>
              </w:rPr>
              <w:t>UK10</w:t>
            </w:r>
          </w:p>
        </w:tc>
        <w:tc>
          <w:tcPr>
            <w:tcW w:w="3669" w:type="dxa"/>
          </w:tcPr>
          <w:p w14:paraId="6775C8B9" w14:textId="633C3C84" w:rsidR="002055B1" w:rsidRPr="002055B1" w:rsidRDefault="002055B1">
            <w:pPr>
              <w:rPr>
                <w:sz w:val="22"/>
                <w:szCs w:val="22"/>
              </w:rPr>
            </w:pPr>
            <w:r>
              <w:rPr>
                <w:sz w:val="22"/>
                <w:szCs w:val="22"/>
              </w:rPr>
              <w:t>Contract Change Notice</w:t>
            </w:r>
          </w:p>
        </w:tc>
        <w:tc>
          <w:tcPr>
            <w:tcW w:w="3980" w:type="dxa"/>
          </w:tcPr>
          <w:p w14:paraId="2CA25DBE" w14:textId="77336638" w:rsidR="002055B1" w:rsidRPr="002055B1" w:rsidRDefault="002055B1">
            <w:pPr>
              <w:rPr>
                <w:sz w:val="22"/>
                <w:szCs w:val="22"/>
              </w:rPr>
            </w:pPr>
            <w:r w:rsidRPr="002055B1">
              <w:rPr>
                <w:b/>
                <w:bCs/>
                <w:sz w:val="22"/>
                <w:szCs w:val="22"/>
              </w:rPr>
              <w:t>Mandatory</w:t>
            </w:r>
            <w:r w:rsidRPr="002055B1">
              <w:rPr>
                <w:sz w:val="22"/>
                <w:szCs w:val="22"/>
              </w:rPr>
              <w:t xml:space="preserve"> prior to a qualifying modification taking place (copy of modified contract for public contracts over £5m)</w:t>
            </w:r>
          </w:p>
        </w:tc>
      </w:tr>
      <w:tr w:rsidR="002055B1" w:rsidRPr="002055B1" w14:paraId="532D20F8" w14:textId="77777777" w:rsidTr="002055B1">
        <w:tc>
          <w:tcPr>
            <w:tcW w:w="1571" w:type="dxa"/>
          </w:tcPr>
          <w:p w14:paraId="658CC0F8" w14:textId="3F76FF10" w:rsidR="002055B1" w:rsidRPr="002055B1" w:rsidRDefault="002055B1">
            <w:pPr>
              <w:rPr>
                <w:sz w:val="22"/>
                <w:szCs w:val="22"/>
              </w:rPr>
            </w:pPr>
            <w:r>
              <w:rPr>
                <w:sz w:val="22"/>
                <w:szCs w:val="22"/>
              </w:rPr>
              <w:t>UK11</w:t>
            </w:r>
          </w:p>
        </w:tc>
        <w:tc>
          <w:tcPr>
            <w:tcW w:w="3669" w:type="dxa"/>
          </w:tcPr>
          <w:p w14:paraId="63D3CD39" w14:textId="31942B36" w:rsidR="002055B1" w:rsidRPr="002055B1" w:rsidRDefault="002055B1">
            <w:pPr>
              <w:rPr>
                <w:sz w:val="22"/>
                <w:szCs w:val="22"/>
              </w:rPr>
            </w:pPr>
            <w:r>
              <w:rPr>
                <w:sz w:val="22"/>
                <w:szCs w:val="22"/>
              </w:rPr>
              <w:t>Contract Termination Notice</w:t>
            </w:r>
          </w:p>
        </w:tc>
        <w:tc>
          <w:tcPr>
            <w:tcW w:w="3980" w:type="dxa"/>
          </w:tcPr>
          <w:p w14:paraId="4F74E976" w14:textId="43F23ACA" w:rsidR="002055B1" w:rsidRPr="002055B1" w:rsidRDefault="002055B1">
            <w:pPr>
              <w:rPr>
                <w:sz w:val="22"/>
                <w:szCs w:val="22"/>
              </w:rPr>
            </w:pPr>
            <w:r w:rsidRPr="002055B1">
              <w:rPr>
                <w:b/>
                <w:bCs/>
                <w:sz w:val="22"/>
                <w:szCs w:val="22"/>
              </w:rPr>
              <w:t>Mandatory</w:t>
            </w:r>
            <w:r w:rsidRPr="002055B1">
              <w:rPr>
                <w:sz w:val="22"/>
                <w:szCs w:val="22"/>
              </w:rPr>
              <w:t xml:space="preserve"> when a public contract ends</w:t>
            </w:r>
          </w:p>
        </w:tc>
      </w:tr>
      <w:tr w:rsidR="002055B1" w:rsidRPr="002055B1" w14:paraId="57EB6DBD" w14:textId="77777777" w:rsidTr="002055B1">
        <w:tc>
          <w:tcPr>
            <w:tcW w:w="1571" w:type="dxa"/>
          </w:tcPr>
          <w:p w14:paraId="0556A06A" w14:textId="01937C5E" w:rsidR="002055B1" w:rsidRPr="002055B1" w:rsidRDefault="002055B1">
            <w:pPr>
              <w:rPr>
                <w:sz w:val="22"/>
                <w:szCs w:val="22"/>
              </w:rPr>
            </w:pPr>
            <w:r>
              <w:rPr>
                <w:sz w:val="22"/>
                <w:szCs w:val="22"/>
              </w:rPr>
              <w:t>UK12</w:t>
            </w:r>
          </w:p>
        </w:tc>
        <w:tc>
          <w:tcPr>
            <w:tcW w:w="3669" w:type="dxa"/>
          </w:tcPr>
          <w:p w14:paraId="6754BF93" w14:textId="0BED36ED" w:rsidR="002055B1" w:rsidRPr="002055B1" w:rsidRDefault="002055B1">
            <w:pPr>
              <w:rPr>
                <w:sz w:val="22"/>
                <w:szCs w:val="22"/>
              </w:rPr>
            </w:pPr>
            <w:r w:rsidRPr="002055B1">
              <w:rPr>
                <w:sz w:val="22"/>
                <w:szCs w:val="22"/>
              </w:rPr>
              <w:t>Procurement termination notice</w:t>
            </w:r>
          </w:p>
        </w:tc>
        <w:tc>
          <w:tcPr>
            <w:tcW w:w="3980" w:type="dxa"/>
          </w:tcPr>
          <w:p w14:paraId="394645AA" w14:textId="0D2C2EC9" w:rsidR="002055B1" w:rsidRPr="002055B1" w:rsidRDefault="002055B1">
            <w:pPr>
              <w:rPr>
                <w:sz w:val="22"/>
                <w:szCs w:val="22"/>
              </w:rPr>
            </w:pPr>
            <w:r w:rsidRPr="002055B1">
              <w:rPr>
                <w:b/>
                <w:bCs/>
                <w:sz w:val="22"/>
                <w:szCs w:val="22"/>
              </w:rPr>
              <w:t>Mandatory</w:t>
            </w:r>
            <w:r w:rsidRPr="002055B1">
              <w:rPr>
                <w:sz w:val="22"/>
                <w:szCs w:val="22"/>
              </w:rPr>
              <w:t xml:space="preserve"> where, after publishing a tender or transparency notice, the process is terminated without awarding a contract</w:t>
            </w:r>
          </w:p>
        </w:tc>
      </w:tr>
      <w:tr w:rsidR="002055B1" w:rsidRPr="002055B1" w14:paraId="7D44817E" w14:textId="77777777" w:rsidTr="002055B1">
        <w:tc>
          <w:tcPr>
            <w:tcW w:w="1571" w:type="dxa"/>
          </w:tcPr>
          <w:p w14:paraId="7DDDC379" w14:textId="439CE9CD" w:rsidR="002055B1" w:rsidRPr="002055B1" w:rsidRDefault="002055B1">
            <w:pPr>
              <w:rPr>
                <w:sz w:val="22"/>
                <w:szCs w:val="22"/>
              </w:rPr>
            </w:pPr>
            <w:r>
              <w:rPr>
                <w:sz w:val="22"/>
                <w:szCs w:val="22"/>
              </w:rPr>
              <w:t>UK13 to 16</w:t>
            </w:r>
          </w:p>
        </w:tc>
        <w:tc>
          <w:tcPr>
            <w:tcW w:w="3669" w:type="dxa"/>
          </w:tcPr>
          <w:p w14:paraId="3FA0F4AA" w14:textId="5709C2B1" w:rsidR="002055B1" w:rsidRPr="002055B1" w:rsidRDefault="002055B1">
            <w:pPr>
              <w:rPr>
                <w:sz w:val="22"/>
                <w:szCs w:val="22"/>
              </w:rPr>
            </w:pPr>
            <w:r w:rsidRPr="002055B1">
              <w:rPr>
                <w:sz w:val="22"/>
                <w:szCs w:val="22"/>
              </w:rPr>
              <w:t>Dynamic market notice</w:t>
            </w:r>
          </w:p>
        </w:tc>
        <w:tc>
          <w:tcPr>
            <w:tcW w:w="3980" w:type="dxa"/>
          </w:tcPr>
          <w:p w14:paraId="1CD6F367" w14:textId="2221F558" w:rsidR="002055B1" w:rsidRPr="002055B1" w:rsidRDefault="002055B1">
            <w:pPr>
              <w:rPr>
                <w:sz w:val="22"/>
                <w:szCs w:val="22"/>
              </w:rPr>
            </w:pPr>
            <w:r w:rsidRPr="002055B1">
              <w:rPr>
                <w:b/>
                <w:bCs/>
                <w:sz w:val="22"/>
                <w:szCs w:val="22"/>
              </w:rPr>
              <w:t>Mandatory</w:t>
            </w:r>
            <w:r w:rsidRPr="002055B1">
              <w:rPr>
                <w:sz w:val="22"/>
                <w:szCs w:val="22"/>
              </w:rPr>
              <w:t xml:space="preserve"> when advertising, establishing, changing or terminating a dynamic market</w:t>
            </w:r>
          </w:p>
        </w:tc>
      </w:tr>
      <w:tr w:rsidR="002055B1" w:rsidRPr="002055B1" w14:paraId="291950C8" w14:textId="77777777" w:rsidTr="002055B1">
        <w:tc>
          <w:tcPr>
            <w:tcW w:w="1571" w:type="dxa"/>
          </w:tcPr>
          <w:p w14:paraId="4828BF20" w14:textId="7EA06195" w:rsidR="002055B1" w:rsidRPr="002055B1" w:rsidRDefault="002055B1">
            <w:pPr>
              <w:rPr>
                <w:sz w:val="22"/>
                <w:szCs w:val="22"/>
              </w:rPr>
            </w:pPr>
            <w:r>
              <w:rPr>
                <w:sz w:val="22"/>
                <w:szCs w:val="22"/>
              </w:rPr>
              <w:t>UK17</w:t>
            </w:r>
          </w:p>
        </w:tc>
        <w:tc>
          <w:tcPr>
            <w:tcW w:w="3669" w:type="dxa"/>
          </w:tcPr>
          <w:p w14:paraId="5E390E4F" w14:textId="10BA1B3C" w:rsidR="002055B1" w:rsidRPr="002055B1" w:rsidRDefault="002055B1">
            <w:pPr>
              <w:rPr>
                <w:sz w:val="22"/>
                <w:szCs w:val="22"/>
              </w:rPr>
            </w:pPr>
            <w:proofErr w:type="gramStart"/>
            <w:r w:rsidRPr="002055B1">
              <w:rPr>
                <w:sz w:val="22"/>
                <w:szCs w:val="22"/>
              </w:rPr>
              <w:t>Payments</w:t>
            </w:r>
            <w:proofErr w:type="gramEnd"/>
            <w:r w:rsidRPr="002055B1">
              <w:rPr>
                <w:sz w:val="22"/>
                <w:szCs w:val="22"/>
              </w:rPr>
              <w:t xml:space="preserve"> compliance notice</w:t>
            </w:r>
          </w:p>
        </w:tc>
        <w:tc>
          <w:tcPr>
            <w:tcW w:w="3980" w:type="dxa"/>
          </w:tcPr>
          <w:p w14:paraId="4DE6C4D0" w14:textId="2E96343A" w:rsidR="002055B1" w:rsidRPr="002055B1" w:rsidRDefault="002055B1">
            <w:pPr>
              <w:rPr>
                <w:sz w:val="22"/>
                <w:szCs w:val="22"/>
              </w:rPr>
            </w:pPr>
            <w:r w:rsidRPr="002055B1">
              <w:rPr>
                <w:b/>
                <w:bCs/>
                <w:sz w:val="22"/>
                <w:szCs w:val="22"/>
              </w:rPr>
              <w:t>Mandatory</w:t>
            </w:r>
            <w:r w:rsidRPr="002055B1">
              <w:rPr>
                <w:sz w:val="22"/>
                <w:szCs w:val="22"/>
              </w:rPr>
              <w:t xml:space="preserve"> details of contracting authority performance against 30- day payment terms (twice annually)</w:t>
            </w:r>
          </w:p>
        </w:tc>
      </w:tr>
    </w:tbl>
    <w:p w14:paraId="4BD214D6" w14:textId="77777777" w:rsidR="00141787" w:rsidRDefault="00141787">
      <w:pPr>
        <w:rPr>
          <w:b/>
          <w:bCs/>
          <w:sz w:val="28"/>
          <w:szCs w:val="28"/>
        </w:rPr>
      </w:pPr>
    </w:p>
    <w:sectPr w:rsidR="00141787" w:rsidSect="009F5CAC">
      <w:pgSz w:w="11910" w:h="16840"/>
      <w:pgMar w:top="1560" w:right="1340" w:bottom="1440" w:left="1276" w:header="952"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37A31" w14:textId="77777777" w:rsidR="0047643C" w:rsidRDefault="0047643C">
      <w:r>
        <w:separator/>
      </w:r>
    </w:p>
  </w:endnote>
  <w:endnote w:type="continuationSeparator" w:id="0">
    <w:p w14:paraId="6F3DF1D8" w14:textId="77777777" w:rsidR="0047643C" w:rsidRDefault="0047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282049"/>
      <w:docPartObj>
        <w:docPartGallery w:val="Page Numbers (Bottom of Page)"/>
        <w:docPartUnique/>
      </w:docPartObj>
    </w:sdtPr>
    <w:sdtEndPr>
      <w:rPr>
        <w:color w:val="7F7F7F" w:themeColor="background1" w:themeShade="7F"/>
        <w:spacing w:val="60"/>
      </w:rPr>
    </w:sdtEndPr>
    <w:sdtContent>
      <w:p w14:paraId="660DA902" w14:textId="717DFAF5" w:rsidR="00A92CE4" w:rsidRDefault="00A92C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D9BFA7" w14:textId="45B2876B" w:rsidR="001B0BFE" w:rsidRPr="00FA29B9" w:rsidRDefault="001B0BFE" w:rsidP="00FA29B9">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734809"/>
      <w:docPartObj>
        <w:docPartGallery w:val="Page Numbers (Bottom of Page)"/>
        <w:docPartUnique/>
      </w:docPartObj>
    </w:sdtPr>
    <w:sdtEndPr>
      <w:rPr>
        <w:color w:val="7F7F7F" w:themeColor="background1" w:themeShade="7F"/>
        <w:spacing w:val="60"/>
      </w:rPr>
    </w:sdtEndPr>
    <w:sdtContent>
      <w:p w14:paraId="152872BB" w14:textId="585AEF55" w:rsidR="00A92CE4" w:rsidRDefault="00A92C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B6A967" w14:textId="7B1ECAC7" w:rsidR="001B0BFE" w:rsidRDefault="001B0B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4EF9" w14:textId="77777777" w:rsidR="0047643C" w:rsidRDefault="0047643C">
      <w:r>
        <w:separator/>
      </w:r>
    </w:p>
  </w:footnote>
  <w:footnote w:type="continuationSeparator" w:id="0">
    <w:p w14:paraId="511435BE" w14:textId="77777777" w:rsidR="0047643C" w:rsidRDefault="0047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A5EC" w14:textId="66319AA9" w:rsidR="001B0BFE" w:rsidRDefault="00EC709A">
    <w:pPr>
      <w:pStyle w:val="BodyText"/>
      <w:spacing w:line="14" w:lineRule="auto"/>
      <w:rPr>
        <w:sz w:val="20"/>
      </w:rPr>
    </w:pPr>
    <w:r>
      <w:rPr>
        <w:noProof/>
      </w:rPr>
      <w:drawing>
        <wp:anchor distT="0" distB="0" distL="0" distR="0" simplePos="0" relativeHeight="251657216" behindDoc="1" locked="0" layoutInCell="1" allowOverlap="1" wp14:anchorId="1EF6E01D" wp14:editId="000078E7">
          <wp:simplePos x="0" y="0"/>
          <wp:positionH relativeFrom="page">
            <wp:posOffset>5349875</wp:posOffset>
          </wp:positionH>
          <wp:positionV relativeFrom="page">
            <wp:posOffset>154939</wp:posOffset>
          </wp:positionV>
          <wp:extent cx="1571625" cy="838834"/>
          <wp:effectExtent l="0" t="0" r="0" b="0"/>
          <wp:wrapNone/>
          <wp:docPr id="718782647" name="Picture 71878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1571625" cy="8388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CC82" w14:textId="77777777" w:rsidR="00141787" w:rsidRDefault="00141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890E" w14:textId="4157B591" w:rsidR="001B0BFE" w:rsidRDefault="001B0BFE">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AC83" w14:textId="77777777" w:rsidR="00141787" w:rsidRDefault="0014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70DC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63AEF"/>
    <w:multiLevelType w:val="hybridMultilevel"/>
    <w:tmpl w:val="5E8A5C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A33709"/>
    <w:multiLevelType w:val="hybridMultilevel"/>
    <w:tmpl w:val="0ACA2788"/>
    <w:lvl w:ilvl="0" w:tplc="97A66760">
      <w:start w:val="8"/>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0C10059"/>
    <w:multiLevelType w:val="multilevel"/>
    <w:tmpl w:val="FBEAC316"/>
    <w:lvl w:ilvl="0">
      <w:start w:val="9"/>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4" w15:restartNumberingAfterBreak="0">
    <w:nsid w:val="12E476E4"/>
    <w:multiLevelType w:val="hybridMultilevel"/>
    <w:tmpl w:val="D2325C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67E0C99"/>
    <w:multiLevelType w:val="multilevel"/>
    <w:tmpl w:val="0F268BC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E42529"/>
    <w:multiLevelType w:val="hybridMultilevel"/>
    <w:tmpl w:val="A4C0D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E6D6F42"/>
    <w:multiLevelType w:val="hybridMultilevel"/>
    <w:tmpl w:val="17382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1761B1"/>
    <w:multiLevelType w:val="multilevel"/>
    <w:tmpl w:val="5BEE227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5512E"/>
    <w:multiLevelType w:val="multilevel"/>
    <w:tmpl w:val="4268EF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70ED2"/>
    <w:multiLevelType w:val="hybridMultilevel"/>
    <w:tmpl w:val="9F7AA73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63920B4"/>
    <w:multiLevelType w:val="hybridMultilevel"/>
    <w:tmpl w:val="0ACA2788"/>
    <w:lvl w:ilvl="0" w:tplc="FFFFFFFF">
      <w:start w:val="8"/>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87A116D"/>
    <w:multiLevelType w:val="hybridMultilevel"/>
    <w:tmpl w:val="E5C6920E"/>
    <w:lvl w:ilvl="0" w:tplc="61705F6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C0D178F"/>
    <w:multiLevelType w:val="hybridMultilevel"/>
    <w:tmpl w:val="03A418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CFD190E"/>
    <w:multiLevelType w:val="hybridMultilevel"/>
    <w:tmpl w:val="AE48AC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ED022AD"/>
    <w:multiLevelType w:val="hybridMultilevel"/>
    <w:tmpl w:val="E676D0C2"/>
    <w:lvl w:ilvl="0" w:tplc="86D29AFA">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0921D48"/>
    <w:multiLevelType w:val="multilevel"/>
    <w:tmpl w:val="2A206DD2"/>
    <w:lvl w:ilvl="0">
      <w:start w:val="7"/>
      <w:numFmt w:val="decimal"/>
      <w:lvlText w:val="%1"/>
      <w:lvlJc w:val="left"/>
      <w:pPr>
        <w:ind w:left="525" w:hanging="525"/>
      </w:pPr>
      <w:rPr>
        <w:rFonts w:hint="default"/>
      </w:rPr>
    </w:lvl>
    <w:lvl w:ilvl="1">
      <w:start w:val="9"/>
      <w:numFmt w:val="decimal"/>
      <w:lvlText w:val="%1.%2"/>
      <w:lvlJc w:val="left"/>
      <w:pPr>
        <w:ind w:left="808" w:hanging="52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30E4E54"/>
    <w:multiLevelType w:val="hybridMultilevel"/>
    <w:tmpl w:val="645A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8237B"/>
    <w:multiLevelType w:val="hybridMultilevel"/>
    <w:tmpl w:val="B8F8A6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51C3A09"/>
    <w:multiLevelType w:val="hybridMultilevel"/>
    <w:tmpl w:val="722460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A133892"/>
    <w:multiLevelType w:val="hybridMultilevel"/>
    <w:tmpl w:val="EE1C3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1D05B8"/>
    <w:multiLevelType w:val="multilevel"/>
    <w:tmpl w:val="2CDC431E"/>
    <w:lvl w:ilvl="0">
      <w:start w:val="11"/>
      <w:numFmt w:val="decimal"/>
      <w:lvlText w:val="%1.0"/>
      <w:lvlJc w:val="left"/>
      <w:pPr>
        <w:ind w:left="1035" w:hanging="468"/>
      </w:pPr>
      <w:rPr>
        <w:rFonts w:hint="default"/>
      </w:rPr>
    </w:lvl>
    <w:lvl w:ilvl="1">
      <w:start w:val="1"/>
      <w:numFmt w:val="decimal"/>
      <w:lvlText w:val="%1.%2"/>
      <w:lvlJc w:val="left"/>
      <w:pPr>
        <w:ind w:left="1755" w:hanging="468"/>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22" w15:restartNumberingAfterBreak="0">
    <w:nsid w:val="3C135AE2"/>
    <w:multiLevelType w:val="multilevel"/>
    <w:tmpl w:val="27F09FD0"/>
    <w:lvl w:ilvl="0">
      <w:start w:val="1"/>
      <w:numFmt w:val="decimal"/>
      <w:lvlText w:val="%1.0"/>
      <w:lvlJc w:val="left"/>
      <w:pPr>
        <w:ind w:left="720" w:hanging="720"/>
      </w:pPr>
      <w:rPr>
        <w:rFonts w:ascii="Arial" w:hAnsi="Arial" w:hint="default"/>
        <w:sz w:val="24"/>
        <w:szCs w:val="36"/>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623E6A"/>
    <w:multiLevelType w:val="hybridMultilevel"/>
    <w:tmpl w:val="682E03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72E6578"/>
    <w:multiLevelType w:val="hybridMultilevel"/>
    <w:tmpl w:val="ECF2BC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7BA6F8E"/>
    <w:multiLevelType w:val="hybridMultilevel"/>
    <w:tmpl w:val="F1E459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97B25D9"/>
    <w:multiLevelType w:val="hybridMultilevel"/>
    <w:tmpl w:val="432423E0"/>
    <w:lvl w:ilvl="0" w:tplc="54885B96">
      <w:start w:val="10"/>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271BC"/>
    <w:multiLevelType w:val="multilevel"/>
    <w:tmpl w:val="701EC582"/>
    <w:lvl w:ilvl="0">
      <w:start w:val="7"/>
      <w:numFmt w:val="decimal"/>
      <w:lvlText w:val="%1"/>
      <w:lvlJc w:val="left"/>
      <w:pPr>
        <w:ind w:left="525" w:hanging="525"/>
      </w:pPr>
      <w:rPr>
        <w:rFonts w:hint="default"/>
      </w:rPr>
    </w:lvl>
    <w:lvl w:ilvl="1">
      <w:start w:val="8"/>
      <w:numFmt w:val="decimal"/>
      <w:lvlText w:val="%1.%2"/>
      <w:lvlJc w:val="left"/>
      <w:pPr>
        <w:ind w:left="808" w:hanging="525"/>
      </w:pPr>
      <w:rPr>
        <w:rFonts w:hint="default"/>
        <w:color w:val="auto"/>
      </w:rPr>
    </w:lvl>
    <w:lvl w:ilvl="2">
      <w:start w:val="2"/>
      <w:numFmt w:val="decimal"/>
      <w:lvlText w:val="%1.%2.%3"/>
      <w:lvlJc w:val="left"/>
      <w:pPr>
        <w:ind w:left="720"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F5C46A4"/>
    <w:multiLevelType w:val="hybridMultilevel"/>
    <w:tmpl w:val="E8849E84"/>
    <w:lvl w:ilvl="0" w:tplc="86D29AFA">
      <w:start w:val="1"/>
      <w:numFmt w:val="lowerRoman"/>
      <w:lvlText w:val="%1."/>
      <w:lvlJc w:val="left"/>
      <w:pPr>
        <w:ind w:left="731" w:hanging="360"/>
      </w:pPr>
      <w:rPr>
        <w:rFont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29" w15:restartNumberingAfterBreak="0">
    <w:nsid w:val="50BD1712"/>
    <w:multiLevelType w:val="hybridMultilevel"/>
    <w:tmpl w:val="889AF1A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879D9"/>
    <w:multiLevelType w:val="hybridMultilevel"/>
    <w:tmpl w:val="A2AC1E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AC4468"/>
    <w:multiLevelType w:val="hybridMultilevel"/>
    <w:tmpl w:val="24180BC4"/>
    <w:lvl w:ilvl="0" w:tplc="04090001">
      <w:start w:val="1"/>
      <w:numFmt w:val="bullet"/>
      <w:lvlText w:val=""/>
      <w:lvlJc w:val="left"/>
      <w:pPr>
        <w:tabs>
          <w:tab w:val="num" w:pos="1887"/>
        </w:tabs>
        <w:ind w:left="1887" w:hanging="360"/>
      </w:pPr>
      <w:rPr>
        <w:rFonts w:ascii="Symbol" w:hAnsi="Symbol" w:hint="default"/>
      </w:rPr>
    </w:lvl>
    <w:lvl w:ilvl="1" w:tplc="04090003" w:tentative="1">
      <w:start w:val="1"/>
      <w:numFmt w:val="bullet"/>
      <w:lvlText w:val="o"/>
      <w:lvlJc w:val="left"/>
      <w:pPr>
        <w:tabs>
          <w:tab w:val="num" w:pos="2967"/>
        </w:tabs>
        <w:ind w:left="2967" w:hanging="360"/>
      </w:pPr>
      <w:rPr>
        <w:rFonts w:ascii="Courier New" w:hAnsi="Courier New" w:cs="Courier New" w:hint="default"/>
      </w:rPr>
    </w:lvl>
    <w:lvl w:ilvl="2" w:tplc="04090005" w:tentative="1">
      <w:start w:val="1"/>
      <w:numFmt w:val="bullet"/>
      <w:lvlText w:val=""/>
      <w:lvlJc w:val="left"/>
      <w:pPr>
        <w:tabs>
          <w:tab w:val="num" w:pos="3687"/>
        </w:tabs>
        <w:ind w:left="3687" w:hanging="360"/>
      </w:pPr>
      <w:rPr>
        <w:rFonts w:ascii="Wingdings" w:hAnsi="Wingdings" w:hint="default"/>
      </w:rPr>
    </w:lvl>
    <w:lvl w:ilvl="3" w:tplc="04090001" w:tentative="1">
      <w:start w:val="1"/>
      <w:numFmt w:val="bullet"/>
      <w:lvlText w:val=""/>
      <w:lvlJc w:val="left"/>
      <w:pPr>
        <w:tabs>
          <w:tab w:val="num" w:pos="4407"/>
        </w:tabs>
        <w:ind w:left="4407" w:hanging="360"/>
      </w:pPr>
      <w:rPr>
        <w:rFonts w:ascii="Symbol" w:hAnsi="Symbol" w:hint="default"/>
      </w:rPr>
    </w:lvl>
    <w:lvl w:ilvl="4" w:tplc="04090003" w:tentative="1">
      <w:start w:val="1"/>
      <w:numFmt w:val="bullet"/>
      <w:lvlText w:val="o"/>
      <w:lvlJc w:val="left"/>
      <w:pPr>
        <w:tabs>
          <w:tab w:val="num" w:pos="5127"/>
        </w:tabs>
        <w:ind w:left="5127" w:hanging="360"/>
      </w:pPr>
      <w:rPr>
        <w:rFonts w:ascii="Courier New" w:hAnsi="Courier New" w:cs="Courier New" w:hint="default"/>
      </w:rPr>
    </w:lvl>
    <w:lvl w:ilvl="5" w:tplc="04090005" w:tentative="1">
      <w:start w:val="1"/>
      <w:numFmt w:val="bullet"/>
      <w:lvlText w:val=""/>
      <w:lvlJc w:val="left"/>
      <w:pPr>
        <w:tabs>
          <w:tab w:val="num" w:pos="5847"/>
        </w:tabs>
        <w:ind w:left="5847" w:hanging="360"/>
      </w:pPr>
      <w:rPr>
        <w:rFonts w:ascii="Wingdings" w:hAnsi="Wingdings" w:hint="default"/>
      </w:rPr>
    </w:lvl>
    <w:lvl w:ilvl="6" w:tplc="04090001" w:tentative="1">
      <w:start w:val="1"/>
      <w:numFmt w:val="bullet"/>
      <w:lvlText w:val=""/>
      <w:lvlJc w:val="left"/>
      <w:pPr>
        <w:tabs>
          <w:tab w:val="num" w:pos="6567"/>
        </w:tabs>
        <w:ind w:left="6567" w:hanging="360"/>
      </w:pPr>
      <w:rPr>
        <w:rFonts w:ascii="Symbol" w:hAnsi="Symbol" w:hint="default"/>
      </w:rPr>
    </w:lvl>
    <w:lvl w:ilvl="7" w:tplc="04090003" w:tentative="1">
      <w:start w:val="1"/>
      <w:numFmt w:val="bullet"/>
      <w:lvlText w:val="o"/>
      <w:lvlJc w:val="left"/>
      <w:pPr>
        <w:tabs>
          <w:tab w:val="num" w:pos="7287"/>
        </w:tabs>
        <w:ind w:left="7287" w:hanging="360"/>
      </w:pPr>
      <w:rPr>
        <w:rFonts w:ascii="Courier New" w:hAnsi="Courier New" w:cs="Courier New" w:hint="default"/>
      </w:rPr>
    </w:lvl>
    <w:lvl w:ilvl="8" w:tplc="04090005" w:tentative="1">
      <w:start w:val="1"/>
      <w:numFmt w:val="bullet"/>
      <w:lvlText w:val=""/>
      <w:lvlJc w:val="left"/>
      <w:pPr>
        <w:tabs>
          <w:tab w:val="num" w:pos="8007"/>
        </w:tabs>
        <w:ind w:left="8007" w:hanging="360"/>
      </w:pPr>
      <w:rPr>
        <w:rFonts w:ascii="Wingdings" w:hAnsi="Wingdings" w:hint="default"/>
      </w:rPr>
    </w:lvl>
  </w:abstractNum>
  <w:abstractNum w:abstractNumId="32" w15:restartNumberingAfterBreak="0">
    <w:nsid w:val="58A626FD"/>
    <w:multiLevelType w:val="hybridMultilevel"/>
    <w:tmpl w:val="DB96CB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BA643B3"/>
    <w:multiLevelType w:val="hybridMultilevel"/>
    <w:tmpl w:val="FB12915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5D5E1949"/>
    <w:multiLevelType w:val="hybridMultilevel"/>
    <w:tmpl w:val="83C8171C"/>
    <w:lvl w:ilvl="0" w:tplc="92B83174">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1525A18"/>
    <w:multiLevelType w:val="hybridMultilevel"/>
    <w:tmpl w:val="01C06C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27C7FBC"/>
    <w:multiLevelType w:val="multilevel"/>
    <w:tmpl w:val="487072E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4363B74"/>
    <w:multiLevelType w:val="hybridMultilevel"/>
    <w:tmpl w:val="13A03654"/>
    <w:lvl w:ilvl="0" w:tplc="2438C14A">
      <w:start w:val="1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65A87"/>
    <w:multiLevelType w:val="hybridMultilevel"/>
    <w:tmpl w:val="7E6EA68C"/>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39" w15:restartNumberingAfterBreak="0">
    <w:nsid w:val="66732973"/>
    <w:multiLevelType w:val="hybridMultilevel"/>
    <w:tmpl w:val="CB4E1C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0FB2500"/>
    <w:multiLevelType w:val="multilevel"/>
    <w:tmpl w:val="A740F608"/>
    <w:lvl w:ilvl="0">
      <w:start w:val="1"/>
      <w:numFmt w:val="decimal"/>
      <w:lvlText w:val="%1."/>
      <w:lvlJc w:val="left"/>
      <w:pPr>
        <w:ind w:left="927" w:hanging="360"/>
      </w:pPr>
      <w:rPr>
        <w:rFonts w:hint="default"/>
      </w:rPr>
    </w:lvl>
    <w:lvl w:ilvl="1">
      <w:numFmt w:val="decimal"/>
      <w:isLgl/>
      <w:lvlText w:val="%1.%2"/>
      <w:lvlJc w:val="left"/>
      <w:pPr>
        <w:ind w:left="1035" w:hanging="46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1F5060C"/>
    <w:multiLevelType w:val="multilevel"/>
    <w:tmpl w:val="B4768A04"/>
    <w:lvl w:ilvl="0">
      <w:start w:val="1"/>
      <w:numFmt w:val="decimal"/>
      <w:lvlText w:val="%1.0"/>
      <w:lvlJc w:val="left"/>
      <w:pPr>
        <w:ind w:left="360" w:hanging="360"/>
      </w:pPr>
      <w:rPr>
        <w:rFonts w:ascii="Arial" w:hAnsi="Arial" w:hint="default"/>
        <w:sz w:val="22"/>
        <w:szCs w:val="36"/>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517E8E"/>
    <w:multiLevelType w:val="multilevel"/>
    <w:tmpl w:val="A964F7F8"/>
    <w:lvl w:ilvl="0">
      <w:start w:val="8"/>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43" w15:restartNumberingAfterBreak="0">
    <w:nsid w:val="77E1358A"/>
    <w:multiLevelType w:val="hybridMultilevel"/>
    <w:tmpl w:val="502287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B1A5466"/>
    <w:multiLevelType w:val="hybridMultilevel"/>
    <w:tmpl w:val="3D5A06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DF87216"/>
    <w:multiLevelType w:val="multilevel"/>
    <w:tmpl w:val="0BE4A55E"/>
    <w:lvl w:ilvl="0">
      <w:start w:val="7"/>
      <w:numFmt w:val="decimal"/>
      <w:lvlText w:val="%1"/>
      <w:lvlJc w:val="left"/>
      <w:pPr>
        <w:ind w:left="525" w:hanging="525"/>
      </w:pPr>
      <w:rPr>
        <w:rFonts w:hint="default"/>
      </w:rPr>
    </w:lvl>
    <w:lvl w:ilvl="1">
      <w:start w:val="7"/>
      <w:numFmt w:val="decimal"/>
      <w:lvlText w:val="%1.%2"/>
      <w:lvlJc w:val="left"/>
      <w:pPr>
        <w:ind w:left="880" w:hanging="525"/>
      </w:pPr>
      <w:rPr>
        <w:rFonts w:hint="default"/>
        <w:color w:val="auto"/>
      </w:rPr>
    </w:lvl>
    <w:lvl w:ilvl="2">
      <w:start w:val="1"/>
      <w:numFmt w:val="decimal"/>
      <w:lvlText w:val="%1.%2.%3"/>
      <w:lvlJc w:val="left"/>
      <w:pPr>
        <w:ind w:left="1430" w:hanging="720"/>
      </w:pPr>
      <w:rPr>
        <w:rFonts w:hint="default"/>
        <w:b/>
        <w:bCs/>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46" w15:restartNumberingAfterBreak="0">
    <w:nsid w:val="7F496B74"/>
    <w:multiLevelType w:val="multilevel"/>
    <w:tmpl w:val="7FB8518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F775710"/>
    <w:multiLevelType w:val="hybridMultilevel"/>
    <w:tmpl w:val="E5C6920E"/>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28569065">
    <w:abstractNumId w:val="31"/>
  </w:num>
  <w:num w:numId="2" w16cid:durableId="1938521693">
    <w:abstractNumId w:val="33"/>
  </w:num>
  <w:num w:numId="3" w16cid:durableId="2030374513">
    <w:abstractNumId w:val="7"/>
  </w:num>
  <w:num w:numId="4" w16cid:durableId="1230382323">
    <w:abstractNumId w:val="38"/>
  </w:num>
  <w:num w:numId="5" w16cid:durableId="1129981253">
    <w:abstractNumId w:val="12"/>
  </w:num>
  <w:num w:numId="6" w16cid:durableId="993070166">
    <w:abstractNumId w:val="47"/>
  </w:num>
  <w:num w:numId="7" w16cid:durableId="376590279">
    <w:abstractNumId w:val="22"/>
  </w:num>
  <w:num w:numId="8" w16cid:durableId="836268866">
    <w:abstractNumId w:val="46"/>
  </w:num>
  <w:num w:numId="9" w16cid:durableId="1333876851">
    <w:abstractNumId w:val="41"/>
  </w:num>
  <w:num w:numId="10" w16cid:durableId="1985040409">
    <w:abstractNumId w:val="15"/>
  </w:num>
  <w:num w:numId="11" w16cid:durableId="188298116">
    <w:abstractNumId w:val="28"/>
  </w:num>
  <w:num w:numId="12" w16cid:durableId="439644348">
    <w:abstractNumId w:val="43"/>
  </w:num>
  <w:num w:numId="13" w16cid:durableId="2090808023">
    <w:abstractNumId w:val="39"/>
  </w:num>
  <w:num w:numId="14" w16cid:durableId="267395016">
    <w:abstractNumId w:val="4"/>
  </w:num>
  <w:num w:numId="15" w16cid:durableId="1990790194">
    <w:abstractNumId w:val="25"/>
  </w:num>
  <w:num w:numId="16" w16cid:durableId="367990609">
    <w:abstractNumId w:val="18"/>
  </w:num>
  <w:num w:numId="17" w16cid:durableId="646011569">
    <w:abstractNumId w:val="20"/>
  </w:num>
  <w:num w:numId="18" w16cid:durableId="125516420">
    <w:abstractNumId w:val="19"/>
  </w:num>
  <w:num w:numId="19" w16cid:durableId="1592203276">
    <w:abstractNumId w:val="34"/>
  </w:num>
  <w:num w:numId="20" w16cid:durableId="1643538447">
    <w:abstractNumId w:val="23"/>
  </w:num>
  <w:num w:numId="21" w16cid:durableId="197013040">
    <w:abstractNumId w:val="13"/>
  </w:num>
  <w:num w:numId="22" w16cid:durableId="1323968445">
    <w:abstractNumId w:val="24"/>
  </w:num>
  <w:num w:numId="23" w16cid:durableId="629702562">
    <w:abstractNumId w:val="14"/>
  </w:num>
  <w:num w:numId="24" w16cid:durableId="73941847">
    <w:abstractNumId w:val="6"/>
  </w:num>
  <w:num w:numId="25" w16cid:durableId="574364635">
    <w:abstractNumId w:val="30"/>
  </w:num>
  <w:num w:numId="26" w16cid:durableId="706832561">
    <w:abstractNumId w:val="1"/>
  </w:num>
  <w:num w:numId="27" w16cid:durableId="1465080417">
    <w:abstractNumId w:val="44"/>
  </w:num>
  <w:num w:numId="28" w16cid:durableId="1250885977">
    <w:abstractNumId w:val="35"/>
  </w:num>
  <w:num w:numId="29" w16cid:durableId="2092460216">
    <w:abstractNumId w:val="45"/>
  </w:num>
  <w:num w:numId="30" w16cid:durableId="2063209735">
    <w:abstractNumId w:val="27"/>
  </w:num>
  <w:num w:numId="31" w16cid:durableId="1900362375">
    <w:abstractNumId w:val="16"/>
  </w:num>
  <w:num w:numId="32" w16cid:durableId="644555341">
    <w:abstractNumId w:val="36"/>
  </w:num>
  <w:num w:numId="33" w16cid:durableId="925185665">
    <w:abstractNumId w:val="17"/>
  </w:num>
  <w:num w:numId="34" w16cid:durableId="1769813972">
    <w:abstractNumId w:val="5"/>
  </w:num>
  <w:num w:numId="35" w16cid:durableId="303317410">
    <w:abstractNumId w:val="9"/>
  </w:num>
  <w:num w:numId="36" w16cid:durableId="1438909304">
    <w:abstractNumId w:val="8"/>
  </w:num>
  <w:num w:numId="37" w16cid:durableId="1298759453">
    <w:abstractNumId w:val="2"/>
  </w:num>
  <w:num w:numId="38" w16cid:durableId="890725804">
    <w:abstractNumId w:val="29"/>
  </w:num>
  <w:num w:numId="39" w16cid:durableId="1663389441">
    <w:abstractNumId w:val="10"/>
  </w:num>
  <w:num w:numId="40" w16cid:durableId="1248617415">
    <w:abstractNumId w:val="11"/>
  </w:num>
  <w:num w:numId="41" w16cid:durableId="1629513106">
    <w:abstractNumId w:val="40"/>
  </w:num>
  <w:num w:numId="42" w16cid:durableId="2124036598">
    <w:abstractNumId w:val="32"/>
  </w:num>
  <w:num w:numId="43" w16cid:durableId="559633789">
    <w:abstractNumId w:val="0"/>
  </w:num>
  <w:num w:numId="44" w16cid:durableId="1861814424">
    <w:abstractNumId w:val="46"/>
  </w:num>
  <w:num w:numId="45" w16cid:durableId="1068266532">
    <w:abstractNumId w:val="46"/>
  </w:num>
  <w:num w:numId="46" w16cid:durableId="441192117">
    <w:abstractNumId w:val="46"/>
  </w:num>
  <w:num w:numId="47" w16cid:durableId="496505783">
    <w:abstractNumId w:val="46"/>
  </w:num>
  <w:num w:numId="48" w16cid:durableId="1154952612">
    <w:abstractNumId w:val="42"/>
  </w:num>
  <w:num w:numId="49" w16cid:durableId="1488862937">
    <w:abstractNumId w:val="3"/>
  </w:num>
  <w:num w:numId="50" w16cid:durableId="169292571">
    <w:abstractNumId w:val="26"/>
  </w:num>
  <w:num w:numId="51" w16cid:durableId="1749842337">
    <w:abstractNumId w:val="37"/>
  </w:num>
  <w:num w:numId="52" w16cid:durableId="37513135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FE"/>
    <w:rsid w:val="0001555D"/>
    <w:rsid w:val="00017ECA"/>
    <w:rsid w:val="000326CC"/>
    <w:rsid w:val="00044C7E"/>
    <w:rsid w:val="00065DDA"/>
    <w:rsid w:val="000965DE"/>
    <w:rsid w:val="000A271C"/>
    <w:rsid w:val="000C00FE"/>
    <w:rsid w:val="000C1147"/>
    <w:rsid w:val="000C2FF6"/>
    <w:rsid w:val="000D2E0D"/>
    <w:rsid w:val="000D4B4C"/>
    <w:rsid w:val="000E0C55"/>
    <w:rsid w:val="000E2074"/>
    <w:rsid w:val="000E70AF"/>
    <w:rsid w:val="00101A7A"/>
    <w:rsid w:val="00141787"/>
    <w:rsid w:val="001439AA"/>
    <w:rsid w:val="00181315"/>
    <w:rsid w:val="001819E3"/>
    <w:rsid w:val="00183024"/>
    <w:rsid w:val="001A3FF4"/>
    <w:rsid w:val="001B0BFE"/>
    <w:rsid w:val="001B1A35"/>
    <w:rsid w:val="001B1CC6"/>
    <w:rsid w:val="001B5232"/>
    <w:rsid w:val="001D4D41"/>
    <w:rsid w:val="001D7D29"/>
    <w:rsid w:val="002055B1"/>
    <w:rsid w:val="002173E4"/>
    <w:rsid w:val="002234B3"/>
    <w:rsid w:val="0022643F"/>
    <w:rsid w:val="002468D8"/>
    <w:rsid w:val="00257100"/>
    <w:rsid w:val="00270628"/>
    <w:rsid w:val="002720C6"/>
    <w:rsid w:val="00286394"/>
    <w:rsid w:val="002A0BA0"/>
    <w:rsid w:val="002A2863"/>
    <w:rsid w:val="002A72EF"/>
    <w:rsid w:val="002B57AB"/>
    <w:rsid w:val="002F0A1A"/>
    <w:rsid w:val="002F759E"/>
    <w:rsid w:val="003101D3"/>
    <w:rsid w:val="00326B98"/>
    <w:rsid w:val="00336B74"/>
    <w:rsid w:val="003376A5"/>
    <w:rsid w:val="0036754C"/>
    <w:rsid w:val="003A05EC"/>
    <w:rsid w:val="003A2180"/>
    <w:rsid w:val="003A5018"/>
    <w:rsid w:val="003D5110"/>
    <w:rsid w:val="003E0D82"/>
    <w:rsid w:val="003E4745"/>
    <w:rsid w:val="003F350A"/>
    <w:rsid w:val="0040577C"/>
    <w:rsid w:val="0044523C"/>
    <w:rsid w:val="00470430"/>
    <w:rsid w:val="0047643C"/>
    <w:rsid w:val="00492CFB"/>
    <w:rsid w:val="004953C0"/>
    <w:rsid w:val="004C1619"/>
    <w:rsid w:val="004C23D9"/>
    <w:rsid w:val="004D6F55"/>
    <w:rsid w:val="004E08E8"/>
    <w:rsid w:val="004F664A"/>
    <w:rsid w:val="00507ECC"/>
    <w:rsid w:val="00515EAD"/>
    <w:rsid w:val="005336D6"/>
    <w:rsid w:val="0053441B"/>
    <w:rsid w:val="00555672"/>
    <w:rsid w:val="00560EFD"/>
    <w:rsid w:val="00566701"/>
    <w:rsid w:val="00586739"/>
    <w:rsid w:val="00597CC6"/>
    <w:rsid w:val="005A3DF9"/>
    <w:rsid w:val="005B20A5"/>
    <w:rsid w:val="005B7195"/>
    <w:rsid w:val="005D1A7F"/>
    <w:rsid w:val="005D43AD"/>
    <w:rsid w:val="005F75C5"/>
    <w:rsid w:val="006020EE"/>
    <w:rsid w:val="00602E46"/>
    <w:rsid w:val="00612E6E"/>
    <w:rsid w:val="0061473E"/>
    <w:rsid w:val="00617798"/>
    <w:rsid w:val="00626ADA"/>
    <w:rsid w:val="00665FDC"/>
    <w:rsid w:val="00672D2E"/>
    <w:rsid w:val="00682232"/>
    <w:rsid w:val="006D185B"/>
    <w:rsid w:val="006E6180"/>
    <w:rsid w:val="00717D69"/>
    <w:rsid w:val="00741DDC"/>
    <w:rsid w:val="0074334E"/>
    <w:rsid w:val="007652FE"/>
    <w:rsid w:val="007934A0"/>
    <w:rsid w:val="00795199"/>
    <w:rsid w:val="007A2840"/>
    <w:rsid w:val="007C2017"/>
    <w:rsid w:val="007E0141"/>
    <w:rsid w:val="007F3264"/>
    <w:rsid w:val="00807946"/>
    <w:rsid w:val="00816C88"/>
    <w:rsid w:val="00826E51"/>
    <w:rsid w:val="00837E69"/>
    <w:rsid w:val="00844316"/>
    <w:rsid w:val="00870FCB"/>
    <w:rsid w:val="00894A04"/>
    <w:rsid w:val="008A639D"/>
    <w:rsid w:val="008C2215"/>
    <w:rsid w:val="008E005C"/>
    <w:rsid w:val="008E173C"/>
    <w:rsid w:val="00911563"/>
    <w:rsid w:val="00924DFC"/>
    <w:rsid w:val="00941813"/>
    <w:rsid w:val="0094534C"/>
    <w:rsid w:val="00951CAA"/>
    <w:rsid w:val="009659CC"/>
    <w:rsid w:val="00986F68"/>
    <w:rsid w:val="0098734F"/>
    <w:rsid w:val="009A145F"/>
    <w:rsid w:val="009C0CCD"/>
    <w:rsid w:val="009C6C45"/>
    <w:rsid w:val="009D022D"/>
    <w:rsid w:val="009D7C4F"/>
    <w:rsid w:val="009E7A1E"/>
    <w:rsid w:val="009F5CAC"/>
    <w:rsid w:val="00A028AD"/>
    <w:rsid w:val="00A14F0D"/>
    <w:rsid w:val="00A468E5"/>
    <w:rsid w:val="00A55E0D"/>
    <w:rsid w:val="00A62BEB"/>
    <w:rsid w:val="00A6436C"/>
    <w:rsid w:val="00A702C8"/>
    <w:rsid w:val="00A744D1"/>
    <w:rsid w:val="00A75247"/>
    <w:rsid w:val="00A809D5"/>
    <w:rsid w:val="00A92CE4"/>
    <w:rsid w:val="00A92E38"/>
    <w:rsid w:val="00A92EB2"/>
    <w:rsid w:val="00AB7942"/>
    <w:rsid w:val="00AC2209"/>
    <w:rsid w:val="00AE508A"/>
    <w:rsid w:val="00B0678E"/>
    <w:rsid w:val="00B112EC"/>
    <w:rsid w:val="00B150B3"/>
    <w:rsid w:val="00B57C3C"/>
    <w:rsid w:val="00B711BC"/>
    <w:rsid w:val="00B7664A"/>
    <w:rsid w:val="00B86739"/>
    <w:rsid w:val="00B947F5"/>
    <w:rsid w:val="00B97DEC"/>
    <w:rsid w:val="00BA6F5F"/>
    <w:rsid w:val="00BD5A32"/>
    <w:rsid w:val="00BE1E61"/>
    <w:rsid w:val="00BF4355"/>
    <w:rsid w:val="00C00BE7"/>
    <w:rsid w:val="00C0627B"/>
    <w:rsid w:val="00C12D21"/>
    <w:rsid w:val="00C27C80"/>
    <w:rsid w:val="00C32622"/>
    <w:rsid w:val="00C359DE"/>
    <w:rsid w:val="00C515D6"/>
    <w:rsid w:val="00C92C7F"/>
    <w:rsid w:val="00C97AF7"/>
    <w:rsid w:val="00CB3946"/>
    <w:rsid w:val="00CD068E"/>
    <w:rsid w:val="00CE2AAA"/>
    <w:rsid w:val="00CE431A"/>
    <w:rsid w:val="00D14B65"/>
    <w:rsid w:val="00D1754C"/>
    <w:rsid w:val="00D21A8A"/>
    <w:rsid w:val="00D26911"/>
    <w:rsid w:val="00D4441E"/>
    <w:rsid w:val="00D45A97"/>
    <w:rsid w:val="00D8152C"/>
    <w:rsid w:val="00DB2B8A"/>
    <w:rsid w:val="00DC28AF"/>
    <w:rsid w:val="00DD4B1F"/>
    <w:rsid w:val="00E019E6"/>
    <w:rsid w:val="00E061F1"/>
    <w:rsid w:val="00E06FC9"/>
    <w:rsid w:val="00E3276D"/>
    <w:rsid w:val="00E56A07"/>
    <w:rsid w:val="00E657DE"/>
    <w:rsid w:val="00E6729A"/>
    <w:rsid w:val="00EC65BF"/>
    <w:rsid w:val="00EC709A"/>
    <w:rsid w:val="00ED462F"/>
    <w:rsid w:val="00EF10E6"/>
    <w:rsid w:val="00EF1964"/>
    <w:rsid w:val="00F00D29"/>
    <w:rsid w:val="00F02709"/>
    <w:rsid w:val="00F228DD"/>
    <w:rsid w:val="00F248CE"/>
    <w:rsid w:val="00F37630"/>
    <w:rsid w:val="00F573E8"/>
    <w:rsid w:val="00F64180"/>
    <w:rsid w:val="00F830BB"/>
    <w:rsid w:val="00F85A23"/>
    <w:rsid w:val="00F92941"/>
    <w:rsid w:val="00FA1AB3"/>
    <w:rsid w:val="00FA29B9"/>
    <w:rsid w:val="00FB6010"/>
    <w:rsid w:val="00FC076A"/>
    <w:rsid w:val="00FC4C05"/>
    <w:rsid w:val="00FC7122"/>
    <w:rsid w:val="00FC7CC7"/>
    <w:rsid w:val="00FD2F95"/>
    <w:rsid w:val="00FE08EF"/>
    <w:rsid w:val="00FE5767"/>
    <w:rsid w:val="00FF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2449"/>
  <w15:docId w15:val="{0708E28F-A270-4668-A456-809477E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numPr>
        <w:numId w:val="8"/>
      </w:numPr>
      <w:jc w:val="both"/>
      <w:outlineLvl w:val="0"/>
    </w:pPr>
    <w:rPr>
      <w:b/>
      <w:bCs/>
      <w:sz w:val="24"/>
      <w:szCs w:val="24"/>
    </w:rPr>
  </w:style>
  <w:style w:type="paragraph" w:styleId="Heading2">
    <w:name w:val="heading 2"/>
    <w:basedOn w:val="Normal"/>
    <w:next w:val="Normal"/>
    <w:link w:val="Heading2Char"/>
    <w:uiPriority w:val="9"/>
    <w:unhideWhenUsed/>
    <w:qFormat/>
    <w:rsid w:val="00807946"/>
    <w:pPr>
      <w:keepNext/>
      <w:keepLines/>
      <w:numPr>
        <w:ilvl w:val="1"/>
        <w:numId w:val="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441E"/>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441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41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41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41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41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41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39"/>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64" w:hanging="8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0628"/>
    <w:pPr>
      <w:tabs>
        <w:tab w:val="center" w:pos="4513"/>
        <w:tab w:val="right" w:pos="9026"/>
      </w:tabs>
    </w:pPr>
  </w:style>
  <w:style w:type="character" w:customStyle="1" w:styleId="HeaderChar">
    <w:name w:val="Header Char"/>
    <w:basedOn w:val="DefaultParagraphFont"/>
    <w:link w:val="Header"/>
    <w:uiPriority w:val="99"/>
    <w:rsid w:val="00270628"/>
    <w:rPr>
      <w:rFonts w:ascii="Arial" w:eastAsia="Arial" w:hAnsi="Arial" w:cs="Arial"/>
      <w:lang w:val="en-GB" w:eastAsia="en-GB" w:bidi="en-GB"/>
    </w:rPr>
  </w:style>
  <w:style w:type="paragraph" w:styleId="Footer">
    <w:name w:val="footer"/>
    <w:basedOn w:val="Normal"/>
    <w:link w:val="FooterChar"/>
    <w:uiPriority w:val="99"/>
    <w:unhideWhenUsed/>
    <w:rsid w:val="00270628"/>
    <w:pPr>
      <w:tabs>
        <w:tab w:val="center" w:pos="4513"/>
        <w:tab w:val="right" w:pos="9026"/>
      </w:tabs>
    </w:pPr>
  </w:style>
  <w:style w:type="character" w:customStyle="1" w:styleId="FooterChar">
    <w:name w:val="Footer Char"/>
    <w:basedOn w:val="DefaultParagraphFont"/>
    <w:link w:val="Footer"/>
    <w:uiPriority w:val="99"/>
    <w:rsid w:val="00270628"/>
    <w:rPr>
      <w:rFonts w:ascii="Arial" w:eastAsia="Arial" w:hAnsi="Arial" w:cs="Arial"/>
      <w:lang w:val="en-GB" w:eastAsia="en-GB" w:bidi="en-GB"/>
    </w:rPr>
  </w:style>
  <w:style w:type="character" w:customStyle="1" w:styleId="Heading2Char">
    <w:name w:val="Heading 2 Char"/>
    <w:basedOn w:val="DefaultParagraphFont"/>
    <w:link w:val="Heading2"/>
    <w:uiPriority w:val="9"/>
    <w:rsid w:val="00807946"/>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39"/>
    <w:rsid w:val="00807946"/>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15EAD"/>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326B98"/>
    <w:pPr>
      <w:tabs>
        <w:tab w:val="right" w:leader="dot" w:pos="9882"/>
      </w:tabs>
      <w:spacing w:before="101"/>
      <w:ind w:left="539"/>
    </w:pPr>
    <w:rPr>
      <w:b/>
      <w:bCs/>
      <w:noProof/>
      <w:sz w:val="24"/>
      <w:szCs w:val="24"/>
    </w:rPr>
  </w:style>
  <w:style w:type="character" w:styleId="Hyperlink">
    <w:name w:val="Hyperlink"/>
    <w:basedOn w:val="DefaultParagraphFont"/>
    <w:uiPriority w:val="99"/>
    <w:unhideWhenUsed/>
    <w:rsid w:val="00515EAD"/>
    <w:rPr>
      <w:color w:val="0000FF" w:themeColor="hyperlink"/>
      <w:u w:val="single"/>
    </w:rPr>
  </w:style>
  <w:style w:type="character" w:styleId="UnresolvedMention">
    <w:name w:val="Unresolved Mention"/>
    <w:basedOn w:val="DefaultParagraphFont"/>
    <w:uiPriority w:val="99"/>
    <w:semiHidden/>
    <w:unhideWhenUsed/>
    <w:rsid w:val="00B57C3C"/>
    <w:rPr>
      <w:color w:val="605E5C"/>
      <w:shd w:val="clear" w:color="auto" w:fill="E1DFDD"/>
    </w:rPr>
  </w:style>
  <w:style w:type="paragraph" w:styleId="Revision">
    <w:name w:val="Revision"/>
    <w:hidden/>
    <w:uiPriority w:val="99"/>
    <w:semiHidden/>
    <w:rsid w:val="00924DFC"/>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A92EB2"/>
    <w:rPr>
      <w:sz w:val="16"/>
      <w:szCs w:val="16"/>
    </w:rPr>
  </w:style>
  <w:style w:type="paragraph" w:styleId="CommentText">
    <w:name w:val="annotation text"/>
    <w:basedOn w:val="Normal"/>
    <w:link w:val="CommentTextChar"/>
    <w:uiPriority w:val="99"/>
    <w:unhideWhenUsed/>
    <w:rsid w:val="00A92EB2"/>
    <w:rPr>
      <w:sz w:val="20"/>
      <w:szCs w:val="20"/>
    </w:rPr>
  </w:style>
  <w:style w:type="character" w:customStyle="1" w:styleId="CommentTextChar">
    <w:name w:val="Comment Text Char"/>
    <w:basedOn w:val="DefaultParagraphFont"/>
    <w:link w:val="CommentText"/>
    <w:uiPriority w:val="99"/>
    <w:rsid w:val="00A92EB2"/>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92EB2"/>
    <w:rPr>
      <w:b/>
      <w:bCs/>
    </w:rPr>
  </w:style>
  <w:style w:type="character" w:customStyle="1" w:styleId="CommentSubjectChar">
    <w:name w:val="Comment Subject Char"/>
    <w:basedOn w:val="CommentTextChar"/>
    <w:link w:val="CommentSubject"/>
    <w:uiPriority w:val="99"/>
    <w:semiHidden/>
    <w:rsid w:val="00A92EB2"/>
    <w:rPr>
      <w:rFonts w:ascii="Arial" w:eastAsia="Arial" w:hAnsi="Arial" w:cs="Arial"/>
      <w:b/>
      <w:bCs/>
      <w:sz w:val="20"/>
      <w:szCs w:val="20"/>
      <w:lang w:val="en-GB" w:eastAsia="en-GB" w:bidi="en-GB"/>
    </w:rPr>
  </w:style>
  <w:style w:type="character" w:customStyle="1" w:styleId="Heading3Char">
    <w:name w:val="Heading 3 Char"/>
    <w:basedOn w:val="DefaultParagraphFont"/>
    <w:link w:val="Heading3"/>
    <w:uiPriority w:val="9"/>
    <w:semiHidden/>
    <w:rsid w:val="00D4441E"/>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D4441E"/>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semiHidden/>
    <w:rsid w:val="00D4441E"/>
    <w:rPr>
      <w:rFonts w:asciiTheme="majorHAnsi" w:eastAsiaTheme="majorEastAsia" w:hAnsiTheme="majorHAnsi" w:cstheme="majorBidi"/>
      <w:color w:val="365F91" w:themeColor="accent1" w:themeShade="BF"/>
      <w:lang w:val="en-GB" w:eastAsia="en-GB" w:bidi="en-GB"/>
    </w:rPr>
  </w:style>
  <w:style w:type="character" w:customStyle="1" w:styleId="Heading6Char">
    <w:name w:val="Heading 6 Char"/>
    <w:basedOn w:val="DefaultParagraphFont"/>
    <w:link w:val="Heading6"/>
    <w:uiPriority w:val="9"/>
    <w:semiHidden/>
    <w:rsid w:val="00D4441E"/>
    <w:rPr>
      <w:rFonts w:asciiTheme="majorHAnsi" w:eastAsiaTheme="majorEastAsia" w:hAnsiTheme="majorHAnsi" w:cstheme="majorBidi"/>
      <w:color w:val="243F60" w:themeColor="accent1" w:themeShade="7F"/>
      <w:lang w:val="en-GB" w:eastAsia="en-GB" w:bidi="en-GB"/>
    </w:rPr>
  </w:style>
  <w:style w:type="character" w:customStyle="1" w:styleId="Heading7Char">
    <w:name w:val="Heading 7 Char"/>
    <w:basedOn w:val="DefaultParagraphFont"/>
    <w:link w:val="Heading7"/>
    <w:uiPriority w:val="9"/>
    <w:semiHidden/>
    <w:rsid w:val="00D4441E"/>
    <w:rPr>
      <w:rFonts w:asciiTheme="majorHAnsi" w:eastAsiaTheme="majorEastAsia" w:hAnsiTheme="majorHAnsi" w:cstheme="majorBidi"/>
      <w:i/>
      <w:iCs/>
      <w:color w:val="243F60" w:themeColor="accent1" w:themeShade="7F"/>
      <w:lang w:val="en-GB" w:eastAsia="en-GB" w:bidi="en-GB"/>
    </w:rPr>
  </w:style>
  <w:style w:type="character" w:customStyle="1" w:styleId="Heading8Char">
    <w:name w:val="Heading 8 Char"/>
    <w:basedOn w:val="DefaultParagraphFont"/>
    <w:link w:val="Heading8"/>
    <w:uiPriority w:val="9"/>
    <w:semiHidden/>
    <w:rsid w:val="00D4441E"/>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D4441E"/>
    <w:rPr>
      <w:rFonts w:asciiTheme="majorHAnsi" w:eastAsiaTheme="majorEastAsia" w:hAnsiTheme="majorHAnsi" w:cstheme="majorBidi"/>
      <w:i/>
      <w:iCs/>
      <w:color w:val="272727" w:themeColor="text1" w:themeTint="D8"/>
      <w:sz w:val="21"/>
      <w:szCs w:val="21"/>
      <w:lang w:val="en-GB" w:eastAsia="en-GB" w:bidi="en-GB"/>
    </w:rPr>
  </w:style>
  <w:style w:type="character" w:styleId="PlaceholderText">
    <w:name w:val="Placeholder Text"/>
    <w:basedOn w:val="DefaultParagraphFont"/>
    <w:uiPriority w:val="99"/>
    <w:semiHidden/>
    <w:rsid w:val="000D4B4C"/>
    <w:rPr>
      <w:color w:val="808080"/>
    </w:rPr>
  </w:style>
  <w:style w:type="paragraph" w:styleId="BodyTextIndent">
    <w:name w:val="Body Text Indent"/>
    <w:basedOn w:val="Normal"/>
    <w:link w:val="BodyTextIndentChar"/>
    <w:uiPriority w:val="99"/>
    <w:semiHidden/>
    <w:unhideWhenUsed/>
    <w:rsid w:val="000D4B4C"/>
    <w:pPr>
      <w:spacing w:after="120"/>
      <w:ind w:left="283"/>
    </w:pPr>
  </w:style>
  <w:style w:type="character" w:customStyle="1" w:styleId="BodyTextIndentChar">
    <w:name w:val="Body Text Indent Char"/>
    <w:basedOn w:val="DefaultParagraphFont"/>
    <w:link w:val="BodyTextIndent"/>
    <w:uiPriority w:val="99"/>
    <w:semiHidden/>
    <w:rsid w:val="000D4B4C"/>
    <w:rPr>
      <w:rFonts w:ascii="Arial" w:eastAsia="Arial" w:hAnsi="Arial" w:cs="Arial"/>
      <w:lang w:val="en-GB" w:eastAsia="en-GB" w:bidi="en-GB"/>
    </w:rPr>
  </w:style>
  <w:style w:type="paragraph" w:styleId="Title">
    <w:name w:val="Title"/>
    <w:basedOn w:val="Normal"/>
    <w:link w:val="TitleChar"/>
    <w:qFormat/>
    <w:rsid w:val="000D4B4C"/>
    <w:pPr>
      <w:widowControl/>
      <w:autoSpaceDE/>
      <w:autoSpaceDN/>
      <w:ind w:left="-720"/>
      <w:jc w:val="center"/>
    </w:pPr>
    <w:rPr>
      <w:rFonts w:eastAsia="Times New Roman"/>
      <w:b/>
      <w:bCs/>
      <w:sz w:val="36"/>
      <w:szCs w:val="24"/>
      <w:u w:val="single"/>
      <w:lang w:eastAsia="en-US" w:bidi="ar-SA"/>
    </w:rPr>
  </w:style>
  <w:style w:type="character" w:customStyle="1" w:styleId="TitleChar">
    <w:name w:val="Title Char"/>
    <w:basedOn w:val="DefaultParagraphFont"/>
    <w:link w:val="Title"/>
    <w:rsid w:val="000D4B4C"/>
    <w:rPr>
      <w:rFonts w:ascii="Arial" w:eastAsia="Times New Roman" w:hAnsi="Arial" w:cs="Arial"/>
      <w:b/>
      <w:bCs/>
      <w:sz w:val="36"/>
      <w:szCs w:val="24"/>
      <w:u w:val="single"/>
      <w:lang w:val="en-GB"/>
    </w:rPr>
  </w:style>
  <w:style w:type="table" w:customStyle="1" w:styleId="TableGrid1">
    <w:name w:val="Table Grid1"/>
    <w:basedOn w:val="TableNormal"/>
    <w:next w:val="TableGrid"/>
    <w:uiPriority w:val="39"/>
    <w:rsid w:val="00E3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B1CC6"/>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67ab330e1a116437c7ed88da/E03274856_National_Procurement_Policy_Statement_Ela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e3c23e6-1fce-44d3-a5a5-1645531993db" xsi:nil="true"/>
    <_ip_UnifiedCompliancePolicyProperties xmlns="http://schemas.microsoft.com/sharepoint/v3" xsi:nil="true"/>
    <lcf76f155ced4ddcb4097134ff3c332f xmlns="9cc148c4-409f-4f13-8ae9-184ae7ad46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0582BF121CE4DA05354BC27537EA1" ma:contentTypeVersion="17" ma:contentTypeDescription="Create a new document." ma:contentTypeScope="" ma:versionID="e25901f3fbf02e016e3c99e067dc1b30">
  <xsd:schema xmlns:xsd="http://www.w3.org/2001/XMLSchema" xmlns:xs="http://www.w3.org/2001/XMLSchema" xmlns:p="http://schemas.microsoft.com/office/2006/metadata/properties" xmlns:ns1="http://schemas.microsoft.com/sharepoint/v3" xmlns:ns2="9cc148c4-409f-4f13-8ae9-184ae7ad46a7" xmlns:ns3="ae3c23e6-1fce-44d3-a5a5-1645531993db" targetNamespace="http://schemas.microsoft.com/office/2006/metadata/properties" ma:root="true" ma:fieldsID="c591c0e6317ca29ddd97a380ef8d0e0c" ns1:_="" ns2:_="" ns3:_="">
    <xsd:import namespace="http://schemas.microsoft.com/sharepoint/v3"/>
    <xsd:import namespace="9cc148c4-409f-4f13-8ae9-184ae7ad46a7"/>
    <xsd:import namespace="ae3c23e6-1fce-44d3-a5a5-16455319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148c4-409f-4f13-8ae9-184ae7ad4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c23e6-1fce-44d3-a5a5-1645531993d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e06708-c461-4a66-b1f6-c2b750c58a18}" ma:internalName="TaxCatchAll" ma:showField="CatchAllData" ma:web="ae3c23e6-1fce-44d3-a5a5-164553199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A05DE-FC31-4A7B-A05D-96E855C8C419}">
  <ds:schemaRefs>
    <ds:schemaRef ds:uri="http://schemas.microsoft.com/office/2006/metadata/properties"/>
    <ds:schemaRef ds:uri="http://schemas.microsoft.com/office/infopath/2007/PartnerControls"/>
    <ds:schemaRef ds:uri="http://schemas.microsoft.com/sharepoint/v3"/>
    <ds:schemaRef ds:uri="ae3c23e6-1fce-44d3-a5a5-1645531993db"/>
    <ds:schemaRef ds:uri="9cc148c4-409f-4f13-8ae9-184ae7ad46a7"/>
  </ds:schemaRefs>
</ds:datastoreItem>
</file>

<file path=customXml/itemProps2.xml><?xml version="1.0" encoding="utf-8"?>
<ds:datastoreItem xmlns:ds="http://schemas.openxmlformats.org/officeDocument/2006/customXml" ds:itemID="{3F7F6F5E-0604-4AD6-8A75-736D546F8F0B}">
  <ds:schemaRefs>
    <ds:schemaRef ds:uri="http://schemas.microsoft.com/sharepoint/v3/contenttype/forms"/>
  </ds:schemaRefs>
</ds:datastoreItem>
</file>

<file path=customXml/itemProps3.xml><?xml version="1.0" encoding="utf-8"?>
<ds:datastoreItem xmlns:ds="http://schemas.openxmlformats.org/officeDocument/2006/customXml" ds:itemID="{E83E4E76-7270-431A-8ADA-E8D0722E9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148c4-409f-4f13-8ae9-184ae7ad46a7"/>
    <ds:schemaRef ds:uri="ae3c23e6-1fce-44d3-a5a5-16455319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6378</Words>
  <Characters>36356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Wharton, Marlene (NHSmail)</dc:creator>
  <cp:lastModifiedBy>DODSON, Joy (NHS HUMBER AND NORTH YORKSHIRE ICB - 03F)</cp:lastModifiedBy>
  <cp:revision>4</cp:revision>
  <cp:lastPrinted>2023-01-04T13:48:00Z</cp:lastPrinted>
  <dcterms:created xsi:type="dcterms:W3CDTF">2025-02-27T14:20:00Z</dcterms:created>
  <dcterms:modified xsi:type="dcterms:W3CDTF">2025-02-27T14:22:00Z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for Microsoft 365</vt:lpwstr>
  </property>
  <property fmtid="{D5CDD505-2E9C-101B-9397-08002B2CF9AE}" pid="4" name="LastSaved">
    <vt:filetime>2022-07-28T00:00:00Z</vt:filetime>
  </property>
  <property fmtid="{D5CDD505-2E9C-101B-9397-08002B2CF9AE}" pid="5" name="ContentTypeId">
    <vt:lpwstr>0x0101000700582BF121CE4DA05354BC27537EA1</vt:lpwstr>
  </property>
</Properties>
</file>