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B97DAB" w:rsidRPr="00247DAD" w14:paraId="3F32C22B" w14:textId="77777777" w:rsidTr="7E0A7EF1">
        <w:tc>
          <w:tcPr>
            <w:tcW w:w="2405" w:type="dxa"/>
          </w:tcPr>
          <w:p w14:paraId="2137C5A4" w14:textId="11B48F23" w:rsidR="00B97DAB" w:rsidRPr="00247DAD" w:rsidRDefault="00B97DAB">
            <w:pPr>
              <w:rPr>
                <w:rFonts w:ascii="Arial" w:hAnsi="Arial" w:cs="Arial"/>
                <w:sz w:val="24"/>
                <w:szCs w:val="24"/>
              </w:rPr>
            </w:pPr>
            <w:r w:rsidRPr="00247DAD">
              <w:rPr>
                <w:rFonts w:ascii="Arial" w:hAnsi="Arial" w:cs="Arial"/>
                <w:sz w:val="24"/>
                <w:szCs w:val="24"/>
              </w:rPr>
              <w:t xml:space="preserve">Intervention </w:t>
            </w:r>
          </w:p>
        </w:tc>
        <w:tc>
          <w:tcPr>
            <w:tcW w:w="6611" w:type="dxa"/>
          </w:tcPr>
          <w:p w14:paraId="068CE84B" w14:textId="7E4786AD" w:rsidR="00B97DAB" w:rsidRDefault="00D054EF" w:rsidP="01A0723A">
            <w:pPr>
              <w:rPr>
                <w:rFonts w:ascii="Arial" w:hAnsi="Arial" w:cs="Arial"/>
                <w:b/>
                <w:bCs/>
                <w:sz w:val="24"/>
                <w:szCs w:val="24"/>
                <w:lang w:val="en-US"/>
              </w:rPr>
            </w:pPr>
            <w:r>
              <w:rPr>
                <w:rFonts w:ascii="Arial" w:hAnsi="Arial" w:cs="Arial"/>
                <w:b/>
                <w:bCs/>
                <w:sz w:val="24"/>
                <w:szCs w:val="24"/>
                <w:lang w:val="en-US"/>
              </w:rPr>
              <w:t xml:space="preserve">152: </w:t>
            </w:r>
            <w:r w:rsidR="00B834CE" w:rsidRPr="00247DAD">
              <w:rPr>
                <w:rFonts w:ascii="Arial" w:hAnsi="Arial" w:cs="Arial"/>
                <w:b/>
                <w:bCs/>
                <w:sz w:val="24"/>
                <w:szCs w:val="24"/>
                <w:lang w:val="en-US"/>
              </w:rPr>
              <w:t xml:space="preserve">Biological and </w:t>
            </w:r>
            <w:r>
              <w:rPr>
                <w:rFonts w:ascii="Arial" w:hAnsi="Arial" w:cs="Arial"/>
                <w:b/>
                <w:bCs/>
                <w:sz w:val="24"/>
                <w:szCs w:val="24"/>
                <w:lang w:val="en-US"/>
              </w:rPr>
              <w:t>B</w:t>
            </w:r>
            <w:r w:rsidR="00B834CE" w:rsidRPr="00247DAD">
              <w:rPr>
                <w:rFonts w:ascii="Arial" w:hAnsi="Arial" w:cs="Arial"/>
                <w:b/>
                <w:bCs/>
                <w:sz w:val="24"/>
                <w:szCs w:val="24"/>
                <w:lang w:val="en-US"/>
              </w:rPr>
              <w:t>io</w:t>
            </w:r>
            <w:r>
              <w:rPr>
                <w:rFonts w:ascii="Arial" w:hAnsi="Arial" w:cs="Arial"/>
                <w:b/>
                <w:bCs/>
                <w:sz w:val="24"/>
                <w:szCs w:val="24"/>
                <w:lang w:val="en-US"/>
              </w:rPr>
              <w:t>equivalent/Biosimilar M</w:t>
            </w:r>
            <w:r w:rsidR="00B834CE" w:rsidRPr="00247DAD">
              <w:rPr>
                <w:rFonts w:ascii="Arial" w:hAnsi="Arial" w:cs="Arial"/>
                <w:b/>
                <w:bCs/>
                <w:sz w:val="24"/>
                <w:szCs w:val="24"/>
                <w:lang w:val="en-US"/>
              </w:rPr>
              <w:t>edicines</w:t>
            </w:r>
          </w:p>
          <w:p w14:paraId="73A5EAEF" w14:textId="4D33FA3B" w:rsidR="00247DAD" w:rsidRPr="00247DAD" w:rsidRDefault="00247DAD" w:rsidP="01A0723A">
            <w:pPr>
              <w:rPr>
                <w:rFonts w:ascii="Arial" w:hAnsi="Arial" w:cs="Arial"/>
                <w:b/>
                <w:bCs/>
                <w:sz w:val="24"/>
                <w:szCs w:val="24"/>
                <w:lang w:val="en-US"/>
              </w:rPr>
            </w:pPr>
          </w:p>
        </w:tc>
      </w:tr>
      <w:tr w:rsidR="00B97DAB" w:rsidRPr="00247DAD" w14:paraId="004828E6" w14:textId="77777777" w:rsidTr="7E0A7EF1">
        <w:tc>
          <w:tcPr>
            <w:tcW w:w="2405" w:type="dxa"/>
          </w:tcPr>
          <w:p w14:paraId="194FC277" w14:textId="469D4455" w:rsidR="00B97DAB" w:rsidRPr="00247DAD" w:rsidRDefault="00B97DAB">
            <w:pPr>
              <w:rPr>
                <w:rFonts w:ascii="Arial" w:hAnsi="Arial" w:cs="Arial"/>
                <w:sz w:val="24"/>
                <w:szCs w:val="24"/>
              </w:rPr>
            </w:pPr>
            <w:r w:rsidRPr="00247DAD">
              <w:rPr>
                <w:rFonts w:ascii="Arial" w:hAnsi="Arial" w:cs="Arial"/>
                <w:sz w:val="24"/>
                <w:szCs w:val="24"/>
              </w:rPr>
              <w:t xml:space="preserve">For the treatment of </w:t>
            </w:r>
          </w:p>
        </w:tc>
        <w:tc>
          <w:tcPr>
            <w:tcW w:w="6611" w:type="dxa"/>
          </w:tcPr>
          <w:p w14:paraId="43902C73" w14:textId="77777777" w:rsidR="00656075" w:rsidRDefault="00325AA1" w:rsidP="00330790">
            <w:pPr>
              <w:rPr>
                <w:rFonts w:ascii="Arial" w:hAnsi="Arial" w:cs="Arial"/>
                <w:sz w:val="24"/>
                <w:szCs w:val="24"/>
              </w:rPr>
            </w:pPr>
            <w:r w:rsidRPr="00247DAD">
              <w:rPr>
                <w:rFonts w:ascii="Arial" w:hAnsi="Arial" w:cs="Arial"/>
                <w:sz w:val="24"/>
                <w:szCs w:val="24"/>
              </w:rPr>
              <w:t>Multiple acute and chronic conditions</w:t>
            </w:r>
          </w:p>
          <w:p w14:paraId="23E416B7" w14:textId="7842862E" w:rsidR="00247DAD" w:rsidRPr="00247DAD" w:rsidRDefault="00247DAD" w:rsidP="00330790">
            <w:pPr>
              <w:rPr>
                <w:rFonts w:ascii="Arial" w:hAnsi="Arial" w:cs="Arial"/>
                <w:sz w:val="24"/>
                <w:szCs w:val="24"/>
              </w:rPr>
            </w:pPr>
          </w:p>
        </w:tc>
      </w:tr>
      <w:tr w:rsidR="00113D9B" w:rsidRPr="00247DAD" w14:paraId="3D720573" w14:textId="77777777" w:rsidTr="7E0A7EF1">
        <w:tc>
          <w:tcPr>
            <w:tcW w:w="2405" w:type="dxa"/>
          </w:tcPr>
          <w:p w14:paraId="6B55BECB" w14:textId="291589DB" w:rsidR="00113D9B" w:rsidRPr="00247DAD" w:rsidRDefault="00113D9B" w:rsidP="00113D9B">
            <w:pPr>
              <w:rPr>
                <w:rFonts w:ascii="Arial" w:hAnsi="Arial" w:cs="Arial"/>
                <w:sz w:val="24"/>
                <w:szCs w:val="24"/>
              </w:rPr>
            </w:pPr>
            <w:r w:rsidRPr="00247DAD">
              <w:rPr>
                <w:rFonts w:ascii="Arial" w:hAnsi="Arial" w:cs="Arial"/>
                <w:sz w:val="24"/>
                <w:szCs w:val="24"/>
              </w:rPr>
              <w:t xml:space="preserve">Commissioning Position </w:t>
            </w:r>
          </w:p>
        </w:tc>
        <w:tc>
          <w:tcPr>
            <w:tcW w:w="6611" w:type="dxa"/>
          </w:tcPr>
          <w:p w14:paraId="35F3143F" w14:textId="68CADB7F" w:rsidR="00113D9B" w:rsidRPr="00247DAD" w:rsidRDefault="005820AB" w:rsidP="00200DF9">
            <w:pPr>
              <w:pStyle w:val="paragraph"/>
              <w:spacing w:before="0" w:beforeAutospacing="0" w:after="240" w:afterAutospacing="0"/>
              <w:textAlignment w:val="baseline"/>
              <w:rPr>
                <w:rStyle w:val="normaltextrun"/>
                <w:rFonts w:ascii="Arial" w:hAnsi="Arial" w:cs="Arial"/>
              </w:rPr>
            </w:pPr>
            <w:r w:rsidRPr="00247DAD">
              <w:rPr>
                <w:rStyle w:val="normaltextrun"/>
                <w:rFonts w:ascii="Arial" w:hAnsi="Arial" w:cs="Arial"/>
              </w:rPr>
              <w:t>Th</w:t>
            </w:r>
            <w:r w:rsidR="00325AA1" w:rsidRPr="00247DAD">
              <w:rPr>
                <w:rStyle w:val="normaltextrun"/>
                <w:rFonts w:ascii="Arial" w:hAnsi="Arial" w:cs="Arial"/>
              </w:rPr>
              <w:t>e</w:t>
            </w:r>
            <w:r w:rsidRPr="00247DAD">
              <w:rPr>
                <w:rStyle w:val="normaltextrun"/>
                <w:rFonts w:ascii="Arial" w:hAnsi="Arial" w:cs="Arial"/>
              </w:rPr>
              <w:t>s</w:t>
            </w:r>
            <w:r w:rsidR="00325AA1" w:rsidRPr="00247DAD">
              <w:rPr>
                <w:rStyle w:val="normaltextrun"/>
                <w:rFonts w:ascii="Arial" w:hAnsi="Arial" w:cs="Arial"/>
              </w:rPr>
              <w:t>e</w:t>
            </w:r>
            <w:r w:rsidRPr="00247DAD">
              <w:rPr>
                <w:rStyle w:val="normaltextrun"/>
                <w:rFonts w:ascii="Arial" w:hAnsi="Arial" w:cs="Arial"/>
              </w:rPr>
              <w:t xml:space="preserve"> intervention</w:t>
            </w:r>
            <w:r w:rsidR="00325AA1" w:rsidRPr="00247DAD">
              <w:rPr>
                <w:rStyle w:val="normaltextrun"/>
                <w:rFonts w:ascii="Arial" w:hAnsi="Arial" w:cs="Arial"/>
              </w:rPr>
              <w:t>s</w:t>
            </w:r>
            <w:r w:rsidRPr="00247DAD">
              <w:rPr>
                <w:rStyle w:val="normaltextrun"/>
                <w:rFonts w:ascii="Arial" w:hAnsi="Arial" w:cs="Arial"/>
              </w:rPr>
              <w:t xml:space="preserve"> </w:t>
            </w:r>
            <w:r w:rsidR="00325AA1" w:rsidRPr="00247DAD">
              <w:rPr>
                <w:rStyle w:val="normaltextrun"/>
                <w:rFonts w:ascii="Arial" w:hAnsi="Arial" w:cs="Arial"/>
              </w:rPr>
              <w:t>are</w:t>
            </w:r>
            <w:r w:rsidRPr="00247DAD">
              <w:rPr>
                <w:rStyle w:val="normaltextrun"/>
                <w:rFonts w:ascii="Arial" w:hAnsi="Arial" w:cs="Arial"/>
              </w:rPr>
              <w:t xml:space="preserve"> commissioned if</w:t>
            </w:r>
            <w:r w:rsidR="00325AA1" w:rsidRPr="00247DAD">
              <w:rPr>
                <w:rStyle w:val="normaltextrun"/>
                <w:rFonts w:ascii="Arial" w:hAnsi="Arial" w:cs="Arial"/>
              </w:rPr>
              <w:t>:</w:t>
            </w:r>
          </w:p>
          <w:p w14:paraId="678D47FB" w14:textId="79FE5687" w:rsidR="00325AA1" w:rsidRPr="00247DAD" w:rsidRDefault="00A87C91" w:rsidP="00200DF9">
            <w:pPr>
              <w:pStyle w:val="paragraph"/>
              <w:numPr>
                <w:ilvl w:val="0"/>
                <w:numId w:val="12"/>
              </w:numPr>
              <w:spacing w:before="0" w:beforeAutospacing="0" w:after="0" w:afterAutospacing="0"/>
              <w:rPr>
                <w:rStyle w:val="normaltextrun"/>
                <w:rFonts w:ascii="Arial" w:hAnsi="Arial" w:cs="Arial"/>
              </w:rPr>
            </w:pPr>
            <w:r>
              <w:rPr>
                <w:rStyle w:val="normaltextrun"/>
                <w:rFonts w:ascii="Arial" w:hAnsi="Arial" w:cs="Arial"/>
              </w:rPr>
              <w:t>T</w:t>
            </w:r>
            <w:r w:rsidR="00325AA1" w:rsidRPr="00247DAD">
              <w:rPr>
                <w:rStyle w:val="normaltextrun"/>
                <w:rFonts w:ascii="Arial" w:hAnsi="Arial" w:cs="Arial"/>
              </w:rPr>
              <w:t>heir use is consistent with their status, scope and order of preference, as defined within the Humber and North Yorkshire Area Prescribing Committee (HNY APC) Formulary AND </w:t>
            </w:r>
          </w:p>
          <w:p w14:paraId="320F4941" w14:textId="3654E9B7" w:rsidR="00325AA1" w:rsidRPr="00247DAD" w:rsidRDefault="00A87C91" w:rsidP="00200DF9">
            <w:pPr>
              <w:pStyle w:val="paragraph"/>
              <w:numPr>
                <w:ilvl w:val="0"/>
                <w:numId w:val="13"/>
              </w:numPr>
              <w:spacing w:before="0" w:beforeAutospacing="0"/>
              <w:rPr>
                <w:rStyle w:val="normaltextrun"/>
                <w:rFonts w:ascii="Arial" w:hAnsi="Arial" w:cs="Arial"/>
              </w:rPr>
            </w:pPr>
            <w:r>
              <w:rPr>
                <w:rStyle w:val="normaltextrun"/>
                <w:rFonts w:ascii="Arial" w:hAnsi="Arial" w:cs="Arial"/>
              </w:rPr>
              <w:t>Their</w:t>
            </w:r>
            <w:r w:rsidR="00325AA1" w:rsidRPr="00247DAD">
              <w:rPr>
                <w:rStyle w:val="normaltextrun"/>
                <w:rFonts w:ascii="Arial" w:hAnsi="Arial" w:cs="Arial"/>
              </w:rPr>
              <w:t xml:space="preserve"> use is consistent with applicable NICE TA recommendations and/or MHRA drug safety updates</w:t>
            </w:r>
            <w:r w:rsidR="00247DAD">
              <w:rPr>
                <w:rStyle w:val="normaltextrun"/>
                <w:rFonts w:ascii="Arial" w:hAnsi="Arial" w:cs="Arial"/>
              </w:rPr>
              <w:t>.</w:t>
            </w:r>
          </w:p>
          <w:p w14:paraId="28FC703B" w14:textId="32373F3A" w:rsidR="004A35CA" w:rsidRPr="00247DAD" w:rsidRDefault="004A35CA" w:rsidP="004A35CA">
            <w:pPr>
              <w:pStyle w:val="paragraph"/>
              <w:rPr>
                <w:rStyle w:val="normaltextrun"/>
                <w:rFonts w:ascii="Arial" w:hAnsi="Arial" w:cs="Arial"/>
              </w:rPr>
            </w:pPr>
            <w:r w:rsidRPr="00247DAD">
              <w:rPr>
                <w:rStyle w:val="normaltextrun"/>
                <w:rFonts w:ascii="Arial" w:hAnsi="Arial" w:cs="Arial"/>
              </w:rPr>
              <w:t xml:space="preserve">Provider organisations should normally achieve the following standards, which will be </w:t>
            </w:r>
            <w:r w:rsidR="006A6CB0" w:rsidRPr="00247DAD">
              <w:rPr>
                <w:rStyle w:val="normaltextrun"/>
                <w:rFonts w:ascii="Arial" w:hAnsi="Arial" w:cs="Arial"/>
              </w:rPr>
              <w:t>review</w:t>
            </w:r>
            <w:r w:rsidRPr="00247DAD">
              <w:rPr>
                <w:rStyle w:val="normaltextrun"/>
                <w:rFonts w:ascii="Arial" w:hAnsi="Arial" w:cs="Arial"/>
              </w:rPr>
              <w:t>ed through contract monitoring:</w:t>
            </w:r>
          </w:p>
          <w:p w14:paraId="0B823C8A" w14:textId="21943963" w:rsidR="004A35CA" w:rsidRPr="00247DAD" w:rsidRDefault="004A35CA" w:rsidP="004A35CA">
            <w:pPr>
              <w:pStyle w:val="paragraph"/>
              <w:numPr>
                <w:ilvl w:val="0"/>
                <w:numId w:val="14"/>
              </w:numPr>
              <w:rPr>
                <w:rFonts w:ascii="Arial" w:hAnsi="Arial" w:cs="Arial"/>
              </w:rPr>
            </w:pPr>
            <w:r w:rsidRPr="00247DAD">
              <w:rPr>
                <w:rFonts w:ascii="Arial" w:hAnsi="Arial" w:cs="Arial"/>
              </w:rPr>
              <w:t>Adoption of best value biological products, including biosimilars, in</w:t>
            </w:r>
            <w:r w:rsidR="00200DF9" w:rsidRPr="00247DAD">
              <w:rPr>
                <w:rFonts w:ascii="Arial" w:hAnsi="Arial" w:cs="Arial"/>
              </w:rPr>
              <w:t xml:space="preserve"> </w:t>
            </w:r>
            <w:r w:rsidRPr="00247DAD">
              <w:rPr>
                <w:rFonts w:ascii="Arial" w:hAnsi="Arial" w:cs="Arial"/>
              </w:rPr>
              <w:t>90% of new patients within one quarter of new addition to</w:t>
            </w:r>
            <w:r w:rsidR="00200DF9" w:rsidRPr="00247DAD">
              <w:rPr>
                <w:rFonts w:ascii="Arial" w:hAnsi="Arial" w:cs="Arial"/>
              </w:rPr>
              <w:t>/</w:t>
            </w:r>
            <w:r w:rsidRPr="00247DAD">
              <w:rPr>
                <w:rFonts w:ascii="Arial" w:hAnsi="Arial" w:cs="Arial"/>
              </w:rPr>
              <w:t xml:space="preserve">extension of </w:t>
            </w:r>
            <w:r w:rsidR="006A6CB0" w:rsidRPr="00247DAD">
              <w:rPr>
                <w:rFonts w:ascii="Arial" w:hAnsi="Arial" w:cs="Arial"/>
              </w:rPr>
              <w:t>scope (</w:t>
            </w:r>
            <w:r w:rsidR="00200DF9" w:rsidRPr="00247DAD">
              <w:rPr>
                <w:rFonts w:ascii="Arial" w:hAnsi="Arial" w:cs="Arial"/>
              </w:rPr>
              <w:t xml:space="preserve">clinical </w:t>
            </w:r>
            <w:r w:rsidRPr="00247DAD">
              <w:rPr>
                <w:rFonts w:ascii="Arial" w:hAnsi="Arial" w:cs="Arial"/>
              </w:rPr>
              <w:t>indication</w:t>
            </w:r>
            <w:r w:rsidR="006A6CB0" w:rsidRPr="00247DAD">
              <w:rPr>
                <w:rFonts w:ascii="Arial" w:hAnsi="Arial" w:cs="Arial"/>
              </w:rPr>
              <w:t>)</w:t>
            </w:r>
            <w:r w:rsidRPr="00247DAD">
              <w:rPr>
                <w:rFonts w:ascii="Arial" w:hAnsi="Arial" w:cs="Arial"/>
              </w:rPr>
              <w:t xml:space="preserve"> in the HNY APC.</w:t>
            </w:r>
          </w:p>
          <w:p w14:paraId="2A9174D6" w14:textId="77777777" w:rsidR="00177C4D" w:rsidRDefault="004A35CA" w:rsidP="006A6CB0">
            <w:pPr>
              <w:pStyle w:val="paragraph"/>
              <w:numPr>
                <w:ilvl w:val="0"/>
                <w:numId w:val="14"/>
              </w:numPr>
              <w:spacing w:after="0" w:afterAutospacing="0"/>
              <w:rPr>
                <w:rFonts w:ascii="Arial" w:hAnsi="Arial" w:cs="Arial"/>
              </w:rPr>
            </w:pPr>
            <w:r w:rsidRPr="00247DAD">
              <w:rPr>
                <w:rFonts w:ascii="Arial" w:hAnsi="Arial" w:cs="Arial"/>
              </w:rPr>
              <w:t>Adoption of best value biological products, including biosimilars, in 80% of applicable existing patients within one year of</w:t>
            </w:r>
            <w:r w:rsidR="00200DF9" w:rsidRPr="00247DAD">
              <w:rPr>
                <w:rFonts w:ascii="Arial" w:hAnsi="Arial" w:cs="Arial"/>
              </w:rPr>
              <w:t xml:space="preserve"> addition to/extension of</w:t>
            </w:r>
            <w:r w:rsidR="006A6CB0" w:rsidRPr="00247DAD">
              <w:rPr>
                <w:rFonts w:ascii="Arial" w:hAnsi="Arial" w:cs="Arial"/>
              </w:rPr>
              <w:t xml:space="preserve"> scope</w:t>
            </w:r>
            <w:r w:rsidR="00200DF9" w:rsidRPr="00247DAD">
              <w:rPr>
                <w:rFonts w:ascii="Arial" w:hAnsi="Arial" w:cs="Arial"/>
              </w:rPr>
              <w:t xml:space="preserve"> </w:t>
            </w:r>
            <w:r w:rsidR="006A6CB0" w:rsidRPr="00247DAD">
              <w:rPr>
                <w:rFonts w:ascii="Arial" w:hAnsi="Arial" w:cs="Arial"/>
              </w:rPr>
              <w:t>(</w:t>
            </w:r>
            <w:r w:rsidR="00200DF9" w:rsidRPr="00247DAD">
              <w:rPr>
                <w:rFonts w:ascii="Arial" w:hAnsi="Arial" w:cs="Arial"/>
              </w:rPr>
              <w:t>clinical indication</w:t>
            </w:r>
            <w:r w:rsidR="006A6CB0" w:rsidRPr="00247DAD">
              <w:rPr>
                <w:rFonts w:ascii="Arial" w:hAnsi="Arial" w:cs="Arial"/>
              </w:rPr>
              <w:t>)</w:t>
            </w:r>
            <w:r w:rsidR="00200DF9" w:rsidRPr="00247DAD">
              <w:rPr>
                <w:rFonts w:ascii="Arial" w:hAnsi="Arial" w:cs="Arial"/>
              </w:rPr>
              <w:t xml:space="preserve"> in the HNY APC</w:t>
            </w:r>
            <w:r w:rsidRPr="00247DAD">
              <w:rPr>
                <w:rFonts w:ascii="Arial" w:hAnsi="Arial" w:cs="Arial"/>
              </w:rPr>
              <w:t xml:space="preserve"> (except if standard treatment course is &lt; 6 months)</w:t>
            </w:r>
            <w:r w:rsidR="005B0292">
              <w:rPr>
                <w:rFonts w:ascii="Arial" w:hAnsi="Arial" w:cs="Arial"/>
              </w:rPr>
              <w:t>.</w:t>
            </w:r>
          </w:p>
          <w:p w14:paraId="53855746" w14:textId="437B0BD1" w:rsidR="00D054EF" w:rsidRPr="00247DAD" w:rsidRDefault="00D054EF" w:rsidP="00D054EF">
            <w:pPr>
              <w:pStyle w:val="paragraph"/>
              <w:spacing w:after="0" w:afterAutospacing="0"/>
              <w:ind w:left="720"/>
              <w:rPr>
                <w:rFonts w:ascii="Arial" w:hAnsi="Arial" w:cs="Arial"/>
              </w:rPr>
            </w:pPr>
          </w:p>
        </w:tc>
      </w:tr>
      <w:tr w:rsidR="00113D9B" w:rsidRPr="00247DAD" w14:paraId="2EEB5014" w14:textId="77777777" w:rsidTr="7E0A7EF1">
        <w:tc>
          <w:tcPr>
            <w:tcW w:w="2405" w:type="dxa"/>
          </w:tcPr>
          <w:p w14:paraId="31574E9B" w14:textId="509110BD" w:rsidR="00113D9B" w:rsidRPr="00247DAD" w:rsidRDefault="00113D9B" w:rsidP="00113D9B">
            <w:pPr>
              <w:rPr>
                <w:rFonts w:ascii="Arial" w:hAnsi="Arial" w:cs="Arial"/>
                <w:sz w:val="24"/>
                <w:szCs w:val="24"/>
              </w:rPr>
            </w:pPr>
            <w:r w:rsidRPr="00247DAD">
              <w:rPr>
                <w:rFonts w:ascii="Arial" w:hAnsi="Arial" w:cs="Arial"/>
                <w:sz w:val="24"/>
                <w:szCs w:val="24"/>
              </w:rPr>
              <w:t>Summary of Rationale</w:t>
            </w:r>
          </w:p>
          <w:p w14:paraId="61460744" w14:textId="7D87783C" w:rsidR="00113D9B" w:rsidRPr="00247DAD" w:rsidRDefault="00113D9B" w:rsidP="00113D9B">
            <w:pPr>
              <w:rPr>
                <w:rFonts w:ascii="Arial" w:hAnsi="Arial" w:cs="Arial"/>
                <w:sz w:val="24"/>
                <w:szCs w:val="24"/>
              </w:rPr>
            </w:pPr>
          </w:p>
        </w:tc>
        <w:tc>
          <w:tcPr>
            <w:tcW w:w="6611" w:type="dxa"/>
          </w:tcPr>
          <w:p w14:paraId="2A7B79AF" w14:textId="77777777" w:rsidR="00247DAD" w:rsidRDefault="00A71C19" w:rsidP="00A71C19">
            <w:pPr>
              <w:pStyle w:val="paragraph"/>
              <w:rPr>
                <w:rStyle w:val="normaltextrun"/>
                <w:rFonts w:ascii="Arial" w:hAnsi="Arial" w:cs="Arial"/>
              </w:rPr>
            </w:pPr>
            <w:r w:rsidRPr="00247DAD">
              <w:rPr>
                <w:rStyle w:val="normaltextrun"/>
                <w:rFonts w:ascii="Arial" w:hAnsi="Arial" w:cs="Arial"/>
              </w:rPr>
              <w:t xml:space="preserve">Clinicians should </w:t>
            </w:r>
            <w:r w:rsidR="00200DF9" w:rsidRPr="00247DAD">
              <w:rPr>
                <w:rStyle w:val="normaltextrun"/>
                <w:rFonts w:ascii="Arial" w:hAnsi="Arial" w:cs="Arial"/>
              </w:rPr>
              <w:t xml:space="preserve">always </w:t>
            </w:r>
            <w:r w:rsidRPr="00247DAD">
              <w:rPr>
                <w:rStyle w:val="normaltextrun"/>
                <w:rFonts w:ascii="Arial" w:hAnsi="Arial" w:cs="Arial"/>
              </w:rPr>
              <w:t>use the best value treatment choice, for example, biosimilars and generic medicines, where clinically appropriate. If there are multiple treatment options for the same indication, and patients and their clinicians consider them all to be suitable treatments, the least costly should be used.</w:t>
            </w:r>
            <w:r w:rsidR="00200DF9" w:rsidRPr="00247DAD">
              <w:rPr>
                <w:rStyle w:val="normaltextrun"/>
                <w:rFonts w:ascii="Arial" w:hAnsi="Arial" w:cs="Arial"/>
              </w:rPr>
              <w:t xml:space="preserve"> </w:t>
            </w:r>
          </w:p>
          <w:p w14:paraId="74936F2D" w14:textId="2D4A6611" w:rsidR="00A71C19" w:rsidRDefault="00200DF9" w:rsidP="00A71C19">
            <w:pPr>
              <w:pStyle w:val="paragraph"/>
              <w:rPr>
                <w:rStyle w:val="normaltextrun"/>
                <w:rFonts w:ascii="Arial" w:hAnsi="Arial" w:cs="Arial"/>
              </w:rPr>
            </w:pPr>
            <w:r w:rsidRPr="00247DAD">
              <w:rPr>
                <w:rStyle w:val="normaltextrun"/>
                <w:rFonts w:ascii="Arial" w:hAnsi="Arial" w:cs="Arial"/>
              </w:rPr>
              <w:t>Where HNY APC has defined a place in therapy/published a local pathway for a medicine, clinicians should follow the pathway when prescribing (or making a recommendation on prescribing) for NHS patients</w:t>
            </w:r>
            <w:r w:rsidR="00247DAD">
              <w:rPr>
                <w:rStyle w:val="normaltextrun"/>
                <w:rFonts w:ascii="Arial" w:hAnsi="Arial" w:cs="Arial"/>
              </w:rPr>
              <w:t>.</w:t>
            </w:r>
          </w:p>
          <w:p w14:paraId="63D7A5D8" w14:textId="73089047" w:rsidR="00247DAD" w:rsidRPr="00A87C91" w:rsidRDefault="00247DAD" w:rsidP="00247DAD">
            <w:pPr>
              <w:spacing w:before="120" w:after="120"/>
              <w:textAlignment w:val="baseline"/>
              <w:outlineLvl w:val="2"/>
              <w:rPr>
                <w:rStyle w:val="normaltextrun"/>
                <w:rFonts w:ascii="Arial" w:hAnsi="Arial" w:cs="Arial"/>
                <w:sz w:val="24"/>
                <w:szCs w:val="24"/>
                <w:u w:val="single"/>
                <w:lang w:eastAsia="en-GB"/>
              </w:rPr>
            </w:pPr>
            <w:r w:rsidRPr="00A87C91">
              <w:rPr>
                <w:rStyle w:val="normaltextrun"/>
                <w:rFonts w:ascii="Arial" w:hAnsi="Arial" w:cs="Arial"/>
                <w:sz w:val="24"/>
                <w:szCs w:val="24"/>
                <w:u w:val="single"/>
                <w:lang w:eastAsia="en-GB"/>
              </w:rPr>
              <w:t xml:space="preserve">Definition of a </w:t>
            </w:r>
            <w:r w:rsidR="00A87C91" w:rsidRPr="00A87C91">
              <w:rPr>
                <w:rStyle w:val="normaltextrun"/>
                <w:rFonts w:ascii="Arial" w:hAnsi="Arial" w:cs="Arial"/>
                <w:sz w:val="24"/>
                <w:szCs w:val="24"/>
                <w:u w:val="single"/>
                <w:lang w:eastAsia="en-GB"/>
              </w:rPr>
              <w:t>bioequivalent/</w:t>
            </w:r>
            <w:r w:rsidRPr="00A87C91">
              <w:rPr>
                <w:rStyle w:val="normaltextrun"/>
                <w:rFonts w:ascii="Arial" w:hAnsi="Arial" w:cs="Arial"/>
                <w:sz w:val="24"/>
                <w:szCs w:val="24"/>
                <w:u w:val="single"/>
                <w:lang w:eastAsia="en-GB"/>
              </w:rPr>
              <w:t>biosimilar medicine</w:t>
            </w:r>
          </w:p>
          <w:p w14:paraId="6302312C" w14:textId="660947C1" w:rsidR="00247DAD" w:rsidRPr="00247DAD" w:rsidRDefault="00247DAD" w:rsidP="00247DAD">
            <w:pPr>
              <w:textAlignment w:val="baseline"/>
              <w:rPr>
                <w:rStyle w:val="normaltextrun"/>
                <w:rFonts w:ascii="Arial" w:hAnsi="Arial" w:cs="Arial"/>
                <w:sz w:val="24"/>
                <w:szCs w:val="24"/>
                <w:lang w:eastAsia="en-GB"/>
              </w:rPr>
            </w:pPr>
            <w:r w:rsidRPr="00247DAD">
              <w:rPr>
                <w:rStyle w:val="normaltextrun"/>
                <w:rFonts w:ascii="Arial" w:hAnsi="Arial" w:cs="Arial"/>
                <w:sz w:val="24"/>
                <w:szCs w:val="24"/>
                <w:lang w:eastAsia="en-GB"/>
              </w:rPr>
              <w:t xml:space="preserve">A </w:t>
            </w:r>
            <w:r w:rsidR="00A87C91">
              <w:rPr>
                <w:rStyle w:val="normaltextrun"/>
                <w:rFonts w:ascii="Arial" w:hAnsi="Arial" w:cs="Arial"/>
                <w:sz w:val="24"/>
                <w:szCs w:val="24"/>
                <w:lang w:eastAsia="en-GB"/>
              </w:rPr>
              <w:t>bioequivalent/</w:t>
            </w:r>
            <w:r w:rsidRPr="00247DAD">
              <w:rPr>
                <w:rStyle w:val="normaltextrun"/>
                <w:rFonts w:ascii="Arial" w:hAnsi="Arial" w:cs="Arial"/>
                <w:sz w:val="24"/>
                <w:szCs w:val="24"/>
                <w:lang w:eastAsia="en-GB"/>
              </w:rPr>
              <w:t xml:space="preserve">biosimilar medicine is a biological medicine which has been shown not to have any clinically meaningful differences from the originator medicine in terms of quality, safety and efficacy.  Where NICE has already recommended the originator biological medicine, the same </w:t>
            </w:r>
            <w:r w:rsidRPr="00247DAD">
              <w:rPr>
                <w:rStyle w:val="normaltextrun"/>
                <w:rFonts w:ascii="Arial" w:hAnsi="Arial" w:cs="Arial"/>
                <w:sz w:val="24"/>
                <w:szCs w:val="24"/>
                <w:lang w:eastAsia="en-GB"/>
              </w:rPr>
              <w:lastRenderedPageBreak/>
              <w:t>guidance will normally apply to a biosimilar of that originator. ​</w:t>
            </w:r>
          </w:p>
          <w:p w14:paraId="2C9CCFD2" w14:textId="2718F1AC" w:rsidR="00A71C19" w:rsidRPr="00247DAD" w:rsidRDefault="00A71C19" w:rsidP="00A71C19">
            <w:pPr>
              <w:pStyle w:val="paragraph"/>
              <w:rPr>
                <w:rFonts w:ascii="Arial" w:hAnsi="Arial" w:cs="Arial"/>
              </w:rPr>
            </w:pPr>
            <w:r w:rsidRPr="00247DAD">
              <w:rPr>
                <w:rFonts w:ascii="Arial" w:hAnsi="Arial" w:cs="Arial"/>
              </w:rPr>
              <w:t xml:space="preserve">Biological medicines are derived from living cells or organisms and consist of large, highly complex molecular entities. A biosimilar medicine is a biological medicine which is highly </w:t>
            </w:r>
            <w:proofErr w:type="gramStart"/>
            <w:r w:rsidRPr="00247DAD">
              <w:rPr>
                <w:rFonts w:ascii="Arial" w:hAnsi="Arial" w:cs="Arial"/>
              </w:rPr>
              <w:t>similar to</w:t>
            </w:r>
            <w:proofErr w:type="gramEnd"/>
            <w:r w:rsidRPr="00247DAD">
              <w:rPr>
                <w:rFonts w:ascii="Arial" w:hAnsi="Arial" w:cs="Arial"/>
              </w:rPr>
              <w:t xml:space="preserve"> another biological medicine already licensed for use (referred to as a ‘reference medicinal product’ (RMP)).</w:t>
            </w:r>
          </w:p>
          <w:p w14:paraId="139B8C33" w14:textId="15577E47" w:rsidR="00A71C19" w:rsidRPr="00247DAD" w:rsidRDefault="00A71C19" w:rsidP="00A71C19">
            <w:pPr>
              <w:pStyle w:val="paragraph"/>
              <w:rPr>
                <w:rFonts w:ascii="Arial" w:hAnsi="Arial" w:cs="Arial"/>
              </w:rPr>
            </w:pPr>
            <w:r w:rsidRPr="00247DAD">
              <w:rPr>
                <w:rFonts w:ascii="Arial" w:hAnsi="Arial" w:cs="Arial"/>
              </w:rPr>
              <w:t xml:space="preserve">Once authorised, a biosimilar product </w:t>
            </w:r>
            <w:proofErr w:type="gramStart"/>
            <w:r w:rsidRPr="00247DAD">
              <w:rPr>
                <w:rFonts w:ascii="Arial" w:hAnsi="Arial" w:cs="Arial"/>
              </w:rPr>
              <w:t>is considered to be</w:t>
            </w:r>
            <w:proofErr w:type="gramEnd"/>
            <w:r w:rsidRPr="00247DAD">
              <w:rPr>
                <w:rFonts w:ascii="Arial" w:hAnsi="Arial" w:cs="Arial"/>
              </w:rPr>
              <w:t xml:space="preserve"> interchangeable with their RMP, which means a prescriber can choose the biosimilar medicine over the RMP (or vice versa) and expect to achieve the same therapeutic effect. Likewise, a biosimilar product </w:t>
            </w:r>
            <w:proofErr w:type="gramStart"/>
            <w:r w:rsidRPr="00247DAD">
              <w:rPr>
                <w:rFonts w:ascii="Arial" w:hAnsi="Arial" w:cs="Arial"/>
              </w:rPr>
              <w:t>is considered to be</w:t>
            </w:r>
            <w:proofErr w:type="gramEnd"/>
            <w:r w:rsidRPr="00247DAD">
              <w:rPr>
                <w:rFonts w:ascii="Arial" w:hAnsi="Arial" w:cs="Arial"/>
              </w:rPr>
              <w:t xml:space="preserve"> interchangeable with another biosimilar to the same RMP.</w:t>
            </w:r>
          </w:p>
          <w:p w14:paraId="487DEBD8" w14:textId="13E53942" w:rsidR="00200DF9" w:rsidRPr="00247DAD" w:rsidRDefault="00200DF9" w:rsidP="00A71C19">
            <w:pPr>
              <w:pStyle w:val="paragraph"/>
              <w:rPr>
                <w:rStyle w:val="normaltextrun"/>
                <w:rFonts w:ascii="Arial" w:hAnsi="Arial" w:cs="Arial"/>
              </w:rPr>
            </w:pPr>
            <w:r w:rsidRPr="00247DAD">
              <w:rPr>
                <w:rStyle w:val="normaltextrun"/>
                <w:rFonts w:ascii="Arial" w:hAnsi="Arial" w:cs="Arial"/>
              </w:rPr>
              <w:t xml:space="preserve">HNY APC considers the clinical effectiveness of medicines and decides on the commissioning status of medicines (and prescribable products/devices) for use by clinicians in all sectors </w:t>
            </w:r>
            <w:r w:rsidR="006A6CB0" w:rsidRPr="00247DAD">
              <w:rPr>
                <w:rStyle w:val="normaltextrun"/>
                <w:rFonts w:ascii="Arial" w:hAnsi="Arial" w:cs="Arial"/>
              </w:rPr>
              <w:t>when treating people for whom HNY ICB has commissioning responsibility</w:t>
            </w:r>
            <w:r w:rsidRPr="00247DAD">
              <w:rPr>
                <w:rStyle w:val="normaltextrun"/>
                <w:rFonts w:ascii="Arial" w:hAnsi="Arial" w:cs="Arial"/>
              </w:rPr>
              <w:t>.</w:t>
            </w:r>
            <w:r w:rsidR="006A6CB0" w:rsidRPr="00247DAD">
              <w:rPr>
                <w:rStyle w:val="normaltextrun"/>
                <w:rFonts w:ascii="Arial" w:hAnsi="Arial" w:cs="Arial"/>
              </w:rPr>
              <w:t xml:space="preserve"> </w:t>
            </w:r>
            <w:r w:rsidR="006A6CB0" w:rsidRPr="00247DAD">
              <w:rPr>
                <w:rFonts w:ascii="Arial" w:hAnsi="Arial" w:cs="Arial"/>
              </w:rPr>
              <w:t>If a medicine is approved for use by HNY APC it will be added to the HNY APC Formulary, as a minimum, with a ‘traffic light status’ to define who can prescribe the medicine and for what conditions, but sometimes also indicating a place in therapy (first line/second line etc.) or with a full treatment pathway.</w:t>
            </w:r>
          </w:p>
          <w:p w14:paraId="7F85006D" w14:textId="77777777" w:rsidR="00113D9B" w:rsidRDefault="00A71C19" w:rsidP="00200DF9">
            <w:pPr>
              <w:pStyle w:val="paragraph"/>
              <w:rPr>
                <w:rStyle w:val="normaltextrun"/>
                <w:rFonts w:ascii="Arial" w:hAnsi="Arial" w:cs="Arial"/>
              </w:rPr>
            </w:pPr>
            <w:r w:rsidRPr="00247DAD">
              <w:rPr>
                <w:rStyle w:val="normaltextrun"/>
                <w:rFonts w:ascii="Arial" w:hAnsi="Arial" w:cs="Arial"/>
              </w:rPr>
              <w:t>HNY ICB acknowledges that medicines recommended in NICE Technology Appraisals for use at NHS cost must be available as a treatment option.</w:t>
            </w:r>
          </w:p>
          <w:p w14:paraId="5691B576" w14:textId="40DDFFA0" w:rsidR="00D054EF" w:rsidRPr="00247DAD" w:rsidRDefault="00D054EF" w:rsidP="00200DF9">
            <w:pPr>
              <w:pStyle w:val="paragraph"/>
              <w:rPr>
                <w:rFonts w:ascii="Arial" w:hAnsi="Arial" w:cs="Arial"/>
              </w:rPr>
            </w:pPr>
          </w:p>
        </w:tc>
      </w:tr>
      <w:tr w:rsidR="00113D9B" w:rsidRPr="00247DAD" w14:paraId="45DC12DB" w14:textId="77777777" w:rsidTr="7E0A7EF1">
        <w:tc>
          <w:tcPr>
            <w:tcW w:w="2405" w:type="dxa"/>
          </w:tcPr>
          <w:p w14:paraId="5A47F1A1" w14:textId="4F582E47" w:rsidR="00113D9B" w:rsidRPr="00247DAD" w:rsidRDefault="00113D9B" w:rsidP="00113D9B">
            <w:pPr>
              <w:rPr>
                <w:rFonts w:ascii="Arial" w:hAnsi="Arial" w:cs="Arial"/>
                <w:sz w:val="24"/>
                <w:szCs w:val="24"/>
              </w:rPr>
            </w:pPr>
            <w:r w:rsidRPr="00247DAD">
              <w:rPr>
                <w:rFonts w:ascii="Arial" w:hAnsi="Arial" w:cs="Arial"/>
                <w:sz w:val="24"/>
                <w:szCs w:val="24"/>
              </w:rPr>
              <w:lastRenderedPageBreak/>
              <w:t xml:space="preserve">References </w:t>
            </w:r>
          </w:p>
        </w:tc>
        <w:tc>
          <w:tcPr>
            <w:tcW w:w="6611" w:type="dxa"/>
          </w:tcPr>
          <w:p w14:paraId="365A3E6C" w14:textId="4026453B" w:rsidR="00A71C19" w:rsidRPr="00247DAD" w:rsidRDefault="00A71C19" w:rsidP="00177C4D">
            <w:pPr>
              <w:rPr>
                <w:rFonts w:ascii="Arial" w:hAnsi="Arial" w:cs="Arial"/>
                <w:sz w:val="24"/>
                <w:szCs w:val="24"/>
              </w:rPr>
            </w:pPr>
            <w:hyperlink r:id="rId10" w:history="1">
              <w:r w:rsidRPr="00247DAD">
                <w:rPr>
                  <w:rStyle w:val="Hyperlink"/>
                  <w:rFonts w:ascii="Arial" w:hAnsi="Arial" w:cs="Arial"/>
                  <w:sz w:val="24"/>
                  <w:szCs w:val="24"/>
                </w:rPr>
                <w:t>NHS England » Biosimilar medicines</w:t>
              </w:r>
            </w:hyperlink>
          </w:p>
          <w:p w14:paraId="460839A9" w14:textId="4498D618" w:rsidR="00113D9B" w:rsidRPr="00247DAD" w:rsidRDefault="00A71C19" w:rsidP="00177C4D">
            <w:pPr>
              <w:rPr>
                <w:rFonts w:ascii="Arial" w:hAnsi="Arial" w:cs="Arial"/>
                <w:sz w:val="24"/>
                <w:szCs w:val="24"/>
              </w:rPr>
            </w:pPr>
            <w:hyperlink r:id="rId11" w:anchor="interchangeability" w:history="1">
              <w:r w:rsidRPr="00247DAD">
                <w:rPr>
                  <w:rStyle w:val="Hyperlink"/>
                  <w:rFonts w:ascii="Arial" w:hAnsi="Arial" w:cs="Arial"/>
                  <w:sz w:val="24"/>
                  <w:szCs w:val="24"/>
                </w:rPr>
                <w:t>Guidance on the licensing of biosimilar products - GOV.UK</w:t>
              </w:r>
            </w:hyperlink>
          </w:p>
          <w:p w14:paraId="1115020D" w14:textId="0A34C6F5" w:rsidR="00A71C19" w:rsidRPr="00247DAD" w:rsidRDefault="00A71C19" w:rsidP="00177C4D">
            <w:pPr>
              <w:rPr>
                <w:rFonts w:ascii="Arial" w:hAnsi="Arial" w:cs="Arial"/>
                <w:sz w:val="24"/>
                <w:szCs w:val="24"/>
              </w:rPr>
            </w:pPr>
            <w:hyperlink r:id="rId12" w:history="1">
              <w:r w:rsidRPr="00247DAD">
                <w:rPr>
                  <w:rStyle w:val="Hyperlink"/>
                  <w:rFonts w:ascii="Arial" w:hAnsi="Arial" w:cs="Arial"/>
                  <w:sz w:val="24"/>
                  <w:szCs w:val="24"/>
                </w:rPr>
                <w:t>NHS England: Biosimilar medicines commissioning framework</w:t>
              </w:r>
            </w:hyperlink>
          </w:p>
          <w:p w14:paraId="150D9A10" w14:textId="612B2AFF" w:rsidR="00A71C19" w:rsidRPr="00247DAD" w:rsidRDefault="004A35CA" w:rsidP="00177C4D">
            <w:pPr>
              <w:rPr>
                <w:rFonts w:ascii="Arial" w:hAnsi="Arial" w:cs="Arial"/>
                <w:sz w:val="24"/>
                <w:szCs w:val="24"/>
              </w:rPr>
            </w:pPr>
            <w:hyperlink r:id="rId13" w:history="1">
              <w:r w:rsidRPr="00247DAD">
                <w:rPr>
                  <w:rStyle w:val="Hyperlink"/>
                  <w:rFonts w:ascii="Arial" w:hAnsi="Arial" w:cs="Arial"/>
                  <w:sz w:val="24"/>
                  <w:szCs w:val="24"/>
                </w:rPr>
                <w:t>Biosimilar technologies: NICE position statement | Technology appraisal guidance (NICE)</w:t>
              </w:r>
            </w:hyperlink>
          </w:p>
        </w:tc>
      </w:tr>
      <w:tr w:rsidR="00113D9B" w:rsidRPr="00247DAD" w14:paraId="2F64E887" w14:textId="77777777" w:rsidTr="7E0A7EF1">
        <w:tc>
          <w:tcPr>
            <w:tcW w:w="2405" w:type="dxa"/>
          </w:tcPr>
          <w:p w14:paraId="26CC3A7F" w14:textId="3F59DDFA" w:rsidR="00113D9B" w:rsidRPr="00247DAD" w:rsidRDefault="00113D9B" w:rsidP="00113D9B">
            <w:pPr>
              <w:rPr>
                <w:rFonts w:ascii="Arial" w:hAnsi="Arial" w:cs="Arial"/>
                <w:sz w:val="24"/>
                <w:szCs w:val="24"/>
              </w:rPr>
            </w:pPr>
            <w:r w:rsidRPr="00247DAD">
              <w:rPr>
                <w:rFonts w:ascii="Arial" w:hAnsi="Arial" w:cs="Arial"/>
                <w:sz w:val="24"/>
                <w:szCs w:val="24"/>
              </w:rPr>
              <w:t>Effective from</w:t>
            </w:r>
          </w:p>
        </w:tc>
        <w:tc>
          <w:tcPr>
            <w:tcW w:w="6611" w:type="dxa"/>
          </w:tcPr>
          <w:p w14:paraId="03ECD2F0" w14:textId="554F8A1C" w:rsidR="00113D9B" w:rsidRPr="00247DAD" w:rsidRDefault="00200DF9" w:rsidP="00113D9B">
            <w:pPr>
              <w:rPr>
                <w:rFonts w:ascii="Arial" w:hAnsi="Arial" w:cs="Arial"/>
                <w:sz w:val="24"/>
                <w:szCs w:val="24"/>
              </w:rPr>
            </w:pPr>
            <w:r w:rsidRPr="00247DAD">
              <w:rPr>
                <w:rFonts w:ascii="Arial" w:hAnsi="Arial" w:cs="Arial"/>
                <w:sz w:val="24"/>
                <w:szCs w:val="24"/>
              </w:rPr>
              <w:t>February</w:t>
            </w:r>
            <w:r w:rsidR="00113D9B" w:rsidRPr="00247DAD">
              <w:rPr>
                <w:rFonts w:ascii="Arial" w:hAnsi="Arial" w:cs="Arial"/>
                <w:sz w:val="24"/>
                <w:szCs w:val="24"/>
              </w:rPr>
              <w:t xml:space="preserve"> 202</w:t>
            </w:r>
            <w:r w:rsidRPr="00247DAD">
              <w:rPr>
                <w:rFonts w:ascii="Arial" w:hAnsi="Arial" w:cs="Arial"/>
                <w:sz w:val="24"/>
                <w:szCs w:val="24"/>
              </w:rPr>
              <w:t>5</w:t>
            </w:r>
          </w:p>
        </w:tc>
      </w:tr>
      <w:tr w:rsidR="00113D9B" w:rsidRPr="00247DAD" w14:paraId="2C1E1213" w14:textId="77777777" w:rsidTr="7E0A7EF1">
        <w:tc>
          <w:tcPr>
            <w:tcW w:w="2405" w:type="dxa"/>
          </w:tcPr>
          <w:p w14:paraId="4D394461" w14:textId="4D85EBE7" w:rsidR="00113D9B" w:rsidRPr="00247DAD" w:rsidRDefault="00113D9B" w:rsidP="00113D9B">
            <w:pPr>
              <w:rPr>
                <w:rFonts w:ascii="Arial" w:hAnsi="Arial" w:cs="Arial"/>
                <w:sz w:val="24"/>
                <w:szCs w:val="24"/>
              </w:rPr>
            </w:pPr>
            <w:r w:rsidRPr="00247DAD">
              <w:rPr>
                <w:rFonts w:ascii="Arial" w:hAnsi="Arial" w:cs="Arial"/>
                <w:sz w:val="24"/>
                <w:szCs w:val="24"/>
              </w:rPr>
              <w:t xml:space="preserve">Policy Review Date </w:t>
            </w:r>
          </w:p>
        </w:tc>
        <w:tc>
          <w:tcPr>
            <w:tcW w:w="6611" w:type="dxa"/>
          </w:tcPr>
          <w:p w14:paraId="29012611" w14:textId="3801B020" w:rsidR="00113D9B" w:rsidRPr="00247DAD" w:rsidRDefault="00200DF9" w:rsidP="00113D9B">
            <w:pPr>
              <w:rPr>
                <w:rFonts w:ascii="Arial" w:hAnsi="Arial" w:cs="Arial"/>
                <w:sz w:val="24"/>
                <w:szCs w:val="24"/>
              </w:rPr>
            </w:pPr>
            <w:r w:rsidRPr="00247DAD">
              <w:rPr>
                <w:rFonts w:ascii="Arial" w:hAnsi="Arial" w:cs="Arial"/>
                <w:sz w:val="24"/>
                <w:szCs w:val="24"/>
              </w:rPr>
              <w:t>February 2028</w:t>
            </w:r>
          </w:p>
        </w:tc>
      </w:tr>
    </w:tbl>
    <w:p w14:paraId="18EDB3DD" w14:textId="77777777" w:rsidR="000E104F" w:rsidRPr="00247DAD" w:rsidRDefault="000E104F">
      <w:pPr>
        <w:rPr>
          <w:rFonts w:ascii="Arial" w:hAnsi="Arial" w:cs="Arial"/>
          <w:sz w:val="24"/>
          <w:szCs w:val="24"/>
        </w:rPr>
      </w:pPr>
    </w:p>
    <w:sectPr w:rsidR="000E104F" w:rsidRPr="00247DA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6E74" w14:textId="77777777" w:rsidR="008152A5" w:rsidRDefault="008152A5">
      <w:pPr>
        <w:spacing w:after="0" w:line="240" w:lineRule="auto"/>
      </w:pPr>
      <w:r>
        <w:separator/>
      </w:r>
    </w:p>
  </w:endnote>
  <w:endnote w:type="continuationSeparator" w:id="0">
    <w:p w14:paraId="338D7E2F" w14:textId="77777777" w:rsidR="008152A5" w:rsidRDefault="0081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B2E7" w14:textId="77777777" w:rsidR="006A6CB0" w:rsidRDefault="006A6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C498" w14:textId="77777777" w:rsidR="006A6CB0" w:rsidRDefault="006A6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38D8" w14:textId="77777777" w:rsidR="008152A5" w:rsidRDefault="008152A5">
      <w:pPr>
        <w:spacing w:after="0" w:line="240" w:lineRule="auto"/>
      </w:pPr>
      <w:r>
        <w:separator/>
      </w:r>
    </w:p>
  </w:footnote>
  <w:footnote w:type="continuationSeparator" w:id="0">
    <w:p w14:paraId="00EF1CA5" w14:textId="77777777" w:rsidR="008152A5" w:rsidRDefault="00815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A15C" w14:textId="09351AD9" w:rsidR="006A6CB0" w:rsidRDefault="006A6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5553B46C"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C105" w14:textId="257EB6BC" w:rsidR="006A6CB0" w:rsidRDefault="006A6CB0">
    <w:pPr>
      <w:pStyle w:val="Header"/>
    </w:pP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1F7"/>
    <w:multiLevelType w:val="multilevel"/>
    <w:tmpl w:val="9050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2950AD"/>
    <w:multiLevelType w:val="hybridMultilevel"/>
    <w:tmpl w:val="DFAC7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C7710"/>
    <w:multiLevelType w:val="multilevel"/>
    <w:tmpl w:val="EEB0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31A32"/>
    <w:multiLevelType w:val="hybridMultilevel"/>
    <w:tmpl w:val="590A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2"/>
  </w:num>
  <w:num w:numId="2" w16cid:durableId="1872303278">
    <w:abstractNumId w:val="14"/>
  </w:num>
  <w:num w:numId="3" w16cid:durableId="1147431926">
    <w:abstractNumId w:val="1"/>
  </w:num>
  <w:num w:numId="4" w16cid:durableId="890380511">
    <w:abstractNumId w:val="4"/>
  </w:num>
  <w:num w:numId="5" w16cid:durableId="1585725535">
    <w:abstractNumId w:val="12"/>
  </w:num>
  <w:num w:numId="6" w16cid:durableId="1128164145">
    <w:abstractNumId w:val="8"/>
  </w:num>
  <w:num w:numId="7" w16cid:durableId="1607155194">
    <w:abstractNumId w:val="11"/>
  </w:num>
  <w:num w:numId="8" w16cid:durableId="70854915">
    <w:abstractNumId w:val="3"/>
  </w:num>
  <w:num w:numId="9" w16cid:durableId="1686781628">
    <w:abstractNumId w:val="5"/>
  </w:num>
  <w:num w:numId="10" w16cid:durableId="1966278688">
    <w:abstractNumId w:val="6"/>
  </w:num>
  <w:num w:numId="11" w16cid:durableId="864752626">
    <w:abstractNumId w:val="9"/>
  </w:num>
  <w:num w:numId="12" w16cid:durableId="889850288">
    <w:abstractNumId w:val="0"/>
  </w:num>
  <w:num w:numId="13" w16cid:durableId="842205789">
    <w:abstractNumId w:val="10"/>
  </w:num>
  <w:num w:numId="14" w16cid:durableId="1735621632">
    <w:abstractNumId w:val="13"/>
  </w:num>
  <w:num w:numId="15" w16cid:durableId="7778004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00DF9"/>
    <w:rsid w:val="00247DAD"/>
    <w:rsid w:val="002D97A4"/>
    <w:rsid w:val="00315AA0"/>
    <w:rsid w:val="00325AA1"/>
    <w:rsid w:val="00330790"/>
    <w:rsid w:val="0039492D"/>
    <w:rsid w:val="004A35CA"/>
    <w:rsid w:val="004C292B"/>
    <w:rsid w:val="005565A7"/>
    <w:rsid w:val="005820AB"/>
    <w:rsid w:val="005B0292"/>
    <w:rsid w:val="005E3ADB"/>
    <w:rsid w:val="005F0F1D"/>
    <w:rsid w:val="005F6703"/>
    <w:rsid w:val="00656075"/>
    <w:rsid w:val="006A6CB0"/>
    <w:rsid w:val="00702D52"/>
    <w:rsid w:val="007606C0"/>
    <w:rsid w:val="00784A20"/>
    <w:rsid w:val="007A1D76"/>
    <w:rsid w:val="0080365B"/>
    <w:rsid w:val="008152A5"/>
    <w:rsid w:val="0086083A"/>
    <w:rsid w:val="0093C44A"/>
    <w:rsid w:val="00946B0C"/>
    <w:rsid w:val="009D48EB"/>
    <w:rsid w:val="00A21761"/>
    <w:rsid w:val="00A40EB5"/>
    <w:rsid w:val="00A719FC"/>
    <w:rsid w:val="00A71C19"/>
    <w:rsid w:val="00A87C91"/>
    <w:rsid w:val="00AA38E1"/>
    <w:rsid w:val="00AE39A5"/>
    <w:rsid w:val="00B834CE"/>
    <w:rsid w:val="00B835D0"/>
    <w:rsid w:val="00B97DAB"/>
    <w:rsid w:val="00BA1DD3"/>
    <w:rsid w:val="00BC27F1"/>
    <w:rsid w:val="00C5358B"/>
    <w:rsid w:val="00C55041"/>
    <w:rsid w:val="00D054EF"/>
    <w:rsid w:val="00D81158"/>
    <w:rsid w:val="00DD4A29"/>
    <w:rsid w:val="00E17065"/>
    <w:rsid w:val="00E23A5B"/>
    <w:rsid w:val="00EB3CFA"/>
    <w:rsid w:val="00ED5143"/>
    <w:rsid w:val="00F012EF"/>
    <w:rsid w:val="00F9067A"/>
    <w:rsid w:val="00FF3EE2"/>
    <w:rsid w:val="00FF6EF3"/>
    <w:rsid w:val="01A0723A"/>
    <w:rsid w:val="02B3C44F"/>
    <w:rsid w:val="0B6A0C66"/>
    <w:rsid w:val="0DCB6B24"/>
    <w:rsid w:val="0E2289EC"/>
    <w:rsid w:val="17AECED6"/>
    <w:rsid w:val="1BC662FA"/>
    <w:rsid w:val="1C8B89BA"/>
    <w:rsid w:val="1D7BA3D8"/>
    <w:rsid w:val="1DD6F1EE"/>
    <w:rsid w:val="1F92CEBE"/>
    <w:rsid w:val="229E4C0C"/>
    <w:rsid w:val="236D715C"/>
    <w:rsid w:val="237966E0"/>
    <w:rsid w:val="24D5FB3E"/>
    <w:rsid w:val="2A602EEE"/>
    <w:rsid w:val="2B9E4B41"/>
    <w:rsid w:val="2BF356F9"/>
    <w:rsid w:val="3194BA9C"/>
    <w:rsid w:val="34B68F6F"/>
    <w:rsid w:val="389181A6"/>
    <w:rsid w:val="39BAF3F0"/>
    <w:rsid w:val="3B526FD8"/>
    <w:rsid w:val="3FF48BFB"/>
    <w:rsid w:val="44709B3A"/>
    <w:rsid w:val="44DFFF9E"/>
    <w:rsid w:val="45497F20"/>
    <w:rsid w:val="492132F9"/>
    <w:rsid w:val="4CADA413"/>
    <w:rsid w:val="4D8DD7CD"/>
    <w:rsid w:val="4F9A594B"/>
    <w:rsid w:val="506D4E92"/>
    <w:rsid w:val="509D0A6E"/>
    <w:rsid w:val="56541B87"/>
    <w:rsid w:val="56FDB0F3"/>
    <w:rsid w:val="5889EC3A"/>
    <w:rsid w:val="5EEF045C"/>
    <w:rsid w:val="618E33EE"/>
    <w:rsid w:val="62E581D5"/>
    <w:rsid w:val="6454475A"/>
    <w:rsid w:val="684015C6"/>
    <w:rsid w:val="6B712061"/>
    <w:rsid w:val="72F30E7F"/>
    <w:rsid w:val="788B39B6"/>
    <w:rsid w:val="79BC8E83"/>
    <w:rsid w:val="7ADC5D01"/>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7D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A71C19"/>
    <w:rPr>
      <w:color w:val="605E5C"/>
      <w:shd w:val="clear" w:color="auto" w:fill="E1DFDD"/>
    </w:rPr>
  </w:style>
  <w:style w:type="character" w:customStyle="1" w:styleId="Heading3Char">
    <w:name w:val="Heading 3 Char"/>
    <w:basedOn w:val="DefaultParagraphFont"/>
    <w:link w:val="Heading3"/>
    <w:uiPriority w:val="9"/>
    <w:rsid w:val="00247DA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247DA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47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206529356">
      <w:bodyDiv w:val="1"/>
      <w:marLeft w:val="0"/>
      <w:marRight w:val="0"/>
      <w:marTop w:val="0"/>
      <w:marBottom w:val="0"/>
      <w:divBdr>
        <w:top w:val="none" w:sz="0" w:space="0" w:color="auto"/>
        <w:left w:val="none" w:sz="0" w:space="0" w:color="auto"/>
        <w:bottom w:val="none" w:sz="0" w:space="0" w:color="auto"/>
        <w:right w:val="none" w:sz="0" w:space="0" w:color="auto"/>
      </w:divBdr>
    </w:div>
    <w:div w:id="245187275">
      <w:bodyDiv w:val="1"/>
      <w:marLeft w:val="0"/>
      <w:marRight w:val="0"/>
      <w:marTop w:val="0"/>
      <w:marBottom w:val="0"/>
      <w:divBdr>
        <w:top w:val="none" w:sz="0" w:space="0" w:color="auto"/>
        <w:left w:val="none" w:sz="0" w:space="0" w:color="auto"/>
        <w:bottom w:val="none" w:sz="0" w:space="0" w:color="auto"/>
        <w:right w:val="none" w:sz="0" w:space="0" w:color="auto"/>
      </w:divBdr>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 w:id="591013908">
      <w:bodyDiv w:val="1"/>
      <w:marLeft w:val="0"/>
      <w:marRight w:val="0"/>
      <w:marTop w:val="0"/>
      <w:marBottom w:val="0"/>
      <w:divBdr>
        <w:top w:val="none" w:sz="0" w:space="0" w:color="auto"/>
        <w:left w:val="none" w:sz="0" w:space="0" w:color="auto"/>
        <w:bottom w:val="none" w:sz="0" w:space="0" w:color="auto"/>
        <w:right w:val="none" w:sz="0" w:space="0" w:color="auto"/>
      </w:divBdr>
    </w:div>
    <w:div w:id="751660714">
      <w:bodyDiv w:val="1"/>
      <w:marLeft w:val="0"/>
      <w:marRight w:val="0"/>
      <w:marTop w:val="0"/>
      <w:marBottom w:val="0"/>
      <w:divBdr>
        <w:top w:val="none" w:sz="0" w:space="0" w:color="auto"/>
        <w:left w:val="none" w:sz="0" w:space="0" w:color="auto"/>
        <w:bottom w:val="none" w:sz="0" w:space="0" w:color="auto"/>
        <w:right w:val="none" w:sz="0" w:space="0" w:color="auto"/>
      </w:divBdr>
    </w:div>
    <w:div w:id="935018809">
      <w:bodyDiv w:val="1"/>
      <w:marLeft w:val="0"/>
      <w:marRight w:val="0"/>
      <w:marTop w:val="0"/>
      <w:marBottom w:val="0"/>
      <w:divBdr>
        <w:top w:val="none" w:sz="0" w:space="0" w:color="auto"/>
        <w:left w:val="none" w:sz="0" w:space="0" w:color="auto"/>
        <w:bottom w:val="none" w:sz="0" w:space="0" w:color="auto"/>
        <w:right w:val="none" w:sz="0" w:space="0" w:color="auto"/>
      </w:divBdr>
    </w:div>
    <w:div w:id="1054886244">
      <w:bodyDiv w:val="1"/>
      <w:marLeft w:val="0"/>
      <w:marRight w:val="0"/>
      <w:marTop w:val="0"/>
      <w:marBottom w:val="0"/>
      <w:divBdr>
        <w:top w:val="none" w:sz="0" w:space="0" w:color="auto"/>
        <w:left w:val="none" w:sz="0" w:space="0" w:color="auto"/>
        <w:bottom w:val="none" w:sz="0" w:space="0" w:color="auto"/>
        <w:right w:val="none" w:sz="0" w:space="0" w:color="auto"/>
      </w:divBdr>
    </w:div>
    <w:div w:id="1139300779">
      <w:bodyDiv w:val="1"/>
      <w:marLeft w:val="0"/>
      <w:marRight w:val="0"/>
      <w:marTop w:val="0"/>
      <w:marBottom w:val="0"/>
      <w:divBdr>
        <w:top w:val="none" w:sz="0" w:space="0" w:color="auto"/>
        <w:left w:val="none" w:sz="0" w:space="0" w:color="auto"/>
        <w:bottom w:val="none" w:sz="0" w:space="0" w:color="auto"/>
        <w:right w:val="none" w:sz="0" w:space="0" w:color="auto"/>
      </w:divBdr>
    </w:div>
    <w:div w:id="1946959266">
      <w:bodyDiv w:val="1"/>
      <w:marLeft w:val="0"/>
      <w:marRight w:val="0"/>
      <w:marTop w:val="0"/>
      <w:marBottom w:val="0"/>
      <w:divBdr>
        <w:top w:val="none" w:sz="0" w:space="0" w:color="auto"/>
        <w:left w:val="none" w:sz="0" w:space="0" w:color="auto"/>
        <w:bottom w:val="none" w:sz="0" w:space="0" w:color="auto"/>
        <w:right w:val="none" w:sz="0" w:space="0" w:color="auto"/>
      </w:divBdr>
    </w:div>
    <w:div w:id="19621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about/what-we-do/our-programmes/nice-guidance/technology-appraisal-guidance/biosimilar-technologies-nice-position-stat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ngland.nhs.uk/wp-content/uploads/2017/09/biosimilar-medicines-commissioning-framework.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on-the-licensing-of-biosimilar-products/guidance-on-the-licensing-of-biosimilar-produc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ngland.nhs.uk/medicines-2/biosimilar-medicin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2.xml><?xml version="1.0" encoding="utf-8"?>
<ds:datastoreItem xmlns:ds="http://schemas.openxmlformats.org/officeDocument/2006/customXml" ds:itemID="{EF5E2BB1-B746-425F-8753-9F82113632BA}">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3.xml><?xml version="1.0" encoding="utf-8"?>
<ds:datastoreItem xmlns:ds="http://schemas.openxmlformats.org/officeDocument/2006/customXml" ds:itemID="{985AF47E-8679-4FE6-A837-F648892E2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3648</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ANGUS, Laura (NHS HUMBER AND NORTH YORKSHIRE ICB - 42D)</cp:lastModifiedBy>
  <cp:revision>3</cp:revision>
  <dcterms:created xsi:type="dcterms:W3CDTF">2025-03-25T11:19:00Z</dcterms:created>
  <dcterms:modified xsi:type="dcterms:W3CDTF">2025-03-25T11:21:00Z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