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640"/>
        <w:gridCol w:w="6376"/>
      </w:tblGrid>
      <w:tr w:rsidR="00082635" w14:paraId="0B1125C6" w14:textId="77777777" w:rsidTr="59095D97">
        <w:tc>
          <w:tcPr>
            <w:tcW w:w="2640" w:type="dxa"/>
          </w:tcPr>
          <w:p w14:paraId="0D4A3409" w14:textId="3EA3C901" w:rsidR="00082635" w:rsidRDefault="00C40725">
            <w:bookmarkStart w:id="0" w:name="_Hlk164339182"/>
            <w:r w:rsidRPr="0A67D14F">
              <w:rPr>
                <w:rFonts w:eastAsiaTheme="minorEastAsia"/>
              </w:rPr>
              <w:t>Intervention</w:t>
            </w:r>
          </w:p>
        </w:tc>
        <w:tc>
          <w:tcPr>
            <w:tcW w:w="6376" w:type="dxa"/>
          </w:tcPr>
          <w:p w14:paraId="72BB008D" w14:textId="4AC586F0" w:rsidR="00F92C7B" w:rsidRPr="00A47E1F" w:rsidRDefault="0ED3F9DF" w:rsidP="06FB3AE3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59095D9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079. </w:t>
            </w:r>
            <w:r w:rsidR="00E46F60" w:rsidRPr="59095D9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Intravitreal </w:t>
            </w:r>
            <w:r w:rsidR="63901F26" w:rsidRPr="59095D9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injectable </w:t>
            </w:r>
            <w:r w:rsidR="724EC53C" w:rsidRPr="59095D9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anti-VEGF agent</w:t>
            </w:r>
            <w:r w:rsidR="00E46F60" w:rsidRPr="59095D9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s</w:t>
            </w:r>
            <w:r w:rsidR="3B75F00C" w:rsidRPr="59095D9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30E4B6D0" w:rsidRPr="59095D9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for eye disease</w:t>
            </w:r>
          </w:p>
        </w:tc>
      </w:tr>
      <w:tr w:rsidR="00082635" w14:paraId="4607A061" w14:textId="77777777" w:rsidTr="004C6311">
        <w:trPr>
          <w:trHeight w:val="1520"/>
        </w:trPr>
        <w:tc>
          <w:tcPr>
            <w:tcW w:w="2640" w:type="dxa"/>
          </w:tcPr>
          <w:p w14:paraId="2BE2DCD8" w14:textId="169702F0" w:rsidR="00082635" w:rsidRDefault="00C40725">
            <w:r>
              <w:t>For the treatment of:</w:t>
            </w:r>
          </w:p>
        </w:tc>
        <w:tc>
          <w:tcPr>
            <w:tcW w:w="6376" w:type="dxa"/>
          </w:tcPr>
          <w:p w14:paraId="393F21FC" w14:textId="17BD31C6" w:rsidR="00467760" w:rsidRPr="00A47E1F" w:rsidRDefault="2D232563" w:rsidP="002466B7">
            <w:r>
              <w:t xml:space="preserve">Forms of </w:t>
            </w:r>
            <w:proofErr w:type="spellStart"/>
            <w:r>
              <w:t>s</w:t>
            </w:r>
            <w:r w:rsidR="04A2783A">
              <w:t>ubfoveal</w:t>
            </w:r>
            <w:proofErr w:type="spellEnd"/>
            <w:r w:rsidR="04A2783A">
              <w:t xml:space="preserve"> choroidal neovascularisation</w:t>
            </w:r>
            <w:r w:rsidR="14AFBA12">
              <w:t xml:space="preserve"> (including wet age-related macular degeneration, macular oedema secondary to retinal vein occlusion</w:t>
            </w:r>
            <w:r w:rsidR="197E11C1">
              <w:t xml:space="preserve"> or branch retinal vein occlusion</w:t>
            </w:r>
            <w:r w:rsidR="14AFBA12">
              <w:t>, diabetic macular oedema</w:t>
            </w:r>
            <w:r w:rsidR="692B5799">
              <w:t>)</w:t>
            </w:r>
            <w:r w:rsidR="0235067A">
              <w:t xml:space="preserve"> and neovascularisation associated with pathological myopia).</w:t>
            </w:r>
          </w:p>
        </w:tc>
      </w:tr>
      <w:tr w:rsidR="00082635" w14:paraId="1062A7C2" w14:textId="77777777" w:rsidTr="004C6311">
        <w:trPr>
          <w:trHeight w:val="1824"/>
        </w:trPr>
        <w:tc>
          <w:tcPr>
            <w:tcW w:w="2640" w:type="dxa"/>
          </w:tcPr>
          <w:p w14:paraId="2DA08F4B" w14:textId="11510286" w:rsidR="00082635" w:rsidRDefault="00C40725">
            <w:r>
              <w:t>Commissioning position</w:t>
            </w:r>
          </w:p>
        </w:tc>
        <w:tc>
          <w:tcPr>
            <w:tcW w:w="6376" w:type="dxa"/>
          </w:tcPr>
          <w:p w14:paraId="7CC33AAC" w14:textId="42D7CFDC" w:rsidR="00260F83" w:rsidRDefault="34588420" w:rsidP="06FB3AE3">
            <w:r>
              <w:t>These</w:t>
            </w:r>
            <w:r w:rsidR="00260F83">
              <w:t xml:space="preserve"> </w:t>
            </w:r>
            <w:r w:rsidR="1C04AC58">
              <w:t>interventions</w:t>
            </w:r>
            <w:r w:rsidR="211C8997">
              <w:t xml:space="preserve"> (named in the APC Formulary and biosimilars)</w:t>
            </w:r>
            <w:r w:rsidR="00260F83">
              <w:t xml:space="preserve"> </w:t>
            </w:r>
            <w:r w:rsidR="6B979B3C">
              <w:t>are</w:t>
            </w:r>
            <w:r w:rsidR="00260F83">
              <w:t xml:space="preserve"> routinely commissioned and do not require prior approval</w:t>
            </w:r>
            <w:r w:rsidR="02FED0EF">
              <w:t xml:space="preserve"> if:</w:t>
            </w:r>
          </w:p>
          <w:p w14:paraId="31E0427A" w14:textId="1CBF2668" w:rsidR="00260F83" w:rsidRPr="00260F83" w:rsidRDefault="02FED0EF" w:rsidP="06FB3AE3">
            <w:pPr>
              <w:pStyle w:val="ListParagraph"/>
              <w:numPr>
                <w:ilvl w:val="0"/>
                <w:numId w:val="1"/>
              </w:numPr>
            </w:pPr>
            <w:r>
              <w:t>their use is consistent with their status</w:t>
            </w:r>
            <w:r w:rsidR="61B47D38">
              <w:t xml:space="preserve">, </w:t>
            </w:r>
            <w:r w:rsidR="5875868A">
              <w:t>scope</w:t>
            </w:r>
            <w:r w:rsidR="3D17BBDB">
              <w:t xml:space="preserve"> and order of preference,</w:t>
            </w:r>
            <w:r w:rsidR="5875868A">
              <w:t xml:space="preserve"> </w:t>
            </w:r>
            <w:r w:rsidR="4EAFA2DB">
              <w:t xml:space="preserve">as </w:t>
            </w:r>
            <w:r w:rsidR="5875868A">
              <w:t>defined</w:t>
            </w:r>
            <w:r>
              <w:t xml:space="preserve"> within the APC Formulary AND</w:t>
            </w:r>
          </w:p>
          <w:p w14:paraId="03A5F2DD" w14:textId="053C6E95" w:rsidR="00260F83" w:rsidRPr="00260F83" w:rsidRDefault="02FED0EF" w:rsidP="06FB3AE3">
            <w:pPr>
              <w:pStyle w:val="ListParagraph"/>
              <w:numPr>
                <w:ilvl w:val="0"/>
                <w:numId w:val="1"/>
              </w:numPr>
            </w:pPr>
            <w:r>
              <w:t xml:space="preserve">their use is consistent with </w:t>
            </w:r>
            <w:r w:rsidR="6C80C40B">
              <w:t>applicable</w:t>
            </w:r>
            <w:r>
              <w:t xml:space="preserve"> NICE TA recommendations</w:t>
            </w:r>
            <w:r w:rsidR="460464D8">
              <w:t xml:space="preserve"> and/or MHRA drug safety updates</w:t>
            </w:r>
          </w:p>
        </w:tc>
      </w:tr>
      <w:tr w:rsidR="00416BEF" w14:paraId="3FEC9845" w14:textId="77777777" w:rsidTr="004C6311">
        <w:trPr>
          <w:trHeight w:val="2403"/>
        </w:trPr>
        <w:tc>
          <w:tcPr>
            <w:tcW w:w="2640" w:type="dxa"/>
          </w:tcPr>
          <w:p w14:paraId="33CA7C0B" w14:textId="27CBFCBB" w:rsidR="00416BEF" w:rsidRDefault="00416BEF" w:rsidP="00416BEF">
            <w:r>
              <w:t>Summary of Rationale</w:t>
            </w:r>
          </w:p>
        </w:tc>
        <w:tc>
          <w:tcPr>
            <w:tcW w:w="6376" w:type="dxa"/>
          </w:tcPr>
          <w:p w14:paraId="213D03DB" w14:textId="794828B6" w:rsidR="00C94A42" w:rsidRPr="00C94A42" w:rsidRDefault="3F275CDC" w:rsidP="58D90411">
            <w:r w:rsidRPr="58D90411">
              <w:t>Various eye pathologies lead to i</w:t>
            </w:r>
            <w:r w:rsidR="0337689B" w:rsidRPr="58D90411">
              <w:t xml:space="preserve">ncreased </w:t>
            </w:r>
            <w:r w:rsidR="5354611D" w:rsidRPr="58D90411">
              <w:t xml:space="preserve">release of </w:t>
            </w:r>
            <w:r w:rsidR="0337689B" w:rsidRPr="58D90411">
              <w:t>VEGF</w:t>
            </w:r>
            <w:r w:rsidR="2A1E77DB" w:rsidRPr="58D90411">
              <w:t>, which in turn</w:t>
            </w:r>
            <w:r w:rsidR="0337689B" w:rsidRPr="58D90411">
              <w:t xml:space="preserve"> increases vascular permeability and new vessel proliferation. By inhibiting the action of VEGF‑A, </w:t>
            </w:r>
            <w:r w:rsidR="0E9D0AB0" w:rsidRPr="58D90411">
              <w:t>anti-VEGF agents</w:t>
            </w:r>
            <w:r w:rsidR="0337689B" w:rsidRPr="58D90411">
              <w:t xml:space="preserve"> reduce oedema and limit visual loss or improve vision.</w:t>
            </w:r>
          </w:p>
          <w:p w14:paraId="39EB4722" w14:textId="7EE4749B" w:rsidR="00C94A42" w:rsidRPr="00C94A42" w:rsidRDefault="00C94A42" w:rsidP="58D90411"/>
          <w:p w14:paraId="7A057F2B" w14:textId="5F9D441E" w:rsidR="00C94A42" w:rsidRPr="00C94A42" w:rsidRDefault="66441A36" w:rsidP="06FB3AE3">
            <w:r w:rsidRPr="58D90411">
              <w:t xml:space="preserve">The APC determines the status, scope and order of preference for </w:t>
            </w:r>
            <w:r w:rsidR="4632DFF4" w:rsidRPr="58D90411">
              <w:t xml:space="preserve">use of </w:t>
            </w:r>
            <w:r w:rsidRPr="58D90411">
              <w:t>medications</w:t>
            </w:r>
            <w:r w:rsidR="45AC5C1F" w:rsidRPr="58D90411">
              <w:t xml:space="preserve"> by clinicians within the Humber and North Yorkshire Integrated Care System.</w:t>
            </w:r>
          </w:p>
        </w:tc>
      </w:tr>
      <w:tr w:rsidR="00416BEF" w14:paraId="7DF6CEF0" w14:textId="77777777" w:rsidTr="59095D97">
        <w:tc>
          <w:tcPr>
            <w:tcW w:w="2640" w:type="dxa"/>
          </w:tcPr>
          <w:p w14:paraId="729A6E73" w14:textId="1FCFD067" w:rsidR="00416BEF" w:rsidRDefault="00416BEF" w:rsidP="00416BEF">
            <w:r>
              <w:t>References</w:t>
            </w:r>
          </w:p>
        </w:tc>
        <w:tc>
          <w:tcPr>
            <w:tcW w:w="6376" w:type="dxa"/>
          </w:tcPr>
          <w:p w14:paraId="44773DC0" w14:textId="398F89D6" w:rsidR="00C94A42" w:rsidRPr="00220748" w:rsidRDefault="32D31045" w:rsidP="06FB3AE3">
            <w:pPr>
              <w:rPr>
                <w:rFonts w:ascii="Calibri" w:eastAsia="Calibri" w:hAnsi="Calibri" w:cs="Calibri"/>
              </w:rPr>
            </w:pPr>
            <w:hyperlink r:id="rId10">
              <w:r w:rsidRPr="06FB3AE3">
                <w:rPr>
                  <w:rStyle w:val="Hyperlink"/>
                  <w:rFonts w:ascii="Calibri" w:eastAsia="Calibri" w:hAnsi="Calibri" w:cs="Calibri"/>
                </w:rPr>
                <w:t>TA274 Ranibizumab for treating diabetic macular oedema (NICE)</w:t>
              </w:r>
            </w:hyperlink>
          </w:p>
          <w:p w14:paraId="7ABF2ED4" w14:textId="23136028" w:rsidR="00C94A42" w:rsidRPr="00220748" w:rsidRDefault="05D52197" w:rsidP="06FB3AE3">
            <w:pPr>
              <w:rPr>
                <w:rFonts w:ascii="Calibri" w:eastAsia="Calibri" w:hAnsi="Calibri" w:cs="Calibri"/>
              </w:rPr>
            </w:pPr>
            <w:hyperlink r:id="rId11">
              <w:r w:rsidRPr="06FB3AE3">
                <w:rPr>
                  <w:rStyle w:val="Hyperlink"/>
                  <w:rFonts w:ascii="Calibri" w:eastAsia="Calibri" w:hAnsi="Calibri" w:cs="Calibri"/>
                </w:rPr>
                <w:t>TA155 Ranibizumab and pegaptanib for the treatment of age-related macular degeneration (NICE)</w:t>
              </w:r>
            </w:hyperlink>
          </w:p>
          <w:p w14:paraId="5EBCE233" w14:textId="0751BB78" w:rsidR="00C94A42" w:rsidRPr="00220748" w:rsidRDefault="05D52197" w:rsidP="06FB3AE3">
            <w:pPr>
              <w:rPr>
                <w:rFonts w:ascii="Calibri" w:eastAsia="Calibri" w:hAnsi="Calibri" w:cs="Calibri"/>
              </w:rPr>
            </w:pPr>
            <w:hyperlink r:id="rId12">
              <w:r w:rsidRPr="06FB3AE3">
                <w:rPr>
                  <w:rStyle w:val="Hyperlink"/>
                  <w:rFonts w:ascii="Calibri" w:eastAsia="Calibri" w:hAnsi="Calibri" w:cs="Calibri"/>
                </w:rPr>
                <w:t>TA283 Ranibizumab for treating visual impairment caused by macular oedema secondary to retinal vein occlusion (NICE)</w:t>
              </w:r>
            </w:hyperlink>
          </w:p>
          <w:p w14:paraId="5B3E24AF" w14:textId="3AB0B990" w:rsidR="00C94A42" w:rsidRPr="00220748" w:rsidRDefault="2EF8B451" w:rsidP="06FB3AE3">
            <w:pPr>
              <w:rPr>
                <w:rFonts w:ascii="Calibri" w:eastAsia="Calibri" w:hAnsi="Calibri" w:cs="Calibri"/>
              </w:rPr>
            </w:pPr>
            <w:hyperlink r:id="rId13">
              <w:r w:rsidRPr="06FB3AE3">
                <w:rPr>
                  <w:rStyle w:val="Hyperlink"/>
                  <w:rFonts w:ascii="Calibri" w:eastAsia="Calibri" w:hAnsi="Calibri" w:cs="Calibri"/>
                </w:rPr>
                <w:t>TA298 Ranibizumab for treating choroidal neovascularisation associated with pathological myopia (NICE)</w:t>
              </w:r>
            </w:hyperlink>
          </w:p>
          <w:p w14:paraId="7944804A" w14:textId="0EF94929" w:rsidR="00C94A42" w:rsidRPr="00220748" w:rsidRDefault="466B8ACC" w:rsidP="06FB3AE3">
            <w:pPr>
              <w:rPr>
                <w:rFonts w:ascii="Calibri" w:eastAsia="Calibri" w:hAnsi="Calibri" w:cs="Calibri"/>
              </w:rPr>
            </w:pPr>
            <w:hyperlink r:id="rId14">
              <w:r w:rsidRPr="06FB3AE3">
                <w:rPr>
                  <w:rStyle w:val="Hyperlink"/>
                  <w:rFonts w:ascii="Calibri" w:eastAsia="Calibri" w:hAnsi="Calibri" w:cs="Calibri"/>
                </w:rPr>
                <w:t>TA294 Aflibercept solution for injection for treating wet age‑related macular degeneration (NICE)</w:t>
              </w:r>
            </w:hyperlink>
          </w:p>
          <w:p w14:paraId="00E3DB1C" w14:textId="654B2991" w:rsidR="00C94A42" w:rsidRPr="00220748" w:rsidRDefault="466B8ACC" w:rsidP="06FB3AE3">
            <w:pPr>
              <w:rPr>
                <w:rFonts w:ascii="Calibri" w:eastAsia="Calibri" w:hAnsi="Calibri" w:cs="Calibri"/>
              </w:rPr>
            </w:pPr>
            <w:hyperlink r:id="rId15">
              <w:r w:rsidRPr="06FB3AE3">
                <w:rPr>
                  <w:rStyle w:val="Hyperlink"/>
                  <w:rFonts w:ascii="Calibri" w:eastAsia="Calibri" w:hAnsi="Calibri" w:cs="Calibri"/>
                </w:rPr>
                <w:t>TA305 Aflibercept for treating visual impairment caused by macular oedema secondary to central retinal vein occlusion (NICE)</w:t>
              </w:r>
            </w:hyperlink>
          </w:p>
          <w:p w14:paraId="2B1A5CC1" w14:textId="0C3F8933" w:rsidR="00C94A42" w:rsidRPr="00220748" w:rsidRDefault="466B8ACC" w:rsidP="06FB3AE3">
            <w:pPr>
              <w:rPr>
                <w:rFonts w:ascii="Calibri" w:eastAsia="Calibri" w:hAnsi="Calibri" w:cs="Calibri"/>
              </w:rPr>
            </w:pPr>
            <w:hyperlink r:id="rId16">
              <w:r w:rsidRPr="06FB3AE3">
                <w:rPr>
                  <w:rStyle w:val="Hyperlink"/>
                  <w:rFonts w:ascii="Calibri" w:eastAsia="Calibri" w:hAnsi="Calibri" w:cs="Calibri"/>
                </w:rPr>
                <w:t>TA346 Aflibercept for treating diabetic macular oedema (NICE)</w:t>
              </w:r>
            </w:hyperlink>
          </w:p>
          <w:p w14:paraId="36D05106" w14:textId="2955735E" w:rsidR="00C94A42" w:rsidRPr="00220748" w:rsidRDefault="07CD0857" w:rsidP="06FB3AE3">
            <w:pPr>
              <w:rPr>
                <w:rFonts w:ascii="Calibri" w:eastAsia="Calibri" w:hAnsi="Calibri" w:cs="Calibri"/>
              </w:rPr>
            </w:pPr>
            <w:hyperlink r:id="rId17">
              <w:r w:rsidRPr="06FB3AE3">
                <w:rPr>
                  <w:rStyle w:val="Hyperlink"/>
                  <w:rFonts w:ascii="Calibri" w:eastAsia="Calibri" w:hAnsi="Calibri" w:cs="Calibri"/>
                </w:rPr>
                <w:t>TA409 Aflibercept for treating visual impairment caused by macular oedema after branch retinal vein occlusion (NICE)</w:t>
              </w:r>
            </w:hyperlink>
          </w:p>
          <w:p w14:paraId="754D7968" w14:textId="58717062" w:rsidR="00C94A42" w:rsidRPr="00220748" w:rsidRDefault="07CD0857" w:rsidP="06FB3AE3">
            <w:pPr>
              <w:rPr>
                <w:rFonts w:ascii="Calibri" w:eastAsia="Calibri" w:hAnsi="Calibri" w:cs="Calibri"/>
              </w:rPr>
            </w:pPr>
            <w:hyperlink r:id="rId18">
              <w:r w:rsidRPr="06FB3AE3">
                <w:rPr>
                  <w:rStyle w:val="Hyperlink"/>
                  <w:rFonts w:ascii="Calibri" w:eastAsia="Calibri" w:hAnsi="Calibri" w:cs="Calibri"/>
                </w:rPr>
                <w:t>TA672 Brolucizumab for treating wet age-related macular degeneration (NICE)</w:t>
              </w:r>
            </w:hyperlink>
          </w:p>
          <w:p w14:paraId="07076463" w14:textId="77FBE480" w:rsidR="00C94A42" w:rsidRPr="00220748" w:rsidRDefault="07CD0857" w:rsidP="06FB3AE3">
            <w:pPr>
              <w:rPr>
                <w:rFonts w:ascii="Calibri" w:eastAsia="Calibri" w:hAnsi="Calibri" w:cs="Calibri"/>
              </w:rPr>
            </w:pPr>
            <w:hyperlink r:id="rId19">
              <w:r w:rsidRPr="06FB3AE3">
                <w:rPr>
                  <w:rStyle w:val="Hyperlink"/>
                  <w:rFonts w:ascii="Calibri" w:eastAsia="Calibri" w:hAnsi="Calibri" w:cs="Calibri"/>
                </w:rPr>
                <w:t>TA820 Brolucizumab for treating diabetic macular oedema (NICE)</w:t>
              </w:r>
            </w:hyperlink>
          </w:p>
          <w:p w14:paraId="16F094AD" w14:textId="0F1B98E7" w:rsidR="00C94A42" w:rsidRPr="00220748" w:rsidRDefault="07CD0857" w:rsidP="06FB3AE3">
            <w:pPr>
              <w:rPr>
                <w:rFonts w:ascii="Calibri" w:eastAsia="Calibri" w:hAnsi="Calibri" w:cs="Calibri"/>
              </w:rPr>
            </w:pPr>
            <w:hyperlink r:id="rId20">
              <w:r w:rsidRPr="06FB3AE3">
                <w:rPr>
                  <w:rStyle w:val="Hyperlink"/>
                  <w:rFonts w:ascii="Calibri" w:eastAsia="Calibri" w:hAnsi="Calibri" w:cs="Calibri"/>
                </w:rPr>
                <w:t xml:space="preserve">TA799 </w:t>
              </w:r>
              <w:proofErr w:type="spellStart"/>
              <w:r w:rsidRPr="06FB3AE3">
                <w:rPr>
                  <w:rStyle w:val="Hyperlink"/>
                  <w:rFonts w:ascii="Calibri" w:eastAsia="Calibri" w:hAnsi="Calibri" w:cs="Calibri"/>
                </w:rPr>
                <w:t>Faricimab</w:t>
              </w:r>
              <w:proofErr w:type="spellEnd"/>
              <w:r w:rsidRPr="06FB3AE3">
                <w:rPr>
                  <w:rStyle w:val="Hyperlink"/>
                  <w:rFonts w:ascii="Calibri" w:eastAsia="Calibri" w:hAnsi="Calibri" w:cs="Calibri"/>
                </w:rPr>
                <w:t xml:space="preserve"> for treating diabetic macular oedema (NICE)</w:t>
              </w:r>
            </w:hyperlink>
          </w:p>
          <w:p w14:paraId="0B28D5BB" w14:textId="118A642A" w:rsidR="00C94A42" w:rsidRPr="00220748" w:rsidRDefault="07CD0857" w:rsidP="06FB3AE3">
            <w:pPr>
              <w:rPr>
                <w:rFonts w:ascii="Calibri" w:eastAsia="Calibri" w:hAnsi="Calibri" w:cs="Calibri"/>
              </w:rPr>
            </w:pPr>
            <w:hyperlink r:id="rId21">
              <w:r w:rsidRPr="06FB3AE3">
                <w:rPr>
                  <w:rStyle w:val="Hyperlink"/>
                  <w:rFonts w:ascii="Calibri" w:eastAsia="Calibri" w:hAnsi="Calibri" w:cs="Calibri"/>
                </w:rPr>
                <w:t xml:space="preserve">TA800 </w:t>
              </w:r>
              <w:proofErr w:type="spellStart"/>
              <w:r w:rsidRPr="06FB3AE3">
                <w:rPr>
                  <w:rStyle w:val="Hyperlink"/>
                  <w:rFonts w:ascii="Calibri" w:eastAsia="Calibri" w:hAnsi="Calibri" w:cs="Calibri"/>
                </w:rPr>
                <w:t>Faricimab</w:t>
              </w:r>
              <w:proofErr w:type="spellEnd"/>
              <w:r w:rsidRPr="06FB3AE3">
                <w:rPr>
                  <w:rStyle w:val="Hyperlink"/>
                  <w:rFonts w:ascii="Calibri" w:eastAsia="Calibri" w:hAnsi="Calibri" w:cs="Calibri"/>
                </w:rPr>
                <w:t xml:space="preserve"> for treating wet age-related macular degeneration (NICE)</w:t>
              </w:r>
            </w:hyperlink>
          </w:p>
          <w:p w14:paraId="298C1462" w14:textId="3C3D0CEF" w:rsidR="00C94A42" w:rsidRPr="00220748" w:rsidRDefault="07CD0857" w:rsidP="06FB3AE3">
            <w:pPr>
              <w:rPr>
                <w:rFonts w:ascii="Calibri" w:eastAsia="Calibri" w:hAnsi="Calibri" w:cs="Calibri"/>
              </w:rPr>
            </w:pPr>
            <w:hyperlink r:id="rId22">
              <w:r w:rsidRPr="58D90411">
                <w:rPr>
                  <w:rStyle w:val="Hyperlink"/>
                  <w:rFonts w:ascii="Calibri" w:eastAsia="Calibri" w:hAnsi="Calibri" w:cs="Calibri"/>
                </w:rPr>
                <w:t>Brolucizumab (</w:t>
              </w:r>
              <w:proofErr w:type="spellStart"/>
              <w:r w:rsidRPr="58D90411">
                <w:rPr>
                  <w:rStyle w:val="Hyperlink"/>
                  <w:rFonts w:ascii="Calibri" w:eastAsia="Calibri" w:hAnsi="Calibri" w:cs="Calibri"/>
                </w:rPr>
                <w:t>Beovu</w:t>
              </w:r>
              <w:proofErr w:type="spellEnd"/>
              <w:r w:rsidRPr="58D90411">
                <w:rPr>
                  <w:rStyle w:val="Hyperlink"/>
                  <w:rFonts w:ascii="Calibri" w:eastAsia="Calibri" w:hAnsi="Calibri" w:cs="Calibri"/>
                </w:rPr>
                <w:t xml:space="preserve">▼): risk of intraocular inflammation and retinal vascular occlusion increased with short dosing intervals </w:t>
              </w:r>
              <w:r w:rsidR="725E882D" w:rsidRPr="58D90411">
                <w:rPr>
                  <w:rStyle w:val="Hyperlink"/>
                  <w:rFonts w:ascii="Calibri" w:eastAsia="Calibri" w:hAnsi="Calibri" w:cs="Calibri"/>
                </w:rPr>
                <w:t>(MHRA)</w:t>
              </w:r>
            </w:hyperlink>
          </w:p>
        </w:tc>
      </w:tr>
      <w:tr w:rsidR="00416BEF" w14:paraId="7E9E8A9A" w14:textId="77777777" w:rsidTr="59095D97">
        <w:tc>
          <w:tcPr>
            <w:tcW w:w="2640" w:type="dxa"/>
          </w:tcPr>
          <w:p w14:paraId="006DB724" w14:textId="5352A3C8" w:rsidR="00416BEF" w:rsidRDefault="00416BEF" w:rsidP="00416BEF">
            <w:r>
              <w:t>Effective from:</w:t>
            </w:r>
          </w:p>
        </w:tc>
        <w:tc>
          <w:tcPr>
            <w:tcW w:w="6376" w:type="dxa"/>
          </w:tcPr>
          <w:p w14:paraId="0C178D90" w14:textId="3EDD300F" w:rsidR="00416BEF" w:rsidRPr="00A47E1F" w:rsidRDefault="00747A82" w:rsidP="00416BEF">
            <w:r>
              <w:t>January 2025</w:t>
            </w:r>
          </w:p>
        </w:tc>
      </w:tr>
      <w:tr w:rsidR="00416BEF" w14:paraId="11AB6822" w14:textId="77777777" w:rsidTr="59095D97">
        <w:tc>
          <w:tcPr>
            <w:tcW w:w="2640" w:type="dxa"/>
          </w:tcPr>
          <w:p w14:paraId="2338319E" w14:textId="1049B664" w:rsidR="00416BEF" w:rsidRDefault="00416BEF" w:rsidP="00416BEF">
            <w:r>
              <w:t>Policy Review Date</w:t>
            </w:r>
          </w:p>
        </w:tc>
        <w:tc>
          <w:tcPr>
            <w:tcW w:w="6376" w:type="dxa"/>
          </w:tcPr>
          <w:p w14:paraId="3DD4396A" w14:textId="1410E47E" w:rsidR="00416BEF" w:rsidRPr="00A47E1F" w:rsidRDefault="10A1A9D6" w:rsidP="00416BEF">
            <w:r>
              <w:t>January</w:t>
            </w:r>
            <w:r w:rsidR="00416BEF">
              <w:t xml:space="preserve"> 202</w:t>
            </w:r>
            <w:r w:rsidR="00747A82">
              <w:t>8</w:t>
            </w:r>
          </w:p>
        </w:tc>
      </w:tr>
      <w:bookmarkEnd w:id="0"/>
    </w:tbl>
    <w:p w14:paraId="0ED5111D" w14:textId="77777777" w:rsidR="00F92C7B" w:rsidRDefault="00F92C7B" w:rsidP="00E55A6F"/>
    <w:sectPr w:rsidR="00F92C7B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3490C" w14:textId="77777777" w:rsidR="00A53B83" w:rsidRDefault="00A53B83" w:rsidP="00082635">
      <w:pPr>
        <w:spacing w:after="0" w:line="240" w:lineRule="auto"/>
      </w:pPr>
      <w:r>
        <w:separator/>
      </w:r>
    </w:p>
  </w:endnote>
  <w:endnote w:type="continuationSeparator" w:id="0">
    <w:p w14:paraId="26A62393" w14:textId="77777777" w:rsidR="00A53B83" w:rsidRDefault="00A53B83" w:rsidP="00082635">
      <w:pPr>
        <w:spacing w:after="0" w:line="240" w:lineRule="auto"/>
      </w:pPr>
      <w:r>
        <w:continuationSeparator/>
      </w:r>
    </w:p>
  </w:endnote>
  <w:endnote w:type="continuationNotice" w:id="1">
    <w:p w14:paraId="3C2F10B8" w14:textId="77777777" w:rsidR="00A53B83" w:rsidRDefault="00A53B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02555B8" w14:paraId="008DF30D" w14:textId="77777777" w:rsidTr="302555B8">
      <w:trPr>
        <w:trHeight w:val="300"/>
      </w:trPr>
      <w:tc>
        <w:tcPr>
          <w:tcW w:w="3005" w:type="dxa"/>
        </w:tcPr>
        <w:p w14:paraId="5057A052" w14:textId="400FA522" w:rsidR="302555B8" w:rsidRDefault="302555B8" w:rsidP="302555B8">
          <w:pPr>
            <w:pStyle w:val="Header"/>
            <w:ind w:left="-115"/>
          </w:pPr>
        </w:p>
      </w:tc>
      <w:tc>
        <w:tcPr>
          <w:tcW w:w="3005" w:type="dxa"/>
        </w:tcPr>
        <w:p w14:paraId="604CA60C" w14:textId="1B74C0BB" w:rsidR="302555B8" w:rsidRDefault="302555B8" w:rsidP="302555B8">
          <w:pPr>
            <w:pStyle w:val="Header"/>
            <w:jc w:val="center"/>
          </w:pPr>
        </w:p>
      </w:tc>
      <w:tc>
        <w:tcPr>
          <w:tcW w:w="3005" w:type="dxa"/>
        </w:tcPr>
        <w:p w14:paraId="7AAAB3A4" w14:textId="7221A976" w:rsidR="302555B8" w:rsidRDefault="302555B8" w:rsidP="302555B8">
          <w:pPr>
            <w:pStyle w:val="Header"/>
            <w:ind w:right="-115"/>
            <w:jc w:val="right"/>
          </w:pPr>
        </w:p>
      </w:tc>
    </w:tr>
  </w:tbl>
  <w:p w14:paraId="5AF8AE40" w14:textId="735DEB3D" w:rsidR="302555B8" w:rsidRDefault="302555B8" w:rsidP="3025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40EC60" w14:textId="77777777" w:rsidR="00A53B83" w:rsidRDefault="00A53B83" w:rsidP="00082635">
      <w:pPr>
        <w:spacing w:after="0" w:line="240" w:lineRule="auto"/>
      </w:pPr>
      <w:r>
        <w:separator/>
      </w:r>
    </w:p>
  </w:footnote>
  <w:footnote w:type="continuationSeparator" w:id="0">
    <w:p w14:paraId="26D9D9C6" w14:textId="77777777" w:rsidR="00A53B83" w:rsidRDefault="00A53B83" w:rsidP="00082635">
      <w:pPr>
        <w:spacing w:after="0" w:line="240" w:lineRule="auto"/>
      </w:pPr>
      <w:r>
        <w:continuationSeparator/>
      </w:r>
    </w:p>
  </w:footnote>
  <w:footnote w:type="continuationNotice" w:id="1">
    <w:p w14:paraId="06954980" w14:textId="77777777" w:rsidR="00A53B83" w:rsidRDefault="00A53B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D77" w14:textId="25809ACD" w:rsidR="00082635" w:rsidRDefault="00082635">
    <w:pPr>
      <w:pStyle w:val="Header"/>
    </w:pPr>
    <w:r>
      <w:rPr>
        <w:noProof/>
      </w:rPr>
      <w:drawing>
        <wp:inline distT="0" distB="0" distL="0" distR="0" wp14:anchorId="5F15A884" wp14:editId="56413D17">
          <wp:extent cx="2908300" cy="554990"/>
          <wp:effectExtent l="0" t="0" r="6350" b="0"/>
          <wp:docPr id="9467572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3B4F9FF5" wp14:editId="26F1CE35">
          <wp:extent cx="1572895" cy="841375"/>
          <wp:effectExtent l="0" t="0" r="8255" b="0"/>
          <wp:docPr id="49938555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A3F"/>
    <w:multiLevelType w:val="hybridMultilevel"/>
    <w:tmpl w:val="0C32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4E1"/>
    <w:multiLevelType w:val="hybridMultilevel"/>
    <w:tmpl w:val="D324C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73E7"/>
    <w:multiLevelType w:val="hybridMultilevel"/>
    <w:tmpl w:val="66B45F6E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3" w15:restartNumberingAfterBreak="0">
    <w:nsid w:val="0D6F0822"/>
    <w:multiLevelType w:val="hybridMultilevel"/>
    <w:tmpl w:val="6E02B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4D69"/>
    <w:multiLevelType w:val="hybridMultilevel"/>
    <w:tmpl w:val="CF72D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631"/>
    <w:multiLevelType w:val="hybridMultilevel"/>
    <w:tmpl w:val="427E2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249FD"/>
    <w:multiLevelType w:val="hybridMultilevel"/>
    <w:tmpl w:val="6442B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439E"/>
    <w:multiLevelType w:val="hybridMultilevel"/>
    <w:tmpl w:val="9014E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55B29"/>
    <w:multiLevelType w:val="hybridMultilevel"/>
    <w:tmpl w:val="1D22EDAC"/>
    <w:lvl w:ilvl="0" w:tplc="08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9" w15:restartNumberingAfterBreak="0">
    <w:nsid w:val="1F651ACB"/>
    <w:multiLevelType w:val="hybridMultilevel"/>
    <w:tmpl w:val="0A2E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808AE"/>
    <w:multiLevelType w:val="multilevel"/>
    <w:tmpl w:val="47005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6BC311A"/>
    <w:multiLevelType w:val="multilevel"/>
    <w:tmpl w:val="5582E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B75BDC"/>
    <w:multiLevelType w:val="hybridMultilevel"/>
    <w:tmpl w:val="93967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65BF7"/>
    <w:multiLevelType w:val="hybridMultilevel"/>
    <w:tmpl w:val="BE66F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91C58"/>
    <w:multiLevelType w:val="hybridMultilevel"/>
    <w:tmpl w:val="1E1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C0E8A"/>
    <w:multiLevelType w:val="hybridMultilevel"/>
    <w:tmpl w:val="E3DAD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B2C80"/>
    <w:multiLevelType w:val="hybridMultilevel"/>
    <w:tmpl w:val="D1E24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77FB"/>
    <w:multiLevelType w:val="hybridMultilevel"/>
    <w:tmpl w:val="56E62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D0EC0"/>
    <w:multiLevelType w:val="multilevel"/>
    <w:tmpl w:val="FB8A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1C7383"/>
    <w:multiLevelType w:val="hybridMultilevel"/>
    <w:tmpl w:val="69789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B24BC"/>
    <w:multiLevelType w:val="hybridMultilevel"/>
    <w:tmpl w:val="E2B86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42381"/>
    <w:multiLevelType w:val="multilevel"/>
    <w:tmpl w:val="8ED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8F5418F"/>
    <w:multiLevelType w:val="hybridMultilevel"/>
    <w:tmpl w:val="28D03698"/>
    <w:lvl w:ilvl="0" w:tplc="57FA7C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E3E29"/>
    <w:multiLevelType w:val="multilevel"/>
    <w:tmpl w:val="D62E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7415E9"/>
    <w:multiLevelType w:val="multilevel"/>
    <w:tmpl w:val="986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F60BCD2"/>
    <w:multiLevelType w:val="hybridMultilevel"/>
    <w:tmpl w:val="54D4D9F0"/>
    <w:lvl w:ilvl="0" w:tplc="4E4AF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C87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A03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C89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AE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CE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2A3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CD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949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61130"/>
    <w:multiLevelType w:val="hybridMultilevel"/>
    <w:tmpl w:val="21A6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93E29"/>
    <w:multiLevelType w:val="hybridMultilevel"/>
    <w:tmpl w:val="B414D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60611"/>
    <w:multiLevelType w:val="multilevel"/>
    <w:tmpl w:val="F3640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4921910">
    <w:abstractNumId w:val="25"/>
  </w:num>
  <w:num w:numId="2" w16cid:durableId="718356401">
    <w:abstractNumId w:val="12"/>
  </w:num>
  <w:num w:numId="3" w16cid:durableId="1193499217">
    <w:abstractNumId w:val="5"/>
  </w:num>
  <w:num w:numId="4" w16cid:durableId="1481119074">
    <w:abstractNumId w:val="6"/>
  </w:num>
  <w:num w:numId="5" w16cid:durableId="1585725535">
    <w:abstractNumId w:val="22"/>
  </w:num>
  <w:num w:numId="6" w16cid:durableId="602492333">
    <w:abstractNumId w:val="24"/>
  </w:num>
  <w:num w:numId="7" w16cid:durableId="1210337628">
    <w:abstractNumId w:val="18"/>
  </w:num>
  <w:num w:numId="8" w16cid:durableId="766192865">
    <w:abstractNumId w:val="20"/>
  </w:num>
  <w:num w:numId="9" w16cid:durableId="894510114">
    <w:abstractNumId w:val="26"/>
  </w:num>
  <w:num w:numId="10" w16cid:durableId="1426196454">
    <w:abstractNumId w:val="10"/>
  </w:num>
  <w:num w:numId="11" w16cid:durableId="658578550">
    <w:abstractNumId w:val="23"/>
  </w:num>
  <w:num w:numId="12" w16cid:durableId="1933128075">
    <w:abstractNumId w:val="21"/>
  </w:num>
  <w:num w:numId="13" w16cid:durableId="816608577">
    <w:abstractNumId w:val="1"/>
  </w:num>
  <w:num w:numId="14" w16cid:durableId="1569463882">
    <w:abstractNumId w:val="14"/>
  </w:num>
  <w:num w:numId="15" w16cid:durableId="201282633">
    <w:abstractNumId w:val="16"/>
  </w:num>
  <w:num w:numId="16" w16cid:durableId="1786925749">
    <w:abstractNumId w:val="28"/>
  </w:num>
  <w:num w:numId="17" w16cid:durableId="658577614">
    <w:abstractNumId w:val="11"/>
  </w:num>
  <w:num w:numId="18" w16cid:durableId="1477382413">
    <w:abstractNumId w:val="17"/>
  </w:num>
  <w:num w:numId="19" w16cid:durableId="2035960266">
    <w:abstractNumId w:val="4"/>
  </w:num>
  <w:num w:numId="20" w16cid:durableId="1331448806">
    <w:abstractNumId w:val="3"/>
  </w:num>
  <w:num w:numId="21" w16cid:durableId="1599680791">
    <w:abstractNumId w:val="0"/>
  </w:num>
  <w:num w:numId="22" w16cid:durableId="611787197">
    <w:abstractNumId w:val="27"/>
  </w:num>
  <w:num w:numId="23" w16cid:durableId="1486895494">
    <w:abstractNumId w:val="7"/>
  </w:num>
  <w:num w:numId="24" w16cid:durableId="1164977745">
    <w:abstractNumId w:val="9"/>
  </w:num>
  <w:num w:numId="25" w16cid:durableId="150412326">
    <w:abstractNumId w:val="2"/>
  </w:num>
  <w:num w:numId="26" w16cid:durableId="877475981">
    <w:abstractNumId w:val="13"/>
  </w:num>
  <w:num w:numId="27" w16cid:durableId="1387028249">
    <w:abstractNumId w:val="8"/>
  </w:num>
  <w:num w:numId="28" w16cid:durableId="252933516">
    <w:abstractNumId w:val="15"/>
  </w:num>
  <w:num w:numId="29" w16cid:durableId="10303019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35"/>
    <w:rsid w:val="00013EBB"/>
    <w:rsid w:val="00082635"/>
    <w:rsid w:val="000840EF"/>
    <w:rsid w:val="00167D81"/>
    <w:rsid w:val="00220748"/>
    <w:rsid w:val="00222A0D"/>
    <w:rsid w:val="00230855"/>
    <w:rsid w:val="00235CE9"/>
    <w:rsid w:val="002466B7"/>
    <w:rsid w:val="00260F83"/>
    <w:rsid w:val="00287A90"/>
    <w:rsid w:val="002A2664"/>
    <w:rsid w:val="003174C9"/>
    <w:rsid w:val="00376614"/>
    <w:rsid w:val="003C012D"/>
    <w:rsid w:val="003D61D1"/>
    <w:rsid w:val="003D7C85"/>
    <w:rsid w:val="003F5EDE"/>
    <w:rsid w:val="00412A5D"/>
    <w:rsid w:val="00416BEF"/>
    <w:rsid w:val="00467760"/>
    <w:rsid w:val="004C6311"/>
    <w:rsid w:val="00504D10"/>
    <w:rsid w:val="00527042"/>
    <w:rsid w:val="005467E7"/>
    <w:rsid w:val="00552CD8"/>
    <w:rsid w:val="005653F2"/>
    <w:rsid w:val="00581112"/>
    <w:rsid w:val="00585C42"/>
    <w:rsid w:val="00632439"/>
    <w:rsid w:val="006359C8"/>
    <w:rsid w:val="0066D150"/>
    <w:rsid w:val="00680B55"/>
    <w:rsid w:val="00707108"/>
    <w:rsid w:val="00743853"/>
    <w:rsid w:val="007455F9"/>
    <w:rsid w:val="00747A82"/>
    <w:rsid w:val="00766477"/>
    <w:rsid w:val="007C7F99"/>
    <w:rsid w:val="00800C79"/>
    <w:rsid w:val="008246DA"/>
    <w:rsid w:val="00865CD1"/>
    <w:rsid w:val="008B221A"/>
    <w:rsid w:val="008E3D3C"/>
    <w:rsid w:val="0091031E"/>
    <w:rsid w:val="0099416C"/>
    <w:rsid w:val="009E4D1D"/>
    <w:rsid w:val="00A27FC5"/>
    <w:rsid w:val="00A47E1F"/>
    <w:rsid w:val="00A53B83"/>
    <w:rsid w:val="00A62119"/>
    <w:rsid w:val="00A64BC4"/>
    <w:rsid w:val="00A66546"/>
    <w:rsid w:val="00A71B6C"/>
    <w:rsid w:val="00A75D26"/>
    <w:rsid w:val="00AA65AF"/>
    <w:rsid w:val="00AC1A0A"/>
    <w:rsid w:val="00B24B75"/>
    <w:rsid w:val="00B44AB6"/>
    <w:rsid w:val="00B466BB"/>
    <w:rsid w:val="00B61664"/>
    <w:rsid w:val="00B74AEB"/>
    <w:rsid w:val="00BC0857"/>
    <w:rsid w:val="00BC6294"/>
    <w:rsid w:val="00C03C24"/>
    <w:rsid w:val="00C316D4"/>
    <w:rsid w:val="00C40725"/>
    <w:rsid w:val="00C640A9"/>
    <w:rsid w:val="00C707E4"/>
    <w:rsid w:val="00C766DD"/>
    <w:rsid w:val="00C94A42"/>
    <w:rsid w:val="00CB2568"/>
    <w:rsid w:val="00D11E68"/>
    <w:rsid w:val="00D2490C"/>
    <w:rsid w:val="00D7057A"/>
    <w:rsid w:val="00DF681A"/>
    <w:rsid w:val="00E072AE"/>
    <w:rsid w:val="00E3216D"/>
    <w:rsid w:val="00E46F60"/>
    <w:rsid w:val="00E55A6F"/>
    <w:rsid w:val="00E57275"/>
    <w:rsid w:val="00E72557"/>
    <w:rsid w:val="00E74AC8"/>
    <w:rsid w:val="00E936A3"/>
    <w:rsid w:val="00E9706F"/>
    <w:rsid w:val="00EB2B3D"/>
    <w:rsid w:val="00F75948"/>
    <w:rsid w:val="00F92C7B"/>
    <w:rsid w:val="00FE13EE"/>
    <w:rsid w:val="00FF2F9B"/>
    <w:rsid w:val="0235067A"/>
    <w:rsid w:val="02FED0EF"/>
    <w:rsid w:val="0337689B"/>
    <w:rsid w:val="04697ED8"/>
    <w:rsid w:val="04A2783A"/>
    <w:rsid w:val="05D52197"/>
    <w:rsid w:val="06FB3AE3"/>
    <w:rsid w:val="07CD0857"/>
    <w:rsid w:val="0A43CACB"/>
    <w:rsid w:val="0A67D14F"/>
    <w:rsid w:val="0B589E4E"/>
    <w:rsid w:val="0B6D99D1"/>
    <w:rsid w:val="0D1C60BD"/>
    <w:rsid w:val="0E9D0AB0"/>
    <w:rsid w:val="0ED3F9DF"/>
    <w:rsid w:val="0EE232D6"/>
    <w:rsid w:val="0EF4D4B9"/>
    <w:rsid w:val="0F19DBFB"/>
    <w:rsid w:val="1080D803"/>
    <w:rsid w:val="10A1A9D6"/>
    <w:rsid w:val="123B23BB"/>
    <w:rsid w:val="14AFBA12"/>
    <w:rsid w:val="163A9A23"/>
    <w:rsid w:val="16DEDA0D"/>
    <w:rsid w:val="197E11C1"/>
    <w:rsid w:val="1BE37C0C"/>
    <w:rsid w:val="1C04AC58"/>
    <w:rsid w:val="1EEB895F"/>
    <w:rsid w:val="211C8997"/>
    <w:rsid w:val="214F750D"/>
    <w:rsid w:val="2A1E77DB"/>
    <w:rsid w:val="2A87990D"/>
    <w:rsid w:val="2D232563"/>
    <w:rsid w:val="2E406614"/>
    <w:rsid w:val="2E75B6F6"/>
    <w:rsid w:val="2EF8B451"/>
    <w:rsid w:val="302555B8"/>
    <w:rsid w:val="30E011F5"/>
    <w:rsid w:val="30E4B6D0"/>
    <w:rsid w:val="32D31045"/>
    <w:rsid w:val="34268E55"/>
    <w:rsid w:val="34588420"/>
    <w:rsid w:val="353C301C"/>
    <w:rsid w:val="36A4CD8E"/>
    <w:rsid w:val="390A5E22"/>
    <w:rsid w:val="3B75F00C"/>
    <w:rsid w:val="3C97430F"/>
    <w:rsid w:val="3D17BBDB"/>
    <w:rsid w:val="3E5063E6"/>
    <w:rsid w:val="3F275CDC"/>
    <w:rsid w:val="3FBAC58E"/>
    <w:rsid w:val="3FE8BACB"/>
    <w:rsid w:val="4005E4E0"/>
    <w:rsid w:val="424E7887"/>
    <w:rsid w:val="433B12BD"/>
    <w:rsid w:val="44CDD0F8"/>
    <w:rsid w:val="45AC5C1F"/>
    <w:rsid w:val="460464D8"/>
    <w:rsid w:val="4632DFF4"/>
    <w:rsid w:val="466B8ACC"/>
    <w:rsid w:val="48604F26"/>
    <w:rsid w:val="49BCF1C8"/>
    <w:rsid w:val="4D3CC424"/>
    <w:rsid w:val="4E0C5A69"/>
    <w:rsid w:val="4E1D75B5"/>
    <w:rsid w:val="4EAFA2DB"/>
    <w:rsid w:val="4F3F0A27"/>
    <w:rsid w:val="4F711AAB"/>
    <w:rsid w:val="520F6EFD"/>
    <w:rsid w:val="5354611D"/>
    <w:rsid w:val="53A5E372"/>
    <w:rsid w:val="53BC5BE7"/>
    <w:rsid w:val="58477CC9"/>
    <w:rsid w:val="5875868A"/>
    <w:rsid w:val="58D90411"/>
    <w:rsid w:val="59095D97"/>
    <w:rsid w:val="5988C539"/>
    <w:rsid w:val="59C7AB1C"/>
    <w:rsid w:val="5AF8C17A"/>
    <w:rsid w:val="5E02D46A"/>
    <w:rsid w:val="60C37C3F"/>
    <w:rsid w:val="61B47D38"/>
    <w:rsid w:val="62E82A86"/>
    <w:rsid w:val="63901F26"/>
    <w:rsid w:val="64047DC7"/>
    <w:rsid w:val="66441A36"/>
    <w:rsid w:val="678A1556"/>
    <w:rsid w:val="68078833"/>
    <w:rsid w:val="692B5799"/>
    <w:rsid w:val="6947A9FC"/>
    <w:rsid w:val="6B979B3C"/>
    <w:rsid w:val="6C80C40B"/>
    <w:rsid w:val="70081188"/>
    <w:rsid w:val="700E6762"/>
    <w:rsid w:val="724EC53C"/>
    <w:rsid w:val="725E882D"/>
    <w:rsid w:val="72EB9B1A"/>
    <w:rsid w:val="73C6FF2C"/>
    <w:rsid w:val="75B76B4E"/>
    <w:rsid w:val="760FA039"/>
    <w:rsid w:val="7946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6270"/>
  <w15:chartTrackingRefBased/>
  <w15:docId w15:val="{A0592958-E5CF-411D-ADB6-35077DF6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35"/>
  </w:style>
  <w:style w:type="paragraph" w:styleId="Footer">
    <w:name w:val="footer"/>
    <w:basedOn w:val="Normal"/>
    <w:link w:val="FooterChar"/>
    <w:uiPriority w:val="99"/>
    <w:unhideWhenUsed/>
    <w:rsid w:val="00082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35"/>
  </w:style>
  <w:style w:type="table" w:styleId="TableGrid">
    <w:name w:val="Table Grid"/>
    <w:basedOn w:val="TableNormal"/>
    <w:uiPriority w:val="39"/>
    <w:rsid w:val="00082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0725"/>
    <w:pPr>
      <w:ind w:left="720"/>
      <w:contextualSpacing/>
    </w:pPr>
  </w:style>
  <w:style w:type="paragraph" w:styleId="Revision">
    <w:name w:val="Revision"/>
    <w:hidden/>
    <w:uiPriority w:val="99"/>
    <w:semiHidden/>
    <w:rsid w:val="007455F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92C7B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B24B75"/>
  </w:style>
  <w:style w:type="character" w:customStyle="1" w:styleId="eop">
    <w:name w:val="eop"/>
    <w:basedOn w:val="DefaultParagraphFont"/>
    <w:rsid w:val="00B24B75"/>
  </w:style>
  <w:style w:type="paragraph" w:customStyle="1" w:styleId="paragraph">
    <w:name w:val="paragraph"/>
    <w:basedOn w:val="Normal"/>
    <w:rsid w:val="00B2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xxmsonormal">
    <w:name w:val="xxxmsonormal"/>
    <w:basedOn w:val="Normal"/>
    <w:rsid w:val="005467E7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47E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07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ice.org.uk/guidance/ta298" TargetMode="External"/><Relationship Id="rId18" Type="http://schemas.openxmlformats.org/officeDocument/2006/relationships/hyperlink" Target="https://www.nice.org.uk/guidance/ta67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ice.org.uk/guidance/ta800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ice.org.uk/guidance/ta283" TargetMode="External"/><Relationship Id="rId17" Type="http://schemas.openxmlformats.org/officeDocument/2006/relationships/hyperlink" Target="https://www.nice.org.uk/guidance/ta40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ice.org.uk/guidance/ta346" TargetMode="External"/><Relationship Id="rId20" Type="http://schemas.openxmlformats.org/officeDocument/2006/relationships/hyperlink" Target="https://www.nice.org.uk/guidance/ta79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ice.org.uk/guidance/ta155" TargetMode="External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yperlink" Target="https://www.nice.org.uk/guidance/ta305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nice.org.uk/guidance/ta274" TargetMode="External"/><Relationship Id="rId19" Type="http://schemas.openxmlformats.org/officeDocument/2006/relationships/hyperlink" Target="https://www.nice.org.uk/guidance/ta8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ice.org.uk/guidance/ta294" TargetMode="External"/><Relationship Id="rId22" Type="http://schemas.openxmlformats.org/officeDocument/2006/relationships/hyperlink" Target="https://www.gov.uk/drug-safety-update/brolucizumab-beovuv-risk-of-intraocular-inflammation-and-retinal-vascular-occlusion-increased-with-short-dosing-intervals?UNLID=4439326732024111213582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f3a27a0-5bd1-4826-8a06-13af7378a15a">
      <Terms xmlns="http://schemas.microsoft.com/office/infopath/2007/PartnerControls"/>
    </lcf76f155ced4ddcb4097134ff3c332f>
    <TaxCatchAll xmlns="f3067cdb-6540-48a2-9007-7587a8c1b0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4934F7B0CB64FB712635246851451" ma:contentTypeVersion="14" ma:contentTypeDescription="Create a new document." ma:contentTypeScope="" ma:versionID="c9425648ac719d32d7dec3fe6dedc87b">
  <xsd:schema xmlns:xsd="http://www.w3.org/2001/XMLSchema" xmlns:xs="http://www.w3.org/2001/XMLSchema" xmlns:p="http://schemas.microsoft.com/office/2006/metadata/properties" xmlns:ns1="http://schemas.microsoft.com/sharepoint/v3" xmlns:ns2="5f3a27a0-5bd1-4826-8a06-13af7378a15a" xmlns:ns3="f3067cdb-6540-48a2-9007-7587a8c1b009" targetNamespace="http://schemas.microsoft.com/office/2006/metadata/properties" ma:root="true" ma:fieldsID="12f5ce4f5736c4bba1e66b482f48bbfd" ns1:_="" ns2:_="" ns3:_="">
    <xsd:import namespace="http://schemas.microsoft.com/sharepoint/v3"/>
    <xsd:import namespace="5f3a27a0-5bd1-4826-8a06-13af7378a15a"/>
    <xsd:import namespace="f3067cdb-6540-48a2-9007-7587a8c1b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a27a0-5bd1-4826-8a06-13af7378a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67cdb-6540-48a2-9007-7587a8c1b00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26a901-8310-4a0f-879f-ab13f29bf486}" ma:internalName="TaxCatchAll" ma:showField="CatchAllData" ma:web="f3067cdb-6540-48a2-9007-7587a8c1b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BBECD-3A68-4C9B-A58F-0B6D7B30AB3F}">
  <ds:schemaRefs>
    <ds:schemaRef ds:uri="http://schemas.openxmlformats.org/package/2006/metadata/core-properties"/>
    <ds:schemaRef ds:uri="f6a82410-35a1-48d9-a432-e298e5b95e46"/>
    <ds:schemaRef ds:uri="http://schemas.microsoft.com/sharepoint/v3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1365388d-8e0b-4df5-a0a3-cd102b49988e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7F0D779-6919-4420-ACDD-49F56BC4054E}"/>
</file>

<file path=customXml/itemProps3.xml><?xml version="1.0" encoding="utf-8"?>
<ds:datastoreItem xmlns:ds="http://schemas.openxmlformats.org/officeDocument/2006/customXml" ds:itemID="{796607CC-166E-4EC7-B09A-01287445AE4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>North Lincolnshire Council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Ellerton</dc:creator>
  <cp:keywords/>
  <dc:description/>
  <cp:lastModifiedBy>BLACK, Rebecca (NHS HUMBER AND NORTH YORKSHIRE ICB - 02Y)</cp:lastModifiedBy>
  <cp:revision>2</cp:revision>
  <dcterms:created xsi:type="dcterms:W3CDTF">2025-03-19T15:39:00Z</dcterms:created>
  <dcterms:modified xsi:type="dcterms:W3CDTF">2025-03-19T15:39:00Z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0x0101008DC4934F7B0CB64FB712635246851451</vt:lpwstr>
  </property>
  <property fmtid="{D5CDD505-2E9C-101B-9397-08002B2CF9AE}" pid="3" name="MediaServiceImageTags">
    <vt:lpwstr/>
  </property>
  <property fmtid="{D5CDD505-2E9C-101B-9397-08002B2CF9AE}" pid="4" name="Order">
    <vt:r8>50200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TemplateUrl">
    <vt:lpwstr/>
  </property>
</Properties>
</file>