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7F658" w14:textId="51BF7241" w:rsidR="00082635" w:rsidRDefault="00082635">
      <w:pPr>
        <w:rPr>
          <w:noProof/>
        </w:rPr>
      </w:pPr>
    </w:p>
    <w:tbl>
      <w:tblPr>
        <w:tblStyle w:val="TableGrid"/>
        <w:tblW w:w="9016" w:type="dxa"/>
        <w:tblLook w:val="04A0" w:firstRow="1" w:lastRow="0" w:firstColumn="1" w:lastColumn="0" w:noHBand="0" w:noVBand="1"/>
      </w:tblPr>
      <w:tblGrid>
        <w:gridCol w:w="2505"/>
        <w:gridCol w:w="6511"/>
      </w:tblGrid>
      <w:tr w:rsidR="00082635" w14:paraId="0B1125C6" w14:textId="77777777" w:rsidTr="70446736">
        <w:tc>
          <w:tcPr>
            <w:tcW w:w="2505" w:type="dxa"/>
          </w:tcPr>
          <w:p w14:paraId="0D4A3409" w14:textId="3EA3C901" w:rsidR="00082635" w:rsidRDefault="00C40725">
            <w:bookmarkStart w:id="0" w:name="_Hlk164339182"/>
            <w:r>
              <w:t>Intervention</w:t>
            </w:r>
          </w:p>
        </w:tc>
        <w:tc>
          <w:tcPr>
            <w:tcW w:w="6511" w:type="dxa"/>
          </w:tcPr>
          <w:p w14:paraId="72BB008D" w14:textId="0FC6464C" w:rsidR="00052275" w:rsidRPr="00B95C0A" w:rsidRDefault="2A1E5FB1" w:rsidP="00403F35">
            <w:pPr>
              <w:rPr>
                <w:b/>
                <w:bCs/>
              </w:rPr>
            </w:pPr>
            <w:r w:rsidRPr="70446736">
              <w:rPr>
                <w:b/>
                <w:bCs/>
              </w:rPr>
              <w:t xml:space="preserve">088. </w:t>
            </w:r>
            <w:r w:rsidR="00B95C0A" w:rsidRPr="70446736">
              <w:rPr>
                <w:b/>
                <w:bCs/>
              </w:rPr>
              <w:t>Grommet</w:t>
            </w:r>
            <w:r w:rsidR="5F81014A" w:rsidRPr="70446736">
              <w:rPr>
                <w:b/>
                <w:bCs/>
              </w:rPr>
              <w:t xml:space="preserve"> insertion</w:t>
            </w:r>
            <w:r w:rsidR="76713A67" w:rsidRPr="70446736">
              <w:rPr>
                <w:b/>
                <w:bCs/>
              </w:rPr>
              <w:t xml:space="preserve"> in children or adults</w:t>
            </w:r>
          </w:p>
        </w:tc>
      </w:tr>
      <w:tr w:rsidR="00052275" w14:paraId="4607A061" w14:textId="77777777" w:rsidTr="70446736">
        <w:tc>
          <w:tcPr>
            <w:tcW w:w="2505" w:type="dxa"/>
          </w:tcPr>
          <w:p w14:paraId="2BE2DCD8" w14:textId="7898067F" w:rsidR="00052275" w:rsidRDefault="00052275" w:rsidP="00052275">
            <w:r>
              <w:t>For the treatment</w:t>
            </w:r>
            <w:r w:rsidR="1CBB7F5C">
              <w:t xml:space="preserve"> of</w:t>
            </w:r>
          </w:p>
        </w:tc>
        <w:tc>
          <w:tcPr>
            <w:tcW w:w="6511" w:type="dxa"/>
          </w:tcPr>
          <w:p w14:paraId="393F21FC" w14:textId="61A1839B" w:rsidR="00052275" w:rsidRPr="00B95C0A" w:rsidRDefault="00B95C0A" w:rsidP="00052275">
            <w:r>
              <w:t>Otitis media with effusion-related hearing loss</w:t>
            </w:r>
            <w:r w:rsidR="0D144FDB">
              <w:t xml:space="preserve"> (glue ear)</w:t>
            </w:r>
            <w:r w:rsidR="7DDF03FF">
              <w:t xml:space="preserve"> and other indications</w:t>
            </w:r>
          </w:p>
        </w:tc>
      </w:tr>
      <w:tr w:rsidR="00052275" w14:paraId="1062A7C2" w14:textId="77777777" w:rsidTr="70446736">
        <w:tc>
          <w:tcPr>
            <w:tcW w:w="2505" w:type="dxa"/>
          </w:tcPr>
          <w:p w14:paraId="2DA08F4B" w14:textId="11510286" w:rsidR="00052275" w:rsidRDefault="00052275" w:rsidP="00052275">
            <w:r>
              <w:t>Commissioning position</w:t>
            </w:r>
          </w:p>
        </w:tc>
        <w:tc>
          <w:tcPr>
            <w:tcW w:w="6511" w:type="dxa"/>
          </w:tcPr>
          <w:p w14:paraId="75E60398" w14:textId="3E858F45" w:rsidR="005D5CC9" w:rsidRPr="005D5CC9" w:rsidRDefault="132BDC84" w:rsidP="723E7E60">
            <w:pPr>
              <w:shd w:val="clear" w:color="auto" w:fill="FFFFFF" w:themeFill="background1"/>
              <w:jc w:val="both"/>
              <w:rPr>
                <w:rFonts w:eastAsiaTheme="minorEastAsia"/>
              </w:rPr>
            </w:pPr>
            <w:r w:rsidRPr="723E7E60">
              <w:rPr>
                <w:rFonts w:eastAsiaTheme="minorEastAsia"/>
              </w:rPr>
              <w:t>This intervention is commissioned</w:t>
            </w:r>
            <w:r w:rsidR="592C8616" w:rsidRPr="723E7E60">
              <w:rPr>
                <w:rFonts w:eastAsiaTheme="minorEastAsia"/>
              </w:rPr>
              <w:t xml:space="preserve"> in children under 12 years</w:t>
            </w:r>
            <w:r w:rsidRPr="723E7E60">
              <w:rPr>
                <w:rFonts w:eastAsiaTheme="minorEastAsia"/>
              </w:rPr>
              <w:t xml:space="preserve"> if the following criteria have been met:</w:t>
            </w:r>
          </w:p>
          <w:p w14:paraId="1424E338" w14:textId="1123141C" w:rsidR="005D5CC9" w:rsidRPr="005D5CC9" w:rsidRDefault="005D5CC9" w:rsidP="005D5CC9">
            <w:pPr>
              <w:numPr>
                <w:ilvl w:val="0"/>
                <w:numId w:val="20"/>
              </w:numPr>
              <w:jc w:val="both"/>
            </w:pPr>
            <w:r>
              <w:t xml:space="preserve">Assessment </w:t>
            </w:r>
            <w:r w:rsidR="437FE141">
              <w:t xml:space="preserve">(specialist audiology and ENT assessment, including clinical examination, a hearing test and </w:t>
            </w:r>
            <w:proofErr w:type="spellStart"/>
            <w:r w:rsidR="437FE141">
              <w:t>typanometry</w:t>
            </w:r>
            <w:proofErr w:type="spellEnd"/>
            <w:r w:rsidR="437FE141">
              <w:t xml:space="preserve">) </w:t>
            </w:r>
            <w:r>
              <w:t>and reassessment</w:t>
            </w:r>
            <w:r w:rsidR="6059674B">
              <w:t xml:space="preserve"> 3 months later</w:t>
            </w:r>
            <w:r>
              <w:t xml:space="preserve"> </w:t>
            </w:r>
            <w:r w:rsidR="3E1F2F7B">
              <w:t xml:space="preserve">(unless they are experiencing hearing difficulties that significantly affect day-to-day living, in which case earlier intervention is funded) </w:t>
            </w:r>
            <w:r>
              <w:t>indicate:</w:t>
            </w:r>
          </w:p>
          <w:p w14:paraId="662D9EB4" w14:textId="4C041616" w:rsidR="005D5CC9" w:rsidRPr="005D5CC9" w:rsidRDefault="005D5CC9" w:rsidP="005D5CC9">
            <w:pPr>
              <w:numPr>
                <w:ilvl w:val="1"/>
                <w:numId w:val="20"/>
              </w:numPr>
              <w:jc w:val="both"/>
            </w:pPr>
            <w:r>
              <w:t>Persistent bilateral otitis media with effusion</w:t>
            </w:r>
            <w:r w:rsidR="62E5CE77">
              <w:t xml:space="preserve"> </w:t>
            </w:r>
            <w:r w:rsidR="44BC2258">
              <w:t>OR</w:t>
            </w:r>
          </w:p>
          <w:p w14:paraId="7F2E448A" w14:textId="41F5925F" w:rsidR="005D5CC9" w:rsidRPr="005D5CC9" w:rsidRDefault="005D5CC9" w:rsidP="005D5CC9">
            <w:pPr>
              <w:numPr>
                <w:ilvl w:val="1"/>
                <w:numId w:val="20"/>
              </w:numPr>
              <w:jc w:val="both"/>
            </w:pPr>
            <w:r>
              <w:t xml:space="preserve">Unilateral hearing loss </w:t>
            </w:r>
            <w:r w:rsidR="2078F568">
              <w:t>(</w:t>
            </w:r>
            <w:r>
              <w:t>if hearing is impacting daily living or communication</w:t>
            </w:r>
            <w:r w:rsidR="3D6EDB6A">
              <w:t>)</w:t>
            </w:r>
            <w:r w:rsidR="0FEFD34A">
              <w:t xml:space="preserve"> AND</w:t>
            </w:r>
          </w:p>
          <w:p w14:paraId="2D086A94" w14:textId="47504363" w:rsidR="005D5CC9" w:rsidRPr="005D5CC9" w:rsidRDefault="5CD304C9" w:rsidP="005D5CC9">
            <w:pPr>
              <w:numPr>
                <w:ilvl w:val="0"/>
                <w:numId w:val="20"/>
              </w:numPr>
              <w:jc w:val="both"/>
            </w:pPr>
            <w:r>
              <w:t>A</w:t>
            </w:r>
            <w:r w:rsidR="005D5CC9">
              <w:t>dvice</w:t>
            </w:r>
            <w:r w:rsidR="479B3782">
              <w:t xml:space="preserve"> has been provided</w:t>
            </w:r>
            <w:r w:rsidR="005D5CC9">
              <w:t xml:space="preserve"> on strategies to minimise the impact of hearing loss both at home and in educational settings</w:t>
            </w:r>
            <w:r w:rsidR="319F579F">
              <w:t xml:space="preserve"> AND</w:t>
            </w:r>
          </w:p>
          <w:p w14:paraId="36ED80C4" w14:textId="1E027EB3" w:rsidR="005D5CC9" w:rsidRPr="005D5CC9" w:rsidRDefault="005D5CC9" w:rsidP="005D5CC9">
            <w:pPr>
              <w:numPr>
                <w:ilvl w:val="0"/>
                <w:numId w:val="20"/>
              </w:numPr>
              <w:jc w:val="both"/>
            </w:pPr>
            <w:r>
              <w:t>Non-surgical management has been considered, such as air or bone conduction devices and /or auto-inflation</w:t>
            </w:r>
            <w:r w:rsidR="678FCEE3">
              <w:t xml:space="preserve"> AND</w:t>
            </w:r>
          </w:p>
          <w:p w14:paraId="5071A03D" w14:textId="7BFFAB96" w:rsidR="005D5CC9" w:rsidRPr="005D5CC9" w:rsidRDefault="005D5CC9" w:rsidP="005D5CC9">
            <w:pPr>
              <w:numPr>
                <w:ilvl w:val="0"/>
                <w:numId w:val="20"/>
              </w:numPr>
              <w:jc w:val="both"/>
            </w:pPr>
            <w:r>
              <w:t>The benefits and risks of grommets</w:t>
            </w:r>
            <w:r w:rsidR="7103FEE3">
              <w:t xml:space="preserve"> (perforation of the eardrum, localised atrophy, tympanosclerosis and infection associated with grommets)</w:t>
            </w:r>
            <w:r>
              <w:t xml:space="preserve"> ha</w:t>
            </w:r>
            <w:r w:rsidR="2189FB5E">
              <w:t>ve</w:t>
            </w:r>
            <w:r>
              <w:t xml:space="preserve"> been discussed with the child and their parents and carers, and a shared decision has been made on use.</w:t>
            </w:r>
          </w:p>
          <w:p w14:paraId="3080C3BA" w14:textId="0ADC56A9" w:rsidR="005D5CC9" w:rsidRPr="005D5CC9" w:rsidRDefault="52FF56EF" w:rsidP="005D5CC9">
            <w:pPr>
              <w:numPr>
                <w:ilvl w:val="0"/>
                <w:numId w:val="20"/>
              </w:numPr>
              <w:jc w:val="both"/>
            </w:pPr>
            <w:r>
              <w:t>Adjuvant adenoidectomy</w:t>
            </w:r>
            <w:r w:rsidR="5C266056">
              <w:t xml:space="preserve"> has been considered</w:t>
            </w:r>
            <w:r w:rsidR="7D27DA81">
              <w:t xml:space="preserve"> (</w:t>
            </w:r>
            <w:r w:rsidR="003CC3E3">
              <w:t>unless assessment identifies an abnormality with the palate</w:t>
            </w:r>
            <w:r w:rsidR="7D27DA81">
              <w:t>)</w:t>
            </w:r>
          </w:p>
          <w:p w14:paraId="5B64D94F" w14:textId="1CD77264" w:rsidR="005D5CC9" w:rsidRPr="005D5CC9" w:rsidRDefault="005D5CC9" w:rsidP="723E7E60">
            <w:pPr>
              <w:jc w:val="both"/>
            </w:pPr>
          </w:p>
          <w:p w14:paraId="4BC25416" w14:textId="03BD205E" w:rsidR="005D5CC9" w:rsidRPr="005D5CC9" w:rsidRDefault="7A6EDD4A" w:rsidP="723E7E60">
            <w:pPr>
              <w:jc w:val="both"/>
            </w:pPr>
            <w:r>
              <w:t>(</w:t>
            </w:r>
            <w:r w:rsidR="2BB5CD81">
              <w:t>N</w:t>
            </w:r>
            <w:r w:rsidR="18F92D49">
              <w:t>.</w:t>
            </w:r>
            <w:r w:rsidR="2BB5CD81">
              <w:t>B</w:t>
            </w:r>
            <w:r w:rsidR="6045DD18">
              <w:t>.</w:t>
            </w:r>
            <w:r w:rsidR="2BB5CD81">
              <w:t xml:space="preserve"> </w:t>
            </w:r>
            <w:r w:rsidR="6BCE95C2">
              <w:t xml:space="preserve">It is good practice to ensure glue ear has not resolved once a date of surgery has been agreed, </w:t>
            </w:r>
            <w:r w:rsidR="4BEDB148">
              <w:t>using</w:t>
            </w:r>
            <w:r w:rsidR="6BCE95C2">
              <w:t xml:space="preserve"> tympanometry as a minimum.</w:t>
            </w:r>
            <w:r w:rsidR="1959F511">
              <w:t>)</w:t>
            </w:r>
          </w:p>
          <w:p w14:paraId="682FC5FD" w14:textId="7AA93DF5" w:rsidR="005D5CC9" w:rsidRPr="005D5CC9" w:rsidRDefault="005D5CC9" w:rsidP="723E7E60">
            <w:pPr>
              <w:jc w:val="both"/>
            </w:pPr>
          </w:p>
          <w:p w14:paraId="7369321E" w14:textId="41A324B9" w:rsidR="005D5CC9" w:rsidRPr="005D5CC9" w:rsidRDefault="4E2215FE" w:rsidP="723E7E60">
            <w:pPr>
              <w:jc w:val="both"/>
            </w:pPr>
            <w:r>
              <w:t>OR</w:t>
            </w:r>
          </w:p>
          <w:p w14:paraId="3A11931A" w14:textId="1602C4ED" w:rsidR="005D5CC9" w:rsidRPr="005D5CC9" w:rsidRDefault="005D5CC9" w:rsidP="723E7E60">
            <w:pPr>
              <w:jc w:val="both"/>
            </w:pPr>
          </w:p>
          <w:p w14:paraId="62D497BC" w14:textId="1EA47089" w:rsidR="005D5CC9" w:rsidRPr="005D5CC9" w:rsidRDefault="1690D9A3" w:rsidP="723E7E60">
            <w:pPr>
              <w:pStyle w:val="ListParagraph"/>
              <w:numPr>
                <w:ilvl w:val="0"/>
                <w:numId w:val="20"/>
              </w:numPr>
              <w:jc w:val="both"/>
            </w:pPr>
            <w:r>
              <w:t>C</w:t>
            </w:r>
            <w:r w:rsidR="005D5CC9">
              <w:t>hildren</w:t>
            </w:r>
            <w:r>
              <w:t xml:space="preserve"> who</w:t>
            </w:r>
            <w:r w:rsidR="005D5CC9">
              <w:t xml:space="preserve"> cannot undergo standard hearing assessments</w:t>
            </w:r>
            <w:r w:rsidR="431FA610">
              <w:t>,</w:t>
            </w:r>
            <w:r w:rsidR="005D5CC9">
              <w:t xml:space="preserve"> where there is clinical and </w:t>
            </w:r>
            <w:proofErr w:type="spellStart"/>
            <w:r w:rsidR="005D5CC9">
              <w:t>tympanographic</w:t>
            </w:r>
            <w:proofErr w:type="spellEnd"/>
            <w:r w:rsidR="005D5CC9">
              <w:t xml:space="preserve"> evidence of persistent glue ear, and where the impact of the hearing loss on a child’s developmental, social or educational status is judged to be significant</w:t>
            </w:r>
          </w:p>
          <w:p w14:paraId="353C1037" w14:textId="376F45C3" w:rsidR="005D5CC9" w:rsidRPr="005D5CC9" w:rsidRDefault="60373D3C" w:rsidP="723E7E60">
            <w:pPr>
              <w:jc w:val="both"/>
            </w:pPr>
            <w:r>
              <w:t>OR</w:t>
            </w:r>
          </w:p>
          <w:p w14:paraId="321D377A" w14:textId="6AFECCB1" w:rsidR="005D5CC9" w:rsidRPr="005D5CC9" w:rsidRDefault="60373D3C" w:rsidP="723E7E60">
            <w:pPr>
              <w:pStyle w:val="ListParagraph"/>
              <w:numPr>
                <w:ilvl w:val="0"/>
                <w:numId w:val="20"/>
              </w:numPr>
              <w:jc w:val="both"/>
            </w:pPr>
            <w:r>
              <w:t>C</w:t>
            </w:r>
            <w:r w:rsidR="005D5CC9">
              <w:t xml:space="preserve">hildren with Down’s Syndrome and cleft palate, </w:t>
            </w:r>
            <w:r w:rsidR="0A825451">
              <w:t>who</w:t>
            </w:r>
            <w:r w:rsidR="005D5CC9">
              <w:t xml:space="preserve"> may be offered grommets after a specialist MDT assessment in line with NICE guidance.</w:t>
            </w:r>
          </w:p>
          <w:p w14:paraId="0CBDD1D3" w14:textId="58DF4CE0" w:rsidR="4BC1EF8D" w:rsidRDefault="4BC1EF8D" w:rsidP="723E7E60">
            <w:pPr>
              <w:ind w:left="720"/>
              <w:jc w:val="both"/>
            </w:pPr>
          </w:p>
          <w:p w14:paraId="6CFA102C" w14:textId="6EC93BF1" w:rsidR="00052275" w:rsidRPr="00E3216D" w:rsidRDefault="3416A19F" w:rsidP="723E7E60">
            <w:pPr>
              <w:jc w:val="both"/>
            </w:pPr>
            <w:r>
              <w:t xml:space="preserve">This intervention is also commissioned </w:t>
            </w:r>
            <w:r w:rsidR="107A70BC">
              <w:t xml:space="preserve">in adults or children </w:t>
            </w:r>
            <w:r>
              <w:t xml:space="preserve">for: </w:t>
            </w:r>
          </w:p>
          <w:p w14:paraId="4BB8DA8A" w14:textId="5A47744A" w:rsidR="00052275" w:rsidRPr="00E3216D" w:rsidRDefault="178FC1FC" w:rsidP="723E7E60">
            <w:pPr>
              <w:pStyle w:val="ListParagraph"/>
              <w:numPr>
                <w:ilvl w:val="0"/>
                <w:numId w:val="1"/>
              </w:numPr>
              <w:jc w:val="both"/>
            </w:pPr>
            <w:r>
              <w:t>Recurrent acute otitis media</w:t>
            </w:r>
          </w:p>
          <w:p w14:paraId="623B2E73" w14:textId="35F06D4C" w:rsidR="00052275" w:rsidRPr="00E3216D" w:rsidRDefault="178FC1FC" w:rsidP="723E7E60">
            <w:pPr>
              <w:pStyle w:val="ListParagraph"/>
              <w:numPr>
                <w:ilvl w:val="0"/>
                <w:numId w:val="1"/>
              </w:numPr>
              <w:jc w:val="both"/>
            </w:pPr>
            <w:r>
              <w:t>Atrophic tympanic membranes</w:t>
            </w:r>
          </w:p>
          <w:p w14:paraId="764BC501" w14:textId="78FCB270" w:rsidR="00052275" w:rsidRPr="00E3216D" w:rsidRDefault="178FC1FC" w:rsidP="723E7E60">
            <w:pPr>
              <w:pStyle w:val="ListParagraph"/>
              <w:numPr>
                <w:ilvl w:val="0"/>
                <w:numId w:val="1"/>
              </w:numPr>
              <w:jc w:val="both"/>
            </w:pPr>
            <w:r>
              <w:t xml:space="preserve">Access to middle ear for </w:t>
            </w:r>
            <w:proofErr w:type="spellStart"/>
            <w:r>
              <w:t>trans</w:t>
            </w:r>
            <w:r w:rsidR="37D32BB7">
              <w:t>t</w:t>
            </w:r>
            <w:r>
              <w:t>ympanic</w:t>
            </w:r>
            <w:proofErr w:type="spellEnd"/>
            <w:r>
              <w:t xml:space="preserve"> instillation of medication</w:t>
            </w:r>
          </w:p>
          <w:p w14:paraId="33EB4D68" w14:textId="3EA2BE4E" w:rsidR="04401F5D" w:rsidRDefault="04401F5D" w:rsidP="04401F5D">
            <w:pPr>
              <w:jc w:val="both"/>
            </w:pPr>
          </w:p>
          <w:p w14:paraId="6D7C13D2" w14:textId="75A027DA" w:rsidR="00052275" w:rsidRPr="00E3216D" w:rsidRDefault="249AB730" w:rsidP="723E7E60">
            <w:pPr>
              <w:jc w:val="both"/>
            </w:pPr>
            <w:r>
              <w:lastRenderedPageBreak/>
              <w:t>This intervention is also commissioned in adults or children over 12 years of age for:</w:t>
            </w:r>
          </w:p>
          <w:p w14:paraId="03A5F2DD" w14:textId="56965CA0" w:rsidR="00052275" w:rsidRPr="00E3216D" w:rsidRDefault="178FC1FC" w:rsidP="723E7E60">
            <w:pPr>
              <w:pStyle w:val="ListParagraph"/>
              <w:numPr>
                <w:ilvl w:val="0"/>
                <w:numId w:val="1"/>
              </w:numPr>
              <w:jc w:val="both"/>
            </w:pPr>
            <w:r>
              <w:t>Investigation of unilateral glue ear</w:t>
            </w:r>
          </w:p>
        </w:tc>
      </w:tr>
      <w:tr w:rsidR="00052275" w14:paraId="3FEC9845" w14:textId="77777777" w:rsidTr="70446736">
        <w:tc>
          <w:tcPr>
            <w:tcW w:w="2505" w:type="dxa"/>
          </w:tcPr>
          <w:p w14:paraId="33CA7C0B" w14:textId="6155D067" w:rsidR="00052275" w:rsidRDefault="057AEC1D" w:rsidP="00052275">
            <w:r>
              <w:lastRenderedPageBreak/>
              <w:t>S</w:t>
            </w:r>
            <w:r w:rsidR="00052275">
              <w:t>ummary of Rationale</w:t>
            </w:r>
          </w:p>
        </w:tc>
        <w:tc>
          <w:tcPr>
            <w:tcW w:w="6511" w:type="dxa"/>
          </w:tcPr>
          <w:p w14:paraId="52DDE46C" w14:textId="692F90E3" w:rsidR="00052275" w:rsidRDefault="71DCA4FD" w:rsidP="00052275">
            <w:r>
              <w:t>Reduced hearing levels, even for only short periods of time, can significantly impact a child's development. There is very low-quality evidence that early grommet insertion leads to improved final hearing thresholds in the short term when compared with monitoring and support. However, adverse events because of grommet insertion, such as ear drum perforation and otorrhoea, could result in later complications such as impacting the child's development. Therefore, it is important to weigh up the potential benefits of grommet insertion against the risk of these events.</w:t>
            </w:r>
            <w:r w:rsidR="70943CFB">
              <w:t xml:space="preserve"> Where OME is not having an impact on the child's hearing, there is no urgent need to consider surgery, regardless of whether the OME is persistent or transient, </w:t>
            </w:r>
            <w:proofErr w:type="gramStart"/>
            <w:r w:rsidR="70943CFB">
              <w:t>in light of</w:t>
            </w:r>
            <w:proofErr w:type="gramEnd"/>
            <w:r w:rsidR="70943CFB">
              <w:t xml:space="preserve"> the risks associated with grommet insertion. Therefore, grommet insertion for children without hearing loss is not recommended.</w:t>
            </w:r>
          </w:p>
          <w:p w14:paraId="5FD06A0E" w14:textId="644102CD" w:rsidR="00052275" w:rsidRDefault="00052275" w:rsidP="00052275"/>
          <w:p w14:paraId="7A057F2B" w14:textId="484739C5" w:rsidR="00052275" w:rsidRDefault="1BB911AF" w:rsidP="00052275">
            <w:r>
              <w:t xml:space="preserve">There is some evidence that adenoidectomy with or without unilateral or bilateral grommets reduces the presence or persistence of OME. If someone is already having general anaesthesia for grommets, the added risk of doing adenoidectomy at the same time is likely to be very small. </w:t>
            </w:r>
            <w:r w:rsidR="096A586E">
              <w:t>However, adenoidectomy is likely to lead to velopharyngeal insufficiency or nasal regurgitation in children with an abnormality of the palate, so is not appropriate for this group</w:t>
            </w:r>
          </w:p>
        </w:tc>
      </w:tr>
      <w:tr w:rsidR="00052275" w14:paraId="7DF6CEF0" w14:textId="77777777" w:rsidTr="70446736">
        <w:tc>
          <w:tcPr>
            <w:tcW w:w="2505" w:type="dxa"/>
          </w:tcPr>
          <w:p w14:paraId="729A6E73" w14:textId="12624488" w:rsidR="00052275" w:rsidRDefault="00052275" w:rsidP="00052275">
            <w:r>
              <w:t>References</w:t>
            </w:r>
          </w:p>
        </w:tc>
        <w:tc>
          <w:tcPr>
            <w:tcW w:w="6511" w:type="dxa"/>
          </w:tcPr>
          <w:p w14:paraId="7388DF79" w14:textId="18E858AB" w:rsidR="005D5CC9" w:rsidRPr="00B95C0A" w:rsidRDefault="0CAA92E3" w:rsidP="723E7E60">
            <w:pPr>
              <w:spacing w:line="278" w:lineRule="auto"/>
              <w:rPr>
                <w:rFonts w:ascii="Calibri" w:eastAsia="Calibri" w:hAnsi="Calibri" w:cs="Calibri"/>
              </w:rPr>
            </w:pPr>
            <w:hyperlink r:id="rId10">
              <w:r w:rsidRPr="723E7E60">
                <w:rPr>
                  <w:rStyle w:val="Hyperlink"/>
                  <w:rFonts w:ascii="Calibri" w:eastAsia="Calibri" w:hAnsi="Calibri" w:cs="Calibri"/>
                </w:rPr>
                <w:t>NG233 Otitis media with effusion in under 12s (NICE)</w:t>
              </w:r>
            </w:hyperlink>
          </w:p>
          <w:p w14:paraId="298C1462" w14:textId="12142A73" w:rsidR="005D5CC9" w:rsidRPr="00B95C0A" w:rsidRDefault="448C4DF7" w:rsidP="723E7E60">
            <w:pPr>
              <w:spacing w:line="278" w:lineRule="auto"/>
              <w:rPr>
                <w:rFonts w:ascii="Calibri" w:eastAsia="Calibri" w:hAnsi="Calibri" w:cs="Calibri"/>
              </w:rPr>
            </w:pPr>
            <w:hyperlink r:id="rId11">
              <w:r w:rsidRPr="0A358AAE">
                <w:rPr>
                  <w:rStyle w:val="Hyperlink"/>
                  <w:rFonts w:ascii="Calibri" w:eastAsia="Calibri" w:hAnsi="Calibri" w:cs="Calibri"/>
                </w:rPr>
                <w:t>EBI Grommets for glue ear in children (AOMRC)</w:t>
              </w:r>
            </w:hyperlink>
          </w:p>
        </w:tc>
      </w:tr>
      <w:tr w:rsidR="00052275" w14:paraId="7E9E8A9A" w14:textId="77777777" w:rsidTr="70446736">
        <w:tc>
          <w:tcPr>
            <w:tcW w:w="2505" w:type="dxa"/>
          </w:tcPr>
          <w:p w14:paraId="006DB724" w14:textId="5352A3C8" w:rsidR="00052275" w:rsidRDefault="00052275" w:rsidP="00052275">
            <w:r>
              <w:t>Effective from:</w:t>
            </w:r>
          </w:p>
        </w:tc>
        <w:tc>
          <w:tcPr>
            <w:tcW w:w="6511" w:type="dxa"/>
          </w:tcPr>
          <w:p w14:paraId="0C178D90" w14:textId="490E9C0A" w:rsidR="00052275" w:rsidRDefault="181BF976" w:rsidP="00052275">
            <w:r>
              <w:t>January 2025</w:t>
            </w:r>
          </w:p>
        </w:tc>
      </w:tr>
      <w:tr w:rsidR="00052275" w14:paraId="11AB6822" w14:textId="77777777" w:rsidTr="70446736">
        <w:tc>
          <w:tcPr>
            <w:tcW w:w="2505" w:type="dxa"/>
          </w:tcPr>
          <w:p w14:paraId="2338319E" w14:textId="1049B664" w:rsidR="00052275" w:rsidRDefault="00052275" w:rsidP="00052275">
            <w:r>
              <w:t>Policy Review Date</w:t>
            </w:r>
          </w:p>
        </w:tc>
        <w:tc>
          <w:tcPr>
            <w:tcW w:w="6511" w:type="dxa"/>
          </w:tcPr>
          <w:p w14:paraId="3DD4396A" w14:textId="117A51A3" w:rsidR="00052275" w:rsidRDefault="740ED2B8" w:rsidP="723E7E60">
            <w:r>
              <w:t>January 2028</w:t>
            </w:r>
          </w:p>
        </w:tc>
      </w:tr>
      <w:bookmarkEnd w:id="0"/>
    </w:tbl>
    <w:p w14:paraId="0ED5111D" w14:textId="58392E5E" w:rsidR="00F92C7B" w:rsidRDefault="00F92C7B" w:rsidP="000B14ED"/>
    <w:sectPr w:rsidR="00F92C7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B3FD9" w14:textId="77777777" w:rsidR="00141013" w:rsidRDefault="00141013" w:rsidP="00082635">
      <w:pPr>
        <w:spacing w:after="0" w:line="240" w:lineRule="auto"/>
      </w:pPr>
      <w:r>
        <w:separator/>
      </w:r>
    </w:p>
  </w:endnote>
  <w:endnote w:type="continuationSeparator" w:id="0">
    <w:p w14:paraId="15969DC4" w14:textId="77777777" w:rsidR="00141013" w:rsidRDefault="00141013" w:rsidP="00082635">
      <w:pPr>
        <w:spacing w:after="0" w:line="240" w:lineRule="auto"/>
      </w:pPr>
      <w:r>
        <w:continuationSeparator/>
      </w:r>
    </w:p>
  </w:endnote>
  <w:endnote w:type="continuationNotice" w:id="1">
    <w:p w14:paraId="0467844B" w14:textId="77777777" w:rsidR="00141013" w:rsidRDefault="00141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A82CA" w14:textId="77777777" w:rsidR="00E437D3" w:rsidRDefault="00E43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828C" w14:textId="672A2606" w:rsidR="00E437D3" w:rsidRDefault="00E437D3">
    <w:pPr>
      <w:pStyle w:val="Footer"/>
    </w:pPr>
    <w:r>
      <w:t xml:space="preserve">AES 26.9.24 VERSION 1 </w:t>
    </w:r>
  </w:p>
  <w:p w14:paraId="38324AE6" w14:textId="77777777" w:rsidR="00E437D3" w:rsidRDefault="00E437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1BABB" w14:textId="77777777" w:rsidR="00E437D3" w:rsidRDefault="00E43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B34DE" w14:textId="77777777" w:rsidR="00141013" w:rsidRDefault="00141013" w:rsidP="00082635">
      <w:pPr>
        <w:spacing w:after="0" w:line="240" w:lineRule="auto"/>
      </w:pPr>
      <w:r>
        <w:separator/>
      </w:r>
    </w:p>
  </w:footnote>
  <w:footnote w:type="continuationSeparator" w:id="0">
    <w:p w14:paraId="1F3156A9" w14:textId="77777777" w:rsidR="00141013" w:rsidRDefault="00141013" w:rsidP="00082635">
      <w:pPr>
        <w:spacing w:after="0" w:line="240" w:lineRule="auto"/>
      </w:pPr>
      <w:r>
        <w:continuationSeparator/>
      </w:r>
    </w:p>
  </w:footnote>
  <w:footnote w:type="continuationNotice" w:id="1">
    <w:p w14:paraId="3319B9CB" w14:textId="77777777" w:rsidR="00141013" w:rsidRDefault="001410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C2E8" w14:textId="77777777" w:rsidR="00E437D3" w:rsidRDefault="00E43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F6D77" w14:textId="25809ACD" w:rsidR="00082635" w:rsidRDefault="00082635">
    <w:pPr>
      <w:pStyle w:val="Header"/>
    </w:pPr>
    <w:r>
      <w:rPr>
        <w:noProof/>
      </w:rPr>
      <w:drawing>
        <wp:inline distT="0" distB="0" distL="0" distR="0" wp14:anchorId="5F15A884" wp14:editId="56413D17">
          <wp:extent cx="2908300" cy="554990"/>
          <wp:effectExtent l="0" t="0" r="6350" b="0"/>
          <wp:docPr id="946757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inline>
      </w:drawing>
    </w:r>
    <w:r>
      <w:tab/>
    </w:r>
    <w:r>
      <w:rPr>
        <w:noProof/>
      </w:rPr>
      <w:drawing>
        <wp:inline distT="0" distB="0" distL="0" distR="0" wp14:anchorId="3B4F9FF5" wp14:editId="26F1CE35">
          <wp:extent cx="1572895" cy="841375"/>
          <wp:effectExtent l="0" t="0" r="8255" b="0"/>
          <wp:docPr id="4993855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2895" cy="8413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D4038" w14:textId="77777777" w:rsidR="00E437D3" w:rsidRDefault="00E43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22908"/>
    <w:multiLevelType w:val="hybridMultilevel"/>
    <w:tmpl w:val="6E4CEB88"/>
    <w:lvl w:ilvl="0" w:tplc="60DA0BEA">
      <w:start w:val="1"/>
      <w:numFmt w:val="bullet"/>
      <w:lvlText w:val=""/>
      <w:lvlJc w:val="left"/>
      <w:pPr>
        <w:ind w:left="720" w:hanging="360"/>
      </w:pPr>
      <w:rPr>
        <w:rFonts w:ascii="Symbol" w:hAnsi="Symbol" w:hint="default"/>
      </w:rPr>
    </w:lvl>
    <w:lvl w:ilvl="1" w:tplc="546667A8">
      <w:start w:val="1"/>
      <w:numFmt w:val="bullet"/>
      <w:lvlText w:val="o"/>
      <w:lvlJc w:val="left"/>
      <w:pPr>
        <w:ind w:left="1440" w:hanging="360"/>
      </w:pPr>
      <w:rPr>
        <w:rFonts w:ascii="Courier New" w:hAnsi="Courier New" w:hint="default"/>
      </w:rPr>
    </w:lvl>
    <w:lvl w:ilvl="2" w:tplc="24F29DD4">
      <w:start w:val="1"/>
      <w:numFmt w:val="bullet"/>
      <w:lvlText w:val=""/>
      <w:lvlJc w:val="left"/>
      <w:pPr>
        <w:ind w:left="2160" w:hanging="360"/>
      </w:pPr>
      <w:rPr>
        <w:rFonts w:ascii="Wingdings" w:hAnsi="Wingdings" w:hint="default"/>
      </w:rPr>
    </w:lvl>
    <w:lvl w:ilvl="3" w:tplc="6D60980A">
      <w:start w:val="1"/>
      <w:numFmt w:val="bullet"/>
      <w:lvlText w:val=""/>
      <w:lvlJc w:val="left"/>
      <w:pPr>
        <w:ind w:left="2880" w:hanging="360"/>
      </w:pPr>
      <w:rPr>
        <w:rFonts w:ascii="Symbol" w:hAnsi="Symbol" w:hint="default"/>
      </w:rPr>
    </w:lvl>
    <w:lvl w:ilvl="4" w:tplc="42A8874C">
      <w:start w:val="1"/>
      <w:numFmt w:val="bullet"/>
      <w:lvlText w:val="o"/>
      <w:lvlJc w:val="left"/>
      <w:pPr>
        <w:ind w:left="3600" w:hanging="360"/>
      </w:pPr>
      <w:rPr>
        <w:rFonts w:ascii="Courier New" w:hAnsi="Courier New" w:hint="default"/>
      </w:rPr>
    </w:lvl>
    <w:lvl w:ilvl="5" w:tplc="EF22A714">
      <w:start w:val="1"/>
      <w:numFmt w:val="bullet"/>
      <w:lvlText w:val=""/>
      <w:lvlJc w:val="left"/>
      <w:pPr>
        <w:ind w:left="4320" w:hanging="360"/>
      </w:pPr>
      <w:rPr>
        <w:rFonts w:ascii="Wingdings" w:hAnsi="Wingdings" w:hint="default"/>
      </w:rPr>
    </w:lvl>
    <w:lvl w:ilvl="6" w:tplc="4BCE7C02">
      <w:start w:val="1"/>
      <w:numFmt w:val="bullet"/>
      <w:lvlText w:val=""/>
      <w:lvlJc w:val="left"/>
      <w:pPr>
        <w:ind w:left="5040" w:hanging="360"/>
      </w:pPr>
      <w:rPr>
        <w:rFonts w:ascii="Symbol" w:hAnsi="Symbol" w:hint="default"/>
      </w:rPr>
    </w:lvl>
    <w:lvl w:ilvl="7" w:tplc="E1340B12">
      <w:start w:val="1"/>
      <w:numFmt w:val="bullet"/>
      <w:lvlText w:val="o"/>
      <w:lvlJc w:val="left"/>
      <w:pPr>
        <w:ind w:left="5760" w:hanging="360"/>
      </w:pPr>
      <w:rPr>
        <w:rFonts w:ascii="Courier New" w:hAnsi="Courier New" w:hint="default"/>
      </w:rPr>
    </w:lvl>
    <w:lvl w:ilvl="8" w:tplc="3326B1A6">
      <w:start w:val="1"/>
      <w:numFmt w:val="bullet"/>
      <w:lvlText w:val=""/>
      <w:lvlJc w:val="left"/>
      <w:pPr>
        <w:ind w:left="6480" w:hanging="360"/>
      </w:pPr>
      <w:rPr>
        <w:rFonts w:ascii="Wingdings" w:hAnsi="Wingdings" w:hint="default"/>
      </w:rPr>
    </w:lvl>
  </w:abstractNum>
  <w:abstractNum w:abstractNumId="1" w15:restartNumberingAfterBreak="0">
    <w:nsid w:val="148C6631"/>
    <w:multiLevelType w:val="hybridMultilevel"/>
    <w:tmpl w:val="427E2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1249FD"/>
    <w:multiLevelType w:val="hybridMultilevel"/>
    <w:tmpl w:val="6442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92663"/>
    <w:multiLevelType w:val="hybridMultilevel"/>
    <w:tmpl w:val="219848EE"/>
    <w:lvl w:ilvl="0" w:tplc="9C4A4E9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B3A2F"/>
    <w:multiLevelType w:val="hybridMultilevel"/>
    <w:tmpl w:val="E296591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EB5BC1"/>
    <w:multiLevelType w:val="multilevel"/>
    <w:tmpl w:val="68BE9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F3660"/>
    <w:multiLevelType w:val="hybridMultilevel"/>
    <w:tmpl w:val="7224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75BDC"/>
    <w:multiLevelType w:val="hybridMultilevel"/>
    <w:tmpl w:val="9396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FD031"/>
    <w:multiLevelType w:val="hybridMultilevel"/>
    <w:tmpl w:val="910859D0"/>
    <w:lvl w:ilvl="0" w:tplc="FADC7630">
      <w:start w:val="1"/>
      <w:numFmt w:val="bullet"/>
      <w:lvlText w:val=""/>
      <w:lvlJc w:val="left"/>
      <w:pPr>
        <w:ind w:left="720" w:hanging="360"/>
      </w:pPr>
      <w:rPr>
        <w:rFonts w:ascii="Symbol" w:hAnsi="Symbol" w:hint="default"/>
      </w:rPr>
    </w:lvl>
    <w:lvl w:ilvl="1" w:tplc="A4C80916">
      <w:start w:val="1"/>
      <w:numFmt w:val="bullet"/>
      <w:lvlText w:val="o"/>
      <w:lvlJc w:val="left"/>
      <w:pPr>
        <w:ind w:left="1440" w:hanging="360"/>
      </w:pPr>
      <w:rPr>
        <w:rFonts w:ascii="Courier New" w:hAnsi="Courier New" w:hint="default"/>
      </w:rPr>
    </w:lvl>
    <w:lvl w:ilvl="2" w:tplc="E774D7A0">
      <w:start w:val="1"/>
      <w:numFmt w:val="bullet"/>
      <w:lvlText w:val=""/>
      <w:lvlJc w:val="left"/>
      <w:pPr>
        <w:ind w:left="2160" w:hanging="360"/>
      </w:pPr>
      <w:rPr>
        <w:rFonts w:ascii="Wingdings" w:hAnsi="Wingdings" w:hint="default"/>
      </w:rPr>
    </w:lvl>
    <w:lvl w:ilvl="3" w:tplc="B602F600">
      <w:start w:val="1"/>
      <w:numFmt w:val="bullet"/>
      <w:lvlText w:val=""/>
      <w:lvlJc w:val="left"/>
      <w:pPr>
        <w:ind w:left="2880" w:hanging="360"/>
      </w:pPr>
      <w:rPr>
        <w:rFonts w:ascii="Symbol" w:hAnsi="Symbol" w:hint="default"/>
      </w:rPr>
    </w:lvl>
    <w:lvl w:ilvl="4" w:tplc="F74CCDF2">
      <w:start w:val="1"/>
      <w:numFmt w:val="bullet"/>
      <w:lvlText w:val="o"/>
      <w:lvlJc w:val="left"/>
      <w:pPr>
        <w:ind w:left="3600" w:hanging="360"/>
      </w:pPr>
      <w:rPr>
        <w:rFonts w:ascii="Courier New" w:hAnsi="Courier New" w:hint="default"/>
      </w:rPr>
    </w:lvl>
    <w:lvl w:ilvl="5" w:tplc="69D2F58A">
      <w:start w:val="1"/>
      <w:numFmt w:val="bullet"/>
      <w:lvlText w:val=""/>
      <w:lvlJc w:val="left"/>
      <w:pPr>
        <w:ind w:left="4320" w:hanging="360"/>
      </w:pPr>
      <w:rPr>
        <w:rFonts w:ascii="Wingdings" w:hAnsi="Wingdings" w:hint="default"/>
      </w:rPr>
    </w:lvl>
    <w:lvl w:ilvl="6" w:tplc="629204FA">
      <w:start w:val="1"/>
      <w:numFmt w:val="bullet"/>
      <w:lvlText w:val=""/>
      <w:lvlJc w:val="left"/>
      <w:pPr>
        <w:ind w:left="5040" w:hanging="360"/>
      </w:pPr>
      <w:rPr>
        <w:rFonts w:ascii="Symbol" w:hAnsi="Symbol" w:hint="default"/>
      </w:rPr>
    </w:lvl>
    <w:lvl w:ilvl="7" w:tplc="3A92597A">
      <w:start w:val="1"/>
      <w:numFmt w:val="bullet"/>
      <w:lvlText w:val="o"/>
      <w:lvlJc w:val="left"/>
      <w:pPr>
        <w:ind w:left="5760" w:hanging="360"/>
      </w:pPr>
      <w:rPr>
        <w:rFonts w:ascii="Courier New" w:hAnsi="Courier New" w:hint="default"/>
      </w:rPr>
    </w:lvl>
    <w:lvl w:ilvl="8" w:tplc="1CE83EAC">
      <w:start w:val="1"/>
      <w:numFmt w:val="bullet"/>
      <w:lvlText w:val=""/>
      <w:lvlJc w:val="left"/>
      <w:pPr>
        <w:ind w:left="6480" w:hanging="360"/>
      </w:pPr>
      <w:rPr>
        <w:rFonts w:ascii="Wingdings" w:hAnsi="Wingdings" w:hint="default"/>
      </w:rPr>
    </w:lvl>
  </w:abstractNum>
  <w:abstractNum w:abstractNumId="9" w15:restartNumberingAfterBreak="0">
    <w:nsid w:val="327D1A6B"/>
    <w:multiLevelType w:val="hybridMultilevel"/>
    <w:tmpl w:val="A0E629D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8661D1"/>
    <w:multiLevelType w:val="hybridMultilevel"/>
    <w:tmpl w:val="D2D0040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94E34BD"/>
    <w:multiLevelType w:val="hybridMultilevel"/>
    <w:tmpl w:val="DC22A7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A5939F2"/>
    <w:multiLevelType w:val="multilevel"/>
    <w:tmpl w:val="64D4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8D47A1"/>
    <w:multiLevelType w:val="hybridMultilevel"/>
    <w:tmpl w:val="2C4A6624"/>
    <w:lvl w:ilvl="0" w:tplc="0A883D4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AF7A1A"/>
    <w:multiLevelType w:val="hybridMultilevel"/>
    <w:tmpl w:val="F446C3C2"/>
    <w:lvl w:ilvl="0" w:tplc="DAA2350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6BD29FC"/>
    <w:multiLevelType w:val="multilevel"/>
    <w:tmpl w:val="B3C8B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F5418F"/>
    <w:multiLevelType w:val="hybridMultilevel"/>
    <w:tmpl w:val="28D03698"/>
    <w:lvl w:ilvl="0" w:tplc="57FA7C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EB1710"/>
    <w:multiLevelType w:val="hybridMultilevel"/>
    <w:tmpl w:val="6B9CC2E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0D5694F"/>
    <w:multiLevelType w:val="hybridMultilevel"/>
    <w:tmpl w:val="2164641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78B6B89"/>
    <w:multiLevelType w:val="hybridMultilevel"/>
    <w:tmpl w:val="856614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90214015">
    <w:abstractNumId w:val="8"/>
  </w:num>
  <w:num w:numId="2" w16cid:durableId="1653098019">
    <w:abstractNumId w:val="0"/>
  </w:num>
  <w:num w:numId="3" w16cid:durableId="718356401">
    <w:abstractNumId w:val="7"/>
  </w:num>
  <w:num w:numId="4" w16cid:durableId="1193499217">
    <w:abstractNumId w:val="1"/>
  </w:num>
  <w:num w:numId="5" w16cid:durableId="1481119074">
    <w:abstractNumId w:val="2"/>
  </w:num>
  <w:num w:numId="6" w16cid:durableId="1585725535">
    <w:abstractNumId w:val="16"/>
  </w:num>
  <w:num w:numId="7" w16cid:durableId="1686781628">
    <w:abstractNumId w:val="10"/>
  </w:num>
  <w:num w:numId="8" w16cid:durableId="1607155194">
    <w:abstractNumId w:val="14"/>
  </w:num>
  <w:num w:numId="9" w16cid:durableId="243076364">
    <w:abstractNumId w:val="11"/>
  </w:num>
  <w:num w:numId="10" w16cid:durableId="989139539">
    <w:abstractNumId w:val="6"/>
  </w:num>
  <w:num w:numId="11" w16cid:durableId="2073039567">
    <w:abstractNumId w:val="17"/>
  </w:num>
  <w:num w:numId="12" w16cid:durableId="524631891">
    <w:abstractNumId w:val="13"/>
  </w:num>
  <w:num w:numId="13" w16cid:durableId="687683068">
    <w:abstractNumId w:val="3"/>
  </w:num>
  <w:num w:numId="14" w16cid:durableId="1224100899">
    <w:abstractNumId w:val="18"/>
  </w:num>
  <w:num w:numId="15" w16cid:durableId="1860121125">
    <w:abstractNumId w:val="4"/>
  </w:num>
  <w:num w:numId="16" w16cid:durableId="940143668">
    <w:abstractNumId w:val="19"/>
  </w:num>
  <w:num w:numId="17" w16cid:durableId="1076512474">
    <w:abstractNumId w:val="9"/>
  </w:num>
  <w:num w:numId="18" w16cid:durableId="1475098797">
    <w:abstractNumId w:val="5"/>
  </w:num>
  <w:num w:numId="19" w16cid:durableId="1302006299">
    <w:abstractNumId w:val="12"/>
  </w:num>
  <w:num w:numId="20" w16cid:durableId="17246757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35"/>
    <w:rsid w:val="00052275"/>
    <w:rsid w:val="00082635"/>
    <w:rsid w:val="000840EF"/>
    <w:rsid w:val="000B14ED"/>
    <w:rsid w:val="00141013"/>
    <w:rsid w:val="00167D81"/>
    <w:rsid w:val="00201417"/>
    <w:rsid w:val="00287A90"/>
    <w:rsid w:val="003174C9"/>
    <w:rsid w:val="00370791"/>
    <w:rsid w:val="003A4C7F"/>
    <w:rsid w:val="003B4859"/>
    <w:rsid w:val="003CC3E3"/>
    <w:rsid w:val="003D7C85"/>
    <w:rsid w:val="003F5EDE"/>
    <w:rsid w:val="00403F35"/>
    <w:rsid w:val="00504D10"/>
    <w:rsid w:val="005342B2"/>
    <w:rsid w:val="00581112"/>
    <w:rsid w:val="00585C42"/>
    <w:rsid w:val="005D5CC9"/>
    <w:rsid w:val="007455F9"/>
    <w:rsid w:val="00766477"/>
    <w:rsid w:val="0082457D"/>
    <w:rsid w:val="008378F5"/>
    <w:rsid w:val="00865CD1"/>
    <w:rsid w:val="008A1214"/>
    <w:rsid w:val="0099416C"/>
    <w:rsid w:val="009E4D1D"/>
    <w:rsid w:val="00A193CD"/>
    <w:rsid w:val="00A66546"/>
    <w:rsid w:val="00A67AA8"/>
    <w:rsid w:val="00AA65AF"/>
    <w:rsid w:val="00AB0B14"/>
    <w:rsid w:val="00AC1A0A"/>
    <w:rsid w:val="00AF532E"/>
    <w:rsid w:val="00B2308B"/>
    <w:rsid w:val="00B466BB"/>
    <w:rsid w:val="00B90DA2"/>
    <w:rsid w:val="00B93DE1"/>
    <w:rsid w:val="00B95C0A"/>
    <w:rsid w:val="00BF588B"/>
    <w:rsid w:val="00C03C24"/>
    <w:rsid w:val="00C40725"/>
    <w:rsid w:val="00C640A9"/>
    <w:rsid w:val="00CA0B74"/>
    <w:rsid w:val="00D019F5"/>
    <w:rsid w:val="00D49F21"/>
    <w:rsid w:val="00D7057A"/>
    <w:rsid w:val="00DF681A"/>
    <w:rsid w:val="00E3216D"/>
    <w:rsid w:val="00E437D3"/>
    <w:rsid w:val="00E57275"/>
    <w:rsid w:val="00E74AC8"/>
    <w:rsid w:val="00ED413E"/>
    <w:rsid w:val="00F75948"/>
    <w:rsid w:val="00F92C7B"/>
    <w:rsid w:val="00F96037"/>
    <w:rsid w:val="00FF45C0"/>
    <w:rsid w:val="0284E83C"/>
    <w:rsid w:val="0421BE3C"/>
    <w:rsid w:val="04401F5D"/>
    <w:rsid w:val="057AEC1D"/>
    <w:rsid w:val="062A5CF5"/>
    <w:rsid w:val="0649C254"/>
    <w:rsid w:val="09093894"/>
    <w:rsid w:val="096A586E"/>
    <w:rsid w:val="0A358AAE"/>
    <w:rsid w:val="0A825451"/>
    <w:rsid w:val="0AB75727"/>
    <w:rsid w:val="0AF8909E"/>
    <w:rsid w:val="0B173213"/>
    <w:rsid w:val="0CAA92E3"/>
    <w:rsid w:val="0D144FDB"/>
    <w:rsid w:val="0E54F629"/>
    <w:rsid w:val="0EC91A4E"/>
    <w:rsid w:val="0F2D8973"/>
    <w:rsid w:val="0FBC7C15"/>
    <w:rsid w:val="0FEFD34A"/>
    <w:rsid w:val="107A70BC"/>
    <w:rsid w:val="130A1D5B"/>
    <w:rsid w:val="1325F706"/>
    <w:rsid w:val="132BDC84"/>
    <w:rsid w:val="146B5A5F"/>
    <w:rsid w:val="15345ABD"/>
    <w:rsid w:val="15E81478"/>
    <w:rsid w:val="1640AB3B"/>
    <w:rsid w:val="1683F2A7"/>
    <w:rsid w:val="1690D9A3"/>
    <w:rsid w:val="16EE9B2A"/>
    <w:rsid w:val="178FC1FC"/>
    <w:rsid w:val="181BF976"/>
    <w:rsid w:val="18D352F5"/>
    <w:rsid w:val="18F92D49"/>
    <w:rsid w:val="1933DC20"/>
    <w:rsid w:val="1959F511"/>
    <w:rsid w:val="19B84661"/>
    <w:rsid w:val="1A89128E"/>
    <w:rsid w:val="1BB911AF"/>
    <w:rsid w:val="1CBB7F5C"/>
    <w:rsid w:val="1D866C92"/>
    <w:rsid w:val="2078F568"/>
    <w:rsid w:val="2189FB5E"/>
    <w:rsid w:val="230D7A35"/>
    <w:rsid w:val="24078278"/>
    <w:rsid w:val="2484E25D"/>
    <w:rsid w:val="249AB730"/>
    <w:rsid w:val="24EE3E72"/>
    <w:rsid w:val="25F725DB"/>
    <w:rsid w:val="27433D53"/>
    <w:rsid w:val="28578BBE"/>
    <w:rsid w:val="28CBB2CC"/>
    <w:rsid w:val="28CC4D82"/>
    <w:rsid w:val="2962C371"/>
    <w:rsid w:val="2A1E5FB1"/>
    <w:rsid w:val="2BB5CD81"/>
    <w:rsid w:val="2D9A36ED"/>
    <w:rsid w:val="2E413284"/>
    <w:rsid w:val="2F7D7B3F"/>
    <w:rsid w:val="319F579F"/>
    <w:rsid w:val="3416A19F"/>
    <w:rsid w:val="360D26C1"/>
    <w:rsid w:val="37D32BB7"/>
    <w:rsid w:val="398CF234"/>
    <w:rsid w:val="3C58386A"/>
    <w:rsid w:val="3D6EDB6A"/>
    <w:rsid w:val="3E1F2F7B"/>
    <w:rsid w:val="3F128E2E"/>
    <w:rsid w:val="3FE8A4D2"/>
    <w:rsid w:val="403CE3B7"/>
    <w:rsid w:val="411721B4"/>
    <w:rsid w:val="4129CADD"/>
    <w:rsid w:val="413C3E97"/>
    <w:rsid w:val="41C85260"/>
    <w:rsid w:val="431FA610"/>
    <w:rsid w:val="434D9460"/>
    <w:rsid w:val="437FE141"/>
    <w:rsid w:val="43DB9D09"/>
    <w:rsid w:val="448C4DF7"/>
    <w:rsid w:val="44BC2258"/>
    <w:rsid w:val="4704F93C"/>
    <w:rsid w:val="476BECA3"/>
    <w:rsid w:val="479B3782"/>
    <w:rsid w:val="49377E72"/>
    <w:rsid w:val="4BBEF5D4"/>
    <w:rsid w:val="4BC1EF8D"/>
    <w:rsid w:val="4BEDB148"/>
    <w:rsid w:val="4C96C854"/>
    <w:rsid w:val="4E2215FE"/>
    <w:rsid w:val="4E540394"/>
    <w:rsid w:val="4E7903DE"/>
    <w:rsid w:val="509CC9DC"/>
    <w:rsid w:val="52FF56EF"/>
    <w:rsid w:val="55F1E7C0"/>
    <w:rsid w:val="562FD4B6"/>
    <w:rsid w:val="57CF622D"/>
    <w:rsid w:val="592C8616"/>
    <w:rsid w:val="593B88D5"/>
    <w:rsid w:val="59A0BDFA"/>
    <w:rsid w:val="5AE4B0FB"/>
    <w:rsid w:val="5C266056"/>
    <w:rsid w:val="5CD304C9"/>
    <w:rsid w:val="5DAA0BDD"/>
    <w:rsid w:val="5F81014A"/>
    <w:rsid w:val="60373D3C"/>
    <w:rsid w:val="6045DD18"/>
    <w:rsid w:val="6059674B"/>
    <w:rsid w:val="60BC8F55"/>
    <w:rsid w:val="618767EC"/>
    <w:rsid w:val="628225A8"/>
    <w:rsid w:val="62E5CE77"/>
    <w:rsid w:val="662F14AB"/>
    <w:rsid w:val="678FCEE3"/>
    <w:rsid w:val="6A99CC42"/>
    <w:rsid w:val="6BCE95C2"/>
    <w:rsid w:val="6C7E1301"/>
    <w:rsid w:val="6D7D8469"/>
    <w:rsid w:val="70446736"/>
    <w:rsid w:val="70943CFB"/>
    <w:rsid w:val="7103FEE3"/>
    <w:rsid w:val="71DCA4FD"/>
    <w:rsid w:val="71E54EA5"/>
    <w:rsid w:val="723E7E60"/>
    <w:rsid w:val="740ED2B8"/>
    <w:rsid w:val="76060A2E"/>
    <w:rsid w:val="76713A67"/>
    <w:rsid w:val="77260319"/>
    <w:rsid w:val="77966C61"/>
    <w:rsid w:val="7A6EDD4A"/>
    <w:rsid w:val="7A92F152"/>
    <w:rsid w:val="7AE17387"/>
    <w:rsid w:val="7D27DA81"/>
    <w:rsid w:val="7DDF03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A6270"/>
  <w15:chartTrackingRefBased/>
  <w15:docId w15:val="{A052CEDD-8EEE-437C-9270-9834D497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635"/>
  </w:style>
  <w:style w:type="paragraph" w:styleId="Footer">
    <w:name w:val="footer"/>
    <w:basedOn w:val="Normal"/>
    <w:link w:val="FooterChar"/>
    <w:uiPriority w:val="99"/>
    <w:unhideWhenUsed/>
    <w:rsid w:val="00082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635"/>
  </w:style>
  <w:style w:type="table" w:styleId="TableGrid">
    <w:name w:val="Table Grid"/>
    <w:basedOn w:val="TableNormal"/>
    <w:uiPriority w:val="39"/>
    <w:rsid w:val="00082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0725"/>
    <w:pPr>
      <w:ind w:left="720"/>
      <w:contextualSpacing/>
    </w:pPr>
  </w:style>
  <w:style w:type="paragraph" w:styleId="Revision">
    <w:name w:val="Revision"/>
    <w:hidden/>
    <w:uiPriority w:val="99"/>
    <w:semiHidden/>
    <w:rsid w:val="007455F9"/>
    <w:pPr>
      <w:spacing w:after="0" w:line="240" w:lineRule="auto"/>
    </w:pPr>
  </w:style>
  <w:style w:type="character" w:styleId="Hyperlink">
    <w:name w:val="Hyperlink"/>
    <w:basedOn w:val="DefaultParagraphFont"/>
    <w:uiPriority w:val="99"/>
    <w:unhideWhenUsed/>
    <w:rsid w:val="00F92C7B"/>
    <w:rPr>
      <w:color w:val="0000FF"/>
      <w:u w:val="single"/>
    </w:rPr>
  </w:style>
  <w:style w:type="character" w:styleId="UnresolvedMention">
    <w:name w:val="Unresolved Mention"/>
    <w:basedOn w:val="DefaultParagraphFont"/>
    <w:uiPriority w:val="99"/>
    <w:semiHidden/>
    <w:unhideWhenUsed/>
    <w:rsid w:val="003B48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711294">
      <w:bodyDiv w:val="1"/>
      <w:marLeft w:val="0"/>
      <w:marRight w:val="0"/>
      <w:marTop w:val="0"/>
      <w:marBottom w:val="0"/>
      <w:divBdr>
        <w:top w:val="none" w:sz="0" w:space="0" w:color="auto"/>
        <w:left w:val="none" w:sz="0" w:space="0" w:color="auto"/>
        <w:bottom w:val="none" w:sz="0" w:space="0" w:color="auto"/>
        <w:right w:val="none" w:sz="0" w:space="0" w:color="auto"/>
      </w:divBdr>
    </w:div>
    <w:div w:id="992685950">
      <w:bodyDiv w:val="1"/>
      <w:marLeft w:val="0"/>
      <w:marRight w:val="0"/>
      <w:marTop w:val="0"/>
      <w:marBottom w:val="0"/>
      <w:divBdr>
        <w:top w:val="none" w:sz="0" w:space="0" w:color="auto"/>
        <w:left w:val="none" w:sz="0" w:space="0" w:color="auto"/>
        <w:bottom w:val="none" w:sz="0" w:space="0" w:color="auto"/>
        <w:right w:val="none" w:sz="0" w:space="0" w:color="auto"/>
      </w:divBdr>
    </w:div>
    <w:div w:id="1073426353">
      <w:bodyDiv w:val="1"/>
      <w:marLeft w:val="0"/>
      <w:marRight w:val="0"/>
      <w:marTop w:val="0"/>
      <w:marBottom w:val="0"/>
      <w:divBdr>
        <w:top w:val="none" w:sz="0" w:space="0" w:color="auto"/>
        <w:left w:val="none" w:sz="0" w:space="0" w:color="auto"/>
        <w:bottom w:val="none" w:sz="0" w:space="0" w:color="auto"/>
        <w:right w:val="none" w:sz="0" w:space="0" w:color="auto"/>
      </w:divBdr>
    </w:div>
    <w:div w:id="1195116145">
      <w:bodyDiv w:val="1"/>
      <w:marLeft w:val="0"/>
      <w:marRight w:val="0"/>
      <w:marTop w:val="0"/>
      <w:marBottom w:val="0"/>
      <w:divBdr>
        <w:top w:val="none" w:sz="0" w:space="0" w:color="auto"/>
        <w:left w:val="none" w:sz="0" w:space="0" w:color="auto"/>
        <w:bottom w:val="none" w:sz="0" w:space="0" w:color="auto"/>
        <w:right w:val="none" w:sz="0" w:space="0" w:color="auto"/>
      </w:divBdr>
    </w:div>
    <w:div w:id="1476876156">
      <w:bodyDiv w:val="1"/>
      <w:marLeft w:val="0"/>
      <w:marRight w:val="0"/>
      <w:marTop w:val="0"/>
      <w:marBottom w:val="0"/>
      <w:divBdr>
        <w:top w:val="none" w:sz="0" w:space="0" w:color="auto"/>
        <w:left w:val="none" w:sz="0" w:space="0" w:color="auto"/>
        <w:bottom w:val="none" w:sz="0" w:space="0" w:color="auto"/>
        <w:right w:val="none" w:sz="0" w:space="0" w:color="auto"/>
      </w:divBdr>
    </w:div>
    <w:div w:id="20119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bi.aomrc.org.uk/interventions/grommets-for-glue-ear-in-childr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nice.org.uk/guidance/ng23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f3a27a0-5bd1-4826-8a06-13af7378a15a">
      <Terms xmlns="http://schemas.microsoft.com/office/infopath/2007/PartnerControls"/>
    </lcf76f155ced4ddcb4097134ff3c332f>
    <TaxCatchAll xmlns="f3067cdb-6540-48a2-9007-7587a8c1b0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C4934F7B0CB64FB712635246851451" ma:contentTypeVersion="14" ma:contentTypeDescription="Create a new document." ma:contentTypeScope="" ma:versionID="c9425648ac719d32d7dec3fe6dedc87b">
  <xsd:schema xmlns:xsd="http://www.w3.org/2001/XMLSchema" xmlns:xs="http://www.w3.org/2001/XMLSchema" xmlns:p="http://schemas.microsoft.com/office/2006/metadata/properties" xmlns:ns1="http://schemas.microsoft.com/sharepoint/v3" xmlns:ns2="5f3a27a0-5bd1-4826-8a06-13af7378a15a" xmlns:ns3="f3067cdb-6540-48a2-9007-7587a8c1b009" targetNamespace="http://schemas.microsoft.com/office/2006/metadata/properties" ma:root="true" ma:fieldsID="12f5ce4f5736c4bba1e66b482f48bbfd" ns1:_="" ns2:_="" ns3:_="">
    <xsd:import namespace="http://schemas.microsoft.com/sharepoint/v3"/>
    <xsd:import namespace="5f3a27a0-5bd1-4826-8a06-13af7378a15a"/>
    <xsd:import namespace="f3067cdb-6540-48a2-9007-7587a8c1b0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3a27a0-5bd1-4826-8a06-13af7378a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067cdb-6540-48a2-9007-7587a8c1b00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26a901-8310-4a0f-879f-ab13f29bf486}" ma:internalName="TaxCatchAll" ma:showField="CatchAllData" ma:web="f3067cdb-6540-48a2-9007-7587a8c1b0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DBBECD-3A68-4C9B-A58F-0B6D7B30AB3F}">
  <ds:schemaRef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f6a82410-35a1-48d9-a432-e298e5b95e46"/>
    <ds:schemaRef ds:uri="1365388d-8e0b-4df5-a0a3-cd102b49988e"/>
    <ds:schemaRef ds:uri="http://schemas.microsoft.com/sharepoint/v3"/>
    <ds:schemaRef ds:uri="http://www.w3.org/XML/1998/namespace"/>
  </ds:schemaRefs>
</ds:datastoreItem>
</file>

<file path=customXml/itemProps2.xml><?xml version="1.0" encoding="utf-8"?>
<ds:datastoreItem xmlns:ds="http://schemas.openxmlformats.org/officeDocument/2006/customXml" ds:itemID="{51481A99-4907-4ACD-A130-011229A55FB0}"/>
</file>

<file path=customXml/itemProps3.xml><?xml version="1.0" encoding="utf-8"?>
<ds:datastoreItem xmlns:ds="http://schemas.openxmlformats.org/officeDocument/2006/customXml" ds:itemID="{796607CC-166E-4EC7-B09A-01287445AE49}">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3278</Characters>
  <Application>Microsoft Office Word</Application>
  <DocSecurity>0</DocSecurity>
  <Lines>27</Lines>
  <Paragraphs>7</Paragraphs>
  <ScaleCrop>false</ScaleCrop>
  <Company>North Lincolnshire Council</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Ellerton</dc:creator>
  <cp:keywords/>
  <dc:description/>
  <cp:lastModifiedBy>BLACK, Rebecca (NHS HUMBER AND NORTH YORKSHIRE ICB - 02Y)</cp:lastModifiedBy>
  <cp:revision>2</cp:revision>
  <dcterms:created xsi:type="dcterms:W3CDTF">2025-03-19T15:47:00Z</dcterms:created>
  <dcterms:modified xsi:type="dcterms:W3CDTF">2025-03-19T15:47:00Z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0x0101008DC4934F7B0CB64FB712635246851451</vt:lpwstr>
  </property>
  <property fmtid="{D5CDD505-2E9C-101B-9397-08002B2CF9AE}" pid="3" name="MediaServiceImageTags">
    <vt:lpwstr/>
  </property>
  <property fmtid="{D5CDD505-2E9C-101B-9397-08002B2CF9AE}" pid="4" name="Order">
    <vt:r8>50800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