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F658" w14:textId="51BF7241" w:rsidR="00082635" w:rsidRDefault="00082635">
      <w:pPr>
        <w:rPr>
          <w:noProof/>
        </w:rPr>
      </w:pPr>
    </w:p>
    <w:tbl>
      <w:tblPr>
        <w:tblStyle w:val="TableGrid"/>
        <w:tblW w:w="0" w:type="auto"/>
        <w:tblLook w:val="04A0" w:firstRow="1" w:lastRow="0" w:firstColumn="1" w:lastColumn="0" w:noHBand="0" w:noVBand="1"/>
      </w:tblPr>
      <w:tblGrid>
        <w:gridCol w:w="2405"/>
        <w:gridCol w:w="6611"/>
      </w:tblGrid>
      <w:tr w:rsidR="00082635" w14:paraId="0B1125C6" w14:textId="77777777" w:rsidTr="79C390B5">
        <w:tc>
          <w:tcPr>
            <w:tcW w:w="2405" w:type="dxa"/>
          </w:tcPr>
          <w:p w14:paraId="0D4A3409" w14:textId="3EA3C901" w:rsidR="00082635" w:rsidRDefault="00C40725">
            <w:bookmarkStart w:id="0" w:name="_Hlk164339182"/>
            <w:r>
              <w:t>Intervention</w:t>
            </w:r>
          </w:p>
        </w:tc>
        <w:tc>
          <w:tcPr>
            <w:tcW w:w="6611" w:type="dxa"/>
          </w:tcPr>
          <w:p w14:paraId="72BB008D" w14:textId="10B0E51F" w:rsidR="0010787D" w:rsidRPr="0010787D" w:rsidRDefault="527E5F3E" w:rsidP="00403F35">
            <w:pPr>
              <w:rPr>
                <w:b/>
                <w:bCs/>
              </w:rPr>
            </w:pPr>
            <w:r w:rsidRPr="25C4D335">
              <w:rPr>
                <w:b/>
                <w:bCs/>
              </w:rPr>
              <w:t xml:space="preserve">089. </w:t>
            </w:r>
            <w:r w:rsidR="0010787D" w:rsidRPr="25C4D335">
              <w:rPr>
                <w:b/>
                <w:bCs/>
              </w:rPr>
              <w:t xml:space="preserve">Irrigation of the external </w:t>
            </w:r>
            <w:r w:rsidR="19057628" w:rsidRPr="25C4D335">
              <w:rPr>
                <w:b/>
                <w:bCs/>
              </w:rPr>
              <w:t>a</w:t>
            </w:r>
            <w:r w:rsidR="0010787D" w:rsidRPr="25C4D335">
              <w:rPr>
                <w:b/>
                <w:bCs/>
              </w:rPr>
              <w:t xml:space="preserve">uditory </w:t>
            </w:r>
            <w:r w:rsidR="367DD803" w:rsidRPr="25C4D335">
              <w:rPr>
                <w:b/>
                <w:bCs/>
              </w:rPr>
              <w:t>c</w:t>
            </w:r>
            <w:r w:rsidR="0010787D" w:rsidRPr="25C4D335">
              <w:rPr>
                <w:b/>
                <w:bCs/>
              </w:rPr>
              <w:t>anal</w:t>
            </w:r>
          </w:p>
        </w:tc>
      </w:tr>
      <w:tr w:rsidR="00082635" w14:paraId="4607A061" w14:textId="77777777" w:rsidTr="79C390B5">
        <w:tc>
          <w:tcPr>
            <w:tcW w:w="2405" w:type="dxa"/>
          </w:tcPr>
          <w:p w14:paraId="2BE2DCD8" w14:textId="169702F0" w:rsidR="00082635" w:rsidRDefault="00C40725">
            <w:r>
              <w:t>For the treatment of:</w:t>
            </w:r>
          </w:p>
        </w:tc>
        <w:tc>
          <w:tcPr>
            <w:tcW w:w="6611" w:type="dxa"/>
          </w:tcPr>
          <w:p w14:paraId="393F21FC" w14:textId="6F5F1926" w:rsidR="0010787D" w:rsidRPr="0010787D" w:rsidRDefault="42D2A2DD" w:rsidP="6EE960F2">
            <w:r>
              <w:t>Impacted</w:t>
            </w:r>
            <w:r w:rsidR="0010787D">
              <w:t xml:space="preserve"> </w:t>
            </w:r>
            <w:r w:rsidR="002F4AB7">
              <w:t>E</w:t>
            </w:r>
            <w:r w:rsidR="0010787D">
              <w:t xml:space="preserve">ar </w:t>
            </w:r>
            <w:r w:rsidR="002F4AB7">
              <w:t>W</w:t>
            </w:r>
            <w:r w:rsidR="0010787D">
              <w:t>ax</w:t>
            </w:r>
          </w:p>
        </w:tc>
      </w:tr>
      <w:tr w:rsidR="00082635" w14:paraId="1062A7C2" w14:textId="77777777" w:rsidTr="79C390B5">
        <w:trPr>
          <w:trHeight w:val="1545"/>
        </w:trPr>
        <w:tc>
          <w:tcPr>
            <w:tcW w:w="2405" w:type="dxa"/>
          </w:tcPr>
          <w:p w14:paraId="2DA08F4B" w14:textId="11510286" w:rsidR="00082635" w:rsidRDefault="00C40725">
            <w:r>
              <w:t>Commissioning position</w:t>
            </w:r>
          </w:p>
        </w:tc>
        <w:tc>
          <w:tcPr>
            <w:tcW w:w="6611" w:type="dxa"/>
          </w:tcPr>
          <w:p w14:paraId="03A5F2DD" w14:textId="003B017A" w:rsidR="002F4AB7" w:rsidRPr="00E3216D" w:rsidRDefault="2AAB7A46" w:rsidP="003206F1">
            <w:r w:rsidRPr="5B88F9CD">
              <w:rPr>
                <w:rFonts w:eastAsiaTheme="minorEastAsia"/>
              </w:rPr>
              <w:t>This intervention is not routinely commissioned and therefore should not be offered to patients. Application for funding approval can be made, using the IFR process, by the clinician recommending the intervention, if their assessment is that there are exceptional reasons why their patient could benefit from it.</w:t>
            </w:r>
          </w:p>
        </w:tc>
      </w:tr>
      <w:tr w:rsidR="00082635" w14:paraId="3FEC9845" w14:textId="77777777" w:rsidTr="79C390B5">
        <w:trPr>
          <w:trHeight w:val="3255"/>
        </w:trPr>
        <w:tc>
          <w:tcPr>
            <w:tcW w:w="2405" w:type="dxa"/>
          </w:tcPr>
          <w:p w14:paraId="33CA7C0B" w14:textId="506613B5" w:rsidR="00082635" w:rsidRDefault="2D641C71">
            <w:r>
              <w:t>S</w:t>
            </w:r>
            <w:r w:rsidR="00C40725">
              <w:t>ummary of Rationale</w:t>
            </w:r>
          </w:p>
        </w:tc>
        <w:tc>
          <w:tcPr>
            <w:tcW w:w="6611" w:type="dxa"/>
          </w:tcPr>
          <w:p w14:paraId="7A057F2B" w14:textId="7C9ECDDE" w:rsidR="00F92C7B" w:rsidRDefault="00B73A85" w:rsidP="00403F35">
            <w:proofErr w:type="gramStart"/>
            <w:r>
              <w:t>The vast majority of</w:t>
            </w:r>
            <w:proofErr w:type="gramEnd"/>
            <w:r>
              <w:t xml:space="preserve"> patients presenting with </w:t>
            </w:r>
            <w:r w:rsidR="07952496">
              <w:t xml:space="preserve">impacted </w:t>
            </w:r>
            <w:r>
              <w:t xml:space="preserve">ear wax </w:t>
            </w:r>
            <w:r w:rsidR="002F4AB7">
              <w:t>will</w:t>
            </w:r>
            <w:r>
              <w:t xml:space="preserve"> be </w:t>
            </w:r>
            <w:r w:rsidR="136D3C7E">
              <w:t>able to relieve any symptoms</w:t>
            </w:r>
            <w:r>
              <w:t xml:space="preserve"> with </w:t>
            </w:r>
            <w:r w:rsidR="002F4AB7">
              <w:t>self-</w:t>
            </w:r>
            <w:r w:rsidR="00EF04CD">
              <w:t>management</w:t>
            </w:r>
            <w:r w:rsidR="002F4AB7">
              <w:t xml:space="preserve"> </w:t>
            </w:r>
            <w:r>
              <w:t>and over the counter medicatio</w:t>
            </w:r>
            <w:r w:rsidR="1BF5ABF1">
              <w:t>n. NICE does not recommend manual syringing for removing earwax. Ear syringing with a large metal syringe or similar obsolete equipment is potentially harmful. The design of the syringe and the inability to control the water pressure increases the risk of damage to the ear canal and tympanic membrane. Irrigation using an electronic ear irrigation machine, which pumps water into the ear at a controlled pressure, is safer</w:t>
            </w:r>
            <w:r w:rsidR="09736ECD">
              <w:t>.</w:t>
            </w:r>
            <w:r w:rsidR="002F4AB7">
              <w:t xml:space="preserve"> </w:t>
            </w:r>
            <w:proofErr w:type="spellStart"/>
            <w:r w:rsidR="7F7D126D">
              <w:t>Microsuction</w:t>
            </w:r>
            <w:proofErr w:type="spellEnd"/>
            <w:r w:rsidR="7F7D126D">
              <w:t xml:space="preserve"> is also a safer intervention. Neither irrigation nor </w:t>
            </w:r>
            <w:proofErr w:type="spellStart"/>
            <w:r w:rsidR="7F7D126D">
              <w:t>microsuction</w:t>
            </w:r>
            <w:proofErr w:type="spellEnd"/>
            <w:r w:rsidR="7F7D126D">
              <w:t xml:space="preserve"> </w:t>
            </w:r>
            <w:r w:rsidR="62A117E2">
              <w:t xml:space="preserve">to remove impacted wax </w:t>
            </w:r>
            <w:r w:rsidR="7F7D126D">
              <w:t>are provided by all GP practices</w:t>
            </w:r>
            <w:r w:rsidR="6A0AE5C0">
              <w:t xml:space="preserve"> but they are widely available</w:t>
            </w:r>
            <w:r w:rsidR="760E47AD">
              <w:t xml:space="preserve"> privately.</w:t>
            </w:r>
          </w:p>
        </w:tc>
      </w:tr>
      <w:tr w:rsidR="00082635" w14:paraId="7DF6CEF0" w14:textId="77777777" w:rsidTr="79C390B5">
        <w:trPr>
          <w:trHeight w:val="720"/>
        </w:trPr>
        <w:tc>
          <w:tcPr>
            <w:tcW w:w="2405" w:type="dxa"/>
          </w:tcPr>
          <w:p w14:paraId="729A6E73" w14:textId="77D46254" w:rsidR="00082635" w:rsidRDefault="00C40725">
            <w:r>
              <w:t>References</w:t>
            </w:r>
          </w:p>
        </w:tc>
        <w:tc>
          <w:tcPr>
            <w:tcW w:w="6611" w:type="dxa"/>
          </w:tcPr>
          <w:p w14:paraId="686BFEA4" w14:textId="77777777" w:rsidR="00F92C7B" w:rsidRDefault="00B73A85" w:rsidP="00403F35">
            <w:pPr>
              <w:tabs>
                <w:tab w:val="left" w:pos="1185"/>
              </w:tabs>
            </w:pPr>
            <w:hyperlink r:id="rId10" w:history="1">
              <w:r w:rsidRPr="00B73A85">
                <w:rPr>
                  <w:rStyle w:val="Hyperlink"/>
                </w:rPr>
                <w:t>Earwax build-up - NHS (www.nhs.uk)</w:t>
              </w:r>
            </w:hyperlink>
          </w:p>
          <w:p w14:paraId="298C1462" w14:textId="223B0C29" w:rsidR="002F4AB7" w:rsidRDefault="551B308E" w:rsidP="00403F35">
            <w:pPr>
              <w:tabs>
                <w:tab w:val="left" w:pos="1185"/>
              </w:tabs>
            </w:pPr>
            <w:hyperlink r:id="rId11">
              <w:r w:rsidRPr="6EE960F2">
                <w:rPr>
                  <w:rStyle w:val="Hyperlink"/>
                </w:rPr>
                <w:t>CKS Earwax (NICE)</w:t>
              </w:r>
            </w:hyperlink>
          </w:p>
        </w:tc>
      </w:tr>
      <w:tr w:rsidR="00082635" w14:paraId="7E9E8A9A" w14:textId="77777777" w:rsidTr="79C390B5">
        <w:tc>
          <w:tcPr>
            <w:tcW w:w="2405" w:type="dxa"/>
          </w:tcPr>
          <w:p w14:paraId="006DB724" w14:textId="5352A3C8" w:rsidR="00082635" w:rsidRDefault="00C40725">
            <w:r>
              <w:t>Effective from:</w:t>
            </w:r>
          </w:p>
        </w:tc>
        <w:tc>
          <w:tcPr>
            <w:tcW w:w="6611" w:type="dxa"/>
          </w:tcPr>
          <w:p w14:paraId="0C178D90" w14:textId="7D998D10" w:rsidR="00F92C7B" w:rsidRDefault="77CBFB0A" w:rsidP="00403F35">
            <w:r>
              <w:t>January 2025</w:t>
            </w:r>
          </w:p>
        </w:tc>
      </w:tr>
      <w:tr w:rsidR="00082635" w14:paraId="11AB6822" w14:textId="77777777" w:rsidTr="79C390B5">
        <w:tc>
          <w:tcPr>
            <w:tcW w:w="2405" w:type="dxa"/>
          </w:tcPr>
          <w:p w14:paraId="2338319E" w14:textId="1049B664" w:rsidR="00082635" w:rsidRDefault="00C40725">
            <w:r>
              <w:t>Policy Review Date</w:t>
            </w:r>
          </w:p>
        </w:tc>
        <w:tc>
          <w:tcPr>
            <w:tcW w:w="6611" w:type="dxa"/>
          </w:tcPr>
          <w:p w14:paraId="3DD4396A" w14:textId="1DE7265C" w:rsidR="00B2308B" w:rsidRDefault="00ABA33F" w:rsidP="00403F35">
            <w:r>
              <w:t>January 2028</w:t>
            </w:r>
          </w:p>
        </w:tc>
      </w:tr>
      <w:bookmarkEnd w:id="0"/>
    </w:tbl>
    <w:p w14:paraId="0ED5111D" w14:textId="77777777" w:rsidR="00F92C7B" w:rsidRPr="00273342" w:rsidRDefault="00F92C7B" w:rsidP="000B14ED">
      <w:pPr>
        <w:rPr>
          <w:color w:val="FF0000"/>
        </w:rPr>
      </w:pPr>
    </w:p>
    <w:p w14:paraId="45E5B52E" w14:textId="67A6D5E2" w:rsidR="00273342" w:rsidRPr="00273342" w:rsidRDefault="00273342" w:rsidP="000B14ED">
      <w:pPr>
        <w:rPr>
          <w:color w:val="FF0000"/>
        </w:rPr>
      </w:pPr>
    </w:p>
    <w:sectPr w:rsidR="00273342" w:rsidRPr="0027334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2573" w14:textId="77777777" w:rsidR="00246844" w:rsidRDefault="00246844" w:rsidP="00082635">
      <w:pPr>
        <w:spacing w:after="0" w:line="240" w:lineRule="auto"/>
      </w:pPr>
      <w:r>
        <w:separator/>
      </w:r>
    </w:p>
  </w:endnote>
  <w:endnote w:type="continuationSeparator" w:id="0">
    <w:p w14:paraId="5B34D5F0" w14:textId="77777777" w:rsidR="00246844" w:rsidRDefault="00246844" w:rsidP="00082635">
      <w:pPr>
        <w:spacing w:after="0" w:line="240" w:lineRule="auto"/>
      </w:pPr>
      <w:r>
        <w:continuationSeparator/>
      </w:r>
    </w:p>
  </w:endnote>
  <w:endnote w:type="continuationNotice" w:id="1">
    <w:p w14:paraId="432A4C9D" w14:textId="77777777" w:rsidR="00246844" w:rsidRDefault="00246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9328" w14:textId="23BE687C" w:rsidR="0010787D" w:rsidRDefault="0010787D">
    <w:pPr>
      <w:pStyle w:val="Footer"/>
    </w:pPr>
    <w:r>
      <w:t>DJ – 23.09.24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F2CB" w14:textId="77777777" w:rsidR="00246844" w:rsidRDefault="00246844" w:rsidP="00082635">
      <w:pPr>
        <w:spacing w:after="0" w:line="240" w:lineRule="auto"/>
      </w:pPr>
      <w:r>
        <w:separator/>
      </w:r>
    </w:p>
  </w:footnote>
  <w:footnote w:type="continuationSeparator" w:id="0">
    <w:p w14:paraId="32EF817A" w14:textId="77777777" w:rsidR="00246844" w:rsidRDefault="00246844" w:rsidP="00082635">
      <w:pPr>
        <w:spacing w:after="0" w:line="240" w:lineRule="auto"/>
      </w:pPr>
      <w:r>
        <w:continuationSeparator/>
      </w:r>
    </w:p>
  </w:footnote>
  <w:footnote w:type="continuationNotice" w:id="1">
    <w:p w14:paraId="2247AA1F" w14:textId="77777777" w:rsidR="00246844" w:rsidRDefault="00246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6D77" w14:textId="25809ACD" w:rsidR="00082635" w:rsidRDefault="00082635">
    <w:pPr>
      <w:pStyle w:val="Header"/>
    </w:pPr>
    <w:r>
      <w:rPr>
        <w:noProof/>
      </w:rPr>
      <w:drawing>
        <wp:inline distT="0" distB="0" distL="0" distR="0" wp14:anchorId="5F15A884" wp14:editId="56413D17">
          <wp:extent cx="2908300" cy="554990"/>
          <wp:effectExtent l="0" t="0" r="6350" b="0"/>
          <wp:docPr id="94675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inline>
      </w:drawing>
    </w:r>
    <w:r>
      <w:tab/>
    </w:r>
    <w:r>
      <w:rPr>
        <w:noProof/>
      </w:rPr>
      <w:drawing>
        <wp:inline distT="0" distB="0" distL="0" distR="0" wp14:anchorId="3B4F9FF5" wp14:editId="26F1CE35">
          <wp:extent cx="1572895" cy="841375"/>
          <wp:effectExtent l="0" t="0" r="8255" b="0"/>
          <wp:docPr id="499385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516E"/>
    <w:multiLevelType w:val="hybridMultilevel"/>
    <w:tmpl w:val="DEA4D37E"/>
    <w:lvl w:ilvl="0" w:tplc="1F8A778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8C6631"/>
    <w:multiLevelType w:val="hybridMultilevel"/>
    <w:tmpl w:val="427E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1249FD"/>
    <w:multiLevelType w:val="hybridMultilevel"/>
    <w:tmpl w:val="6442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F3660"/>
    <w:multiLevelType w:val="hybridMultilevel"/>
    <w:tmpl w:val="7224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75BDC"/>
    <w:multiLevelType w:val="hybridMultilevel"/>
    <w:tmpl w:val="939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94E34BD"/>
    <w:multiLevelType w:val="hybridMultilevel"/>
    <w:tmpl w:val="DC22A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3D7D7E"/>
    <w:multiLevelType w:val="multilevel"/>
    <w:tmpl w:val="351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61FB1"/>
    <w:multiLevelType w:val="hybridMultilevel"/>
    <w:tmpl w:val="094294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AF7A1A"/>
    <w:multiLevelType w:val="hybridMultilevel"/>
    <w:tmpl w:val="F446C3C2"/>
    <w:lvl w:ilvl="0" w:tplc="DAA235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B1710"/>
    <w:multiLevelType w:val="hybridMultilevel"/>
    <w:tmpl w:val="6B9CC2E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18356401">
    <w:abstractNumId w:val="4"/>
  </w:num>
  <w:num w:numId="2" w16cid:durableId="1193499217">
    <w:abstractNumId w:val="1"/>
  </w:num>
  <w:num w:numId="3" w16cid:durableId="1481119074">
    <w:abstractNumId w:val="2"/>
  </w:num>
  <w:num w:numId="4" w16cid:durableId="1585725535">
    <w:abstractNumId w:val="10"/>
  </w:num>
  <w:num w:numId="5" w16cid:durableId="1686781628">
    <w:abstractNumId w:val="5"/>
  </w:num>
  <w:num w:numId="6" w16cid:durableId="1607155194">
    <w:abstractNumId w:val="9"/>
  </w:num>
  <w:num w:numId="7" w16cid:durableId="243076364">
    <w:abstractNumId w:val="6"/>
  </w:num>
  <w:num w:numId="8" w16cid:durableId="989139539">
    <w:abstractNumId w:val="3"/>
  </w:num>
  <w:num w:numId="9" w16cid:durableId="2073039567">
    <w:abstractNumId w:val="11"/>
  </w:num>
  <w:num w:numId="10" w16cid:durableId="1947496944">
    <w:abstractNumId w:val="8"/>
  </w:num>
  <w:num w:numId="11" w16cid:durableId="735736492">
    <w:abstractNumId w:val="0"/>
  </w:num>
  <w:num w:numId="12" w16cid:durableId="1821070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5"/>
    <w:rsid w:val="00082635"/>
    <w:rsid w:val="000840EF"/>
    <w:rsid w:val="000B14ED"/>
    <w:rsid w:val="0010787D"/>
    <w:rsid w:val="00167D81"/>
    <w:rsid w:val="00246844"/>
    <w:rsid w:val="00273342"/>
    <w:rsid w:val="00287A90"/>
    <w:rsid w:val="002F4AB7"/>
    <w:rsid w:val="003149FB"/>
    <w:rsid w:val="003174C9"/>
    <w:rsid w:val="003206F1"/>
    <w:rsid w:val="00370791"/>
    <w:rsid w:val="003A075D"/>
    <w:rsid w:val="003A4C7F"/>
    <w:rsid w:val="003D7C85"/>
    <w:rsid w:val="003F5EDE"/>
    <w:rsid w:val="00403F35"/>
    <w:rsid w:val="004B268F"/>
    <w:rsid w:val="00501426"/>
    <w:rsid w:val="00504D10"/>
    <w:rsid w:val="00581112"/>
    <w:rsid w:val="00585C42"/>
    <w:rsid w:val="006E79FB"/>
    <w:rsid w:val="00725A7F"/>
    <w:rsid w:val="007455F9"/>
    <w:rsid w:val="00766477"/>
    <w:rsid w:val="0082457D"/>
    <w:rsid w:val="00865CD1"/>
    <w:rsid w:val="00885345"/>
    <w:rsid w:val="008A21BC"/>
    <w:rsid w:val="008F55B3"/>
    <w:rsid w:val="009908FB"/>
    <w:rsid w:val="0099416C"/>
    <w:rsid w:val="009C03B4"/>
    <w:rsid w:val="009E1DF0"/>
    <w:rsid w:val="009E4D1D"/>
    <w:rsid w:val="00A15F69"/>
    <w:rsid w:val="00A66546"/>
    <w:rsid w:val="00A8060F"/>
    <w:rsid w:val="00AA65AF"/>
    <w:rsid w:val="00ABA33F"/>
    <w:rsid w:val="00AC1A0A"/>
    <w:rsid w:val="00B2308B"/>
    <w:rsid w:val="00B466BB"/>
    <w:rsid w:val="00B662E2"/>
    <w:rsid w:val="00B73A85"/>
    <w:rsid w:val="00B93DE1"/>
    <w:rsid w:val="00C03C24"/>
    <w:rsid w:val="00C24D30"/>
    <w:rsid w:val="00C40725"/>
    <w:rsid w:val="00C640A9"/>
    <w:rsid w:val="00CA0B74"/>
    <w:rsid w:val="00CF5A3A"/>
    <w:rsid w:val="00D019F5"/>
    <w:rsid w:val="00D148D2"/>
    <w:rsid w:val="00D47A07"/>
    <w:rsid w:val="00D7057A"/>
    <w:rsid w:val="00D970AF"/>
    <w:rsid w:val="00DF681A"/>
    <w:rsid w:val="00E3216D"/>
    <w:rsid w:val="00E57275"/>
    <w:rsid w:val="00E74AC8"/>
    <w:rsid w:val="00EF04CD"/>
    <w:rsid w:val="00F438F8"/>
    <w:rsid w:val="00F75948"/>
    <w:rsid w:val="00F92C7B"/>
    <w:rsid w:val="05273D09"/>
    <w:rsid w:val="055F6688"/>
    <w:rsid w:val="07952496"/>
    <w:rsid w:val="09736ECD"/>
    <w:rsid w:val="12E49CF5"/>
    <w:rsid w:val="136D3C7E"/>
    <w:rsid w:val="19057628"/>
    <w:rsid w:val="1BF5ABF1"/>
    <w:rsid w:val="218CD9EA"/>
    <w:rsid w:val="25C4D335"/>
    <w:rsid w:val="2AAB7A46"/>
    <w:rsid w:val="2D2A0FEC"/>
    <w:rsid w:val="2D641C71"/>
    <w:rsid w:val="367DD803"/>
    <w:rsid w:val="42D2A2DD"/>
    <w:rsid w:val="45BE221E"/>
    <w:rsid w:val="4E5F09F3"/>
    <w:rsid w:val="4FA3DCFB"/>
    <w:rsid w:val="519123DD"/>
    <w:rsid w:val="527E5F3E"/>
    <w:rsid w:val="551B308E"/>
    <w:rsid w:val="55F56E8B"/>
    <w:rsid w:val="57B4B835"/>
    <w:rsid w:val="59717E94"/>
    <w:rsid w:val="5B88F9CD"/>
    <w:rsid w:val="5F5D04B8"/>
    <w:rsid w:val="62A117E2"/>
    <w:rsid w:val="662DEDB3"/>
    <w:rsid w:val="6A0AE5C0"/>
    <w:rsid w:val="6EE960F2"/>
    <w:rsid w:val="74316697"/>
    <w:rsid w:val="74A6437E"/>
    <w:rsid w:val="760E47AD"/>
    <w:rsid w:val="77CBFB0A"/>
    <w:rsid w:val="79C390B5"/>
    <w:rsid w:val="7F7D12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6270"/>
  <w15:chartTrackingRefBased/>
  <w15:docId w15:val="{0595EE10-B55D-4A31-9467-ADA60BFD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35"/>
  </w:style>
  <w:style w:type="paragraph" w:styleId="Footer">
    <w:name w:val="footer"/>
    <w:basedOn w:val="Normal"/>
    <w:link w:val="FooterChar"/>
    <w:uiPriority w:val="99"/>
    <w:unhideWhenUsed/>
    <w:rsid w:val="0008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35"/>
  </w:style>
  <w:style w:type="table" w:styleId="TableGrid">
    <w:name w:val="Table Grid"/>
    <w:basedOn w:val="TableNormal"/>
    <w:uiPriority w:val="39"/>
    <w:rsid w:val="0008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725"/>
    <w:pPr>
      <w:ind w:left="720"/>
      <w:contextualSpacing/>
    </w:pPr>
  </w:style>
  <w:style w:type="paragraph" w:styleId="Revision">
    <w:name w:val="Revision"/>
    <w:hidden/>
    <w:uiPriority w:val="99"/>
    <w:semiHidden/>
    <w:rsid w:val="007455F9"/>
    <w:pPr>
      <w:spacing w:after="0" w:line="240" w:lineRule="auto"/>
    </w:pPr>
  </w:style>
  <w:style w:type="character" w:styleId="Hyperlink">
    <w:name w:val="Hyperlink"/>
    <w:basedOn w:val="DefaultParagraphFont"/>
    <w:uiPriority w:val="99"/>
    <w:unhideWhenUsed/>
    <w:rsid w:val="00F92C7B"/>
    <w:rPr>
      <w:color w:val="0000FF"/>
      <w:u w:val="single"/>
    </w:rPr>
  </w:style>
  <w:style w:type="character" w:styleId="UnresolvedMention">
    <w:name w:val="Unresolved Mention"/>
    <w:basedOn w:val="DefaultParagraphFont"/>
    <w:uiPriority w:val="99"/>
    <w:semiHidden/>
    <w:unhideWhenUsed/>
    <w:rsid w:val="00B73A85"/>
    <w:rPr>
      <w:color w:val="605E5C"/>
      <w:shd w:val="clear" w:color="auto" w:fill="E1DFDD"/>
    </w:rPr>
  </w:style>
  <w:style w:type="character" w:styleId="CommentReference">
    <w:name w:val="annotation reference"/>
    <w:basedOn w:val="DefaultParagraphFont"/>
    <w:uiPriority w:val="99"/>
    <w:semiHidden/>
    <w:unhideWhenUsed/>
    <w:rsid w:val="009908FB"/>
    <w:rPr>
      <w:sz w:val="16"/>
      <w:szCs w:val="16"/>
    </w:rPr>
  </w:style>
  <w:style w:type="paragraph" w:styleId="CommentText">
    <w:name w:val="annotation text"/>
    <w:basedOn w:val="Normal"/>
    <w:link w:val="CommentTextChar"/>
    <w:uiPriority w:val="99"/>
    <w:unhideWhenUsed/>
    <w:rsid w:val="009908FB"/>
    <w:pPr>
      <w:spacing w:line="240" w:lineRule="auto"/>
    </w:pPr>
    <w:rPr>
      <w:sz w:val="20"/>
      <w:szCs w:val="20"/>
    </w:rPr>
  </w:style>
  <w:style w:type="character" w:customStyle="1" w:styleId="CommentTextChar">
    <w:name w:val="Comment Text Char"/>
    <w:basedOn w:val="DefaultParagraphFont"/>
    <w:link w:val="CommentText"/>
    <w:uiPriority w:val="99"/>
    <w:rsid w:val="009908FB"/>
    <w:rPr>
      <w:sz w:val="20"/>
      <w:szCs w:val="20"/>
    </w:rPr>
  </w:style>
  <w:style w:type="paragraph" w:styleId="CommentSubject">
    <w:name w:val="annotation subject"/>
    <w:basedOn w:val="CommentText"/>
    <w:next w:val="CommentText"/>
    <w:link w:val="CommentSubjectChar"/>
    <w:uiPriority w:val="99"/>
    <w:semiHidden/>
    <w:unhideWhenUsed/>
    <w:rsid w:val="009908FB"/>
    <w:rPr>
      <w:b/>
      <w:bCs/>
    </w:rPr>
  </w:style>
  <w:style w:type="character" w:customStyle="1" w:styleId="CommentSubjectChar">
    <w:name w:val="Comment Subject Char"/>
    <w:basedOn w:val="CommentTextChar"/>
    <w:link w:val="CommentSubject"/>
    <w:uiPriority w:val="99"/>
    <w:semiHidden/>
    <w:rsid w:val="00990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925">
      <w:bodyDiv w:val="1"/>
      <w:marLeft w:val="0"/>
      <w:marRight w:val="0"/>
      <w:marTop w:val="0"/>
      <w:marBottom w:val="0"/>
      <w:divBdr>
        <w:top w:val="none" w:sz="0" w:space="0" w:color="auto"/>
        <w:left w:val="none" w:sz="0" w:space="0" w:color="auto"/>
        <w:bottom w:val="none" w:sz="0" w:space="0" w:color="auto"/>
        <w:right w:val="none" w:sz="0" w:space="0" w:color="auto"/>
      </w:divBdr>
    </w:div>
    <w:div w:id="179395851">
      <w:bodyDiv w:val="1"/>
      <w:marLeft w:val="0"/>
      <w:marRight w:val="0"/>
      <w:marTop w:val="0"/>
      <w:marBottom w:val="0"/>
      <w:divBdr>
        <w:top w:val="none" w:sz="0" w:space="0" w:color="auto"/>
        <w:left w:val="none" w:sz="0" w:space="0" w:color="auto"/>
        <w:bottom w:val="none" w:sz="0" w:space="0" w:color="auto"/>
        <w:right w:val="none" w:sz="0" w:space="0" w:color="auto"/>
      </w:divBdr>
    </w:div>
    <w:div w:id="21191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ks.nice.org.uk/topics/earwax/management/manag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conditions/earwax-build-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607CC-166E-4EC7-B09A-01287445AE49}">
  <ds:schemaRefs>
    <ds:schemaRef ds:uri="http://schemas.microsoft.com/sharepoint/v3/contenttype/forms"/>
  </ds:schemaRefs>
</ds:datastoreItem>
</file>

<file path=customXml/itemProps2.xml><?xml version="1.0" encoding="utf-8"?>
<ds:datastoreItem xmlns:ds="http://schemas.openxmlformats.org/officeDocument/2006/customXml" ds:itemID="{06DBBECD-3A68-4C9B-A58F-0B6D7B30AB3F}">
  <ds:schemaRefs>
    <ds:schemaRef ds:uri="f6a82410-35a1-48d9-a432-e298e5b95e46"/>
    <ds:schemaRef ds:uri="http://schemas.microsoft.com/office/2006/documentManagement/types"/>
    <ds:schemaRef ds:uri="1365388d-8e0b-4df5-a0a3-cd102b49988e"/>
    <ds:schemaRef ds:uri="http://schemas.microsoft.com/office/infopath/2007/PartnerControls"/>
    <ds:schemaRef ds:uri="http://purl.org/dc/dcmitype/"/>
    <ds:schemaRef ds:uri="http://purl.org/dc/terms/"/>
    <ds:schemaRef ds:uri="http://schemas.microsoft.com/sharepoint/v3"/>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9EE3C85-B8E4-4AAB-984B-15F8A32CA65B}"/>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Company>North Lincolnshire Council</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Ellerton</dc:creator>
  <cp:keywords/>
  <dc:description/>
  <cp:lastModifiedBy>BLACK, Rebecca (NHS HUMBER AND NORTH YORKSHIRE ICB - 02Y)</cp:lastModifiedBy>
  <cp:revision>2</cp:revision>
  <dcterms:created xsi:type="dcterms:W3CDTF">2025-03-19T15:49:00Z</dcterms:created>
  <dcterms:modified xsi:type="dcterms:W3CDTF">2025-03-19T15:49:00Z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50900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