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6" w:type="dxa"/>
        <w:tblLook w:val="04A0" w:firstRow="1" w:lastRow="0" w:firstColumn="1" w:lastColumn="0" w:noHBand="0" w:noVBand="1"/>
      </w:tblPr>
      <w:tblGrid>
        <w:gridCol w:w="2535"/>
        <w:gridCol w:w="6481"/>
      </w:tblGrid>
      <w:tr w:rsidR="00B97DAB" w14:paraId="3F32C22B" w14:textId="77777777" w:rsidTr="053216B5">
        <w:trPr>
          <w:trHeight w:val="750"/>
        </w:trPr>
        <w:tc>
          <w:tcPr>
            <w:tcW w:w="2535" w:type="dxa"/>
          </w:tcPr>
          <w:p w14:paraId="2137C5A4" w14:textId="11B48F23" w:rsidR="00B97DAB" w:rsidRDefault="00B97DAB">
            <w:r>
              <w:t xml:space="preserve">Intervention </w:t>
            </w:r>
          </w:p>
        </w:tc>
        <w:tc>
          <w:tcPr>
            <w:tcW w:w="6481" w:type="dxa"/>
          </w:tcPr>
          <w:p w14:paraId="73A5EAEF" w14:textId="138AD957" w:rsidR="000C6BCC" w:rsidRPr="00ED5143" w:rsidRDefault="7D4E534E" w:rsidP="311211FE">
            <w:pPr>
              <w:rPr>
                <w:b/>
                <w:bCs/>
                <w:lang w:val="en-US"/>
              </w:rPr>
            </w:pPr>
            <w:r w:rsidRPr="053216B5">
              <w:rPr>
                <w:b/>
                <w:bCs/>
                <w:lang w:val="en-US"/>
              </w:rPr>
              <w:t xml:space="preserve">090. </w:t>
            </w:r>
            <w:r w:rsidR="00602F4F" w:rsidRPr="053216B5">
              <w:rPr>
                <w:b/>
                <w:bCs/>
                <w:lang w:val="en-US"/>
              </w:rPr>
              <w:t>Resurfacing Procedure</w:t>
            </w:r>
            <w:r w:rsidR="6E526F85" w:rsidRPr="053216B5">
              <w:rPr>
                <w:b/>
                <w:bCs/>
                <w:lang w:val="en-US"/>
              </w:rPr>
              <w:t>s</w:t>
            </w:r>
            <w:r w:rsidR="00602F4F" w:rsidRPr="053216B5">
              <w:rPr>
                <w:b/>
                <w:bCs/>
                <w:lang w:val="en-US"/>
              </w:rPr>
              <w:t xml:space="preserve">: Dermabrasion, Chemical Peels and Laser Treatment </w:t>
            </w:r>
          </w:p>
        </w:tc>
      </w:tr>
      <w:tr w:rsidR="00B97DAB" w14:paraId="004828E6" w14:textId="77777777" w:rsidTr="053216B5">
        <w:trPr>
          <w:trHeight w:val="855"/>
        </w:trPr>
        <w:tc>
          <w:tcPr>
            <w:tcW w:w="2535" w:type="dxa"/>
          </w:tcPr>
          <w:p w14:paraId="194FC277" w14:textId="469D4455" w:rsidR="00B97DAB" w:rsidRDefault="00B97DAB">
            <w:r>
              <w:t xml:space="preserve">For the treatment of </w:t>
            </w:r>
          </w:p>
        </w:tc>
        <w:tc>
          <w:tcPr>
            <w:tcW w:w="6481" w:type="dxa"/>
          </w:tcPr>
          <w:p w14:paraId="23E416B7" w14:textId="4B8B3DA4" w:rsidR="00416BD7" w:rsidRDefault="1E3F4E70" w:rsidP="00144CF4">
            <w:r>
              <w:t>P</w:t>
            </w:r>
            <w:r w:rsidR="00DB17B1">
              <w:t xml:space="preserve">ost-traumatic scarring (including </w:t>
            </w:r>
            <w:r w:rsidR="00144CF4">
              <w:t>post-surgical</w:t>
            </w:r>
            <w:r w:rsidR="00DB17B1">
              <w:t>)</w:t>
            </w:r>
            <w:r w:rsidR="587C47B9">
              <w:t>,</w:t>
            </w:r>
            <w:r w:rsidR="00DB17B1">
              <w:t xml:space="preserve"> acne scarring</w:t>
            </w:r>
            <w:r w:rsidR="2D6B7F85">
              <w:t xml:space="preserve">, </w:t>
            </w:r>
            <w:r w:rsidR="00DB17B1">
              <w:t>rhinophyma</w:t>
            </w:r>
            <w:r w:rsidR="7455C308">
              <w:t>.</w:t>
            </w:r>
          </w:p>
        </w:tc>
      </w:tr>
      <w:tr w:rsidR="00113D9B" w14:paraId="3D720573" w14:textId="77777777" w:rsidTr="053216B5">
        <w:trPr>
          <w:trHeight w:val="1710"/>
        </w:trPr>
        <w:tc>
          <w:tcPr>
            <w:tcW w:w="2535" w:type="dxa"/>
          </w:tcPr>
          <w:p w14:paraId="6B55BECB" w14:textId="291589DB" w:rsidR="00113D9B" w:rsidRDefault="00113D9B" w:rsidP="00113D9B">
            <w:r>
              <w:t xml:space="preserve">Commissioning Position </w:t>
            </w:r>
          </w:p>
        </w:tc>
        <w:tc>
          <w:tcPr>
            <w:tcW w:w="6481" w:type="dxa"/>
          </w:tcPr>
          <w:p w14:paraId="53855746" w14:textId="39A9C3F4" w:rsidR="00177C4D" w:rsidRDefault="01636C02" w:rsidP="7A5C2D0E">
            <w:pPr>
              <w:pStyle w:val="paragraph"/>
              <w:spacing w:before="0" w:beforeAutospacing="0" w:after="0" w:afterAutospacing="0"/>
              <w:textAlignment w:val="baseline"/>
            </w:pPr>
            <w:r w:rsidRPr="7A5C2D0E">
              <w:rPr>
                <w:rFonts w:asciiTheme="minorHAnsi" w:eastAsiaTheme="minorEastAsia" w:hAnsiTheme="minorHAnsi" w:cstheme="minorBidi"/>
                <w:sz w:val="22"/>
                <w:szCs w:val="22"/>
              </w:rPr>
              <w:t>This intervention is not routinely commissioned and therefore should not be offered to patients. Application for funding approval can be made, using the IFR process, by the clinician recommending the intervention, if their assessment is that there are exceptional reasons why their patient could benefit from it</w:t>
            </w:r>
            <w:r w:rsidRPr="7A5C2D0E">
              <w:t>.</w:t>
            </w:r>
          </w:p>
        </w:tc>
      </w:tr>
      <w:tr w:rsidR="00113D9B" w14:paraId="2EEB5014" w14:textId="77777777" w:rsidTr="053216B5">
        <w:trPr>
          <w:trHeight w:val="405"/>
        </w:trPr>
        <w:tc>
          <w:tcPr>
            <w:tcW w:w="2535" w:type="dxa"/>
          </w:tcPr>
          <w:p w14:paraId="61460744" w14:textId="4F91494C" w:rsidR="00113D9B" w:rsidRDefault="00113D9B" w:rsidP="00113D9B">
            <w:r>
              <w:t>Summary of Rationale</w:t>
            </w:r>
          </w:p>
        </w:tc>
        <w:tc>
          <w:tcPr>
            <w:tcW w:w="6481" w:type="dxa"/>
          </w:tcPr>
          <w:p w14:paraId="5691B576" w14:textId="006C8D2B" w:rsidR="00113D9B" w:rsidRDefault="24C85C36" w:rsidP="00113D9B">
            <w:r w:rsidRPr="311211FE">
              <w:rPr>
                <w:rStyle w:val="normaltextrun"/>
                <w:rFonts w:ascii="Calibri" w:eastAsia="Times New Roman" w:hAnsi="Calibri" w:cs="Calibri"/>
                <w:lang w:eastAsia="en-GB"/>
              </w:rPr>
              <w:t>Cosmetic surgery is not routinely provided on the NHS.</w:t>
            </w:r>
          </w:p>
        </w:tc>
      </w:tr>
      <w:tr w:rsidR="00113D9B" w14:paraId="45DC12DB" w14:textId="77777777" w:rsidTr="053216B5">
        <w:tc>
          <w:tcPr>
            <w:tcW w:w="2535" w:type="dxa"/>
          </w:tcPr>
          <w:p w14:paraId="5A47F1A1" w14:textId="4F582E47" w:rsidR="00113D9B" w:rsidRDefault="00113D9B" w:rsidP="00113D9B">
            <w:r>
              <w:t xml:space="preserve">References </w:t>
            </w:r>
          </w:p>
        </w:tc>
        <w:tc>
          <w:tcPr>
            <w:tcW w:w="6481" w:type="dxa"/>
          </w:tcPr>
          <w:p w14:paraId="150D9A10" w14:textId="16C7DE39" w:rsidR="000C6BCC" w:rsidRPr="0039492D" w:rsidRDefault="6FC903A3" w:rsidP="311211FE">
            <w:pPr>
              <w:rPr>
                <w:rFonts w:ascii="Calibri" w:eastAsia="Calibri" w:hAnsi="Calibri" w:cs="Calibri"/>
              </w:rPr>
            </w:pPr>
            <w:hyperlink r:id="rId10">
              <w:r w:rsidRPr="5578E620">
                <w:rPr>
                  <w:rStyle w:val="Hyperlink"/>
                  <w:rFonts w:ascii="Calibri" w:eastAsia="Calibri" w:hAnsi="Calibri" w:cs="Calibri"/>
                </w:rPr>
                <w:t xml:space="preserve">Is cosmetic surgery available on the NHS? </w:t>
              </w:r>
              <w:r w:rsidR="54BB57F1" w:rsidRPr="5578E620">
                <w:rPr>
                  <w:rStyle w:val="Hyperlink"/>
                  <w:rFonts w:ascii="Calibri" w:eastAsia="Calibri" w:hAnsi="Calibri" w:cs="Calibri"/>
                </w:rPr>
                <w:t>(NHS) (www.nhs.uk)</w:t>
              </w:r>
            </w:hyperlink>
          </w:p>
        </w:tc>
      </w:tr>
      <w:tr w:rsidR="00113D9B" w14:paraId="2F64E887" w14:textId="77777777" w:rsidTr="053216B5">
        <w:tc>
          <w:tcPr>
            <w:tcW w:w="2535" w:type="dxa"/>
          </w:tcPr>
          <w:p w14:paraId="26CC3A7F" w14:textId="3F59DDFA" w:rsidR="00113D9B" w:rsidRDefault="00113D9B" w:rsidP="00113D9B">
            <w:r>
              <w:t>Effective from</w:t>
            </w:r>
          </w:p>
        </w:tc>
        <w:tc>
          <w:tcPr>
            <w:tcW w:w="6481" w:type="dxa"/>
          </w:tcPr>
          <w:p w14:paraId="03ECD2F0" w14:textId="4320DF93" w:rsidR="00113D9B" w:rsidRDefault="49A890A7" w:rsidP="00113D9B">
            <w:r>
              <w:t>January 2025</w:t>
            </w:r>
          </w:p>
        </w:tc>
      </w:tr>
      <w:tr w:rsidR="00113D9B" w14:paraId="2C1E1213" w14:textId="77777777" w:rsidTr="053216B5">
        <w:tc>
          <w:tcPr>
            <w:tcW w:w="2535" w:type="dxa"/>
          </w:tcPr>
          <w:p w14:paraId="4D394461" w14:textId="4D85EBE7" w:rsidR="00113D9B" w:rsidRDefault="00113D9B" w:rsidP="00113D9B">
            <w:r>
              <w:t xml:space="preserve">Policy Review Date </w:t>
            </w:r>
          </w:p>
        </w:tc>
        <w:tc>
          <w:tcPr>
            <w:tcW w:w="6481" w:type="dxa"/>
          </w:tcPr>
          <w:p w14:paraId="29012611" w14:textId="67E6FC28" w:rsidR="00113D9B" w:rsidRDefault="79188ADF" w:rsidP="00113D9B">
            <w:r>
              <w:t>January 2028</w:t>
            </w:r>
          </w:p>
        </w:tc>
      </w:tr>
    </w:tbl>
    <w:p w14:paraId="18EDB3DD" w14:textId="77777777" w:rsidR="000E104F" w:rsidRDefault="000E104F"/>
    <w:sectPr w:rsidR="000E104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C551A" w14:textId="77777777" w:rsidR="00C55041" w:rsidRDefault="00C55041">
      <w:pPr>
        <w:spacing w:after="0" w:line="240" w:lineRule="auto"/>
      </w:pPr>
      <w:r>
        <w:separator/>
      </w:r>
    </w:p>
  </w:endnote>
  <w:endnote w:type="continuationSeparator" w:id="0">
    <w:p w14:paraId="7317542A" w14:textId="77777777" w:rsidR="00C55041" w:rsidRDefault="00C55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E442F" w14:textId="77777777" w:rsidR="00A30AB4" w:rsidRDefault="00A30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1938A" w14:textId="2C299731" w:rsidR="00A30AB4" w:rsidRDefault="00A30AB4">
    <w:pPr>
      <w:pStyle w:val="Footer"/>
    </w:pPr>
    <w:r>
      <w:t>AES 3.10.24</w:t>
    </w:r>
  </w:p>
  <w:p w14:paraId="4A8E2A0F" w14:textId="0AF419A2" w:rsidR="7E0A7EF1" w:rsidRDefault="7E0A7EF1" w:rsidP="7E0A7E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3E2D3" w14:textId="77777777" w:rsidR="00A30AB4" w:rsidRDefault="00A30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C1D03" w14:textId="77777777" w:rsidR="00C55041" w:rsidRDefault="00C55041">
      <w:pPr>
        <w:spacing w:after="0" w:line="240" w:lineRule="auto"/>
      </w:pPr>
      <w:r>
        <w:separator/>
      </w:r>
    </w:p>
  </w:footnote>
  <w:footnote w:type="continuationSeparator" w:id="0">
    <w:p w14:paraId="1CBFF2CE" w14:textId="77777777" w:rsidR="00C55041" w:rsidRDefault="00C55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222F9" w14:textId="77777777" w:rsidR="00A30AB4" w:rsidRDefault="00A30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DCDC9" w14:textId="127291D3" w:rsidR="7E0A7EF1" w:rsidRDefault="7E0A7EF1" w:rsidP="7E0A7EF1">
    <w:pPr>
      <w:pStyle w:val="Header"/>
    </w:pPr>
    <w:r>
      <w:rPr>
        <w:noProof/>
      </w:rPr>
      <w:drawing>
        <wp:inline distT="0" distB="0" distL="0" distR="0" wp14:anchorId="78DC3094" wp14:editId="05170533">
          <wp:extent cx="2905125" cy="552450"/>
          <wp:effectExtent l="0" t="0" r="0" b="0"/>
          <wp:docPr id="192037157" name="Picture 1920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905125" cy="552450"/>
                  </a:xfrm>
                  <a:prstGeom prst="rect">
                    <a:avLst/>
                  </a:prstGeom>
                </pic:spPr>
              </pic:pic>
            </a:graphicData>
          </a:graphic>
        </wp:inline>
      </w:drawing>
    </w:r>
    <w:r>
      <w:tab/>
    </w:r>
    <w:r>
      <w:tab/>
    </w:r>
    <w:r>
      <w:rPr>
        <w:noProof/>
      </w:rPr>
      <w:drawing>
        <wp:inline distT="0" distB="0" distL="0" distR="0" wp14:anchorId="57C2E40D" wp14:editId="78B61C03">
          <wp:extent cx="1581150" cy="838200"/>
          <wp:effectExtent l="0" t="0" r="0" b="0"/>
          <wp:docPr id="401433085" name="Picture 40143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81150" cy="838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206E9" w14:textId="77777777" w:rsidR="00A30AB4" w:rsidRDefault="00A30AB4">
    <w:pPr>
      <w:pStyle w:val="Header"/>
    </w:pPr>
  </w:p>
</w:hdr>
</file>

<file path=word/intelligence2.xml><?xml version="1.0" encoding="utf-8"?>
<int2:intelligence xmlns:int2="http://schemas.microsoft.com/office/intelligence/2020/intelligence" xmlns:oel="http://schemas.microsoft.com/office/2019/extlst">
  <int2:observations>
    <int2:textHash int2:hashCode="MpvZB7MKQ7i+4f" int2:id="CED87Hc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237DC"/>
    <w:multiLevelType w:val="hybridMultilevel"/>
    <w:tmpl w:val="81E26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5ADCC2"/>
    <w:multiLevelType w:val="hybridMultilevel"/>
    <w:tmpl w:val="BD282952"/>
    <w:lvl w:ilvl="0" w:tplc="9E500C80">
      <w:start w:val="1"/>
      <w:numFmt w:val="bullet"/>
      <w:lvlText w:val=""/>
      <w:lvlJc w:val="left"/>
      <w:pPr>
        <w:ind w:left="720" w:hanging="360"/>
      </w:pPr>
      <w:rPr>
        <w:rFonts w:ascii="Symbol" w:hAnsi="Symbol" w:hint="default"/>
      </w:rPr>
    </w:lvl>
    <w:lvl w:ilvl="1" w:tplc="F68054DA">
      <w:start w:val="1"/>
      <w:numFmt w:val="bullet"/>
      <w:lvlText w:val="o"/>
      <w:lvlJc w:val="left"/>
      <w:pPr>
        <w:ind w:left="1440" w:hanging="360"/>
      </w:pPr>
      <w:rPr>
        <w:rFonts w:ascii="Courier New" w:hAnsi="Courier New" w:hint="default"/>
      </w:rPr>
    </w:lvl>
    <w:lvl w:ilvl="2" w:tplc="BFE8AF4A">
      <w:start w:val="1"/>
      <w:numFmt w:val="bullet"/>
      <w:lvlText w:val=""/>
      <w:lvlJc w:val="left"/>
      <w:pPr>
        <w:ind w:left="2160" w:hanging="360"/>
      </w:pPr>
      <w:rPr>
        <w:rFonts w:ascii="Wingdings" w:hAnsi="Wingdings" w:hint="default"/>
      </w:rPr>
    </w:lvl>
    <w:lvl w:ilvl="3" w:tplc="609A7780">
      <w:start w:val="1"/>
      <w:numFmt w:val="bullet"/>
      <w:lvlText w:val=""/>
      <w:lvlJc w:val="left"/>
      <w:pPr>
        <w:ind w:left="2880" w:hanging="360"/>
      </w:pPr>
      <w:rPr>
        <w:rFonts w:ascii="Symbol" w:hAnsi="Symbol" w:hint="default"/>
      </w:rPr>
    </w:lvl>
    <w:lvl w:ilvl="4" w:tplc="CA862036">
      <w:start w:val="1"/>
      <w:numFmt w:val="bullet"/>
      <w:lvlText w:val="o"/>
      <w:lvlJc w:val="left"/>
      <w:pPr>
        <w:ind w:left="3600" w:hanging="360"/>
      </w:pPr>
      <w:rPr>
        <w:rFonts w:ascii="Courier New" w:hAnsi="Courier New" w:hint="default"/>
      </w:rPr>
    </w:lvl>
    <w:lvl w:ilvl="5" w:tplc="329AA2A6">
      <w:start w:val="1"/>
      <w:numFmt w:val="bullet"/>
      <w:lvlText w:val=""/>
      <w:lvlJc w:val="left"/>
      <w:pPr>
        <w:ind w:left="4320" w:hanging="360"/>
      </w:pPr>
      <w:rPr>
        <w:rFonts w:ascii="Wingdings" w:hAnsi="Wingdings" w:hint="default"/>
      </w:rPr>
    </w:lvl>
    <w:lvl w:ilvl="6" w:tplc="272AE198">
      <w:start w:val="1"/>
      <w:numFmt w:val="bullet"/>
      <w:lvlText w:val=""/>
      <w:lvlJc w:val="left"/>
      <w:pPr>
        <w:ind w:left="5040" w:hanging="360"/>
      </w:pPr>
      <w:rPr>
        <w:rFonts w:ascii="Symbol" w:hAnsi="Symbol" w:hint="default"/>
      </w:rPr>
    </w:lvl>
    <w:lvl w:ilvl="7" w:tplc="00728362">
      <w:start w:val="1"/>
      <w:numFmt w:val="bullet"/>
      <w:lvlText w:val="o"/>
      <w:lvlJc w:val="left"/>
      <w:pPr>
        <w:ind w:left="5760" w:hanging="360"/>
      </w:pPr>
      <w:rPr>
        <w:rFonts w:ascii="Courier New" w:hAnsi="Courier New" w:hint="default"/>
      </w:rPr>
    </w:lvl>
    <w:lvl w:ilvl="8" w:tplc="A89C012C">
      <w:start w:val="1"/>
      <w:numFmt w:val="bullet"/>
      <w:lvlText w:val=""/>
      <w:lvlJc w:val="left"/>
      <w:pPr>
        <w:ind w:left="6480" w:hanging="360"/>
      </w:pPr>
      <w:rPr>
        <w:rFonts w:ascii="Wingdings" w:hAnsi="Wingdings" w:hint="default"/>
      </w:rPr>
    </w:lvl>
  </w:abstractNum>
  <w:abstractNum w:abstractNumId="2" w15:restartNumberingAfterBreak="0">
    <w:nsid w:val="238D22AB"/>
    <w:multiLevelType w:val="hybridMultilevel"/>
    <w:tmpl w:val="49A6B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8A1966"/>
    <w:multiLevelType w:val="hybridMultilevel"/>
    <w:tmpl w:val="6732880C"/>
    <w:lvl w:ilvl="0" w:tplc="71F07238">
      <w:start w:val="5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4914B13"/>
    <w:multiLevelType w:val="multilevel"/>
    <w:tmpl w:val="AC1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46FE6"/>
    <w:multiLevelType w:val="hybridMultilevel"/>
    <w:tmpl w:val="61CAF2A8"/>
    <w:lvl w:ilvl="0" w:tplc="F752D0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45BC1"/>
    <w:multiLevelType w:val="hybridMultilevel"/>
    <w:tmpl w:val="7322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F7A1A"/>
    <w:multiLevelType w:val="hybridMultilevel"/>
    <w:tmpl w:val="F446C3C2"/>
    <w:lvl w:ilvl="0" w:tplc="DAA235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2201F5"/>
    <w:multiLevelType w:val="hybridMultilevel"/>
    <w:tmpl w:val="2EA82C80"/>
    <w:lvl w:ilvl="0" w:tplc="32D46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386344">
    <w:abstractNumId w:val="1"/>
  </w:num>
  <w:num w:numId="2" w16cid:durableId="1872303278">
    <w:abstractNumId w:val="10"/>
  </w:num>
  <w:num w:numId="3" w16cid:durableId="1147431926">
    <w:abstractNumId w:val="0"/>
  </w:num>
  <w:num w:numId="4" w16cid:durableId="890380511">
    <w:abstractNumId w:val="3"/>
  </w:num>
  <w:num w:numId="5" w16cid:durableId="1585725535">
    <w:abstractNumId w:val="9"/>
  </w:num>
  <w:num w:numId="6" w16cid:durableId="1128164145">
    <w:abstractNumId w:val="6"/>
  </w:num>
  <w:num w:numId="7" w16cid:durableId="1607155194">
    <w:abstractNumId w:val="8"/>
  </w:num>
  <w:num w:numId="8" w16cid:durableId="70854915">
    <w:abstractNumId w:val="2"/>
  </w:num>
  <w:num w:numId="9" w16cid:durableId="1686781628">
    <w:abstractNumId w:val="4"/>
  </w:num>
  <w:num w:numId="10" w16cid:durableId="1966278688">
    <w:abstractNumId w:val="5"/>
  </w:num>
  <w:num w:numId="11" w16cid:durableId="8647526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AB"/>
    <w:rsid w:val="000132FD"/>
    <w:rsid w:val="000C6BCC"/>
    <w:rsid w:val="000E104F"/>
    <w:rsid w:val="00113D9B"/>
    <w:rsid w:val="00144CF4"/>
    <w:rsid w:val="00177C4D"/>
    <w:rsid w:val="001816E6"/>
    <w:rsid w:val="002D97A4"/>
    <w:rsid w:val="00315AA0"/>
    <w:rsid w:val="00330790"/>
    <w:rsid w:val="0039492D"/>
    <w:rsid w:val="00416BD7"/>
    <w:rsid w:val="004C292B"/>
    <w:rsid w:val="005565A7"/>
    <w:rsid w:val="005820AB"/>
    <w:rsid w:val="005E3ADB"/>
    <w:rsid w:val="005F0F1D"/>
    <w:rsid w:val="00602F4F"/>
    <w:rsid w:val="00656075"/>
    <w:rsid w:val="00702D52"/>
    <w:rsid w:val="007606C0"/>
    <w:rsid w:val="00784A20"/>
    <w:rsid w:val="007A1D76"/>
    <w:rsid w:val="007D5ED5"/>
    <w:rsid w:val="0080365B"/>
    <w:rsid w:val="0086083A"/>
    <w:rsid w:val="0093C44A"/>
    <w:rsid w:val="00946B0C"/>
    <w:rsid w:val="009D48EB"/>
    <w:rsid w:val="00A21761"/>
    <w:rsid w:val="00A30AB4"/>
    <w:rsid w:val="00A3349A"/>
    <w:rsid w:val="00A719FC"/>
    <w:rsid w:val="00AA38E1"/>
    <w:rsid w:val="00AE39A5"/>
    <w:rsid w:val="00B835D0"/>
    <w:rsid w:val="00B97DAB"/>
    <w:rsid w:val="00BC27F1"/>
    <w:rsid w:val="00BD21C4"/>
    <w:rsid w:val="00C5358B"/>
    <w:rsid w:val="00C55041"/>
    <w:rsid w:val="00C62B3B"/>
    <w:rsid w:val="00CD4596"/>
    <w:rsid w:val="00D81158"/>
    <w:rsid w:val="00DB17B1"/>
    <w:rsid w:val="00DD0F1E"/>
    <w:rsid w:val="00DD4A29"/>
    <w:rsid w:val="00E17065"/>
    <w:rsid w:val="00E23A5B"/>
    <w:rsid w:val="00EB3CFA"/>
    <w:rsid w:val="00ED5143"/>
    <w:rsid w:val="00F012EF"/>
    <w:rsid w:val="00F9067A"/>
    <w:rsid w:val="00FF3EE2"/>
    <w:rsid w:val="00FF6EF3"/>
    <w:rsid w:val="01636C02"/>
    <w:rsid w:val="01A0723A"/>
    <w:rsid w:val="02B3C44F"/>
    <w:rsid w:val="053216B5"/>
    <w:rsid w:val="09D23AE4"/>
    <w:rsid w:val="0B6A0C66"/>
    <w:rsid w:val="0DCB6B24"/>
    <w:rsid w:val="0E2289EC"/>
    <w:rsid w:val="17AECED6"/>
    <w:rsid w:val="18BB540F"/>
    <w:rsid w:val="1BC662FA"/>
    <w:rsid w:val="1C8B89BA"/>
    <w:rsid w:val="1D7BA3D8"/>
    <w:rsid w:val="1DD6F1EE"/>
    <w:rsid w:val="1E3F4E70"/>
    <w:rsid w:val="1F92CEBE"/>
    <w:rsid w:val="229E4C0C"/>
    <w:rsid w:val="236D715C"/>
    <w:rsid w:val="237966E0"/>
    <w:rsid w:val="24C85C36"/>
    <w:rsid w:val="24D5FB3E"/>
    <w:rsid w:val="2518450F"/>
    <w:rsid w:val="2A602EEE"/>
    <w:rsid w:val="2B649425"/>
    <w:rsid w:val="2B9E4B41"/>
    <w:rsid w:val="2BF356F9"/>
    <w:rsid w:val="2D6B7F85"/>
    <w:rsid w:val="2E9F2429"/>
    <w:rsid w:val="311211FE"/>
    <w:rsid w:val="3194BA9C"/>
    <w:rsid w:val="34A4DACD"/>
    <w:rsid w:val="34B68F6F"/>
    <w:rsid w:val="389181A6"/>
    <w:rsid w:val="39BAF3F0"/>
    <w:rsid w:val="3B26CDE2"/>
    <w:rsid w:val="3B526FD8"/>
    <w:rsid w:val="3FF48BFB"/>
    <w:rsid w:val="44709B3A"/>
    <w:rsid w:val="44DFFF9E"/>
    <w:rsid w:val="45497F20"/>
    <w:rsid w:val="492132F9"/>
    <w:rsid w:val="49A890A7"/>
    <w:rsid w:val="4CADA413"/>
    <w:rsid w:val="4D8DD7CD"/>
    <w:rsid w:val="4F9A594B"/>
    <w:rsid w:val="506D4E92"/>
    <w:rsid w:val="509D0A6E"/>
    <w:rsid w:val="5251CDE5"/>
    <w:rsid w:val="54BB57F1"/>
    <w:rsid w:val="5578E620"/>
    <w:rsid w:val="56541B87"/>
    <w:rsid w:val="56FDB0F3"/>
    <w:rsid w:val="587C47B9"/>
    <w:rsid w:val="5889EC3A"/>
    <w:rsid w:val="590183D6"/>
    <w:rsid w:val="5EEF045C"/>
    <w:rsid w:val="618E33EE"/>
    <w:rsid w:val="62E581D5"/>
    <w:rsid w:val="6454475A"/>
    <w:rsid w:val="684015C6"/>
    <w:rsid w:val="68DC3405"/>
    <w:rsid w:val="6B712061"/>
    <w:rsid w:val="6E526F85"/>
    <w:rsid w:val="6E871A8F"/>
    <w:rsid w:val="6E9F8733"/>
    <w:rsid w:val="6FC903A3"/>
    <w:rsid w:val="72F30E7F"/>
    <w:rsid w:val="7455C308"/>
    <w:rsid w:val="788B39B6"/>
    <w:rsid w:val="79188ADF"/>
    <w:rsid w:val="79BC8E83"/>
    <w:rsid w:val="7A5C2D0E"/>
    <w:rsid w:val="7ADC5D01"/>
    <w:rsid w:val="7D4E534E"/>
    <w:rsid w:val="7D588AA7"/>
    <w:rsid w:val="7E0A7EF1"/>
    <w:rsid w:val="7E9E567C"/>
    <w:rsid w:val="7F3030AF"/>
    <w:rsid w:val="7F6C6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3799D"/>
  <w15:chartTrackingRefBased/>
  <w15:docId w15:val="{F1D33F2A-868D-425A-BE63-2D9A010A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DAB"/>
    <w:pPr>
      <w:ind w:left="720"/>
      <w:contextualSpacing/>
    </w:pPr>
  </w:style>
  <w:style w:type="character" w:styleId="Hyperlink">
    <w:name w:val="Hyperlink"/>
    <w:basedOn w:val="DefaultParagraphFont"/>
    <w:uiPriority w:val="99"/>
    <w:unhideWhenUsed/>
    <w:rsid w:val="007A1D76"/>
    <w:rPr>
      <w:color w:val="0000FF"/>
      <w:u w:val="single"/>
    </w:rPr>
  </w:style>
  <w:style w:type="character" w:styleId="FollowedHyperlink">
    <w:name w:val="FollowedHyperlink"/>
    <w:basedOn w:val="DefaultParagraphFont"/>
    <w:uiPriority w:val="99"/>
    <w:semiHidden/>
    <w:unhideWhenUsed/>
    <w:rsid w:val="007A1D76"/>
    <w:rPr>
      <w:color w:val="954F72" w:themeColor="followedHyperlink"/>
      <w:u w:val="single"/>
    </w:rPr>
  </w:style>
  <w:style w:type="character" w:styleId="CommentReference">
    <w:name w:val="annotation reference"/>
    <w:basedOn w:val="DefaultParagraphFont"/>
    <w:uiPriority w:val="99"/>
    <w:semiHidden/>
    <w:unhideWhenUsed/>
    <w:rsid w:val="00A719FC"/>
    <w:rPr>
      <w:sz w:val="16"/>
      <w:szCs w:val="16"/>
    </w:rPr>
  </w:style>
  <w:style w:type="paragraph" w:styleId="CommentText">
    <w:name w:val="annotation text"/>
    <w:basedOn w:val="Normal"/>
    <w:link w:val="CommentTextChar"/>
    <w:uiPriority w:val="99"/>
    <w:unhideWhenUsed/>
    <w:rsid w:val="00A719FC"/>
    <w:pPr>
      <w:spacing w:line="240" w:lineRule="auto"/>
    </w:pPr>
    <w:rPr>
      <w:sz w:val="20"/>
      <w:szCs w:val="20"/>
    </w:rPr>
  </w:style>
  <w:style w:type="character" w:customStyle="1" w:styleId="CommentTextChar">
    <w:name w:val="Comment Text Char"/>
    <w:basedOn w:val="DefaultParagraphFont"/>
    <w:link w:val="CommentText"/>
    <w:uiPriority w:val="99"/>
    <w:rsid w:val="00A719FC"/>
    <w:rPr>
      <w:sz w:val="20"/>
      <w:szCs w:val="20"/>
    </w:rPr>
  </w:style>
  <w:style w:type="paragraph" w:styleId="CommentSubject">
    <w:name w:val="annotation subject"/>
    <w:basedOn w:val="CommentText"/>
    <w:next w:val="CommentText"/>
    <w:link w:val="CommentSubjectChar"/>
    <w:uiPriority w:val="99"/>
    <w:semiHidden/>
    <w:unhideWhenUsed/>
    <w:rsid w:val="00A719FC"/>
    <w:rPr>
      <w:b/>
      <w:bCs/>
    </w:rPr>
  </w:style>
  <w:style w:type="character" w:customStyle="1" w:styleId="CommentSubjectChar">
    <w:name w:val="Comment Subject Char"/>
    <w:basedOn w:val="CommentTextChar"/>
    <w:link w:val="CommentSubject"/>
    <w:uiPriority w:val="99"/>
    <w:semiHidden/>
    <w:rsid w:val="00A719FC"/>
    <w:rPr>
      <w:b/>
      <w:bCs/>
      <w:sz w:val="20"/>
      <w:szCs w:val="20"/>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820A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820AB"/>
  </w:style>
  <w:style w:type="character" w:customStyle="1" w:styleId="eop">
    <w:name w:val="eop"/>
    <w:basedOn w:val="DefaultParagraphFont"/>
    <w:rsid w:val="005820AB"/>
  </w:style>
  <w:style w:type="character" w:styleId="UnresolvedMention">
    <w:name w:val="Unresolved Mention"/>
    <w:basedOn w:val="DefaultParagraphFont"/>
    <w:uiPriority w:val="99"/>
    <w:semiHidden/>
    <w:unhideWhenUsed/>
    <w:rsid w:val="00144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2537">
      <w:bodyDiv w:val="1"/>
      <w:marLeft w:val="0"/>
      <w:marRight w:val="0"/>
      <w:marTop w:val="0"/>
      <w:marBottom w:val="0"/>
      <w:divBdr>
        <w:top w:val="none" w:sz="0" w:space="0" w:color="auto"/>
        <w:left w:val="none" w:sz="0" w:space="0" w:color="auto"/>
        <w:bottom w:val="none" w:sz="0" w:space="0" w:color="auto"/>
        <w:right w:val="none" w:sz="0" w:space="0" w:color="auto"/>
      </w:divBdr>
      <w:divsChild>
        <w:div w:id="382680300">
          <w:marLeft w:val="0"/>
          <w:marRight w:val="0"/>
          <w:marTop w:val="0"/>
          <w:marBottom w:val="0"/>
          <w:divBdr>
            <w:top w:val="none" w:sz="0" w:space="0" w:color="auto"/>
            <w:left w:val="none" w:sz="0" w:space="0" w:color="auto"/>
            <w:bottom w:val="none" w:sz="0" w:space="0" w:color="auto"/>
            <w:right w:val="none" w:sz="0" w:space="0" w:color="auto"/>
          </w:divBdr>
        </w:div>
        <w:div w:id="1824665276">
          <w:marLeft w:val="0"/>
          <w:marRight w:val="0"/>
          <w:marTop w:val="0"/>
          <w:marBottom w:val="0"/>
          <w:divBdr>
            <w:top w:val="none" w:sz="0" w:space="0" w:color="auto"/>
            <w:left w:val="none" w:sz="0" w:space="0" w:color="auto"/>
            <w:bottom w:val="none" w:sz="0" w:space="0" w:color="auto"/>
            <w:right w:val="none" w:sz="0" w:space="0" w:color="auto"/>
          </w:divBdr>
        </w:div>
        <w:div w:id="1851485153">
          <w:marLeft w:val="0"/>
          <w:marRight w:val="0"/>
          <w:marTop w:val="0"/>
          <w:marBottom w:val="0"/>
          <w:divBdr>
            <w:top w:val="none" w:sz="0" w:space="0" w:color="auto"/>
            <w:left w:val="none" w:sz="0" w:space="0" w:color="auto"/>
            <w:bottom w:val="none" w:sz="0" w:space="0" w:color="auto"/>
            <w:right w:val="none" w:sz="0" w:space="0" w:color="auto"/>
          </w:divBdr>
        </w:div>
        <w:div w:id="818421869">
          <w:marLeft w:val="0"/>
          <w:marRight w:val="0"/>
          <w:marTop w:val="0"/>
          <w:marBottom w:val="0"/>
          <w:divBdr>
            <w:top w:val="none" w:sz="0" w:space="0" w:color="auto"/>
            <w:left w:val="none" w:sz="0" w:space="0" w:color="auto"/>
            <w:bottom w:val="none" w:sz="0" w:space="0" w:color="auto"/>
            <w:right w:val="none" w:sz="0" w:space="0" w:color="auto"/>
          </w:divBdr>
        </w:div>
      </w:divsChild>
    </w:div>
    <w:div w:id="370035583">
      <w:bodyDiv w:val="1"/>
      <w:marLeft w:val="0"/>
      <w:marRight w:val="0"/>
      <w:marTop w:val="0"/>
      <w:marBottom w:val="0"/>
      <w:divBdr>
        <w:top w:val="none" w:sz="0" w:space="0" w:color="auto"/>
        <w:left w:val="none" w:sz="0" w:space="0" w:color="auto"/>
        <w:bottom w:val="none" w:sz="0" w:space="0" w:color="auto"/>
        <w:right w:val="none" w:sz="0" w:space="0" w:color="auto"/>
      </w:divBdr>
      <w:divsChild>
        <w:div w:id="1485242896">
          <w:marLeft w:val="0"/>
          <w:marRight w:val="0"/>
          <w:marTop w:val="0"/>
          <w:marBottom w:val="0"/>
          <w:divBdr>
            <w:top w:val="none" w:sz="0" w:space="0" w:color="auto"/>
            <w:left w:val="none" w:sz="0" w:space="0" w:color="auto"/>
            <w:bottom w:val="none" w:sz="0" w:space="0" w:color="auto"/>
            <w:right w:val="none" w:sz="0" w:space="0" w:color="auto"/>
          </w:divBdr>
        </w:div>
        <w:div w:id="374820199">
          <w:marLeft w:val="0"/>
          <w:marRight w:val="0"/>
          <w:marTop w:val="0"/>
          <w:marBottom w:val="0"/>
          <w:divBdr>
            <w:top w:val="none" w:sz="0" w:space="0" w:color="auto"/>
            <w:left w:val="none" w:sz="0" w:space="0" w:color="auto"/>
            <w:bottom w:val="none" w:sz="0" w:space="0" w:color="auto"/>
            <w:right w:val="none" w:sz="0" w:space="0" w:color="auto"/>
          </w:divBdr>
        </w:div>
        <w:div w:id="2122530908">
          <w:marLeft w:val="0"/>
          <w:marRight w:val="0"/>
          <w:marTop w:val="0"/>
          <w:marBottom w:val="0"/>
          <w:divBdr>
            <w:top w:val="none" w:sz="0" w:space="0" w:color="auto"/>
            <w:left w:val="none" w:sz="0" w:space="0" w:color="auto"/>
            <w:bottom w:val="none" w:sz="0" w:space="0" w:color="auto"/>
            <w:right w:val="none" w:sz="0" w:space="0" w:color="auto"/>
          </w:divBdr>
        </w:div>
      </w:divsChild>
    </w:div>
    <w:div w:id="4849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hs.uk/conditions/cosmetic-procedures/advice/cosmetic-procedures-on-the-nhs/"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3a27a0-5bd1-4826-8a06-13af7378a15a">
      <Terms xmlns="http://schemas.microsoft.com/office/infopath/2007/PartnerControls"/>
    </lcf76f155ced4ddcb4097134ff3c332f>
    <TaxCatchAll xmlns="f3067cdb-6540-48a2-9007-7587a8c1b0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C4934F7B0CB64FB712635246851451" ma:contentTypeVersion="14" ma:contentTypeDescription="Create a new document." ma:contentTypeScope="" ma:versionID="c9425648ac719d32d7dec3fe6dedc87b">
  <xsd:schema xmlns:xsd="http://www.w3.org/2001/XMLSchema" xmlns:xs="http://www.w3.org/2001/XMLSchema" xmlns:p="http://schemas.microsoft.com/office/2006/metadata/properties" xmlns:ns1="http://schemas.microsoft.com/sharepoint/v3" xmlns:ns2="5f3a27a0-5bd1-4826-8a06-13af7378a15a" xmlns:ns3="f3067cdb-6540-48a2-9007-7587a8c1b009" targetNamespace="http://schemas.microsoft.com/office/2006/metadata/properties" ma:root="true" ma:fieldsID="12f5ce4f5736c4bba1e66b482f48bbfd" ns1:_="" ns2:_="" ns3:_="">
    <xsd:import namespace="http://schemas.microsoft.com/sharepoint/v3"/>
    <xsd:import namespace="5f3a27a0-5bd1-4826-8a06-13af7378a15a"/>
    <xsd:import namespace="f3067cdb-6540-48a2-9007-7587a8c1b0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a27a0-5bd1-4826-8a06-13af737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67cdb-6540-48a2-9007-7587a8c1b0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26a901-8310-4a0f-879f-ab13f29bf486}" ma:internalName="TaxCatchAll" ma:showField="CatchAllData" ma:web="f3067cdb-6540-48a2-9007-7587a8c1b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E2BB1-B746-425F-8753-9F82113632BA}">
  <ds:schemaRefs>
    <ds:schemaRef ds:uri="1365388d-8e0b-4df5-a0a3-cd102b49988e"/>
    <ds:schemaRef ds:uri="f6a82410-35a1-48d9-a432-e298e5b95e46"/>
    <ds:schemaRef ds:uri="http://purl.org/dc/terms/"/>
    <ds:schemaRef ds:uri="http://schemas.microsoft.com/sharepoint/v3"/>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FBBD2CD-97AF-407D-915F-1CD1CD696BF3}">
  <ds:schemaRefs>
    <ds:schemaRef ds:uri="http://schemas.microsoft.com/sharepoint/v3/contenttype/forms"/>
  </ds:schemaRefs>
</ds:datastoreItem>
</file>

<file path=customXml/itemProps3.xml><?xml version="1.0" encoding="utf-8"?>
<ds:datastoreItem xmlns:ds="http://schemas.openxmlformats.org/officeDocument/2006/customXml" ds:itemID="{A93626BE-7198-403B-A24E-D9F2E41E08F5}"/>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Company>NHS</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SPALDING, Anne (THE ROXTON PRACTICE)</dc:creator>
  <cp:keywords/>
  <dc:description/>
  <cp:lastModifiedBy>BLACK, Rebecca (NHS HUMBER AND NORTH YORKSHIRE ICB - 02Y)</cp:lastModifiedBy>
  <cp:revision>2</cp:revision>
  <dcterms:created xsi:type="dcterms:W3CDTF">2025-03-19T15:51:00Z</dcterms:created>
  <dcterms:modified xsi:type="dcterms:W3CDTF">2025-03-19T15:51:00Z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0x0101008DC4934F7B0CB64FB712635246851451</vt:lpwstr>
  </property>
  <property fmtid="{D5CDD505-2E9C-101B-9397-08002B2CF9AE}" pid="3" name="MediaServiceImageTags">
    <vt:lpwstr/>
  </property>
  <property fmtid="{D5CDD505-2E9C-101B-9397-08002B2CF9AE}" pid="4" name="Order">
    <vt:r8>50700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