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95"/>
        <w:gridCol w:w="6421"/>
      </w:tblGrid>
      <w:tr w:rsidR="00B97DAB" w14:paraId="3F32C22B" w14:textId="77777777" w:rsidTr="50E2E20E">
        <w:tc>
          <w:tcPr>
            <w:tcW w:w="2595" w:type="dxa"/>
          </w:tcPr>
          <w:p w14:paraId="2137C5A4" w14:textId="11B48F23" w:rsidR="00B97DAB" w:rsidRDefault="00B97DAB">
            <w:r>
              <w:t xml:space="preserve">Intervention </w:t>
            </w:r>
          </w:p>
        </w:tc>
        <w:tc>
          <w:tcPr>
            <w:tcW w:w="6421" w:type="dxa"/>
          </w:tcPr>
          <w:p w14:paraId="73A5EAEF" w14:textId="63184AEB" w:rsidR="00B97DAB" w:rsidRPr="00ED5143" w:rsidRDefault="031C9C5B" w:rsidP="25C9FF3D">
            <w:pPr>
              <w:rPr>
                <w:b/>
                <w:bCs/>
                <w:lang w:val="en-US"/>
              </w:rPr>
            </w:pPr>
            <w:r w:rsidRPr="50E2E20E">
              <w:rPr>
                <w:b/>
                <w:bCs/>
                <w:lang w:val="en-US"/>
              </w:rPr>
              <w:t xml:space="preserve">098. </w:t>
            </w:r>
            <w:r w:rsidR="6930269E" w:rsidRPr="50E2E20E">
              <w:rPr>
                <w:b/>
                <w:bCs/>
                <w:lang w:val="en-US"/>
              </w:rPr>
              <w:t>Breast Enlargement Surgery</w:t>
            </w:r>
          </w:p>
        </w:tc>
      </w:tr>
      <w:tr w:rsidR="00B97DAB" w14:paraId="004828E6" w14:textId="77777777" w:rsidTr="50E2E20E">
        <w:tc>
          <w:tcPr>
            <w:tcW w:w="2595" w:type="dxa"/>
          </w:tcPr>
          <w:p w14:paraId="194FC277" w14:textId="469D4455" w:rsidR="00B97DAB" w:rsidRDefault="00B97DAB">
            <w:r>
              <w:t xml:space="preserve">For the treatment of </w:t>
            </w:r>
          </w:p>
        </w:tc>
        <w:tc>
          <w:tcPr>
            <w:tcW w:w="6421" w:type="dxa"/>
          </w:tcPr>
          <w:p w14:paraId="23E416B7" w14:textId="5EC61438" w:rsidR="00656075" w:rsidRDefault="563C7358" w:rsidP="00330790">
            <w:r>
              <w:t>Abnormal/absent breast development</w:t>
            </w:r>
          </w:p>
        </w:tc>
      </w:tr>
      <w:tr w:rsidR="00113D9B" w14:paraId="3D720573" w14:textId="77777777" w:rsidTr="50E2E20E">
        <w:trPr>
          <w:trHeight w:val="2895"/>
        </w:trPr>
        <w:tc>
          <w:tcPr>
            <w:tcW w:w="2595" w:type="dxa"/>
          </w:tcPr>
          <w:p w14:paraId="6B55BECB" w14:textId="291589DB" w:rsidR="00113D9B" w:rsidRDefault="00113D9B" w:rsidP="00113D9B">
            <w:r>
              <w:t xml:space="preserve">Commissioning Position </w:t>
            </w:r>
          </w:p>
        </w:tc>
        <w:tc>
          <w:tcPr>
            <w:tcW w:w="6421" w:type="dxa"/>
          </w:tcPr>
          <w:p w14:paraId="6859A3ED" w14:textId="461B9844" w:rsidR="00177C4D" w:rsidRDefault="07EBF6E5" w:rsidP="0F0E8BE6">
            <w:pPr>
              <w:textAlignment w:val="baseline"/>
            </w:pPr>
            <w:r>
              <w:t>This intervention is not routinely commissioned and therefore should not be offered to patients. Application for funding approval can be made, using the IFR process, by the clinician recommending the intervention, if their assessment is that there are exceptional reasons why their patient could benefit from it.</w:t>
            </w:r>
          </w:p>
          <w:p w14:paraId="366EE32B" w14:textId="0FA737FE" w:rsidR="00177C4D" w:rsidRDefault="07EBF6E5" w:rsidP="0F0E8BE6">
            <w:pPr>
              <w:textAlignment w:val="baseline"/>
            </w:pPr>
            <w:r>
              <w:t xml:space="preserve"> </w:t>
            </w:r>
          </w:p>
          <w:p w14:paraId="2F2C2D19" w14:textId="6856AB6F" w:rsidR="00177C4D" w:rsidRDefault="07EBF6E5" w:rsidP="50E2E20E">
            <w:pPr>
              <w:textAlignment w:val="baseline"/>
            </w:pPr>
            <w:r>
              <w:t>This policy does not cover the following</w:t>
            </w:r>
            <w:r w:rsidR="66DA4FA2">
              <w:t xml:space="preserve"> where separate guidance is available</w:t>
            </w:r>
            <w:r>
              <w:t xml:space="preserve">: </w:t>
            </w:r>
          </w:p>
          <w:p w14:paraId="6C73FE6B" w14:textId="6E22B102" w:rsidR="00177C4D" w:rsidRDefault="07EBF6E5" w:rsidP="0F0E8BE6">
            <w:pPr>
              <w:pStyle w:val="ListParagraph"/>
              <w:numPr>
                <w:ilvl w:val="0"/>
                <w:numId w:val="1"/>
              </w:numPr>
              <w:textAlignment w:val="baseline"/>
            </w:pPr>
            <w:r>
              <w:t xml:space="preserve">Gender reassignment surgery </w:t>
            </w:r>
          </w:p>
          <w:p w14:paraId="53855746" w14:textId="7F1F578B" w:rsidR="00177C4D" w:rsidRDefault="07EBF6E5" w:rsidP="50E2E20E">
            <w:pPr>
              <w:pStyle w:val="ListParagraph"/>
              <w:numPr>
                <w:ilvl w:val="0"/>
                <w:numId w:val="1"/>
              </w:numPr>
              <w:textAlignment w:val="baseline"/>
            </w:pPr>
            <w:r>
              <w:t>Surgery for breast cancer</w:t>
            </w:r>
            <w:r w:rsidR="36FD759C">
              <w:t xml:space="preserve"> </w:t>
            </w:r>
          </w:p>
        </w:tc>
      </w:tr>
      <w:tr w:rsidR="00113D9B" w14:paraId="2EEB5014" w14:textId="77777777" w:rsidTr="50E2E20E">
        <w:tc>
          <w:tcPr>
            <w:tcW w:w="2595" w:type="dxa"/>
          </w:tcPr>
          <w:p w14:paraId="31574E9B" w14:textId="509110BD" w:rsidR="00113D9B" w:rsidRDefault="00113D9B" w:rsidP="00113D9B">
            <w:r>
              <w:t>Summary of Rationale</w:t>
            </w:r>
          </w:p>
          <w:p w14:paraId="61460744" w14:textId="7D87783C" w:rsidR="00113D9B" w:rsidRDefault="00113D9B" w:rsidP="00113D9B"/>
        </w:tc>
        <w:tc>
          <w:tcPr>
            <w:tcW w:w="6421" w:type="dxa"/>
          </w:tcPr>
          <w:p w14:paraId="78D981CC" w14:textId="3B1C3660" w:rsidR="1E3B478A" w:rsidRDefault="1E3B478A">
            <w:r>
              <w:t>Breast augmentation should not be carried out for “small” but normal breasts or for breast tissue involution (including postpartum changes).</w:t>
            </w:r>
          </w:p>
          <w:p w14:paraId="4D4A3F5A" w14:textId="47BA364E" w:rsidR="5C7C3170" w:rsidRDefault="5C7C3170"/>
          <w:p w14:paraId="5691B576" w14:textId="6CBDA01D" w:rsidR="00113D9B" w:rsidRDefault="37C9EA3F" w:rsidP="5C7C3170">
            <w:r>
              <w:t>Breast implants may be associated with significant morbidity and the need for secondary or revisional surgery (such as implant replacement) is common. In fact, it is estimated that one in three women will require further surgery within 10 years of their initial operation. It should be noted that not all patients demonstrate improvement in psychosocial outcome measures following breast augmentation.</w:t>
            </w:r>
          </w:p>
        </w:tc>
      </w:tr>
      <w:tr w:rsidR="00113D9B" w14:paraId="45DC12DB" w14:textId="77777777" w:rsidTr="50E2E20E">
        <w:tc>
          <w:tcPr>
            <w:tcW w:w="2595" w:type="dxa"/>
          </w:tcPr>
          <w:p w14:paraId="5A47F1A1" w14:textId="4F582E47" w:rsidR="00113D9B" w:rsidRDefault="00113D9B" w:rsidP="00113D9B">
            <w:r>
              <w:t xml:space="preserve">References </w:t>
            </w:r>
          </w:p>
        </w:tc>
        <w:tc>
          <w:tcPr>
            <w:tcW w:w="6421" w:type="dxa"/>
          </w:tcPr>
          <w:p w14:paraId="17659A89" w14:textId="79724EA6" w:rsidR="00113D9B" w:rsidRPr="0039492D" w:rsidRDefault="4F4F67E8" w:rsidP="5C7C3170">
            <w:pPr>
              <w:rPr>
                <w:rFonts w:ascii="Calibri" w:eastAsia="Calibri" w:hAnsi="Calibri" w:cs="Calibri"/>
              </w:rPr>
            </w:pPr>
            <w:hyperlink r:id="rId10">
              <w:r w:rsidRPr="5C7C3170">
                <w:rPr>
                  <w:rStyle w:val="Hyperlink"/>
                  <w:rFonts w:ascii="Calibri" w:eastAsia="Calibri" w:hAnsi="Calibri" w:cs="Calibri"/>
                </w:rPr>
                <w:t>Breast enlargement (implants) - NHS</w:t>
              </w:r>
            </w:hyperlink>
          </w:p>
          <w:p w14:paraId="150D9A10" w14:textId="1B6B2474" w:rsidR="00113D9B" w:rsidRPr="0039492D" w:rsidRDefault="4F4F67E8" w:rsidP="5C7C3170">
            <w:pPr>
              <w:rPr>
                <w:rFonts w:ascii="Calibri" w:eastAsia="Calibri" w:hAnsi="Calibri" w:cs="Calibri"/>
              </w:rPr>
            </w:pPr>
            <w:hyperlink r:id="rId11">
              <w:r w:rsidRPr="5C7C3170">
                <w:rPr>
                  <w:rStyle w:val="Hyperlink"/>
                  <w:rFonts w:ascii="Calibri" w:eastAsia="Calibri" w:hAnsi="Calibri" w:cs="Calibri"/>
                </w:rPr>
                <w:t>Information for commissioners of plastic surgery services (BAPRAS)</w:t>
              </w:r>
            </w:hyperlink>
          </w:p>
        </w:tc>
      </w:tr>
      <w:tr w:rsidR="00113D9B" w14:paraId="2F64E887" w14:textId="77777777" w:rsidTr="50E2E20E">
        <w:tc>
          <w:tcPr>
            <w:tcW w:w="2595" w:type="dxa"/>
          </w:tcPr>
          <w:p w14:paraId="26CC3A7F" w14:textId="3F59DDFA" w:rsidR="00113D9B" w:rsidRDefault="00113D9B" w:rsidP="00113D9B">
            <w:r>
              <w:t>Effective from</w:t>
            </w:r>
          </w:p>
        </w:tc>
        <w:tc>
          <w:tcPr>
            <w:tcW w:w="6421" w:type="dxa"/>
          </w:tcPr>
          <w:p w14:paraId="03ECD2F0" w14:textId="27528EB4" w:rsidR="00113D9B" w:rsidRDefault="00113D9B" w:rsidP="00113D9B">
            <w:r>
              <w:t>J</w:t>
            </w:r>
            <w:r w:rsidR="153FC5B5">
              <w:t>anuary</w:t>
            </w:r>
            <w:r>
              <w:t xml:space="preserve"> 20</w:t>
            </w:r>
            <w:r w:rsidR="0A025308">
              <w:t>25</w:t>
            </w:r>
          </w:p>
        </w:tc>
      </w:tr>
      <w:tr w:rsidR="00113D9B" w14:paraId="2C1E1213" w14:textId="77777777" w:rsidTr="50E2E20E">
        <w:tc>
          <w:tcPr>
            <w:tcW w:w="2595" w:type="dxa"/>
          </w:tcPr>
          <w:p w14:paraId="4D394461" w14:textId="4D85EBE7" w:rsidR="00113D9B" w:rsidRDefault="00113D9B" w:rsidP="00113D9B">
            <w:r>
              <w:t xml:space="preserve">Policy Review Date </w:t>
            </w:r>
          </w:p>
        </w:tc>
        <w:tc>
          <w:tcPr>
            <w:tcW w:w="6421" w:type="dxa"/>
          </w:tcPr>
          <w:p w14:paraId="29012611" w14:textId="6F171F29" w:rsidR="00113D9B" w:rsidRDefault="00113D9B" w:rsidP="00113D9B">
            <w:r>
              <w:t>J</w:t>
            </w:r>
            <w:r w:rsidR="50558B26">
              <w:t>anuary</w:t>
            </w:r>
            <w:r>
              <w:t xml:space="preserve"> 202</w:t>
            </w:r>
            <w:r w:rsidR="31159292">
              <w:t>8</w:t>
            </w:r>
          </w:p>
        </w:tc>
      </w:tr>
    </w:tbl>
    <w:p w14:paraId="18EDB3DD" w14:textId="77777777" w:rsidR="000E104F" w:rsidRDefault="000E104F"/>
    <w:sectPr w:rsidR="000E10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915CE"/>
    <w:multiLevelType w:val="hybridMultilevel"/>
    <w:tmpl w:val="6026F7C2"/>
    <w:lvl w:ilvl="0" w:tplc="7788FB66">
      <w:start w:val="1"/>
      <w:numFmt w:val="bullet"/>
      <w:lvlText w:val=""/>
      <w:lvlJc w:val="left"/>
      <w:pPr>
        <w:ind w:left="720" w:hanging="360"/>
      </w:pPr>
      <w:rPr>
        <w:rFonts w:ascii="Symbol" w:hAnsi="Symbol" w:hint="default"/>
      </w:rPr>
    </w:lvl>
    <w:lvl w:ilvl="1" w:tplc="15605B12">
      <w:start w:val="1"/>
      <w:numFmt w:val="bullet"/>
      <w:lvlText w:val="o"/>
      <w:lvlJc w:val="left"/>
      <w:pPr>
        <w:ind w:left="1440" w:hanging="360"/>
      </w:pPr>
      <w:rPr>
        <w:rFonts w:ascii="Courier New" w:hAnsi="Courier New" w:hint="default"/>
      </w:rPr>
    </w:lvl>
    <w:lvl w:ilvl="2" w:tplc="2908829A">
      <w:start w:val="1"/>
      <w:numFmt w:val="bullet"/>
      <w:lvlText w:val=""/>
      <w:lvlJc w:val="left"/>
      <w:pPr>
        <w:ind w:left="2160" w:hanging="360"/>
      </w:pPr>
      <w:rPr>
        <w:rFonts w:ascii="Wingdings" w:hAnsi="Wingdings" w:hint="default"/>
      </w:rPr>
    </w:lvl>
    <w:lvl w:ilvl="3" w:tplc="C25CCAE2">
      <w:start w:val="1"/>
      <w:numFmt w:val="bullet"/>
      <w:lvlText w:val=""/>
      <w:lvlJc w:val="left"/>
      <w:pPr>
        <w:ind w:left="2880" w:hanging="360"/>
      </w:pPr>
      <w:rPr>
        <w:rFonts w:ascii="Symbol" w:hAnsi="Symbol" w:hint="default"/>
      </w:rPr>
    </w:lvl>
    <w:lvl w:ilvl="4" w:tplc="CC0A2B3C">
      <w:start w:val="1"/>
      <w:numFmt w:val="bullet"/>
      <w:lvlText w:val="o"/>
      <w:lvlJc w:val="left"/>
      <w:pPr>
        <w:ind w:left="3600" w:hanging="360"/>
      </w:pPr>
      <w:rPr>
        <w:rFonts w:ascii="Courier New" w:hAnsi="Courier New" w:hint="default"/>
      </w:rPr>
    </w:lvl>
    <w:lvl w:ilvl="5" w:tplc="09AC4B6E">
      <w:start w:val="1"/>
      <w:numFmt w:val="bullet"/>
      <w:lvlText w:val=""/>
      <w:lvlJc w:val="left"/>
      <w:pPr>
        <w:ind w:left="4320" w:hanging="360"/>
      </w:pPr>
      <w:rPr>
        <w:rFonts w:ascii="Wingdings" w:hAnsi="Wingdings" w:hint="default"/>
      </w:rPr>
    </w:lvl>
    <w:lvl w:ilvl="6" w:tplc="2F72A7CE">
      <w:start w:val="1"/>
      <w:numFmt w:val="bullet"/>
      <w:lvlText w:val=""/>
      <w:lvlJc w:val="left"/>
      <w:pPr>
        <w:ind w:left="5040" w:hanging="360"/>
      </w:pPr>
      <w:rPr>
        <w:rFonts w:ascii="Symbol" w:hAnsi="Symbol" w:hint="default"/>
      </w:rPr>
    </w:lvl>
    <w:lvl w:ilvl="7" w:tplc="0DEC76C2">
      <w:start w:val="1"/>
      <w:numFmt w:val="bullet"/>
      <w:lvlText w:val="o"/>
      <w:lvlJc w:val="left"/>
      <w:pPr>
        <w:ind w:left="5760" w:hanging="360"/>
      </w:pPr>
      <w:rPr>
        <w:rFonts w:ascii="Courier New" w:hAnsi="Courier New" w:hint="default"/>
      </w:rPr>
    </w:lvl>
    <w:lvl w:ilvl="8" w:tplc="592C5F36">
      <w:start w:val="1"/>
      <w:numFmt w:val="bullet"/>
      <w:lvlText w:val=""/>
      <w:lvlJc w:val="left"/>
      <w:pPr>
        <w:ind w:left="648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714462">
    <w:abstractNumId w:val="8"/>
  </w:num>
  <w:num w:numId="2" w16cid:durableId="1733386344">
    <w:abstractNumId w:val="1"/>
  </w:num>
  <w:num w:numId="3" w16cid:durableId="1872303278">
    <w:abstractNumId w:val="11"/>
  </w:num>
  <w:num w:numId="4" w16cid:durableId="1147431926">
    <w:abstractNumId w:val="0"/>
  </w:num>
  <w:num w:numId="5" w16cid:durableId="890380511">
    <w:abstractNumId w:val="3"/>
  </w:num>
  <w:num w:numId="6" w16cid:durableId="1585725535">
    <w:abstractNumId w:val="10"/>
  </w:num>
  <w:num w:numId="7" w16cid:durableId="1128164145">
    <w:abstractNumId w:val="6"/>
  </w:num>
  <w:num w:numId="8" w16cid:durableId="1607155194">
    <w:abstractNumId w:val="9"/>
  </w:num>
  <w:num w:numId="9" w16cid:durableId="70854915">
    <w:abstractNumId w:val="2"/>
  </w:num>
  <w:num w:numId="10" w16cid:durableId="1686781628">
    <w:abstractNumId w:val="4"/>
  </w:num>
  <w:num w:numId="11" w16cid:durableId="1966278688">
    <w:abstractNumId w:val="5"/>
  </w:num>
  <w:num w:numId="12" w16cid:durableId="864752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27F8E"/>
    <w:rsid w:val="00496FC2"/>
    <w:rsid w:val="004C292B"/>
    <w:rsid w:val="005565A7"/>
    <w:rsid w:val="005820AB"/>
    <w:rsid w:val="005E3ADB"/>
    <w:rsid w:val="005F0F1D"/>
    <w:rsid w:val="00656075"/>
    <w:rsid w:val="006A1DC3"/>
    <w:rsid w:val="00702D52"/>
    <w:rsid w:val="007606C0"/>
    <w:rsid w:val="00784A20"/>
    <w:rsid w:val="007957A1"/>
    <w:rsid w:val="007A1D76"/>
    <w:rsid w:val="0080365B"/>
    <w:rsid w:val="0086083A"/>
    <w:rsid w:val="0093C44A"/>
    <w:rsid w:val="00946B0C"/>
    <w:rsid w:val="00986BDC"/>
    <w:rsid w:val="009D48EB"/>
    <w:rsid w:val="00A21761"/>
    <w:rsid w:val="00A51972"/>
    <w:rsid w:val="00A719FC"/>
    <w:rsid w:val="00AA38E1"/>
    <w:rsid w:val="00AE39A5"/>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A0723A"/>
    <w:rsid w:val="02B3C44F"/>
    <w:rsid w:val="02BCDE2B"/>
    <w:rsid w:val="031046DF"/>
    <w:rsid w:val="031C9C5B"/>
    <w:rsid w:val="07EBF6E5"/>
    <w:rsid w:val="0A025308"/>
    <w:rsid w:val="0A8DCD94"/>
    <w:rsid w:val="0B6A0C66"/>
    <w:rsid w:val="0DCB6B24"/>
    <w:rsid w:val="0E2289EC"/>
    <w:rsid w:val="0E636133"/>
    <w:rsid w:val="0F0E8BE6"/>
    <w:rsid w:val="0FB5482A"/>
    <w:rsid w:val="1300C9E1"/>
    <w:rsid w:val="13685818"/>
    <w:rsid w:val="153FC5B5"/>
    <w:rsid w:val="17AECED6"/>
    <w:rsid w:val="1BC662FA"/>
    <w:rsid w:val="1C8B89BA"/>
    <w:rsid w:val="1D7BA3D8"/>
    <w:rsid w:val="1DD6F1EE"/>
    <w:rsid w:val="1DF0E17D"/>
    <w:rsid w:val="1E3B478A"/>
    <w:rsid w:val="1F92CEBE"/>
    <w:rsid w:val="229E4C0C"/>
    <w:rsid w:val="236D715C"/>
    <w:rsid w:val="237966E0"/>
    <w:rsid w:val="24570A94"/>
    <w:rsid w:val="24D5FB3E"/>
    <w:rsid w:val="25C9FF3D"/>
    <w:rsid w:val="27AA0346"/>
    <w:rsid w:val="2919C487"/>
    <w:rsid w:val="2A602EEE"/>
    <w:rsid w:val="2A723FE4"/>
    <w:rsid w:val="2B9E4B41"/>
    <w:rsid w:val="2BF356F9"/>
    <w:rsid w:val="2FC2D0E5"/>
    <w:rsid w:val="300BD063"/>
    <w:rsid w:val="31159292"/>
    <w:rsid w:val="3194BA9C"/>
    <w:rsid w:val="328EB035"/>
    <w:rsid w:val="32A8869A"/>
    <w:rsid w:val="34B68F6F"/>
    <w:rsid w:val="36FD759C"/>
    <w:rsid w:val="37C9EA3F"/>
    <w:rsid w:val="389181A6"/>
    <w:rsid w:val="39BAF3F0"/>
    <w:rsid w:val="3A03AC17"/>
    <w:rsid w:val="3B526FD8"/>
    <w:rsid w:val="3DD2678B"/>
    <w:rsid w:val="3F49D7AA"/>
    <w:rsid w:val="3F93E02D"/>
    <w:rsid w:val="3FF48BFB"/>
    <w:rsid w:val="4194A8DA"/>
    <w:rsid w:val="441FF119"/>
    <w:rsid w:val="44709B3A"/>
    <w:rsid w:val="44DFFF9E"/>
    <w:rsid w:val="45497F20"/>
    <w:rsid w:val="455AA220"/>
    <w:rsid w:val="466E3267"/>
    <w:rsid w:val="48ECEB6D"/>
    <w:rsid w:val="492132F9"/>
    <w:rsid w:val="4960F62E"/>
    <w:rsid w:val="497766AF"/>
    <w:rsid w:val="49D1857D"/>
    <w:rsid w:val="4A705F51"/>
    <w:rsid w:val="4B37E3B9"/>
    <w:rsid w:val="4CADA413"/>
    <w:rsid w:val="4D8DD7CD"/>
    <w:rsid w:val="4F4F67E8"/>
    <w:rsid w:val="4F9A594B"/>
    <w:rsid w:val="50558B26"/>
    <w:rsid w:val="506D4E92"/>
    <w:rsid w:val="509D0A6E"/>
    <w:rsid w:val="50A0132D"/>
    <w:rsid w:val="50E2E20E"/>
    <w:rsid w:val="518BE983"/>
    <w:rsid w:val="522AF6EB"/>
    <w:rsid w:val="52BAF039"/>
    <w:rsid w:val="563C7358"/>
    <w:rsid w:val="56541B87"/>
    <w:rsid w:val="56FDB0F3"/>
    <w:rsid w:val="5889EC3A"/>
    <w:rsid w:val="59CA2C67"/>
    <w:rsid w:val="5B7B4BF6"/>
    <w:rsid w:val="5C7C3170"/>
    <w:rsid w:val="5D23953E"/>
    <w:rsid w:val="5EEF045C"/>
    <w:rsid w:val="618E33EE"/>
    <w:rsid w:val="62E581D5"/>
    <w:rsid w:val="63E0D24B"/>
    <w:rsid w:val="6454475A"/>
    <w:rsid w:val="66DA4FA2"/>
    <w:rsid w:val="684015C6"/>
    <w:rsid w:val="6930269E"/>
    <w:rsid w:val="6B712061"/>
    <w:rsid w:val="6E3D6990"/>
    <w:rsid w:val="72F30E7F"/>
    <w:rsid w:val="72FA37F0"/>
    <w:rsid w:val="74D5C9A6"/>
    <w:rsid w:val="76020EDB"/>
    <w:rsid w:val="77383A75"/>
    <w:rsid w:val="788B39B6"/>
    <w:rsid w:val="79BC8E83"/>
    <w:rsid w:val="7ADC5D01"/>
    <w:rsid w:val="7D588AA7"/>
    <w:rsid w:val="7E0A7EF1"/>
    <w:rsid w:val="7F3030AF"/>
    <w:rsid w:val="7F6C614E"/>
    <w:rsid w:val="7FB2E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pras.org.uk/docs/default-source/commissioning-and-policy/information-for-commissioners-of-plastic-surgery-services.pdf?sfvrsn=ba572cc3_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conditions/cosmetic-procedures/cosmetic-surgery/breast-enlar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0768E0E9-68D8-43CB-80A3-AC6FB30ED0C9}"/>
</file>

<file path=customXml/itemProps3.xml><?xml version="1.0" encoding="utf-8"?>
<ds:datastoreItem xmlns:ds="http://schemas.openxmlformats.org/officeDocument/2006/customXml" ds:itemID="{EF5E2BB1-B746-425F-8753-9F82113632B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sharepoint/v3"/>
    <ds:schemaRef ds:uri="f6a82410-35a1-48d9-a432-e298e5b95e46"/>
    <ds:schemaRef ds:uri="http://schemas.openxmlformats.org/package/2006/metadata/core-properties"/>
    <ds:schemaRef ds:uri="1365388d-8e0b-4df5-a0a3-cd102b49988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NHS</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2025-03-19T16:20:00Z</dcterms:created>
  <dcterms:modified xsi:type="dcterms:W3CDTF">2025-03-19T16:20:00Z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52700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