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610"/>
        <w:gridCol w:w="6406"/>
      </w:tblGrid>
      <w:tr w:rsidR="00B97DAB" w14:paraId="3F32C22B" w14:textId="77777777" w:rsidTr="0CE38142">
        <w:tc>
          <w:tcPr>
            <w:tcW w:w="2610" w:type="dxa"/>
          </w:tcPr>
          <w:p w14:paraId="2137C5A4" w14:textId="11B48F23" w:rsidR="00B97DAB" w:rsidRDefault="00B97DAB">
            <w:r>
              <w:t xml:space="preserve">Intervention </w:t>
            </w:r>
          </w:p>
        </w:tc>
        <w:tc>
          <w:tcPr>
            <w:tcW w:w="6406" w:type="dxa"/>
          </w:tcPr>
          <w:p w14:paraId="73A5EAEF" w14:textId="02D38615" w:rsidR="00B97DAB" w:rsidRPr="00ED5143" w:rsidRDefault="134770FE" w:rsidP="25C9FF3D">
            <w:pPr>
              <w:rPr>
                <w:b/>
                <w:bCs/>
                <w:lang w:val="en-US"/>
              </w:rPr>
            </w:pPr>
            <w:r w:rsidRPr="0CE38142">
              <w:rPr>
                <w:b/>
                <w:bCs/>
                <w:lang w:val="en-US"/>
              </w:rPr>
              <w:t xml:space="preserve">099. </w:t>
            </w:r>
            <w:r w:rsidR="61D45F98" w:rsidRPr="0CE38142">
              <w:rPr>
                <w:b/>
                <w:bCs/>
                <w:lang w:val="en-US"/>
              </w:rPr>
              <w:t>Cholecystectomy</w:t>
            </w:r>
          </w:p>
        </w:tc>
      </w:tr>
      <w:tr w:rsidR="00B97DAB" w14:paraId="004828E6" w14:textId="77777777" w:rsidTr="0CE38142">
        <w:tc>
          <w:tcPr>
            <w:tcW w:w="2610" w:type="dxa"/>
          </w:tcPr>
          <w:p w14:paraId="194FC277" w14:textId="469D4455" w:rsidR="00B97DAB" w:rsidRDefault="00B97DAB">
            <w:r>
              <w:t xml:space="preserve">For the treatment of </w:t>
            </w:r>
          </w:p>
        </w:tc>
        <w:tc>
          <w:tcPr>
            <w:tcW w:w="6406" w:type="dxa"/>
          </w:tcPr>
          <w:p w14:paraId="23E416B7" w14:textId="47E9087F" w:rsidR="00656075" w:rsidRDefault="1CB5C437" w:rsidP="00330790">
            <w:r>
              <w:t>Gall</w:t>
            </w:r>
            <w:r w:rsidR="1D75E360">
              <w:t>stones or other gall bladder pathology</w:t>
            </w:r>
          </w:p>
        </w:tc>
      </w:tr>
      <w:tr w:rsidR="00113D9B" w14:paraId="3D720573" w14:textId="77777777" w:rsidTr="0CE38142">
        <w:tc>
          <w:tcPr>
            <w:tcW w:w="2610" w:type="dxa"/>
          </w:tcPr>
          <w:p w14:paraId="6B55BECB" w14:textId="291589DB" w:rsidR="00113D9B" w:rsidRDefault="00113D9B" w:rsidP="00113D9B">
            <w:r>
              <w:t xml:space="preserve">Commissioning Position </w:t>
            </w:r>
          </w:p>
        </w:tc>
        <w:tc>
          <w:tcPr>
            <w:tcW w:w="6406" w:type="dxa"/>
          </w:tcPr>
          <w:p w14:paraId="72F91ED2" w14:textId="66E2233A" w:rsidR="00177C4D" w:rsidRDefault="1EAF7C9A" w:rsidP="58794579">
            <w:pPr>
              <w:pStyle w:val="paragraph"/>
              <w:spacing w:before="0" w:beforeAutospacing="0" w:after="0" w:afterAutospacing="0"/>
              <w:textAlignment w:val="baseline"/>
              <w:rPr>
                <w:rStyle w:val="normaltextrun"/>
                <w:rFonts w:ascii="Calibri" w:hAnsi="Calibri" w:cs="Calibri"/>
                <w:color w:val="000000" w:themeColor="text1"/>
                <w:sz w:val="22"/>
                <w:szCs w:val="22"/>
              </w:rPr>
            </w:pPr>
            <w:r w:rsidRPr="71D44EFA">
              <w:rPr>
                <w:rStyle w:val="normaltextrun"/>
                <w:rFonts w:ascii="Calibri" w:hAnsi="Calibri" w:cs="Calibri"/>
                <w:color w:val="000000" w:themeColor="text1"/>
                <w:sz w:val="22"/>
                <w:szCs w:val="22"/>
              </w:rPr>
              <w:t xml:space="preserve">Surgery is commissioned and does not require prior approval if there is (are):  </w:t>
            </w:r>
          </w:p>
          <w:p w14:paraId="70A5EE44" w14:textId="1AE690FD" w:rsidR="00177C4D" w:rsidRDefault="1EAF7C9A" w:rsidP="58794579">
            <w:pPr>
              <w:pStyle w:val="paragraph"/>
              <w:numPr>
                <w:ilvl w:val="0"/>
                <w:numId w:val="1"/>
              </w:numPr>
              <w:spacing w:before="0" w:beforeAutospacing="0" w:after="0" w:afterAutospacing="0"/>
              <w:textAlignment w:val="baseline"/>
            </w:pPr>
            <w:r w:rsidRPr="58794579">
              <w:rPr>
                <w:rStyle w:val="normaltextrun"/>
                <w:rFonts w:ascii="Calibri" w:hAnsi="Calibri" w:cs="Calibri"/>
                <w:color w:val="000000" w:themeColor="text1"/>
                <w:sz w:val="22"/>
                <w:szCs w:val="22"/>
              </w:rPr>
              <w:t xml:space="preserve">Gallstone(s) causing any of the following:  </w:t>
            </w:r>
          </w:p>
          <w:p w14:paraId="63AE3F9C" w14:textId="322879C5" w:rsidR="00177C4D" w:rsidRDefault="1EAF7C9A"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 xml:space="preserve">Acute cholecystitis </w:t>
            </w:r>
          </w:p>
          <w:p w14:paraId="4AE93A65" w14:textId="50934A9D" w:rsidR="00177C4D" w:rsidRDefault="1EAF7C9A"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 xml:space="preserve">Cholangitis </w:t>
            </w:r>
          </w:p>
          <w:p w14:paraId="1E03527B" w14:textId="06F4D649" w:rsidR="00177C4D" w:rsidRDefault="1EAF7C9A"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 xml:space="preserve">Biliary colic </w:t>
            </w:r>
          </w:p>
          <w:p w14:paraId="270F643E" w14:textId="5346170E" w:rsidR="00177C4D" w:rsidRDefault="1EAF7C9A"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 xml:space="preserve">Pancreatitis </w:t>
            </w:r>
          </w:p>
          <w:p w14:paraId="55BCED2E" w14:textId="4AEB946F" w:rsidR="00177C4D" w:rsidRDefault="1EAF7C9A"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 xml:space="preserve">Obstructive jaundice </w:t>
            </w:r>
          </w:p>
          <w:p w14:paraId="26C4D13E" w14:textId="6E67C9C1" w:rsidR="00177C4D" w:rsidRDefault="75052EDF" w:rsidP="71D44EFA">
            <w:pPr>
              <w:pStyle w:val="paragraph"/>
              <w:numPr>
                <w:ilvl w:val="1"/>
                <w:numId w:val="1"/>
              </w:numPr>
              <w:spacing w:before="0" w:beforeAutospacing="0" w:after="0" w:afterAutospacing="0"/>
              <w:textAlignment w:val="baseline"/>
            </w:pPr>
            <w:r w:rsidRPr="71D44EFA">
              <w:rPr>
                <w:rStyle w:val="normaltextrun"/>
                <w:rFonts w:ascii="Calibri" w:hAnsi="Calibri" w:cs="Calibri"/>
                <w:color w:val="000000" w:themeColor="text1"/>
                <w:sz w:val="22"/>
                <w:szCs w:val="22"/>
              </w:rPr>
              <w:t>A</w:t>
            </w:r>
            <w:r w:rsidR="1EAF7C9A" w:rsidRPr="71D44EFA">
              <w:rPr>
                <w:rStyle w:val="normaltextrun"/>
                <w:rFonts w:ascii="Calibri" w:hAnsi="Calibri" w:cs="Calibri"/>
                <w:color w:val="000000" w:themeColor="text1"/>
                <w:sz w:val="22"/>
                <w:szCs w:val="22"/>
              </w:rPr>
              <w:t xml:space="preserve">bnormal liver function tests </w:t>
            </w:r>
          </w:p>
          <w:p w14:paraId="40298F2A" w14:textId="3E343277" w:rsidR="00177C4D" w:rsidRDefault="1EAF7C9A" w:rsidP="58794579">
            <w:pPr>
              <w:pStyle w:val="paragraph"/>
              <w:spacing w:before="0" w:beforeAutospacing="0" w:after="0" w:afterAutospacing="0"/>
              <w:textAlignment w:val="baseline"/>
            </w:pPr>
            <w:r w:rsidRPr="58794579">
              <w:rPr>
                <w:rStyle w:val="normaltextrun"/>
                <w:rFonts w:ascii="Calibri" w:hAnsi="Calibri" w:cs="Calibri"/>
                <w:color w:val="000000" w:themeColor="text1"/>
                <w:sz w:val="22"/>
                <w:szCs w:val="22"/>
              </w:rPr>
              <w:t xml:space="preserve">OR </w:t>
            </w:r>
          </w:p>
          <w:p w14:paraId="2080C01E" w14:textId="4B845AFE" w:rsidR="00177C4D" w:rsidRDefault="1EAF7C9A" w:rsidP="58794579">
            <w:pPr>
              <w:pStyle w:val="paragraph"/>
              <w:numPr>
                <w:ilvl w:val="0"/>
                <w:numId w:val="3"/>
              </w:numPr>
              <w:spacing w:before="0" w:beforeAutospacing="0" w:after="0" w:afterAutospacing="0"/>
              <w:textAlignment w:val="baseline"/>
            </w:pPr>
            <w:r w:rsidRPr="58794579">
              <w:rPr>
                <w:rStyle w:val="normaltextrun"/>
                <w:rFonts w:ascii="Calibri" w:hAnsi="Calibri" w:cs="Calibri"/>
                <w:color w:val="000000" w:themeColor="text1"/>
                <w:sz w:val="22"/>
                <w:szCs w:val="22"/>
              </w:rPr>
              <w:t xml:space="preserve">symptomatic or asymptomatic common bile duct stones  </w:t>
            </w:r>
          </w:p>
          <w:p w14:paraId="39C2A470" w14:textId="227E2BA8" w:rsidR="00177C4D" w:rsidRDefault="1EAF7C9A" w:rsidP="58794579">
            <w:pPr>
              <w:pStyle w:val="paragraph"/>
              <w:spacing w:before="0" w:beforeAutospacing="0" w:after="0" w:afterAutospacing="0"/>
              <w:textAlignment w:val="baseline"/>
            </w:pPr>
            <w:r w:rsidRPr="58794579">
              <w:rPr>
                <w:rStyle w:val="normaltextrun"/>
                <w:rFonts w:ascii="Calibri" w:hAnsi="Calibri" w:cs="Calibri"/>
                <w:color w:val="000000" w:themeColor="text1"/>
                <w:sz w:val="22"/>
                <w:szCs w:val="22"/>
              </w:rPr>
              <w:t xml:space="preserve">OR </w:t>
            </w:r>
          </w:p>
          <w:p w14:paraId="5526B255" w14:textId="2950E4B7" w:rsidR="00177C4D" w:rsidRDefault="1EAF7C9A" w:rsidP="58794579">
            <w:pPr>
              <w:pStyle w:val="paragraph"/>
              <w:numPr>
                <w:ilvl w:val="0"/>
                <w:numId w:val="2"/>
              </w:numPr>
              <w:spacing w:before="0" w:beforeAutospacing="0" w:after="0" w:afterAutospacing="0"/>
              <w:textAlignment w:val="baseline"/>
            </w:pPr>
            <w:r w:rsidRPr="58794579">
              <w:rPr>
                <w:rStyle w:val="normaltextrun"/>
                <w:rFonts w:ascii="Calibri" w:hAnsi="Calibri" w:cs="Calibri"/>
                <w:color w:val="000000" w:themeColor="text1"/>
                <w:sz w:val="22"/>
                <w:szCs w:val="22"/>
              </w:rPr>
              <w:t>A high risk of gall bladder cancer.</w:t>
            </w:r>
          </w:p>
          <w:p w14:paraId="53855746" w14:textId="4FE65BB9" w:rsidR="00177C4D" w:rsidRDefault="00177C4D" w:rsidP="58794579">
            <w:pPr>
              <w:pStyle w:val="paragraph"/>
              <w:spacing w:before="0" w:beforeAutospacing="0" w:after="0" w:afterAutospacing="0"/>
              <w:textAlignment w:val="baseline"/>
              <w:rPr>
                <w:rStyle w:val="normaltextrun"/>
                <w:rFonts w:ascii="Calibri" w:hAnsi="Calibri" w:cs="Calibri"/>
                <w:color w:val="000000" w:themeColor="text1"/>
                <w:sz w:val="22"/>
                <w:szCs w:val="22"/>
              </w:rPr>
            </w:pPr>
          </w:p>
        </w:tc>
      </w:tr>
      <w:tr w:rsidR="00113D9B" w14:paraId="2EEB5014" w14:textId="77777777" w:rsidTr="0CE38142">
        <w:tc>
          <w:tcPr>
            <w:tcW w:w="2610" w:type="dxa"/>
          </w:tcPr>
          <w:p w14:paraId="31574E9B" w14:textId="509110BD" w:rsidR="00113D9B" w:rsidRDefault="00113D9B" w:rsidP="00113D9B">
            <w:r>
              <w:t>Summary of Rationale</w:t>
            </w:r>
          </w:p>
          <w:p w14:paraId="61460744" w14:textId="7D87783C" w:rsidR="00113D9B" w:rsidRDefault="00113D9B" w:rsidP="00113D9B"/>
        </w:tc>
        <w:tc>
          <w:tcPr>
            <w:tcW w:w="6406" w:type="dxa"/>
          </w:tcPr>
          <w:p w14:paraId="5783F636" w14:textId="69CC8698" w:rsidR="00113D9B" w:rsidRDefault="53DD5DB8" w:rsidP="71D44EFA">
            <w:r>
              <w:t xml:space="preserve">The majority of people with gallbladder stones remain asymptomatic and require no treatment. </w:t>
            </w:r>
            <w:r w:rsidRPr="71D44EFA">
              <w:rPr>
                <w:rFonts w:ascii="Calibri" w:eastAsia="Calibri" w:hAnsi="Calibri" w:cs="Calibri"/>
              </w:rPr>
              <w:t>Patients with an incidental finding of stones in an otherwise normal gallbladder require no further investigation or referral.</w:t>
            </w:r>
          </w:p>
          <w:p w14:paraId="4CBCFCD8" w14:textId="258676DF" w:rsidR="00113D9B" w:rsidRDefault="00113D9B" w:rsidP="00113D9B"/>
          <w:p w14:paraId="5691B576" w14:textId="3730DCD2" w:rsidR="00113D9B" w:rsidRDefault="248F05BE" w:rsidP="00113D9B">
            <w:r>
              <w:t>For patients who are admitted to hospital with acute cholecystitis or mild gallstone pancreatitis, index laparoscopic cholecystectomy should be performed within that admission. These patients should have their gallbladders removed, ideally before discharge, to avoid further delay and prevent further potentially fatal attacks. If the patient is fit enough for surgery and same admission cholecystectomy will be delayed for more than 24 hours, it may be reasonable to make use of a virtual ward, where the patient can return home under close monitoring prior to undergoing surgery as soon as possible. Otherwise, patients diagnosed with acute cholecystitis should have their laparoscopic cholecystectomy on the same admission within 72 hours.</w:t>
            </w:r>
            <w:r w:rsidR="061209AE">
              <w:t xml:space="preserve"> If the operation cannot be performed during the index admission it should be performed within two weeks of discharge.</w:t>
            </w:r>
            <w:r>
              <w:t xml:space="preserve"> This guidance may not be applicable in patients with severe acute pancreatitis.</w:t>
            </w:r>
          </w:p>
        </w:tc>
      </w:tr>
      <w:tr w:rsidR="00113D9B" w14:paraId="45DC12DB" w14:textId="77777777" w:rsidTr="0CE38142">
        <w:tc>
          <w:tcPr>
            <w:tcW w:w="2610" w:type="dxa"/>
          </w:tcPr>
          <w:p w14:paraId="5A47F1A1" w14:textId="4F582E47" w:rsidR="00113D9B" w:rsidRDefault="00113D9B" w:rsidP="00113D9B">
            <w:r>
              <w:t xml:space="preserve">References </w:t>
            </w:r>
          </w:p>
        </w:tc>
        <w:tc>
          <w:tcPr>
            <w:tcW w:w="6406" w:type="dxa"/>
          </w:tcPr>
          <w:p w14:paraId="00011776" w14:textId="2A71245C" w:rsidR="00113D9B" w:rsidRPr="0039492D" w:rsidRDefault="19B75270" w:rsidP="71D44EFA">
            <w:pPr>
              <w:rPr>
                <w:rFonts w:ascii="Calibri" w:eastAsia="Calibri" w:hAnsi="Calibri" w:cs="Calibri"/>
              </w:rPr>
            </w:pPr>
            <w:hyperlink r:id="rId10">
              <w:r w:rsidRPr="71D44EFA">
                <w:rPr>
                  <w:rStyle w:val="Hyperlink"/>
                  <w:rFonts w:ascii="Calibri" w:eastAsia="Calibri" w:hAnsi="Calibri" w:cs="Calibri"/>
                </w:rPr>
                <w:t>EBI Cholecystectomy (AOMRC)</w:t>
              </w:r>
            </w:hyperlink>
          </w:p>
          <w:p w14:paraId="150D9A10" w14:textId="394D46BE" w:rsidR="00113D9B" w:rsidRPr="0039492D" w:rsidRDefault="4C59D916" w:rsidP="71D44EFA">
            <w:pPr>
              <w:rPr>
                <w:rFonts w:ascii="Calibri" w:eastAsia="Calibri" w:hAnsi="Calibri" w:cs="Calibri"/>
              </w:rPr>
            </w:pPr>
            <w:hyperlink r:id="rId11">
              <w:r w:rsidRPr="71D44EFA">
                <w:rPr>
                  <w:rStyle w:val="Hyperlink"/>
                  <w:rFonts w:ascii="Calibri" w:eastAsia="Calibri" w:hAnsi="Calibri" w:cs="Calibri"/>
                </w:rPr>
                <w:t>Gallstones - Commissioning Guide (RCSEng)</w:t>
              </w:r>
            </w:hyperlink>
          </w:p>
        </w:tc>
      </w:tr>
      <w:tr w:rsidR="00113D9B" w14:paraId="2F64E887" w14:textId="77777777" w:rsidTr="0CE38142">
        <w:tc>
          <w:tcPr>
            <w:tcW w:w="2610" w:type="dxa"/>
          </w:tcPr>
          <w:p w14:paraId="26CC3A7F" w14:textId="3F59DDFA" w:rsidR="00113D9B" w:rsidRDefault="00113D9B" w:rsidP="00113D9B">
            <w:r>
              <w:t>Effective from</w:t>
            </w:r>
          </w:p>
        </w:tc>
        <w:tc>
          <w:tcPr>
            <w:tcW w:w="6406" w:type="dxa"/>
          </w:tcPr>
          <w:p w14:paraId="03ECD2F0" w14:textId="159D846D" w:rsidR="00113D9B" w:rsidRDefault="00113D9B" w:rsidP="00113D9B">
            <w:r>
              <w:t>J</w:t>
            </w:r>
            <w:r w:rsidR="3C95558F">
              <w:t>anuary</w:t>
            </w:r>
            <w:r>
              <w:t xml:space="preserve"> 202</w:t>
            </w:r>
            <w:r w:rsidR="447E4395">
              <w:t>5</w:t>
            </w:r>
          </w:p>
        </w:tc>
      </w:tr>
      <w:tr w:rsidR="00113D9B" w14:paraId="2C1E1213" w14:textId="77777777" w:rsidTr="0CE38142">
        <w:tc>
          <w:tcPr>
            <w:tcW w:w="2610" w:type="dxa"/>
          </w:tcPr>
          <w:p w14:paraId="4D394461" w14:textId="4D85EBE7" w:rsidR="00113D9B" w:rsidRDefault="00113D9B" w:rsidP="00113D9B">
            <w:r>
              <w:t xml:space="preserve">Policy Review Date </w:t>
            </w:r>
          </w:p>
        </w:tc>
        <w:tc>
          <w:tcPr>
            <w:tcW w:w="6406" w:type="dxa"/>
          </w:tcPr>
          <w:p w14:paraId="29012611" w14:textId="29FFAAC8" w:rsidR="00113D9B" w:rsidRDefault="00113D9B" w:rsidP="00113D9B">
            <w:r>
              <w:t>J</w:t>
            </w:r>
            <w:r w:rsidR="4A5BA163">
              <w:t>anuary</w:t>
            </w:r>
            <w:r>
              <w:t xml:space="preserve"> 202</w:t>
            </w:r>
            <w:r w:rsidR="53C7CB58">
              <w:t>8</w:t>
            </w:r>
          </w:p>
        </w:tc>
      </w:tr>
    </w:tbl>
    <w:p w14:paraId="18EDB3DD" w14:textId="77777777" w:rsidR="000E104F" w:rsidRDefault="000E104F"/>
    <w:sectPr w:rsidR="000E10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04650"/>
    <w:multiLevelType w:val="hybridMultilevel"/>
    <w:tmpl w:val="EAEE407E"/>
    <w:lvl w:ilvl="0" w:tplc="7690D126">
      <w:start w:val="1"/>
      <w:numFmt w:val="bullet"/>
      <w:lvlText w:val=""/>
      <w:lvlJc w:val="left"/>
      <w:pPr>
        <w:ind w:left="720" w:hanging="360"/>
      </w:pPr>
      <w:rPr>
        <w:rFonts w:ascii="Symbol" w:hAnsi="Symbol" w:hint="default"/>
      </w:rPr>
    </w:lvl>
    <w:lvl w:ilvl="1" w:tplc="5A26CBD6">
      <w:start w:val="1"/>
      <w:numFmt w:val="bullet"/>
      <w:lvlText w:val="o"/>
      <w:lvlJc w:val="left"/>
      <w:pPr>
        <w:ind w:left="1440" w:hanging="360"/>
      </w:pPr>
      <w:rPr>
        <w:rFonts w:ascii="Courier New" w:hAnsi="Courier New" w:hint="default"/>
      </w:rPr>
    </w:lvl>
    <w:lvl w:ilvl="2" w:tplc="5E4287D4">
      <w:start w:val="1"/>
      <w:numFmt w:val="bullet"/>
      <w:lvlText w:val=""/>
      <w:lvlJc w:val="left"/>
      <w:pPr>
        <w:ind w:left="2160" w:hanging="360"/>
      </w:pPr>
      <w:rPr>
        <w:rFonts w:ascii="Wingdings" w:hAnsi="Wingdings" w:hint="default"/>
      </w:rPr>
    </w:lvl>
    <w:lvl w:ilvl="3" w:tplc="5984A532">
      <w:start w:val="1"/>
      <w:numFmt w:val="bullet"/>
      <w:lvlText w:val=""/>
      <w:lvlJc w:val="left"/>
      <w:pPr>
        <w:ind w:left="2880" w:hanging="360"/>
      </w:pPr>
      <w:rPr>
        <w:rFonts w:ascii="Symbol" w:hAnsi="Symbol" w:hint="default"/>
      </w:rPr>
    </w:lvl>
    <w:lvl w:ilvl="4" w:tplc="DFF20756">
      <w:start w:val="1"/>
      <w:numFmt w:val="bullet"/>
      <w:lvlText w:val="o"/>
      <w:lvlJc w:val="left"/>
      <w:pPr>
        <w:ind w:left="3600" w:hanging="360"/>
      </w:pPr>
      <w:rPr>
        <w:rFonts w:ascii="Courier New" w:hAnsi="Courier New" w:hint="default"/>
      </w:rPr>
    </w:lvl>
    <w:lvl w:ilvl="5" w:tplc="BB6258D6">
      <w:start w:val="1"/>
      <w:numFmt w:val="bullet"/>
      <w:lvlText w:val=""/>
      <w:lvlJc w:val="left"/>
      <w:pPr>
        <w:ind w:left="4320" w:hanging="360"/>
      </w:pPr>
      <w:rPr>
        <w:rFonts w:ascii="Wingdings" w:hAnsi="Wingdings" w:hint="default"/>
      </w:rPr>
    </w:lvl>
    <w:lvl w:ilvl="6" w:tplc="9A621FFE">
      <w:start w:val="1"/>
      <w:numFmt w:val="bullet"/>
      <w:lvlText w:val=""/>
      <w:lvlJc w:val="left"/>
      <w:pPr>
        <w:ind w:left="5040" w:hanging="360"/>
      </w:pPr>
      <w:rPr>
        <w:rFonts w:ascii="Symbol" w:hAnsi="Symbol" w:hint="default"/>
      </w:rPr>
    </w:lvl>
    <w:lvl w:ilvl="7" w:tplc="BD4CC3FA">
      <w:start w:val="1"/>
      <w:numFmt w:val="bullet"/>
      <w:lvlText w:val="o"/>
      <w:lvlJc w:val="left"/>
      <w:pPr>
        <w:ind w:left="5760" w:hanging="360"/>
      </w:pPr>
      <w:rPr>
        <w:rFonts w:ascii="Courier New" w:hAnsi="Courier New" w:hint="default"/>
      </w:rPr>
    </w:lvl>
    <w:lvl w:ilvl="8" w:tplc="09685732">
      <w:start w:val="1"/>
      <w:numFmt w:val="bullet"/>
      <w:lvlText w:val=""/>
      <w:lvlJc w:val="left"/>
      <w:pPr>
        <w:ind w:left="6480" w:hanging="360"/>
      </w:pPr>
      <w:rPr>
        <w:rFonts w:ascii="Wingdings" w:hAnsi="Wingdings" w:hint="default"/>
      </w:rPr>
    </w:lvl>
  </w:abstractNum>
  <w:abstractNum w:abstractNumId="8" w15:restartNumberingAfterBreak="0">
    <w:nsid w:val="4DE7EC60"/>
    <w:multiLevelType w:val="hybridMultilevel"/>
    <w:tmpl w:val="756059CA"/>
    <w:lvl w:ilvl="0" w:tplc="20B2BC94">
      <w:start w:val="1"/>
      <w:numFmt w:val="bullet"/>
      <w:lvlText w:val=""/>
      <w:lvlJc w:val="left"/>
      <w:pPr>
        <w:ind w:left="720" w:hanging="360"/>
      </w:pPr>
      <w:rPr>
        <w:rFonts w:ascii="Symbol" w:hAnsi="Symbol" w:hint="default"/>
      </w:rPr>
    </w:lvl>
    <w:lvl w:ilvl="1" w:tplc="245ADA22">
      <w:start w:val="1"/>
      <w:numFmt w:val="bullet"/>
      <w:lvlText w:val="o"/>
      <w:lvlJc w:val="left"/>
      <w:pPr>
        <w:ind w:left="1440" w:hanging="360"/>
      </w:pPr>
      <w:rPr>
        <w:rFonts w:ascii="Courier New" w:hAnsi="Courier New" w:hint="default"/>
      </w:rPr>
    </w:lvl>
    <w:lvl w:ilvl="2" w:tplc="E7101428">
      <w:start w:val="1"/>
      <w:numFmt w:val="bullet"/>
      <w:lvlText w:val=""/>
      <w:lvlJc w:val="left"/>
      <w:pPr>
        <w:ind w:left="2160" w:hanging="360"/>
      </w:pPr>
      <w:rPr>
        <w:rFonts w:ascii="Wingdings" w:hAnsi="Wingdings" w:hint="default"/>
      </w:rPr>
    </w:lvl>
    <w:lvl w:ilvl="3" w:tplc="AF5A9B2A">
      <w:start w:val="1"/>
      <w:numFmt w:val="bullet"/>
      <w:lvlText w:val=""/>
      <w:lvlJc w:val="left"/>
      <w:pPr>
        <w:ind w:left="2880" w:hanging="360"/>
      </w:pPr>
      <w:rPr>
        <w:rFonts w:ascii="Symbol" w:hAnsi="Symbol" w:hint="default"/>
      </w:rPr>
    </w:lvl>
    <w:lvl w:ilvl="4" w:tplc="35B830D4">
      <w:start w:val="1"/>
      <w:numFmt w:val="bullet"/>
      <w:lvlText w:val="o"/>
      <w:lvlJc w:val="left"/>
      <w:pPr>
        <w:ind w:left="3600" w:hanging="360"/>
      </w:pPr>
      <w:rPr>
        <w:rFonts w:ascii="Courier New" w:hAnsi="Courier New" w:hint="default"/>
      </w:rPr>
    </w:lvl>
    <w:lvl w:ilvl="5" w:tplc="B210C1AA">
      <w:start w:val="1"/>
      <w:numFmt w:val="bullet"/>
      <w:lvlText w:val=""/>
      <w:lvlJc w:val="left"/>
      <w:pPr>
        <w:ind w:left="4320" w:hanging="360"/>
      </w:pPr>
      <w:rPr>
        <w:rFonts w:ascii="Wingdings" w:hAnsi="Wingdings" w:hint="default"/>
      </w:rPr>
    </w:lvl>
    <w:lvl w:ilvl="6" w:tplc="1E9A609E">
      <w:start w:val="1"/>
      <w:numFmt w:val="bullet"/>
      <w:lvlText w:val=""/>
      <w:lvlJc w:val="left"/>
      <w:pPr>
        <w:ind w:left="5040" w:hanging="360"/>
      </w:pPr>
      <w:rPr>
        <w:rFonts w:ascii="Symbol" w:hAnsi="Symbol" w:hint="default"/>
      </w:rPr>
    </w:lvl>
    <w:lvl w:ilvl="7" w:tplc="1E1EBC7A">
      <w:start w:val="1"/>
      <w:numFmt w:val="bullet"/>
      <w:lvlText w:val="o"/>
      <w:lvlJc w:val="left"/>
      <w:pPr>
        <w:ind w:left="5760" w:hanging="360"/>
      </w:pPr>
      <w:rPr>
        <w:rFonts w:ascii="Courier New" w:hAnsi="Courier New" w:hint="default"/>
      </w:rPr>
    </w:lvl>
    <w:lvl w:ilvl="8" w:tplc="409065B8">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4E955"/>
    <w:multiLevelType w:val="hybridMultilevel"/>
    <w:tmpl w:val="39F24B44"/>
    <w:lvl w:ilvl="0" w:tplc="D16CC9D2">
      <w:start w:val="1"/>
      <w:numFmt w:val="bullet"/>
      <w:lvlText w:val=""/>
      <w:lvlJc w:val="left"/>
      <w:pPr>
        <w:ind w:left="720" w:hanging="360"/>
      </w:pPr>
      <w:rPr>
        <w:rFonts w:ascii="Symbol" w:hAnsi="Symbol" w:hint="default"/>
      </w:rPr>
    </w:lvl>
    <w:lvl w:ilvl="1" w:tplc="FBBC038E">
      <w:start w:val="1"/>
      <w:numFmt w:val="bullet"/>
      <w:lvlText w:val="o"/>
      <w:lvlJc w:val="left"/>
      <w:pPr>
        <w:ind w:left="1440" w:hanging="360"/>
      </w:pPr>
      <w:rPr>
        <w:rFonts w:ascii="Courier New" w:hAnsi="Courier New" w:hint="default"/>
      </w:rPr>
    </w:lvl>
    <w:lvl w:ilvl="2" w:tplc="ADDC749E">
      <w:start w:val="1"/>
      <w:numFmt w:val="bullet"/>
      <w:lvlText w:val=""/>
      <w:lvlJc w:val="left"/>
      <w:pPr>
        <w:ind w:left="2160" w:hanging="360"/>
      </w:pPr>
      <w:rPr>
        <w:rFonts w:ascii="Wingdings" w:hAnsi="Wingdings" w:hint="default"/>
      </w:rPr>
    </w:lvl>
    <w:lvl w:ilvl="3" w:tplc="2D22DE98">
      <w:start w:val="1"/>
      <w:numFmt w:val="bullet"/>
      <w:lvlText w:val=""/>
      <w:lvlJc w:val="left"/>
      <w:pPr>
        <w:ind w:left="2880" w:hanging="360"/>
      </w:pPr>
      <w:rPr>
        <w:rFonts w:ascii="Symbol" w:hAnsi="Symbol" w:hint="default"/>
      </w:rPr>
    </w:lvl>
    <w:lvl w:ilvl="4" w:tplc="F9D883A8">
      <w:start w:val="1"/>
      <w:numFmt w:val="bullet"/>
      <w:lvlText w:val="o"/>
      <w:lvlJc w:val="left"/>
      <w:pPr>
        <w:ind w:left="3600" w:hanging="360"/>
      </w:pPr>
      <w:rPr>
        <w:rFonts w:ascii="Courier New" w:hAnsi="Courier New" w:hint="default"/>
      </w:rPr>
    </w:lvl>
    <w:lvl w:ilvl="5" w:tplc="4E0CAC96">
      <w:start w:val="1"/>
      <w:numFmt w:val="bullet"/>
      <w:lvlText w:val=""/>
      <w:lvlJc w:val="left"/>
      <w:pPr>
        <w:ind w:left="4320" w:hanging="360"/>
      </w:pPr>
      <w:rPr>
        <w:rFonts w:ascii="Wingdings" w:hAnsi="Wingdings" w:hint="default"/>
      </w:rPr>
    </w:lvl>
    <w:lvl w:ilvl="6" w:tplc="6A52680C">
      <w:start w:val="1"/>
      <w:numFmt w:val="bullet"/>
      <w:lvlText w:val=""/>
      <w:lvlJc w:val="left"/>
      <w:pPr>
        <w:ind w:left="5040" w:hanging="360"/>
      </w:pPr>
      <w:rPr>
        <w:rFonts w:ascii="Symbol" w:hAnsi="Symbol" w:hint="default"/>
      </w:rPr>
    </w:lvl>
    <w:lvl w:ilvl="7" w:tplc="15522F66">
      <w:start w:val="1"/>
      <w:numFmt w:val="bullet"/>
      <w:lvlText w:val="o"/>
      <w:lvlJc w:val="left"/>
      <w:pPr>
        <w:ind w:left="5760" w:hanging="360"/>
      </w:pPr>
      <w:rPr>
        <w:rFonts w:ascii="Courier New" w:hAnsi="Courier New" w:hint="default"/>
      </w:rPr>
    </w:lvl>
    <w:lvl w:ilvl="8" w:tplc="A91E6A64">
      <w:start w:val="1"/>
      <w:numFmt w:val="bullet"/>
      <w:lvlText w:val=""/>
      <w:lvlJc w:val="left"/>
      <w:pPr>
        <w:ind w:left="6480" w:hanging="360"/>
      </w:pPr>
      <w:rPr>
        <w:rFonts w:ascii="Wingdings" w:hAnsi="Wingdings" w:hint="default"/>
      </w:rPr>
    </w:lvl>
  </w:abstractNum>
  <w:abstractNum w:abstractNumId="11"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95040">
    <w:abstractNumId w:val="7"/>
  </w:num>
  <w:num w:numId="2" w16cid:durableId="35669127">
    <w:abstractNumId w:val="8"/>
  </w:num>
  <w:num w:numId="3" w16cid:durableId="1869026307">
    <w:abstractNumId w:val="10"/>
  </w:num>
  <w:num w:numId="4" w16cid:durableId="1733386344">
    <w:abstractNumId w:val="1"/>
  </w:num>
  <w:num w:numId="5" w16cid:durableId="1872303278">
    <w:abstractNumId w:val="13"/>
  </w:num>
  <w:num w:numId="6" w16cid:durableId="1147431926">
    <w:abstractNumId w:val="0"/>
  </w:num>
  <w:num w:numId="7" w16cid:durableId="890380511">
    <w:abstractNumId w:val="3"/>
  </w:num>
  <w:num w:numId="8" w16cid:durableId="1585725535">
    <w:abstractNumId w:val="12"/>
  </w:num>
  <w:num w:numId="9" w16cid:durableId="1128164145">
    <w:abstractNumId w:val="6"/>
  </w:num>
  <w:num w:numId="10" w16cid:durableId="1607155194">
    <w:abstractNumId w:val="11"/>
  </w:num>
  <w:num w:numId="11" w16cid:durableId="70854915">
    <w:abstractNumId w:val="2"/>
  </w:num>
  <w:num w:numId="12" w16cid:durableId="1686781628">
    <w:abstractNumId w:val="4"/>
  </w:num>
  <w:num w:numId="13" w16cid:durableId="1966278688">
    <w:abstractNumId w:val="5"/>
  </w:num>
  <w:num w:numId="14" w16cid:durableId="86475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27F8E"/>
    <w:rsid w:val="0045005E"/>
    <w:rsid w:val="00496FC2"/>
    <w:rsid w:val="004C292B"/>
    <w:rsid w:val="005565A7"/>
    <w:rsid w:val="005820AB"/>
    <w:rsid w:val="005E3ADB"/>
    <w:rsid w:val="005F0F1D"/>
    <w:rsid w:val="00656075"/>
    <w:rsid w:val="006A1DC3"/>
    <w:rsid w:val="00702D52"/>
    <w:rsid w:val="007606C0"/>
    <w:rsid w:val="00784A20"/>
    <w:rsid w:val="007A1D76"/>
    <w:rsid w:val="0080365B"/>
    <w:rsid w:val="0086083A"/>
    <w:rsid w:val="0093C44A"/>
    <w:rsid w:val="00946B0C"/>
    <w:rsid w:val="009D48EB"/>
    <w:rsid w:val="00A21761"/>
    <w:rsid w:val="00A51972"/>
    <w:rsid w:val="00A719FC"/>
    <w:rsid w:val="00AA38E1"/>
    <w:rsid w:val="00AE39A5"/>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E1CC6"/>
    <w:rsid w:val="00FF3EE2"/>
    <w:rsid w:val="00FF6EF3"/>
    <w:rsid w:val="01A0723A"/>
    <w:rsid w:val="02B3C44F"/>
    <w:rsid w:val="02BCDE2B"/>
    <w:rsid w:val="031046DF"/>
    <w:rsid w:val="061209AE"/>
    <w:rsid w:val="0B6A0C66"/>
    <w:rsid w:val="0C7DDE0E"/>
    <w:rsid w:val="0CE38142"/>
    <w:rsid w:val="0DCB6B24"/>
    <w:rsid w:val="0E2289EC"/>
    <w:rsid w:val="0FB5482A"/>
    <w:rsid w:val="1005AA2B"/>
    <w:rsid w:val="1300C9E1"/>
    <w:rsid w:val="134770FE"/>
    <w:rsid w:val="13685818"/>
    <w:rsid w:val="17AECED6"/>
    <w:rsid w:val="19A62680"/>
    <w:rsid w:val="19B75270"/>
    <w:rsid w:val="1B9B253E"/>
    <w:rsid w:val="1BC662FA"/>
    <w:rsid w:val="1C8B89BA"/>
    <w:rsid w:val="1CB5C437"/>
    <w:rsid w:val="1D75E360"/>
    <w:rsid w:val="1D7BA3D8"/>
    <w:rsid w:val="1DD6F1EE"/>
    <w:rsid w:val="1DF0E17D"/>
    <w:rsid w:val="1EAF7C9A"/>
    <w:rsid w:val="1F92CEBE"/>
    <w:rsid w:val="216A1389"/>
    <w:rsid w:val="229E4C0C"/>
    <w:rsid w:val="230AD2CB"/>
    <w:rsid w:val="236D715C"/>
    <w:rsid w:val="237966E0"/>
    <w:rsid w:val="24570A94"/>
    <w:rsid w:val="248F05BE"/>
    <w:rsid w:val="24D5FB3E"/>
    <w:rsid w:val="25C9FF3D"/>
    <w:rsid w:val="29A6ACA3"/>
    <w:rsid w:val="29F5DCBE"/>
    <w:rsid w:val="2A602EEE"/>
    <w:rsid w:val="2A723FE4"/>
    <w:rsid w:val="2B9E4B41"/>
    <w:rsid w:val="2BF356F9"/>
    <w:rsid w:val="2F21C6CA"/>
    <w:rsid w:val="30E072DB"/>
    <w:rsid w:val="3194BA9C"/>
    <w:rsid w:val="34B68F6F"/>
    <w:rsid w:val="389181A6"/>
    <w:rsid w:val="39BAF3F0"/>
    <w:rsid w:val="3A03AC17"/>
    <w:rsid w:val="3B526FD8"/>
    <w:rsid w:val="3C95558F"/>
    <w:rsid w:val="3DD2678B"/>
    <w:rsid w:val="3F49D7AA"/>
    <w:rsid w:val="3FF48BFB"/>
    <w:rsid w:val="441FF119"/>
    <w:rsid w:val="44709B3A"/>
    <w:rsid w:val="447E4395"/>
    <w:rsid w:val="44DFFF9E"/>
    <w:rsid w:val="45497F20"/>
    <w:rsid w:val="455AA220"/>
    <w:rsid w:val="466E3267"/>
    <w:rsid w:val="470B0C07"/>
    <w:rsid w:val="476F54CC"/>
    <w:rsid w:val="47B2ED50"/>
    <w:rsid w:val="492132F9"/>
    <w:rsid w:val="4960F62E"/>
    <w:rsid w:val="4A5BA163"/>
    <w:rsid w:val="4B5ED663"/>
    <w:rsid w:val="4C59D916"/>
    <w:rsid w:val="4C747B50"/>
    <w:rsid w:val="4CADA413"/>
    <w:rsid w:val="4D8DD7CD"/>
    <w:rsid w:val="4F9A594B"/>
    <w:rsid w:val="506D4E92"/>
    <w:rsid w:val="509D0A6E"/>
    <w:rsid w:val="50A0132D"/>
    <w:rsid w:val="518BE983"/>
    <w:rsid w:val="522AF6EB"/>
    <w:rsid w:val="52BAF039"/>
    <w:rsid w:val="536A171D"/>
    <w:rsid w:val="53C7CB58"/>
    <w:rsid w:val="53DD5DB8"/>
    <w:rsid w:val="56541B87"/>
    <w:rsid w:val="56FDB0F3"/>
    <w:rsid w:val="58794579"/>
    <w:rsid w:val="5889EC3A"/>
    <w:rsid w:val="5AE869DF"/>
    <w:rsid w:val="5B7B4BF6"/>
    <w:rsid w:val="5BC4FCFF"/>
    <w:rsid w:val="5D23953E"/>
    <w:rsid w:val="5EEF045C"/>
    <w:rsid w:val="618E33EE"/>
    <w:rsid w:val="61D45F98"/>
    <w:rsid w:val="62E581D5"/>
    <w:rsid w:val="6454475A"/>
    <w:rsid w:val="684015C6"/>
    <w:rsid w:val="69659775"/>
    <w:rsid w:val="6B712061"/>
    <w:rsid w:val="6F9AF577"/>
    <w:rsid w:val="71D44EFA"/>
    <w:rsid w:val="72F30E7F"/>
    <w:rsid w:val="72FA37F0"/>
    <w:rsid w:val="74D5C9A6"/>
    <w:rsid w:val="75052EDF"/>
    <w:rsid w:val="77383A75"/>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eng.ac.uk/library-and-publications/rcs-publications/docs/gallstones-commissioning-gui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bi.aomrc.org.uk/interventions/cholecystecto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A7048204-DA24-4422-B9DB-FD6A4031A9C7}"/>
</file>

<file path=customXml/itemProps3.xml><?xml version="1.0" encoding="utf-8"?>
<ds:datastoreItem xmlns:ds="http://schemas.openxmlformats.org/officeDocument/2006/customXml" ds:itemID="{EF5E2BB1-B746-425F-8753-9F82113632BA}">
  <ds:schemaRefs>
    <ds:schemaRef ds:uri="http://www.w3.org/XML/1998/namespace"/>
    <ds:schemaRef ds:uri="http://schemas.microsoft.com/office/2006/documentManagement/types"/>
    <ds:schemaRef ds:uri="f6a82410-35a1-48d9-a432-e298e5b95e46"/>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1365388d-8e0b-4df5-a0a3-cd102b49988e"/>
    <ds:schemaRef ds:uri="http://schemas.microsoft.com/sharepoint/v3"/>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NHS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2025-03-19T16:20:00Z</dcterms:created>
  <dcterms:modified xsi:type="dcterms:W3CDTF">2025-03-19T16:20:00Z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52600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