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16" w:type="dxa"/>
        <w:tblLook w:val="04A0" w:firstRow="1" w:lastRow="0" w:firstColumn="1" w:lastColumn="0" w:noHBand="0" w:noVBand="1"/>
      </w:tblPr>
      <w:tblGrid>
        <w:gridCol w:w="2505"/>
        <w:gridCol w:w="6511"/>
      </w:tblGrid>
      <w:tr w:rsidR="00B97DAB" w14:paraId="3F32C22B" w14:textId="77777777" w:rsidTr="3416FA79">
        <w:tc>
          <w:tcPr>
            <w:tcW w:w="2505" w:type="dxa"/>
          </w:tcPr>
          <w:p w14:paraId="2137C5A4" w14:textId="11B48F23" w:rsidR="00B97DAB" w:rsidRDefault="00B97DAB">
            <w:r>
              <w:t xml:space="preserve">Intervention </w:t>
            </w:r>
          </w:p>
        </w:tc>
        <w:tc>
          <w:tcPr>
            <w:tcW w:w="6511" w:type="dxa"/>
          </w:tcPr>
          <w:p w14:paraId="73A5EAEF" w14:textId="2E23EEC2" w:rsidR="00B97DAB" w:rsidRPr="00ED5143" w:rsidRDefault="00406D54" w:rsidP="25C9FF3D">
            <w:pPr>
              <w:rPr>
                <w:b/>
                <w:bCs/>
                <w:lang w:val="en-US"/>
              </w:rPr>
            </w:pPr>
            <w:r>
              <w:rPr>
                <w:b/>
                <w:bCs/>
                <w:lang w:val="en-US"/>
              </w:rPr>
              <w:t xml:space="preserve">108. </w:t>
            </w:r>
            <w:r w:rsidR="51A44F8F" w:rsidRPr="18D0A640">
              <w:rPr>
                <w:b/>
                <w:bCs/>
                <w:lang w:val="en-US"/>
              </w:rPr>
              <w:t xml:space="preserve">Inguinal </w:t>
            </w:r>
            <w:r w:rsidR="62002829" w:rsidRPr="18D0A640">
              <w:rPr>
                <w:b/>
                <w:bCs/>
                <w:lang w:val="en-US"/>
              </w:rPr>
              <w:t>Hernia Repair (Adults)</w:t>
            </w:r>
          </w:p>
        </w:tc>
      </w:tr>
      <w:tr w:rsidR="00B97DAB" w14:paraId="004828E6" w14:textId="77777777" w:rsidTr="3416FA79">
        <w:tc>
          <w:tcPr>
            <w:tcW w:w="2505" w:type="dxa"/>
          </w:tcPr>
          <w:p w14:paraId="194FC277" w14:textId="469D4455" w:rsidR="00B97DAB" w:rsidRDefault="00B97DAB">
            <w:r>
              <w:t xml:space="preserve">For the treatment of </w:t>
            </w:r>
          </w:p>
        </w:tc>
        <w:tc>
          <w:tcPr>
            <w:tcW w:w="6511" w:type="dxa"/>
          </w:tcPr>
          <w:p w14:paraId="23E416B7" w14:textId="09815EBA" w:rsidR="00656075" w:rsidRDefault="31D3FCB9" w:rsidP="00330790">
            <w:r>
              <w:t>Hernia</w:t>
            </w:r>
          </w:p>
        </w:tc>
      </w:tr>
      <w:tr w:rsidR="00113D9B" w14:paraId="3D720573" w14:textId="77777777" w:rsidTr="3416FA79">
        <w:tc>
          <w:tcPr>
            <w:tcW w:w="2505" w:type="dxa"/>
          </w:tcPr>
          <w:p w14:paraId="6B55BECB" w14:textId="291589DB" w:rsidR="00113D9B" w:rsidRDefault="00113D9B" w:rsidP="00113D9B">
            <w:r>
              <w:t xml:space="preserve">Commissioning Position </w:t>
            </w:r>
          </w:p>
        </w:tc>
        <w:tc>
          <w:tcPr>
            <w:tcW w:w="6511" w:type="dxa"/>
          </w:tcPr>
          <w:p w14:paraId="4AE9446A" w14:textId="1D0205F1" w:rsidR="00177C4D" w:rsidRDefault="3BC542A0" w:rsidP="20B4D78A">
            <w:pPr>
              <w:pStyle w:val="paragraph"/>
              <w:spacing w:before="0" w:beforeAutospacing="0" w:after="0" w:afterAutospacing="0"/>
              <w:textAlignment w:val="baseline"/>
              <w:rPr>
                <w:rStyle w:val="normaltextrun"/>
                <w:rFonts w:ascii="Calibri" w:hAnsi="Calibri" w:cs="Calibri"/>
                <w:color w:val="000000" w:themeColor="text1"/>
                <w:sz w:val="22"/>
                <w:szCs w:val="22"/>
              </w:rPr>
            </w:pPr>
            <w:r w:rsidRPr="20B4D78A">
              <w:rPr>
                <w:rStyle w:val="normaltextrun"/>
                <w:rFonts w:ascii="Calibri" w:hAnsi="Calibri" w:cs="Calibri"/>
                <w:color w:val="000000" w:themeColor="text1"/>
                <w:sz w:val="22"/>
                <w:szCs w:val="22"/>
              </w:rPr>
              <w:t xml:space="preserve">Surgery is routinely commissioned and does not require prior approval for:  </w:t>
            </w:r>
          </w:p>
          <w:p w14:paraId="31D879C1" w14:textId="038D0E94" w:rsidR="00177C4D" w:rsidRDefault="3BC542A0" w:rsidP="20B4D78A">
            <w:pPr>
              <w:pStyle w:val="paragraph"/>
              <w:numPr>
                <w:ilvl w:val="0"/>
                <w:numId w:val="2"/>
              </w:numPr>
              <w:spacing w:before="0" w:beforeAutospacing="0" w:after="0" w:afterAutospacing="0"/>
              <w:textAlignment w:val="baseline"/>
            </w:pPr>
            <w:r w:rsidRPr="20B4D78A">
              <w:rPr>
                <w:rStyle w:val="normaltextrun"/>
                <w:rFonts w:ascii="Calibri" w:hAnsi="Calibri" w:cs="Calibri"/>
                <w:color w:val="000000" w:themeColor="text1"/>
                <w:sz w:val="22"/>
                <w:szCs w:val="22"/>
              </w:rPr>
              <w:t xml:space="preserve">Suspected femoral or inguinal hernias in women or  </w:t>
            </w:r>
          </w:p>
          <w:p w14:paraId="72CAFB64" w14:textId="51ED6C77" w:rsidR="00177C4D" w:rsidRDefault="3BC542A0" w:rsidP="20B4D78A">
            <w:pPr>
              <w:pStyle w:val="paragraph"/>
              <w:numPr>
                <w:ilvl w:val="0"/>
                <w:numId w:val="2"/>
              </w:numPr>
              <w:spacing w:before="0" w:beforeAutospacing="0" w:after="0" w:afterAutospacing="0"/>
              <w:textAlignment w:val="baseline"/>
            </w:pPr>
            <w:r w:rsidRPr="20B4D78A">
              <w:rPr>
                <w:rStyle w:val="normaltextrun"/>
                <w:rFonts w:ascii="Calibri" w:hAnsi="Calibri" w:cs="Calibri"/>
                <w:color w:val="000000" w:themeColor="text1"/>
                <w:sz w:val="22"/>
                <w:szCs w:val="22"/>
              </w:rPr>
              <w:t xml:space="preserve">Suspected femoral or </w:t>
            </w:r>
            <w:proofErr w:type="spellStart"/>
            <w:r w:rsidRPr="20B4D78A">
              <w:rPr>
                <w:rStyle w:val="normaltextrun"/>
                <w:rFonts w:ascii="Calibri" w:hAnsi="Calibri" w:cs="Calibri"/>
                <w:color w:val="000000" w:themeColor="text1"/>
                <w:sz w:val="22"/>
                <w:szCs w:val="22"/>
              </w:rPr>
              <w:t>inguino</w:t>
            </w:r>
            <w:proofErr w:type="spellEnd"/>
            <w:r w:rsidRPr="20B4D78A">
              <w:rPr>
                <w:rStyle w:val="normaltextrun"/>
                <w:rFonts w:ascii="Calibri" w:hAnsi="Calibri" w:cs="Calibri"/>
                <w:color w:val="000000" w:themeColor="text1"/>
                <w:sz w:val="22"/>
                <w:szCs w:val="22"/>
              </w:rPr>
              <w:t xml:space="preserve">-scrotal hernias in men or  </w:t>
            </w:r>
          </w:p>
          <w:p w14:paraId="41B09F46" w14:textId="73AB11C2" w:rsidR="00177C4D" w:rsidRDefault="3BC542A0" w:rsidP="18D0A640">
            <w:pPr>
              <w:pStyle w:val="paragraph"/>
              <w:numPr>
                <w:ilvl w:val="0"/>
                <w:numId w:val="2"/>
              </w:numPr>
              <w:spacing w:before="0" w:beforeAutospacing="0" w:after="0" w:afterAutospacing="0"/>
              <w:textAlignment w:val="baseline"/>
              <w:rPr>
                <w:rStyle w:val="normaltextrun"/>
                <w:rFonts w:ascii="Calibri" w:hAnsi="Calibri" w:cs="Calibri"/>
                <w:color w:val="000000" w:themeColor="text1"/>
                <w:sz w:val="22"/>
                <w:szCs w:val="22"/>
              </w:rPr>
            </w:pPr>
            <w:r w:rsidRPr="18D0A640">
              <w:rPr>
                <w:rStyle w:val="normaltextrun"/>
                <w:rFonts w:ascii="Calibri" w:hAnsi="Calibri" w:cs="Calibri"/>
                <w:color w:val="000000" w:themeColor="text1"/>
                <w:sz w:val="22"/>
                <w:szCs w:val="22"/>
              </w:rPr>
              <w:t xml:space="preserve">Any hernia that is difficult or impossible to reduce or causes </w:t>
            </w:r>
            <w:r w:rsidR="71D1250A" w:rsidRPr="18D0A640">
              <w:rPr>
                <w:rStyle w:val="normaltextrun"/>
                <w:rFonts w:ascii="Calibri" w:hAnsi="Calibri" w:cs="Calibri"/>
                <w:color w:val="000000" w:themeColor="text1"/>
                <w:sz w:val="22"/>
                <w:szCs w:val="22"/>
              </w:rPr>
              <w:t>p</w:t>
            </w:r>
            <w:r w:rsidRPr="18D0A640">
              <w:rPr>
                <w:rStyle w:val="normaltextrun"/>
                <w:rFonts w:ascii="Calibri" w:hAnsi="Calibri" w:cs="Calibri"/>
                <w:color w:val="000000" w:themeColor="text1"/>
                <w:sz w:val="22"/>
                <w:szCs w:val="22"/>
              </w:rPr>
              <w:t xml:space="preserve">ain/discomfort interfering with activities of daily living in all adults. </w:t>
            </w:r>
          </w:p>
          <w:p w14:paraId="305BC98A" w14:textId="188AFFE4" w:rsidR="18D0A640" w:rsidRDefault="18D0A640" w:rsidP="18D0A640">
            <w:pPr>
              <w:pStyle w:val="paragraph"/>
              <w:spacing w:before="0" w:beforeAutospacing="0" w:after="0" w:afterAutospacing="0"/>
              <w:ind w:left="720"/>
              <w:rPr>
                <w:rStyle w:val="normaltextrun"/>
                <w:rFonts w:ascii="Calibri" w:hAnsi="Calibri" w:cs="Calibri"/>
                <w:color w:val="000000" w:themeColor="text1"/>
                <w:sz w:val="22"/>
                <w:szCs w:val="22"/>
              </w:rPr>
            </w:pPr>
          </w:p>
          <w:p w14:paraId="67A61C07" w14:textId="017D8CDF" w:rsidR="00177C4D" w:rsidRDefault="3BC542A0" w:rsidP="20B4D78A">
            <w:pPr>
              <w:pStyle w:val="paragraph"/>
              <w:spacing w:before="0" w:beforeAutospacing="0" w:after="0" w:afterAutospacing="0"/>
              <w:textAlignment w:val="baseline"/>
            </w:pPr>
            <w:r w:rsidRPr="20B4D78A">
              <w:rPr>
                <w:rStyle w:val="normaltextrun"/>
                <w:rFonts w:ascii="Calibri" w:hAnsi="Calibri" w:cs="Calibri"/>
                <w:color w:val="000000" w:themeColor="text1"/>
                <w:sz w:val="22"/>
                <w:szCs w:val="22"/>
              </w:rPr>
              <w:t xml:space="preserve">Surgery is also commissioned for any hernia that: </w:t>
            </w:r>
          </w:p>
          <w:p w14:paraId="52D3F55E" w14:textId="0FE43544" w:rsidR="00177C4D" w:rsidRDefault="3BC542A0" w:rsidP="20B4D78A">
            <w:pPr>
              <w:pStyle w:val="paragraph"/>
              <w:numPr>
                <w:ilvl w:val="0"/>
                <w:numId w:val="1"/>
              </w:numPr>
              <w:spacing w:before="0" w:beforeAutospacing="0" w:after="0" w:afterAutospacing="0"/>
              <w:textAlignment w:val="baseline"/>
            </w:pPr>
            <w:r w:rsidRPr="20B4D78A">
              <w:rPr>
                <w:rStyle w:val="normaltextrun"/>
                <w:rFonts w:ascii="Calibri" w:hAnsi="Calibri" w:cs="Calibri"/>
                <w:color w:val="000000" w:themeColor="text1"/>
                <w:sz w:val="22"/>
                <w:szCs w:val="22"/>
              </w:rPr>
              <w:t xml:space="preserve">Has steadily increased in size or  </w:t>
            </w:r>
          </w:p>
          <w:p w14:paraId="1A29F2A3" w14:textId="61BC0528" w:rsidR="00177C4D" w:rsidRDefault="3BC542A0" w:rsidP="20B4D78A">
            <w:pPr>
              <w:pStyle w:val="paragraph"/>
              <w:numPr>
                <w:ilvl w:val="0"/>
                <w:numId w:val="1"/>
              </w:numPr>
              <w:spacing w:before="0" w:beforeAutospacing="0" w:after="0" w:afterAutospacing="0"/>
              <w:textAlignment w:val="baseline"/>
              <w:rPr>
                <w:rStyle w:val="normaltextrun"/>
                <w:rFonts w:ascii="Calibri" w:hAnsi="Calibri" w:cs="Calibri"/>
                <w:color w:val="000000" w:themeColor="text1"/>
                <w:sz w:val="22"/>
                <w:szCs w:val="22"/>
              </w:rPr>
            </w:pPr>
            <w:r w:rsidRPr="20B4D78A">
              <w:rPr>
                <w:rStyle w:val="normaltextrun"/>
                <w:rFonts w:ascii="Calibri" w:hAnsi="Calibri" w:cs="Calibri"/>
                <w:color w:val="000000" w:themeColor="text1"/>
                <w:sz w:val="22"/>
                <w:szCs w:val="22"/>
              </w:rPr>
              <w:t xml:space="preserve">If a comorbidity is present that is considered likely to significantly increase the risks associated with surgery </w:t>
            </w:r>
            <w:bookmarkStart w:id="0" w:name="_Int_Unzmg8t4"/>
            <w:r w:rsidRPr="20B4D78A">
              <w:rPr>
                <w:rStyle w:val="normaltextrun"/>
                <w:rFonts w:ascii="Calibri" w:hAnsi="Calibri" w:cs="Calibri"/>
                <w:color w:val="000000" w:themeColor="text1"/>
                <w:sz w:val="22"/>
                <w:szCs w:val="22"/>
              </w:rPr>
              <w:t>at a later date</w:t>
            </w:r>
            <w:bookmarkEnd w:id="0"/>
            <w:r w:rsidRPr="20B4D78A">
              <w:rPr>
                <w:rStyle w:val="normaltextrun"/>
                <w:rFonts w:ascii="Calibri" w:hAnsi="Calibri" w:cs="Calibri"/>
                <w:color w:val="000000" w:themeColor="text1"/>
                <w:sz w:val="22"/>
                <w:szCs w:val="22"/>
              </w:rPr>
              <w:t xml:space="preserve">. </w:t>
            </w:r>
          </w:p>
          <w:p w14:paraId="07465EB2" w14:textId="77375069" w:rsidR="00177C4D" w:rsidRDefault="00177C4D" w:rsidP="20B4D78A">
            <w:pPr>
              <w:pStyle w:val="paragraph"/>
              <w:spacing w:before="0" w:beforeAutospacing="0" w:after="0" w:afterAutospacing="0"/>
              <w:ind w:left="720"/>
              <w:textAlignment w:val="baseline"/>
              <w:rPr>
                <w:rStyle w:val="normaltextrun"/>
                <w:rFonts w:ascii="Calibri" w:hAnsi="Calibri" w:cs="Calibri"/>
                <w:color w:val="000000" w:themeColor="text1"/>
                <w:sz w:val="22"/>
                <w:szCs w:val="22"/>
              </w:rPr>
            </w:pPr>
          </w:p>
          <w:p w14:paraId="5FA7339C" w14:textId="540DC2AB" w:rsidR="00177C4D" w:rsidRDefault="3BC542A0" w:rsidP="20B4D78A">
            <w:pPr>
              <w:pStyle w:val="paragraph"/>
              <w:spacing w:before="0" w:beforeAutospacing="0" w:after="0" w:afterAutospacing="0"/>
              <w:textAlignment w:val="baseline"/>
            </w:pPr>
            <w:r w:rsidRPr="20B4D78A">
              <w:rPr>
                <w:rStyle w:val="normaltextrun"/>
                <w:rFonts w:ascii="Calibri" w:hAnsi="Calibri" w:cs="Calibri"/>
                <w:color w:val="000000" w:themeColor="text1"/>
                <w:sz w:val="22"/>
                <w:szCs w:val="22"/>
              </w:rPr>
              <w:t xml:space="preserve">Minimally symptomatic hernias can otherwise be managed conservatively with watchful waiting. </w:t>
            </w:r>
          </w:p>
          <w:p w14:paraId="745B88FF" w14:textId="452AC701" w:rsidR="00177C4D" w:rsidRDefault="00177C4D" w:rsidP="20B4D78A">
            <w:pPr>
              <w:pStyle w:val="paragraph"/>
              <w:spacing w:before="0" w:beforeAutospacing="0" w:after="0" w:afterAutospacing="0"/>
              <w:textAlignment w:val="baseline"/>
              <w:rPr>
                <w:rStyle w:val="normaltextrun"/>
                <w:rFonts w:ascii="Calibri" w:hAnsi="Calibri" w:cs="Calibri"/>
                <w:color w:val="000000" w:themeColor="text1"/>
                <w:sz w:val="22"/>
                <w:szCs w:val="22"/>
              </w:rPr>
            </w:pPr>
          </w:p>
          <w:p w14:paraId="53855746" w14:textId="0C5D449C" w:rsidR="00177C4D" w:rsidRDefault="3BC542A0" w:rsidP="20B4D78A">
            <w:pPr>
              <w:pStyle w:val="paragraph"/>
              <w:spacing w:before="0" w:beforeAutospacing="0" w:after="0" w:afterAutospacing="0"/>
              <w:textAlignment w:val="baseline"/>
            </w:pPr>
            <w:r w:rsidRPr="3416FA79">
              <w:rPr>
                <w:rStyle w:val="normaltextrun"/>
                <w:rFonts w:ascii="Calibri" w:hAnsi="Calibri" w:cs="Calibri"/>
                <w:color w:val="000000" w:themeColor="text1"/>
                <w:sz w:val="22"/>
                <w:szCs w:val="22"/>
              </w:rPr>
              <w:t>This policy does not cover congenital hernias in children</w:t>
            </w:r>
          </w:p>
        </w:tc>
      </w:tr>
      <w:tr w:rsidR="00113D9B" w14:paraId="2EEB5014" w14:textId="77777777" w:rsidTr="3416FA79">
        <w:tc>
          <w:tcPr>
            <w:tcW w:w="2505" w:type="dxa"/>
          </w:tcPr>
          <w:p w14:paraId="31574E9B" w14:textId="509110BD" w:rsidR="00113D9B" w:rsidRDefault="00113D9B" w:rsidP="00113D9B">
            <w:r>
              <w:t>Summary of Rationale</w:t>
            </w:r>
          </w:p>
          <w:p w14:paraId="61460744" w14:textId="7D87783C" w:rsidR="00113D9B" w:rsidRDefault="00113D9B" w:rsidP="00113D9B"/>
        </w:tc>
        <w:tc>
          <w:tcPr>
            <w:tcW w:w="6511" w:type="dxa"/>
          </w:tcPr>
          <w:p w14:paraId="32232FF4" w14:textId="220197D0" w:rsidR="00113D9B" w:rsidRDefault="6F1845E9" w:rsidP="3416FA79">
            <w:pPr>
              <w:rPr>
                <w:rFonts w:eastAsiaTheme="minorEastAsia"/>
              </w:rPr>
            </w:pPr>
            <w:r w:rsidRPr="3416FA79">
              <w:rPr>
                <w:rFonts w:eastAsiaTheme="minorEastAsia"/>
              </w:rPr>
              <w:t>Watchful waiting is a safe option for people with minimally symptomatic inguinal hernias. Delaying and not doing surgical repair unless symptoms increase is acceptable because acute hernia incarcerations occur rarely. Many people with an inguinal hernia are asymptomatic or minimally symptomatic and may never need surgery.</w:t>
            </w:r>
          </w:p>
          <w:p w14:paraId="6AC20E49" w14:textId="1395B8B8" w:rsidR="00113D9B" w:rsidRDefault="00113D9B" w:rsidP="3416FA79">
            <w:pPr>
              <w:rPr>
                <w:rFonts w:eastAsiaTheme="minorEastAsia"/>
              </w:rPr>
            </w:pPr>
          </w:p>
          <w:p w14:paraId="5691B576" w14:textId="42FAAFA5" w:rsidR="00113D9B" w:rsidRDefault="6F1845E9" w:rsidP="18D0A640">
            <w:pPr>
              <w:rPr>
                <w:rFonts w:eastAsiaTheme="minorEastAsia"/>
              </w:rPr>
            </w:pPr>
            <w:r w:rsidRPr="3416FA79">
              <w:rPr>
                <w:rFonts w:eastAsiaTheme="minorEastAsia"/>
              </w:rPr>
              <w:t>In women, all suspected groin hernias should be urgent referrals</w:t>
            </w:r>
            <w:r w:rsidR="42E5231A" w:rsidRPr="3416FA79">
              <w:rPr>
                <w:rFonts w:eastAsiaTheme="minorEastAsia"/>
              </w:rPr>
              <w:t xml:space="preserve"> due to higher risk of complication</w:t>
            </w:r>
            <w:r w:rsidRPr="3416FA79">
              <w:rPr>
                <w:rFonts w:eastAsiaTheme="minorEastAsia"/>
              </w:rPr>
              <w:t>.</w:t>
            </w:r>
          </w:p>
        </w:tc>
      </w:tr>
      <w:tr w:rsidR="00113D9B" w14:paraId="45DC12DB" w14:textId="77777777" w:rsidTr="3416FA79">
        <w:tc>
          <w:tcPr>
            <w:tcW w:w="2505" w:type="dxa"/>
          </w:tcPr>
          <w:p w14:paraId="5A47F1A1" w14:textId="4F582E47" w:rsidR="00113D9B" w:rsidRDefault="00113D9B" w:rsidP="00113D9B">
            <w:r>
              <w:t xml:space="preserve">References </w:t>
            </w:r>
          </w:p>
        </w:tc>
        <w:tc>
          <w:tcPr>
            <w:tcW w:w="6511" w:type="dxa"/>
          </w:tcPr>
          <w:p w14:paraId="0930EC71" w14:textId="213489DD" w:rsidR="00113D9B" w:rsidRPr="0039492D" w:rsidRDefault="56B43898" w:rsidP="18D0A640">
            <w:pPr>
              <w:rPr>
                <w:rFonts w:ascii="Calibri" w:eastAsia="Calibri" w:hAnsi="Calibri" w:cs="Calibri"/>
              </w:rPr>
            </w:pPr>
            <w:hyperlink r:id="rId10">
              <w:r w:rsidRPr="3416FA79">
                <w:rPr>
                  <w:rStyle w:val="Hyperlink"/>
                  <w:rFonts w:ascii="Calibri" w:eastAsia="Calibri" w:hAnsi="Calibri" w:cs="Calibri"/>
                </w:rPr>
                <w:t>EBI Repair of minimally symptomatic inguinal hernia (AOMRC)</w:t>
              </w:r>
            </w:hyperlink>
          </w:p>
          <w:p w14:paraId="25720FC4" w14:textId="4FDFC5A0" w:rsidR="00113D9B" w:rsidRPr="0039492D" w:rsidRDefault="3318BE5F" w:rsidP="3416FA79">
            <w:pPr>
              <w:rPr>
                <w:rFonts w:ascii="Calibri" w:eastAsia="Calibri" w:hAnsi="Calibri" w:cs="Calibri"/>
              </w:rPr>
            </w:pPr>
            <w:hyperlink r:id="rId11">
              <w:r w:rsidRPr="3416FA79">
                <w:rPr>
                  <w:rStyle w:val="Hyperlink"/>
                  <w:rFonts w:ascii="Calibri" w:eastAsia="Calibri" w:hAnsi="Calibri" w:cs="Calibri"/>
                </w:rPr>
                <w:t>Interim Clinical Commissioning Policy - Abdominal wall hernia management and repair in adults (NHSE)</w:t>
              </w:r>
            </w:hyperlink>
            <w:r w:rsidR="4AB826A8" w:rsidRPr="3416FA79">
              <w:rPr>
                <w:rFonts w:ascii="Calibri" w:eastAsia="Calibri" w:hAnsi="Calibri" w:cs="Calibri"/>
              </w:rPr>
              <w:t xml:space="preserve"> </w:t>
            </w:r>
          </w:p>
          <w:p w14:paraId="150D9A10" w14:textId="5031BC4C" w:rsidR="00113D9B" w:rsidRPr="0039492D" w:rsidRDefault="7CF2D549" w:rsidP="18D0A640">
            <w:pPr>
              <w:rPr>
                <w:rFonts w:ascii="Calibri" w:eastAsia="Calibri" w:hAnsi="Calibri" w:cs="Calibri"/>
              </w:rPr>
            </w:pPr>
            <w:hyperlink r:id="rId12">
              <w:r w:rsidRPr="3416FA79">
                <w:rPr>
                  <w:rStyle w:val="Hyperlink"/>
                  <w:rFonts w:ascii="Calibri" w:eastAsia="Calibri" w:hAnsi="Calibri" w:cs="Calibri"/>
                </w:rPr>
                <w:t>Hernia - Commissioning Guide (</w:t>
              </w:r>
              <w:proofErr w:type="spellStart"/>
              <w:r w:rsidRPr="3416FA79">
                <w:rPr>
                  <w:rStyle w:val="Hyperlink"/>
                  <w:rFonts w:ascii="Calibri" w:eastAsia="Calibri" w:hAnsi="Calibri" w:cs="Calibri"/>
                </w:rPr>
                <w:t>RCSEng</w:t>
              </w:r>
              <w:proofErr w:type="spellEnd"/>
              <w:r w:rsidRPr="3416FA79">
                <w:rPr>
                  <w:rStyle w:val="Hyperlink"/>
                  <w:rFonts w:ascii="Calibri" w:eastAsia="Calibri" w:hAnsi="Calibri" w:cs="Calibri"/>
                </w:rPr>
                <w:t>)</w:t>
              </w:r>
            </w:hyperlink>
          </w:p>
        </w:tc>
      </w:tr>
      <w:tr w:rsidR="00113D9B" w14:paraId="2F64E887" w14:textId="77777777" w:rsidTr="3416FA79">
        <w:tc>
          <w:tcPr>
            <w:tcW w:w="2505" w:type="dxa"/>
          </w:tcPr>
          <w:p w14:paraId="26CC3A7F" w14:textId="3F59DDFA" w:rsidR="00113D9B" w:rsidRDefault="00113D9B" w:rsidP="00113D9B">
            <w:r>
              <w:t>Effective from</w:t>
            </w:r>
          </w:p>
        </w:tc>
        <w:tc>
          <w:tcPr>
            <w:tcW w:w="6511" w:type="dxa"/>
          </w:tcPr>
          <w:p w14:paraId="03ECD2F0" w14:textId="112A249D" w:rsidR="00113D9B" w:rsidRDefault="00113D9B" w:rsidP="00113D9B">
            <w:r>
              <w:t>J</w:t>
            </w:r>
            <w:r w:rsidR="03DB7E97">
              <w:t>anuary</w:t>
            </w:r>
            <w:r>
              <w:t xml:space="preserve"> 202</w:t>
            </w:r>
            <w:r w:rsidR="6BC19599">
              <w:t>5</w:t>
            </w:r>
          </w:p>
        </w:tc>
      </w:tr>
      <w:tr w:rsidR="00113D9B" w14:paraId="2C1E1213" w14:textId="77777777" w:rsidTr="3416FA79">
        <w:tc>
          <w:tcPr>
            <w:tcW w:w="2505" w:type="dxa"/>
          </w:tcPr>
          <w:p w14:paraId="4D394461" w14:textId="4D85EBE7" w:rsidR="00113D9B" w:rsidRDefault="00113D9B" w:rsidP="00113D9B">
            <w:r>
              <w:t xml:space="preserve">Policy Review Date </w:t>
            </w:r>
          </w:p>
        </w:tc>
        <w:tc>
          <w:tcPr>
            <w:tcW w:w="6511" w:type="dxa"/>
          </w:tcPr>
          <w:p w14:paraId="29012611" w14:textId="233FC0D7" w:rsidR="00113D9B" w:rsidRDefault="00113D9B" w:rsidP="00113D9B">
            <w:r>
              <w:t>J</w:t>
            </w:r>
            <w:r w:rsidR="3D65EA56">
              <w:t>anuary</w:t>
            </w:r>
            <w:r>
              <w:t xml:space="preserve"> 202</w:t>
            </w:r>
            <w:r w:rsidR="00998978">
              <w:t>8</w:t>
            </w:r>
          </w:p>
        </w:tc>
      </w:tr>
    </w:tbl>
    <w:p w14:paraId="18EDB3DD" w14:textId="77777777" w:rsidR="000E104F" w:rsidRDefault="000E104F"/>
    <w:sectPr w:rsidR="000E104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C551A" w14:textId="77777777" w:rsidR="00C55041" w:rsidRDefault="00C55041">
      <w:pPr>
        <w:spacing w:after="0" w:line="240" w:lineRule="auto"/>
      </w:pPr>
      <w:r>
        <w:separator/>
      </w:r>
    </w:p>
  </w:endnote>
  <w:endnote w:type="continuationSeparator" w:id="0">
    <w:p w14:paraId="7317542A" w14:textId="77777777" w:rsidR="00C55041" w:rsidRDefault="00C55041">
      <w:pPr>
        <w:spacing w:after="0" w:line="240" w:lineRule="auto"/>
      </w:pPr>
      <w:r>
        <w:continuationSeparator/>
      </w:r>
    </w:p>
  </w:endnote>
  <w:endnote w:type="continuationNotice" w:id="1">
    <w:p w14:paraId="64C042D7" w14:textId="77777777" w:rsidR="00496FC2" w:rsidRDefault="00496F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E0A7EF1" w14:paraId="4ECC4AA6" w14:textId="77777777" w:rsidTr="7E0A7EF1">
      <w:trPr>
        <w:trHeight w:val="300"/>
      </w:trPr>
      <w:tc>
        <w:tcPr>
          <w:tcW w:w="3005" w:type="dxa"/>
        </w:tcPr>
        <w:p w14:paraId="46E12BB5" w14:textId="15E9803C" w:rsidR="7E0A7EF1" w:rsidRDefault="7E0A7EF1" w:rsidP="7E0A7EF1">
          <w:pPr>
            <w:pStyle w:val="Header"/>
            <w:ind w:left="-115"/>
          </w:pPr>
        </w:p>
      </w:tc>
      <w:tc>
        <w:tcPr>
          <w:tcW w:w="3005" w:type="dxa"/>
        </w:tcPr>
        <w:p w14:paraId="6FDC0DF0" w14:textId="15E5D3F0" w:rsidR="7E0A7EF1" w:rsidRDefault="7E0A7EF1" w:rsidP="7E0A7EF1">
          <w:pPr>
            <w:pStyle w:val="Header"/>
            <w:jc w:val="center"/>
          </w:pPr>
        </w:p>
      </w:tc>
      <w:tc>
        <w:tcPr>
          <w:tcW w:w="3005" w:type="dxa"/>
        </w:tcPr>
        <w:p w14:paraId="0B0EF700" w14:textId="5D85FE91" w:rsidR="7E0A7EF1" w:rsidRDefault="7E0A7EF1" w:rsidP="7E0A7EF1">
          <w:pPr>
            <w:pStyle w:val="Header"/>
            <w:ind w:right="-115"/>
            <w:jc w:val="right"/>
          </w:pPr>
        </w:p>
      </w:tc>
    </w:tr>
  </w:tbl>
  <w:p w14:paraId="4A8E2A0F" w14:textId="0AF419A2" w:rsidR="7E0A7EF1" w:rsidRDefault="7E0A7EF1" w:rsidP="7E0A7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C1D03" w14:textId="77777777" w:rsidR="00C55041" w:rsidRDefault="00C55041">
      <w:pPr>
        <w:spacing w:after="0" w:line="240" w:lineRule="auto"/>
      </w:pPr>
      <w:r>
        <w:separator/>
      </w:r>
    </w:p>
  </w:footnote>
  <w:footnote w:type="continuationSeparator" w:id="0">
    <w:p w14:paraId="1CBFF2CE" w14:textId="77777777" w:rsidR="00C55041" w:rsidRDefault="00C55041">
      <w:pPr>
        <w:spacing w:after="0" w:line="240" w:lineRule="auto"/>
      </w:pPr>
      <w:r>
        <w:continuationSeparator/>
      </w:r>
    </w:p>
  </w:footnote>
  <w:footnote w:type="continuationNotice" w:id="1">
    <w:p w14:paraId="522F59A3" w14:textId="77777777" w:rsidR="00496FC2" w:rsidRDefault="00496F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DCDC9" w14:textId="127291D3" w:rsidR="7E0A7EF1" w:rsidRDefault="7E0A7EF1" w:rsidP="7E0A7EF1">
    <w:pPr>
      <w:pStyle w:val="Header"/>
    </w:pPr>
    <w:r>
      <w:rPr>
        <w:noProof/>
      </w:rPr>
      <w:drawing>
        <wp:inline distT="0" distB="0" distL="0" distR="0" wp14:anchorId="78DC3094" wp14:editId="05170533">
          <wp:extent cx="2905125" cy="552450"/>
          <wp:effectExtent l="0" t="0" r="0" b="0"/>
          <wp:docPr id="192037157" name="Picture 19203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05125" cy="552450"/>
                  </a:xfrm>
                  <a:prstGeom prst="rect">
                    <a:avLst/>
                  </a:prstGeom>
                </pic:spPr>
              </pic:pic>
            </a:graphicData>
          </a:graphic>
        </wp:inline>
      </w:drawing>
    </w:r>
    <w:r>
      <w:tab/>
    </w:r>
    <w:r>
      <w:tab/>
    </w:r>
    <w:r>
      <w:rPr>
        <w:noProof/>
      </w:rPr>
      <w:drawing>
        <wp:inline distT="0" distB="0" distL="0" distR="0" wp14:anchorId="57C2E40D" wp14:editId="78B61C03">
          <wp:extent cx="1581150" cy="838200"/>
          <wp:effectExtent l="0" t="0" r="0" b="0"/>
          <wp:docPr id="401433085" name="Picture 40143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81150" cy="8382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pvZB7MKQ7i+4f" int2:id="CED87Hcn">
      <int2:state int2:value="Rejected" int2:type="AugLoop_Text_Critique"/>
    </int2:textHash>
    <int2:bookmark int2:bookmarkName="_Int_Unzmg8t4" int2:invalidationBookmarkName="" int2:hashCode="WzQtwixHDFy4VY" int2:id="6k7Ug3e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237DC"/>
    <w:multiLevelType w:val="hybridMultilevel"/>
    <w:tmpl w:val="81E26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0C6001"/>
    <w:multiLevelType w:val="hybridMultilevel"/>
    <w:tmpl w:val="08CE1380"/>
    <w:lvl w:ilvl="0" w:tplc="99223F12">
      <w:start w:val="1"/>
      <w:numFmt w:val="bullet"/>
      <w:lvlText w:val=""/>
      <w:lvlJc w:val="left"/>
      <w:pPr>
        <w:ind w:left="720" w:hanging="360"/>
      </w:pPr>
      <w:rPr>
        <w:rFonts w:ascii="Symbol" w:hAnsi="Symbol" w:hint="default"/>
      </w:rPr>
    </w:lvl>
    <w:lvl w:ilvl="1" w:tplc="EA46FC9C">
      <w:start w:val="1"/>
      <w:numFmt w:val="bullet"/>
      <w:lvlText w:val="o"/>
      <w:lvlJc w:val="left"/>
      <w:pPr>
        <w:ind w:left="1440" w:hanging="360"/>
      </w:pPr>
      <w:rPr>
        <w:rFonts w:ascii="Courier New" w:hAnsi="Courier New" w:hint="default"/>
      </w:rPr>
    </w:lvl>
    <w:lvl w:ilvl="2" w:tplc="A9E2C37C">
      <w:start w:val="1"/>
      <w:numFmt w:val="bullet"/>
      <w:lvlText w:val=""/>
      <w:lvlJc w:val="left"/>
      <w:pPr>
        <w:ind w:left="2160" w:hanging="360"/>
      </w:pPr>
      <w:rPr>
        <w:rFonts w:ascii="Wingdings" w:hAnsi="Wingdings" w:hint="default"/>
      </w:rPr>
    </w:lvl>
    <w:lvl w:ilvl="3" w:tplc="1B4A4BE0">
      <w:start w:val="1"/>
      <w:numFmt w:val="bullet"/>
      <w:lvlText w:val=""/>
      <w:lvlJc w:val="left"/>
      <w:pPr>
        <w:ind w:left="2880" w:hanging="360"/>
      </w:pPr>
      <w:rPr>
        <w:rFonts w:ascii="Symbol" w:hAnsi="Symbol" w:hint="default"/>
      </w:rPr>
    </w:lvl>
    <w:lvl w:ilvl="4" w:tplc="2368C4E8">
      <w:start w:val="1"/>
      <w:numFmt w:val="bullet"/>
      <w:lvlText w:val="o"/>
      <w:lvlJc w:val="left"/>
      <w:pPr>
        <w:ind w:left="3600" w:hanging="360"/>
      </w:pPr>
      <w:rPr>
        <w:rFonts w:ascii="Courier New" w:hAnsi="Courier New" w:hint="default"/>
      </w:rPr>
    </w:lvl>
    <w:lvl w:ilvl="5" w:tplc="AC560036">
      <w:start w:val="1"/>
      <w:numFmt w:val="bullet"/>
      <w:lvlText w:val=""/>
      <w:lvlJc w:val="left"/>
      <w:pPr>
        <w:ind w:left="4320" w:hanging="360"/>
      </w:pPr>
      <w:rPr>
        <w:rFonts w:ascii="Wingdings" w:hAnsi="Wingdings" w:hint="default"/>
      </w:rPr>
    </w:lvl>
    <w:lvl w:ilvl="6" w:tplc="6798ACA8">
      <w:start w:val="1"/>
      <w:numFmt w:val="bullet"/>
      <w:lvlText w:val=""/>
      <w:lvlJc w:val="left"/>
      <w:pPr>
        <w:ind w:left="5040" w:hanging="360"/>
      </w:pPr>
      <w:rPr>
        <w:rFonts w:ascii="Symbol" w:hAnsi="Symbol" w:hint="default"/>
      </w:rPr>
    </w:lvl>
    <w:lvl w:ilvl="7" w:tplc="28546724">
      <w:start w:val="1"/>
      <w:numFmt w:val="bullet"/>
      <w:lvlText w:val="o"/>
      <w:lvlJc w:val="left"/>
      <w:pPr>
        <w:ind w:left="5760" w:hanging="360"/>
      </w:pPr>
      <w:rPr>
        <w:rFonts w:ascii="Courier New" w:hAnsi="Courier New" w:hint="default"/>
      </w:rPr>
    </w:lvl>
    <w:lvl w:ilvl="8" w:tplc="2A50AC04">
      <w:start w:val="1"/>
      <w:numFmt w:val="bullet"/>
      <w:lvlText w:val=""/>
      <w:lvlJc w:val="left"/>
      <w:pPr>
        <w:ind w:left="6480" w:hanging="360"/>
      </w:pPr>
      <w:rPr>
        <w:rFonts w:ascii="Wingdings" w:hAnsi="Wingdings" w:hint="default"/>
      </w:rPr>
    </w:lvl>
  </w:abstractNum>
  <w:abstractNum w:abstractNumId="2" w15:restartNumberingAfterBreak="0">
    <w:nsid w:val="1F5ADCC2"/>
    <w:multiLevelType w:val="hybridMultilevel"/>
    <w:tmpl w:val="BD282952"/>
    <w:lvl w:ilvl="0" w:tplc="9E500C80">
      <w:start w:val="1"/>
      <w:numFmt w:val="bullet"/>
      <w:lvlText w:val=""/>
      <w:lvlJc w:val="left"/>
      <w:pPr>
        <w:ind w:left="720" w:hanging="360"/>
      </w:pPr>
      <w:rPr>
        <w:rFonts w:ascii="Symbol" w:hAnsi="Symbol" w:hint="default"/>
      </w:rPr>
    </w:lvl>
    <w:lvl w:ilvl="1" w:tplc="F68054DA">
      <w:start w:val="1"/>
      <w:numFmt w:val="bullet"/>
      <w:lvlText w:val="o"/>
      <w:lvlJc w:val="left"/>
      <w:pPr>
        <w:ind w:left="1440" w:hanging="360"/>
      </w:pPr>
      <w:rPr>
        <w:rFonts w:ascii="Courier New" w:hAnsi="Courier New" w:hint="default"/>
      </w:rPr>
    </w:lvl>
    <w:lvl w:ilvl="2" w:tplc="BFE8AF4A">
      <w:start w:val="1"/>
      <w:numFmt w:val="bullet"/>
      <w:lvlText w:val=""/>
      <w:lvlJc w:val="left"/>
      <w:pPr>
        <w:ind w:left="2160" w:hanging="360"/>
      </w:pPr>
      <w:rPr>
        <w:rFonts w:ascii="Wingdings" w:hAnsi="Wingdings" w:hint="default"/>
      </w:rPr>
    </w:lvl>
    <w:lvl w:ilvl="3" w:tplc="609A7780">
      <w:start w:val="1"/>
      <w:numFmt w:val="bullet"/>
      <w:lvlText w:val=""/>
      <w:lvlJc w:val="left"/>
      <w:pPr>
        <w:ind w:left="2880" w:hanging="360"/>
      </w:pPr>
      <w:rPr>
        <w:rFonts w:ascii="Symbol" w:hAnsi="Symbol" w:hint="default"/>
      </w:rPr>
    </w:lvl>
    <w:lvl w:ilvl="4" w:tplc="CA862036">
      <w:start w:val="1"/>
      <w:numFmt w:val="bullet"/>
      <w:lvlText w:val="o"/>
      <w:lvlJc w:val="left"/>
      <w:pPr>
        <w:ind w:left="3600" w:hanging="360"/>
      </w:pPr>
      <w:rPr>
        <w:rFonts w:ascii="Courier New" w:hAnsi="Courier New" w:hint="default"/>
      </w:rPr>
    </w:lvl>
    <w:lvl w:ilvl="5" w:tplc="329AA2A6">
      <w:start w:val="1"/>
      <w:numFmt w:val="bullet"/>
      <w:lvlText w:val=""/>
      <w:lvlJc w:val="left"/>
      <w:pPr>
        <w:ind w:left="4320" w:hanging="360"/>
      </w:pPr>
      <w:rPr>
        <w:rFonts w:ascii="Wingdings" w:hAnsi="Wingdings" w:hint="default"/>
      </w:rPr>
    </w:lvl>
    <w:lvl w:ilvl="6" w:tplc="272AE198">
      <w:start w:val="1"/>
      <w:numFmt w:val="bullet"/>
      <w:lvlText w:val=""/>
      <w:lvlJc w:val="left"/>
      <w:pPr>
        <w:ind w:left="5040" w:hanging="360"/>
      </w:pPr>
      <w:rPr>
        <w:rFonts w:ascii="Symbol" w:hAnsi="Symbol" w:hint="default"/>
      </w:rPr>
    </w:lvl>
    <w:lvl w:ilvl="7" w:tplc="00728362">
      <w:start w:val="1"/>
      <w:numFmt w:val="bullet"/>
      <w:lvlText w:val="o"/>
      <w:lvlJc w:val="left"/>
      <w:pPr>
        <w:ind w:left="5760" w:hanging="360"/>
      </w:pPr>
      <w:rPr>
        <w:rFonts w:ascii="Courier New" w:hAnsi="Courier New" w:hint="default"/>
      </w:rPr>
    </w:lvl>
    <w:lvl w:ilvl="8" w:tplc="A89C012C">
      <w:start w:val="1"/>
      <w:numFmt w:val="bullet"/>
      <w:lvlText w:val=""/>
      <w:lvlJc w:val="left"/>
      <w:pPr>
        <w:ind w:left="6480" w:hanging="360"/>
      </w:pPr>
      <w:rPr>
        <w:rFonts w:ascii="Wingdings" w:hAnsi="Wingdings" w:hint="default"/>
      </w:rPr>
    </w:lvl>
  </w:abstractNum>
  <w:abstractNum w:abstractNumId="3" w15:restartNumberingAfterBreak="0">
    <w:nsid w:val="238D22AB"/>
    <w:multiLevelType w:val="hybridMultilevel"/>
    <w:tmpl w:val="49A6B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8A1966"/>
    <w:multiLevelType w:val="hybridMultilevel"/>
    <w:tmpl w:val="6732880C"/>
    <w:lvl w:ilvl="0" w:tplc="71F07238">
      <w:start w:val="5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38661D1"/>
    <w:multiLevelType w:val="hybridMultilevel"/>
    <w:tmpl w:val="D2D0040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4914B13"/>
    <w:multiLevelType w:val="multilevel"/>
    <w:tmpl w:val="AC16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046FE6"/>
    <w:multiLevelType w:val="hybridMultilevel"/>
    <w:tmpl w:val="61CAF2A8"/>
    <w:lvl w:ilvl="0" w:tplc="F752D0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145BC1"/>
    <w:multiLevelType w:val="hybridMultilevel"/>
    <w:tmpl w:val="7322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708705"/>
    <w:multiLevelType w:val="hybridMultilevel"/>
    <w:tmpl w:val="447A491E"/>
    <w:lvl w:ilvl="0" w:tplc="54BC0C60">
      <w:start w:val="1"/>
      <w:numFmt w:val="bullet"/>
      <w:lvlText w:val=""/>
      <w:lvlJc w:val="left"/>
      <w:pPr>
        <w:ind w:left="720" w:hanging="360"/>
      </w:pPr>
      <w:rPr>
        <w:rFonts w:ascii="Symbol" w:hAnsi="Symbol" w:hint="default"/>
      </w:rPr>
    </w:lvl>
    <w:lvl w:ilvl="1" w:tplc="1D7218BC">
      <w:start w:val="1"/>
      <w:numFmt w:val="bullet"/>
      <w:lvlText w:val="o"/>
      <w:lvlJc w:val="left"/>
      <w:pPr>
        <w:ind w:left="1440" w:hanging="360"/>
      </w:pPr>
      <w:rPr>
        <w:rFonts w:ascii="Courier New" w:hAnsi="Courier New" w:hint="default"/>
      </w:rPr>
    </w:lvl>
    <w:lvl w:ilvl="2" w:tplc="31389DC8">
      <w:start w:val="1"/>
      <w:numFmt w:val="bullet"/>
      <w:lvlText w:val=""/>
      <w:lvlJc w:val="left"/>
      <w:pPr>
        <w:ind w:left="2160" w:hanging="360"/>
      </w:pPr>
      <w:rPr>
        <w:rFonts w:ascii="Wingdings" w:hAnsi="Wingdings" w:hint="default"/>
      </w:rPr>
    </w:lvl>
    <w:lvl w:ilvl="3" w:tplc="A1DE2BCC">
      <w:start w:val="1"/>
      <w:numFmt w:val="bullet"/>
      <w:lvlText w:val=""/>
      <w:lvlJc w:val="left"/>
      <w:pPr>
        <w:ind w:left="2880" w:hanging="360"/>
      </w:pPr>
      <w:rPr>
        <w:rFonts w:ascii="Symbol" w:hAnsi="Symbol" w:hint="default"/>
      </w:rPr>
    </w:lvl>
    <w:lvl w:ilvl="4" w:tplc="81F4EB1E">
      <w:start w:val="1"/>
      <w:numFmt w:val="bullet"/>
      <w:lvlText w:val="o"/>
      <w:lvlJc w:val="left"/>
      <w:pPr>
        <w:ind w:left="3600" w:hanging="360"/>
      </w:pPr>
      <w:rPr>
        <w:rFonts w:ascii="Courier New" w:hAnsi="Courier New" w:hint="default"/>
      </w:rPr>
    </w:lvl>
    <w:lvl w:ilvl="5" w:tplc="6490868A">
      <w:start w:val="1"/>
      <w:numFmt w:val="bullet"/>
      <w:lvlText w:val=""/>
      <w:lvlJc w:val="left"/>
      <w:pPr>
        <w:ind w:left="4320" w:hanging="360"/>
      </w:pPr>
      <w:rPr>
        <w:rFonts w:ascii="Wingdings" w:hAnsi="Wingdings" w:hint="default"/>
      </w:rPr>
    </w:lvl>
    <w:lvl w:ilvl="6" w:tplc="C688EEAA">
      <w:start w:val="1"/>
      <w:numFmt w:val="bullet"/>
      <w:lvlText w:val=""/>
      <w:lvlJc w:val="left"/>
      <w:pPr>
        <w:ind w:left="5040" w:hanging="360"/>
      </w:pPr>
      <w:rPr>
        <w:rFonts w:ascii="Symbol" w:hAnsi="Symbol" w:hint="default"/>
      </w:rPr>
    </w:lvl>
    <w:lvl w:ilvl="7" w:tplc="772653CA">
      <w:start w:val="1"/>
      <w:numFmt w:val="bullet"/>
      <w:lvlText w:val="o"/>
      <w:lvlJc w:val="left"/>
      <w:pPr>
        <w:ind w:left="5760" w:hanging="360"/>
      </w:pPr>
      <w:rPr>
        <w:rFonts w:ascii="Courier New" w:hAnsi="Courier New" w:hint="default"/>
      </w:rPr>
    </w:lvl>
    <w:lvl w:ilvl="8" w:tplc="E80EE386">
      <w:start w:val="1"/>
      <w:numFmt w:val="bullet"/>
      <w:lvlText w:val=""/>
      <w:lvlJc w:val="left"/>
      <w:pPr>
        <w:ind w:left="6480" w:hanging="360"/>
      </w:pPr>
      <w:rPr>
        <w:rFonts w:ascii="Wingdings" w:hAnsi="Wingdings" w:hint="default"/>
      </w:rPr>
    </w:lvl>
  </w:abstractNum>
  <w:abstractNum w:abstractNumId="10" w15:restartNumberingAfterBreak="0">
    <w:nsid w:val="63AF7A1A"/>
    <w:multiLevelType w:val="hybridMultilevel"/>
    <w:tmpl w:val="F446C3C2"/>
    <w:lvl w:ilvl="0" w:tplc="DAA235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F5418F"/>
    <w:multiLevelType w:val="hybridMultilevel"/>
    <w:tmpl w:val="28D03698"/>
    <w:lvl w:ilvl="0" w:tplc="57FA7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2201F5"/>
    <w:multiLevelType w:val="hybridMultilevel"/>
    <w:tmpl w:val="2EA82C80"/>
    <w:lvl w:ilvl="0" w:tplc="32D46B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949748">
    <w:abstractNumId w:val="1"/>
  </w:num>
  <w:num w:numId="2" w16cid:durableId="290134950">
    <w:abstractNumId w:val="9"/>
  </w:num>
  <w:num w:numId="3" w16cid:durableId="1733386344">
    <w:abstractNumId w:val="2"/>
  </w:num>
  <w:num w:numId="4" w16cid:durableId="1872303278">
    <w:abstractNumId w:val="12"/>
  </w:num>
  <w:num w:numId="5" w16cid:durableId="1147431926">
    <w:abstractNumId w:val="0"/>
  </w:num>
  <w:num w:numId="6" w16cid:durableId="890380511">
    <w:abstractNumId w:val="4"/>
  </w:num>
  <w:num w:numId="7" w16cid:durableId="1585725535">
    <w:abstractNumId w:val="11"/>
  </w:num>
  <w:num w:numId="8" w16cid:durableId="1128164145">
    <w:abstractNumId w:val="7"/>
  </w:num>
  <w:num w:numId="9" w16cid:durableId="1607155194">
    <w:abstractNumId w:val="10"/>
  </w:num>
  <w:num w:numId="10" w16cid:durableId="70854915">
    <w:abstractNumId w:val="3"/>
  </w:num>
  <w:num w:numId="11" w16cid:durableId="1686781628">
    <w:abstractNumId w:val="5"/>
  </w:num>
  <w:num w:numId="12" w16cid:durableId="1966278688">
    <w:abstractNumId w:val="6"/>
  </w:num>
  <w:num w:numId="13" w16cid:durableId="8647526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AB"/>
    <w:rsid w:val="000132FD"/>
    <w:rsid w:val="000E104F"/>
    <w:rsid w:val="00113D9B"/>
    <w:rsid w:val="00154A00"/>
    <w:rsid w:val="00177C4D"/>
    <w:rsid w:val="001816E6"/>
    <w:rsid w:val="002D97A4"/>
    <w:rsid w:val="00315AA0"/>
    <w:rsid w:val="00330790"/>
    <w:rsid w:val="0039492D"/>
    <w:rsid w:val="00406D54"/>
    <w:rsid w:val="00427F8E"/>
    <w:rsid w:val="00496FC2"/>
    <w:rsid w:val="004C292B"/>
    <w:rsid w:val="005565A7"/>
    <w:rsid w:val="005820AB"/>
    <w:rsid w:val="005E3ADB"/>
    <w:rsid w:val="005F0F1D"/>
    <w:rsid w:val="00656075"/>
    <w:rsid w:val="006A1DC3"/>
    <w:rsid w:val="00702D52"/>
    <w:rsid w:val="007606C0"/>
    <w:rsid w:val="00784A20"/>
    <w:rsid w:val="007A1D76"/>
    <w:rsid w:val="0080365B"/>
    <w:rsid w:val="00854B04"/>
    <w:rsid w:val="0086083A"/>
    <w:rsid w:val="0093C44A"/>
    <w:rsid w:val="00946B0C"/>
    <w:rsid w:val="00998978"/>
    <w:rsid w:val="009C0D29"/>
    <w:rsid w:val="009D48EB"/>
    <w:rsid w:val="00A21761"/>
    <w:rsid w:val="00A51972"/>
    <w:rsid w:val="00A719FC"/>
    <w:rsid w:val="00AA38E1"/>
    <w:rsid w:val="00AE39A5"/>
    <w:rsid w:val="00B835D0"/>
    <w:rsid w:val="00B97DAB"/>
    <w:rsid w:val="00BC27F1"/>
    <w:rsid w:val="00C5358B"/>
    <w:rsid w:val="00C55041"/>
    <w:rsid w:val="00D81158"/>
    <w:rsid w:val="00D81B9A"/>
    <w:rsid w:val="00DD4A29"/>
    <w:rsid w:val="00E17065"/>
    <w:rsid w:val="00E23A5B"/>
    <w:rsid w:val="00EB3CFA"/>
    <w:rsid w:val="00ED5143"/>
    <w:rsid w:val="00F012EF"/>
    <w:rsid w:val="00F9067A"/>
    <w:rsid w:val="00FF3EE2"/>
    <w:rsid w:val="00FF6EF3"/>
    <w:rsid w:val="01A0723A"/>
    <w:rsid w:val="024BA199"/>
    <w:rsid w:val="02B3C44F"/>
    <w:rsid w:val="02BCDE2B"/>
    <w:rsid w:val="031046DF"/>
    <w:rsid w:val="03DB7E97"/>
    <w:rsid w:val="04A20DBF"/>
    <w:rsid w:val="080161FA"/>
    <w:rsid w:val="0B6A0C66"/>
    <w:rsid w:val="0D59F1C4"/>
    <w:rsid w:val="0DCB6B24"/>
    <w:rsid w:val="0E2289EC"/>
    <w:rsid w:val="0FB5482A"/>
    <w:rsid w:val="1300C9E1"/>
    <w:rsid w:val="13685818"/>
    <w:rsid w:val="164D5A2F"/>
    <w:rsid w:val="17AECED6"/>
    <w:rsid w:val="18D0A640"/>
    <w:rsid w:val="18D79359"/>
    <w:rsid w:val="1BC662FA"/>
    <w:rsid w:val="1C32AF27"/>
    <w:rsid w:val="1C8B89BA"/>
    <w:rsid w:val="1D7BA3D8"/>
    <w:rsid w:val="1DD6F1EE"/>
    <w:rsid w:val="1DF0E17D"/>
    <w:rsid w:val="1F8644BB"/>
    <w:rsid w:val="1F92CEBE"/>
    <w:rsid w:val="20B4D78A"/>
    <w:rsid w:val="229E4C0C"/>
    <w:rsid w:val="236D715C"/>
    <w:rsid w:val="237966E0"/>
    <w:rsid w:val="24570A94"/>
    <w:rsid w:val="24D5FB3E"/>
    <w:rsid w:val="252EEC7C"/>
    <w:rsid w:val="25C9FF3D"/>
    <w:rsid w:val="2828F591"/>
    <w:rsid w:val="2A38F048"/>
    <w:rsid w:val="2A602EEE"/>
    <w:rsid w:val="2A723FE4"/>
    <w:rsid w:val="2B9E4B41"/>
    <w:rsid w:val="2BF356F9"/>
    <w:rsid w:val="3194BA9C"/>
    <w:rsid w:val="31D3FCB9"/>
    <w:rsid w:val="3318BE5F"/>
    <w:rsid w:val="3416FA79"/>
    <w:rsid w:val="34B68F6F"/>
    <w:rsid w:val="381F1ABA"/>
    <w:rsid w:val="389181A6"/>
    <w:rsid w:val="38D53F68"/>
    <w:rsid w:val="39BAF3F0"/>
    <w:rsid w:val="3A03AC17"/>
    <w:rsid w:val="3B526FD8"/>
    <w:rsid w:val="3BC542A0"/>
    <w:rsid w:val="3D188A1E"/>
    <w:rsid w:val="3D65EA56"/>
    <w:rsid w:val="3DD2678B"/>
    <w:rsid w:val="3E6669D7"/>
    <w:rsid w:val="3F49D7AA"/>
    <w:rsid w:val="3FF48BFB"/>
    <w:rsid w:val="42E5231A"/>
    <w:rsid w:val="441FF119"/>
    <w:rsid w:val="44709B3A"/>
    <w:rsid w:val="44DFFF9E"/>
    <w:rsid w:val="45497F20"/>
    <w:rsid w:val="455AA220"/>
    <w:rsid w:val="466E3267"/>
    <w:rsid w:val="46C33793"/>
    <w:rsid w:val="492132F9"/>
    <w:rsid w:val="4960F62E"/>
    <w:rsid w:val="49ACA5F7"/>
    <w:rsid w:val="4AB826A8"/>
    <w:rsid w:val="4CADA413"/>
    <w:rsid w:val="4D8DD7CD"/>
    <w:rsid w:val="4F9A594B"/>
    <w:rsid w:val="506D4E92"/>
    <w:rsid w:val="509D0A6E"/>
    <w:rsid w:val="50A0132D"/>
    <w:rsid w:val="518BE983"/>
    <w:rsid w:val="51A44F8F"/>
    <w:rsid w:val="522AF6EB"/>
    <w:rsid w:val="52BAF039"/>
    <w:rsid w:val="56541B87"/>
    <w:rsid w:val="5675B9B0"/>
    <w:rsid w:val="56B43898"/>
    <w:rsid w:val="56FDB0F3"/>
    <w:rsid w:val="5889EC3A"/>
    <w:rsid w:val="5B7B4BF6"/>
    <w:rsid w:val="5D23953E"/>
    <w:rsid w:val="5EEF045C"/>
    <w:rsid w:val="618E33EE"/>
    <w:rsid w:val="62002829"/>
    <w:rsid w:val="6232CEA9"/>
    <w:rsid w:val="62E581D5"/>
    <w:rsid w:val="6454475A"/>
    <w:rsid w:val="662A9683"/>
    <w:rsid w:val="684015C6"/>
    <w:rsid w:val="68EF9BA4"/>
    <w:rsid w:val="699D6F67"/>
    <w:rsid w:val="69DDE567"/>
    <w:rsid w:val="6B712061"/>
    <w:rsid w:val="6BC19599"/>
    <w:rsid w:val="6F1845E9"/>
    <w:rsid w:val="6FAC86D9"/>
    <w:rsid w:val="71D1250A"/>
    <w:rsid w:val="72F30E7F"/>
    <w:rsid w:val="72FA37F0"/>
    <w:rsid w:val="74D5C9A6"/>
    <w:rsid w:val="7515979A"/>
    <w:rsid w:val="7544BE60"/>
    <w:rsid w:val="77383A75"/>
    <w:rsid w:val="7769D501"/>
    <w:rsid w:val="788B39B6"/>
    <w:rsid w:val="79BC8E83"/>
    <w:rsid w:val="7ADC5D01"/>
    <w:rsid w:val="7CF1F3D6"/>
    <w:rsid w:val="7CF2D549"/>
    <w:rsid w:val="7D588AA7"/>
    <w:rsid w:val="7E0A7EF1"/>
    <w:rsid w:val="7F3030AF"/>
    <w:rsid w:val="7F6C6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799D"/>
  <w15:chartTrackingRefBased/>
  <w15:docId w15:val="{F1D33F2A-868D-425A-BE63-2D9A010A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DAB"/>
    <w:pPr>
      <w:ind w:left="720"/>
      <w:contextualSpacing/>
    </w:pPr>
  </w:style>
  <w:style w:type="character" w:styleId="Hyperlink">
    <w:name w:val="Hyperlink"/>
    <w:basedOn w:val="DefaultParagraphFont"/>
    <w:uiPriority w:val="99"/>
    <w:semiHidden/>
    <w:unhideWhenUsed/>
    <w:rsid w:val="007A1D76"/>
    <w:rPr>
      <w:color w:val="0000FF"/>
      <w:u w:val="single"/>
    </w:rPr>
  </w:style>
  <w:style w:type="character" w:styleId="FollowedHyperlink">
    <w:name w:val="FollowedHyperlink"/>
    <w:basedOn w:val="DefaultParagraphFont"/>
    <w:uiPriority w:val="99"/>
    <w:semiHidden/>
    <w:unhideWhenUsed/>
    <w:rsid w:val="007A1D76"/>
    <w:rPr>
      <w:color w:val="954F72" w:themeColor="followedHyperlink"/>
      <w:u w:val="single"/>
    </w:rPr>
  </w:style>
  <w:style w:type="character" w:styleId="CommentReference">
    <w:name w:val="annotation reference"/>
    <w:basedOn w:val="DefaultParagraphFont"/>
    <w:uiPriority w:val="99"/>
    <w:semiHidden/>
    <w:unhideWhenUsed/>
    <w:rsid w:val="00A719FC"/>
    <w:rPr>
      <w:sz w:val="16"/>
      <w:szCs w:val="16"/>
    </w:rPr>
  </w:style>
  <w:style w:type="paragraph" w:styleId="CommentText">
    <w:name w:val="annotation text"/>
    <w:basedOn w:val="Normal"/>
    <w:link w:val="CommentTextChar"/>
    <w:uiPriority w:val="99"/>
    <w:unhideWhenUsed/>
    <w:rsid w:val="00A719FC"/>
    <w:pPr>
      <w:spacing w:line="240" w:lineRule="auto"/>
    </w:pPr>
    <w:rPr>
      <w:sz w:val="20"/>
      <w:szCs w:val="20"/>
    </w:rPr>
  </w:style>
  <w:style w:type="character" w:customStyle="1" w:styleId="CommentTextChar">
    <w:name w:val="Comment Text Char"/>
    <w:basedOn w:val="DefaultParagraphFont"/>
    <w:link w:val="CommentText"/>
    <w:uiPriority w:val="99"/>
    <w:rsid w:val="00A719FC"/>
    <w:rPr>
      <w:sz w:val="20"/>
      <w:szCs w:val="20"/>
    </w:rPr>
  </w:style>
  <w:style w:type="paragraph" w:styleId="CommentSubject">
    <w:name w:val="annotation subject"/>
    <w:basedOn w:val="CommentText"/>
    <w:next w:val="CommentText"/>
    <w:link w:val="CommentSubjectChar"/>
    <w:uiPriority w:val="99"/>
    <w:semiHidden/>
    <w:unhideWhenUsed/>
    <w:rsid w:val="00A719FC"/>
    <w:rPr>
      <w:b/>
      <w:bCs/>
    </w:rPr>
  </w:style>
  <w:style w:type="character" w:customStyle="1" w:styleId="CommentSubjectChar">
    <w:name w:val="Comment Subject Char"/>
    <w:basedOn w:val="CommentTextChar"/>
    <w:link w:val="CommentSubject"/>
    <w:uiPriority w:val="99"/>
    <w:semiHidden/>
    <w:rsid w:val="00A719FC"/>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5820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820AB"/>
  </w:style>
  <w:style w:type="character" w:customStyle="1" w:styleId="eop">
    <w:name w:val="eop"/>
    <w:basedOn w:val="DefaultParagraphFont"/>
    <w:rsid w:val="0058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2537">
      <w:bodyDiv w:val="1"/>
      <w:marLeft w:val="0"/>
      <w:marRight w:val="0"/>
      <w:marTop w:val="0"/>
      <w:marBottom w:val="0"/>
      <w:divBdr>
        <w:top w:val="none" w:sz="0" w:space="0" w:color="auto"/>
        <w:left w:val="none" w:sz="0" w:space="0" w:color="auto"/>
        <w:bottom w:val="none" w:sz="0" w:space="0" w:color="auto"/>
        <w:right w:val="none" w:sz="0" w:space="0" w:color="auto"/>
      </w:divBdr>
      <w:divsChild>
        <w:div w:id="382680300">
          <w:marLeft w:val="0"/>
          <w:marRight w:val="0"/>
          <w:marTop w:val="0"/>
          <w:marBottom w:val="0"/>
          <w:divBdr>
            <w:top w:val="none" w:sz="0" w:space="0" w:color="auto"/>
            <w:left w:val="none" w:sz="0" w:space="0" w:color="auto"/>
            <w:bottom w:val="none" w:sz="0" w:space="0" w:color="auto"/>
            <w:right w:val="none" w:sz="0" w:space="0" w:color="auto"/>
          </w:divBdr>
        </w:div>
        <w:div w:id="1824665276">
          <w:marLeft w:val="0"/>
          <w:marRight w:val="0"/>
          <w:marTop w:val="0"/>
          <w:marBottom w:val="0"/>
          <w:divBdr>
            <w:top w:val="none" w:sz="0" w:space="0" w:color="auto"/>
            <w:left w:val="none" w:sz="0" w:space="0" w:color="auto"/>
            <w:bottom w:val="none" w:sz="0" w:space="0" w:color="auto"/>
            <w:right w:val="none" w:sz="0" w:space="0" w:color="auto"/>
          </w:divBdr>
        </w:div>
        <w:div w:id="1851485153">
          <w:marLeft w:val="0"/>
          <w:marRight w:val="0"/>
          <w:marTop w:val="0"/>
          <w:marBottom w:val="0"/>
          <w:divBdr>
            <w:top w:val="none" w:sz="0" w:space="0" w:color="auto"/>
            <w:left w:val="none" w:sz="0" w:space="0" w:color="auto"/>
            <w:bottom w:val="none" w:sz="0" w:space="0" w:color="auto"/>
            <w:right w:val="none" w:sz="0" w:space="0" w:color="auto"/>
          </w:divBdr>
        </w:div>
        <w:div w:id="818421869">
          <w:marLeft w:val="0"/>
          <w:marRight w:val="0"/>
          <w:marTop w:val="0"/>
          <w:marBottom w:val="0"/>
          <w:divBdr>
            <w:top w:val="none" w:sz="0" w:space="0" w:color="auto"/>
            <w:left w:val="none" w:sz="0" w:space="0" w:color="auto"/>
            <w:bottom w:val="none" w:sz="0" w:space="0" w:color="auto"/>
            <w:right w:val="none" w:sz="0" w:space="0" w:color="auto"/>
          </w:divBdr>
        </w:div>
      </w:divsChild>
    </w:div>
    <w:div w:id="370035583">
      <w:bodyDiv w:val="1"/>
      <w:marLeft w:val="0"/>
      <w:marRight w:val="0"/>
      <w:marTop w:val="0"/>
      <w:marBottom w:val="0"/>
      <w:divBdr>
        <w:top w:val="none" w:sz="0" w:space="0" w:color="auto"/>
        <w:left w:val="none" w:sz="0" w:space="0" w:color="auto"/>
        <w:bottom w:val="none" w:sz="0" w:space="0" w:color="auto"/>
        <w:right w:val="none" w:sz="0" w:space="0" w:color="auto"/>
      </w:divBdr>
      <w:divsChild>
        <w:div w:id="1485242896">
          <w:marLeft w:val="0"/>
          <w:marRight w:val="0"/>
          <w:marTop w:val="0"/>
          <w:marBottom w:val="0"/>
          <w:divBdr>
            <w:top w:val="none" w:sz="0" w:space="0" w:color="auto"/>
            <w:left w:val="none" w:sz="0" w:space="0" w:color="auto"/>
            <w:bottom w:val="none" w:sz="0" w:space="0" w:color="auto"/>
            <w:right w:val="none" w:sz="0" w:space="0" w:color="auto"/>
          </w:divBdr>
        </w:div>
        <w:div w:id="374820199">
          <w:marLeft w:val="0"/>
          <w:marRight w:val="0"/>
          <w:marTop w:val="0"/>
          <w:marBottom w:val="0"/>
          <w:divBdr>
            <w:top w:val="none" w:sz="0" w:space="0" w:color="auto"/>
            <w:left w:val="none" w:sz="0" w:space="0" w:color="auto"/>
            <w:bottom w:val="none" w:sz="0" w:space="0" w:color="auto"/>
            <w:right w:val="none" w:sz="0" w:space="0" w:color="auto"/>
          </w:divBdr>
        </w:div>
        <w:div w:id="2122530908">
          <w:marLeft w:val="0"/>
          <w:marRight w:val="0"/>
          <w:marTop w:val="0"/>
          <w:marBottom w:val="0"/>
          <w:divBdr>
            <w:top w:val="none" w:sz="0" w:space="0" w:color="auto"/>
            <w:left w:val="none" w:sz="0" w:space="0" w:color="auto"/>
            <w:bottom w:val="none" w:sz="0" w:space="0" w:color="auto"/>
            <w:right w:val="none" w:sz="0" w:space="0" w:color="auto"/>
          </w:divBdr>
        </w:div>
      </w:divsChild>
    </w:div>
    <w:div w:id="48490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cseng.ac.uk/library-and-publications/rcs-publications/docs/hernia-commissioning-guide/"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commissioning/wp-content/uploads/sites/12/2013/11/N-SC001.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bi.aomrc.org.uk/interventions/repair-of-minimally-symptomatic-inguinal-herni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C4934F7B0CB64FB712635246851451" ma:contentTypeVersion="14" ma:contentTypeDescription="Create a new document." ma:contentTypeScope="" ma:versionID="c9425648ac719d32d7dec3fe6dedc87b">
  <xsd:schema xmlns:xsd="http://www.w3.org/2001/XMLSchema" xmlns:xs="http://www.w3.org/2001/XMLSchema" xmlns:p="http://schemas.microsoft.com/office/2006/metadata/properties" xmlns:ns1="http://schemas.microsoft.com/sharepoint/v3" xmlns:ns2="5f3a27a0-5bd1-4826-8a06-13af7378a15a" xmlns:ns3="f3067cdb-6540-48a2-9007-7587a8c1b009" targetNamespace="http://schemas.microsoft.com/office/2006/metadata/properties" ma:root="true" ma:fieldsID="12f5ce4f5736c4bba1e66b482f48bbfd" ns1:_="" ns2:_="" ns3:_="">
    <xsd:import namespace="http://schemas.microsoft.com/sharepoint/v3"/>
    <xsd:import namespace="5f3a27a0-5bd1-4826-8a06-13af7378a15a"/>
    <xsd:import namespace="f3067cdb-6540-48a2-9007-7587a8c1b0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a27a0-5bd1-4826-8a06-13af7378a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067cdb-6540-48a2-9007-7587a8c1b0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226a901-8310-4a0f-879f-ab13f29bf486}" ma:internalName="TaxCatchAll" ma:showField="CatchAllData" ma:web="f3067cdb-6540-48a2-9007-7587a8c1b0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f3a27a0-5bd1-4826-8a06-13af7378a15a">
      <Terms xmlns="http://schemas.microsoft.com/office/infopath/2007/PartnerControls"/>
    </lcf76f155ced4ddcb4097134ff3c332f>
    <TaxCatchAll xmlns="f3067cdb-6540-48a2-9007-7587a8c1b009" xsi:nil="true"/>
  </documentManagement>
</p:properties>
</file>

<file path=customXml/itemProps1.xml><?xml version="1.0" encoding="utf-8"?>
<ds:datastoreItem xmlns:ds="http://schemas.openxmlformats.org/officeDocument/2006/customXml" ds:itemID="{0D78E9A2-CB38-40D0-82C8-01E8AAD8A9FF}"/>
</file>

<file path=customXml/itemProps2.xml><?xml version="1.0" encoding="utf-8"?>
<ds:datastoreItem xmlns:ds="http://schemas.openxmlformats.org/officeDocument/2006/customXml" ds:itemID="{DFBBD2CD-97AF-407D-915F-1CD1CD696BF3}">
  <ds:schemaRefs>
    <ds:schemaRef ds:uri="http://schemas.microsoft.com/sharepoint/v3/contenttype/forms"/>
  </ds:schemaRefs>
</ds:datastoreItem>
</file>

<file path=customXml/itemProps3.xml><?xml version="1.0" encoding="utf-8"?>
<ds:datastoreItem xmlns:ds="http://schemas.openxmlformats.org/officeDocument/2006/customXml" ds:itemID="{EF5E2BB1-B746-425F-8753-9F82113632BA}">
  <ds:schemaRefs>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f6a82410-35a1-48d9-a432-e298e5b95e46"/>
    <ds:schemaRef ds:uri="http://schemas.microsoft.com/sharepoint/v3"/>
    <ds:schemaRef ds:uri="http://schemas.microsoft.com/office/infopath/2007/PartnerControls"/>
    <ds:schemaRef ds:uri="1365388d-8e0b-4df5-a0a3-cd102b49988e"/>
    <ds:schemaRef ds:uri="http://www.w3.org/XML/1998/namespace"/>
    <ds:schemaRef ds:uri="http://purl.org/dc/te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1585</Characters>
  <Application>Microsoft Office Word</Application>
  <DocSecurity>0</DocSecurity>
  <Lines>13</Lines>
  <Paragraphs>3</Paragraphs>
  <ScaleCrop>false</ScaleCrop>
  <Company>NHS</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SPALDING, Anne (THE ROXTON PRACTICE)</dc:creator>
  <cp:keywords/>
  <dc:description/>
  <cp:lastModifiedBy>BLACK, Rebecca (NHS HUMBER AND NORTH YORKSHIRE ICB - 02Y)</cp:lastModifiedBy>
  <cp:revision>2</cp:revision>
  <dcterms:created xsi:type="dcterms:W3CDTF">2025-03-19T16:38:00Z</dcterms:created>
  <dcterms:modified xsi:type="dcterms:W3CDTF">2025-03-19T16:38:00Z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0x0101008DC4934F7B0CB64FB712635246851451</vt:lpwstr>
  </property>
  <property fmtid="{D5CDD505-2E9C-101B-9397-08002B2CF9AE}" pid="3" name="MediaServiceImageTags">
    <vt:lpwstr/>
  </property>
  <property fmtid="{D5CDD505-2E9C-101B-9397-08002B2CF9AE}" pid="4" name="Order">
    <vt:r8>54500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