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20"/>
        <w:gridCol w:w="6496"/>
      </w:tblGrid>
      <w:tr w:rsidR="00B97DAB" w14:paraId="3F32C22B" w14:textId="77777777" w:rsidTr="200811F8">
        <w:tc>
          <w:tcPr>
            <w:tcW w:w="2520" w:type="dxa"/>
          </w:tcPr>
          <w:p w14:paraId="2137C5A4" w14:textId="11B48F23" w:rsidR="00B97DAB" w:rsidRDefault="00B97DAB">
            <w:r>
              <w:t xml:space="preserve">Intervention </w:t>
            </w:r>
          </w:p>
        </w:tc>
        <w:tc>
          <w:tcPr>
            <w:tcW w:w="6496" w:type="dxa"/>
          </w:tcPr>
          <w:p w14:paraId="73A5EAEF" w14:textId="497F11D8" w:rsidR="00B97DAB" w:rsidRPr="00ED5143" w:rsidRDefault="3527D7E2" w:rsidP="298FD4F0">
            <w:pPr>
              <w:pStyle w:val="NoSpacing"/>
              <w:rPr>
                <w:rFonts w:ascii="Calibri" w:eastAsia="Calibri" w:hAnsi="Calibri" w:cs="Calibri"/>
                <w:b/>
                <w:bCs/>
                <w:lang w:val="en-US"/>
              </w:rPr>
            </w:pPr>
            <w:r w:rsidRPr="200811F8">
              <w:rPr>
                <w:b/>
                <w:bCs/>
              </w:rPr>
              <w:t xml:space="preserve">112. </w:t>
            </w:r>
            <w:r w:rsidR="208DACA9" w:rsidRPr="200811F8">
              <w:rPr>
                <w:b/>
                <w:bCs/>
              </w:rPr>
              <w:t xml:space="preserve">Percutaneous Tibial Nerve Stimulation (PTNS) </w:t>
            </w:r>
            <w:r w:rsidR="0A1CB139" w:rsidRPr="200811F8">
              <w:rPr>
                <w:b/>
                <w:bCs/>
              </w:rPr>
              <w:t>for</w:t>
            </w:r>
            <w:r w:rsidR="208DACA9" w:rsidRPr="200811F8">
              <w:rPr>
                <w:b/>
                <w:bCs/>
              </w:rPr>
              <w:t xml:space="preserve"> Urinary Incontinence</w:t>
            </w:r>
          </w:p>
        </w:tc>
      </w:tr>
      <w:tr w:rsidR="00B97DAB" w14:paraId="004828E6" w14:textId="77777777" w:rsidTr="200811F8">
        <w:tc>
          <w:tcPr>
            <w:tcW w:w="2520" w:type="dxa"/>
          </w:tcPr>
          <w:p w14:paraId="194FC277" w14:textId="469D4455" w:rsidR="00B97DAB" w:rsidRDefault="00B97DAB">
            <w:r>
              <w:t xml:space="preserve">For the treatment of </w:t>
            </w:r>
          </w:p>
        </w:tc>
        <w:tc>
          <w:tcPr>
            <w:tcW w:w="6496" w:type="dxa"/>
          </w:tcPr>
          <w:p w14:paraId="23E416B7" w14:textId="253C982D" w:rsidR="00656075" w:rsidRDefault="43832D90" w:rsidP="00330790">
            <w:r>
              <w:t>Urinary Incontinence</w:t>
            </w:r>
          </w:p>
        </w:tc>
      </w:tr>
      <w:tr w:rsidR="00113D9B" w14:paraId="3D720573" w14:textId="77777777" w:rsidTr="200811F8">
        <w:tc>
          <w:tcPr>
            <w:tcW w:w="2520" w:type="dxa"/>
          </w:tcPr>
          <w:p w14:paraId="6B55BECB" w14:textId="291589DB" w:rsidR="00113D9B" w:rsidRDefault="00113D9B" w:rsidP="00113D9B">
            <w:r>
              <w:t xml:space="preserve">Commissioning Position </w:t>
            </w:r>
          </w:p>
        </w:tc>
        <w:tc>
          <w:tcPr>
            <w:tcW w:w="6496" w:type="dxa"/>
          </w:tcPr>
          <w:p w14:paraId="5375DA2D" w14:textId="56EC2E56" w:rsidR="00177C4D" w:rsidRDefault="5F4156FD" w:rsidP="298FD4F0">
            <w:pPr>
              <w:textAlignment w:val="baseline"/>
              <w:rPr>
                <w:rFonts w:ascii="Calibri" w:eastAsia="Calibri" w:hAnsi="Calibri" w:cs="Calibri"/>
                <w:color w:val="000000" w:themeColor="text1"/>
              </w:rPr>
            </w:pPr>
            <w:r w:rsidRPr="298FD4F0">
              <w:rPr>
                <w:rStyle w:val="normaltextrun"/>
                <w:rFonts w:ascii="Calibri" w:eastAsia="Calibri" w:hAnsi="Calibri" w:cs="Calibri"/>
                <w:color w:val="000000" w:themeColor="text1"/>
              </w:rPr>
              <w:t xml:space="preserve">This </w:t>
            </w:r>
            <w:r w:rsidR="72B139F9" w:rsidRPr="298FD4F0">
              <w:rPr>
                <w:rStyle w:val="normaltextrun"/>
                <w:rFonts w:ascii="Calibri" w:eastAsia="Calibri" w:hAnsi="Calibri" w:cs="Calibri"/>
                <w:color w:val="000000" w:themeColor="text1"/>
              </w:rPr>
              <w:t>intervention</w:t>
            </w:r>
            <w:r w:rsidRPr="298FD4F0">
              <w:rPr>
                <w:rStyle w:val="normaltextrun"/>
                <w:rFonts w:ascii="Calibri" w:eastAsia="Calibri" w:hAnsi="Calibri" w:cs="Calibri"/>
                <w:color w:val="000000" w:themeColor="text1"/>
              </w:rPr>
              <w:t xml:space="preserve"> is commissioned</w:t>
            </w:r>
            <w:r w:rsidR="4E93B58B" w:rsidRPr="298FD4F0">
              <w:rPr>
                <w:rStyle w:val="normaltextrun"/>
                <w:rFonts w:ascii="Calibri" w:eastAsia="Calibri" w:hAnsi="Calibri" w:cs="Calibri"/>
                <w:color w:val="000000" w:themeColor="text1"/>
              </w:rPr>
              <w:t xml:space="preserve"> if</w:t>
            </w:r>
            <w:r w:rsidR="00C59992" w:rsidRPr="298FD4F0">
              <w:rPr>
                <w:rStyle w:val="normaltextrun"/>
                <w:rFonts w:ascii="Calibri" w:eastAsia="Calibri" w:hAnsi="Calibri" w:cs="Calibri"/>
                <w:color w:val="000000" w:themeColor="text1"/>
              </w:rPr>
              <w:t>:</w:t>
            </w:r>
          </w:p>
          <w:p w14:paraId="589F09C1" w14:textId="292A6A55" w:rsidR="00177C4D" w:rsidRDefault="68F3DBFD" w:rsidP="298FD4F0">
            <w:pPr>
              <w:pStyle w:val="ListParagraph"/>
              <w:numPr>
                <w:ilvl w:val="0"/>
                <w:numId w:val="1"/>
              </w:numPr>
              <w:textAlignment w:val="baseline"/>
              <w:rPr>
                <w:rStyle w:val="normaltextrun"/>
                <w:rFonts w:ascii="Calibri" w:eastAsia="Calibri" w:hAnsi="Calibri" w:cs="Calibri"/>
                <w:color w:val="000000" w:themeColor="text1"/>
              </w:rPr>
            </w:pPr>
            <w:r w:rsidRPr="298FD4F0">
              <w:rPr>
                <w:rStyle w:val="normaltextrun"/>
                <w:rFonts w:ascii="Calibri" w:eastAsia="Calibri" w:hAnsi="Calibri" w:cs="Calibri"/>
                <w:color w:val="000000" w:themeColor="text1"/>
              </w:rPr>
              <w:t>r</w:t>
            </w:r>
            <w:r w:rsidR="5F4156FD" w:rsidRPr="298FD4F0">
              <w:rPr>
                <w:rStyle w:val="normaltextrun"/>
                <w:rFonts w:ascii="Calibri" w:eastAsia="Calibri" w:hAnsi="Calibri" w:cs="Calibri"/>
                <w:color w:val="000000" w:themeColor="text1"/>
              </w:rPr>
              <w:t>ecommend</w:t>
            </w:r>
            <w:r w:rsidR="66F087F0" w:rsidRPr="298FD4F0">
              <w:rPr>
                <w:rStyle w:val="normaltextrun"/>
                <w:rFonts w:ascii="Calibri" w:eastAsia="Calibri" w:hAnsi="Calibri" w:cs="Calibri"/>
                <w:color w:val="000000" w:themeColor="text1"/>
              </w:rPr>
              <w:t>ed</w:t>
            </w:r>
            <w:r w:rsidR="5F4156FD" w:rsidRPr="298FD4F0">
              <w:rPr>
                <w:rStyle w:val="normaltextrun"/>
                <w:rFonts w:ascii="Calibri" w:eastAsia="Calibri" w:hAnsi="Calibri" w:cs="Calibri"/>
                <w:color w:val="000000" w:themeColor="text1"/>
              </w:rPr>
              <w:t xml:space="preserve"> </w:t>
            </w:r>
            <w:r w:rsidR="66F087F0" w:rsidRPr="298FD4F0">
              <w:rPr>
                <w:rStyle w:val="normaltextrun"/>
                <w:rFonts w:ascii="Calibri" w:eastAsia="Calibri" w:hAnsi="Calibri" w:cs="Calibri"/>
                <w:color w:val="000000" w:themeColor="text1"/>
              </w:rPr>
              <w:t xml:space="preserve">by </w:t>
            </w:r>
            <w:r w:rsidR="5F4156FD" w:rsidRPr="298FD4F0">
              <w:rPr>
                <w:rStyle w:val="normaltextrun"/>
                <w:rFonts w:ascii="Calibri" w:eastAsia="Calibri" w:hAnsi="Calibri" w:cs="Calibri"/>
                <w:color w:val="000000" w:themeColor="text1"/>
              </w:rPr>
              <w:t xml:space="preserve">a specialist MDT for a </w:t>
            </w:r>
            <w:proofErr w:type="gramStart"/>
            <w:r w:rsidR="5F4156FD" w:rsidRPr="298FD4F0">
              <w:rPr>
                <w:rStyle w:val="normaltextrun"/>
                <w:rFonts w:ascii="Calibri" w:eastAsia="Calibri" w:hAnsi="Calibri" w:cs="Calibri"/>
                <w:color w:val="000000" w:themeColor="text1"/>
              </w:rPr>
              <w:t>12 week</w:t>
            </w:r>
            <w:proofErr w:type="gramEnd"/>
            <w:r w:rsidR="5F4156FD" w:rsidRPr="298FD4F0">
              <w:rPr>
                <w:rStyle w:val="normaltextrun"/>
                <w:rFonts w:ascii="Calibri" w:eastAsia="Calibri" w:hAnsi="Calibri" w:cs="Calibri"/>
                <w:color w:val="000000" w:themeColor="text1"/>
              </w:rPr>
              <w:t xml:space="preserve"> trial</w:t>
            </w:r>
            <w:r w:rsidR="156791B2" w:rsidRPr="298FD4F0">
              <w:rPr>
                <w:rStyle w:val="normaltextrun"/>
                <w:rFonts w:ascii="Calibri" w:eastAsia="Calibri" w:hAnsi="Calibri" w:cs="Calibri"/>
                <w:color w:val="000000" w:themeColor="text1"/>
              </w:rPr>
              <w:t xml:space="preserve"> OR</w:t>
            </w:r>
          </w:p>
          <w:p w14:paraId="53855746" w14:textId="43207883" w:rsidR="00177C4D" w:rsidRDefault="7A3DE6DD" w:rsidP="298FD4F0">
            <w:pPr>
              <w:pStyle w:val="ListParagraph"/>
              <w:numPr>
                <w:ilvl w:val="0"/>
                <w:numId w:val="1"/>
              </w:numPr>
              <w:textAlignment w:val="baseline"/>
              <w:rPr>
                <w:rFonts w:ascii="Calibri" w:eastAsia="Calibri" w:hAnsi="Calibri" w:cs="Calibri"/>
                <w:color w:val="000000" w:themeColor="text1"/>
                <w:lang w:val="en-US"/>
              </w:rPr>
            </w:pPr>
            <w:r w:rsidRPr="298FD4F0">
              <w:rPr>
                <w:rStyle w:val="normaltextrun"/>
                <w:rFonts w:ascii="Calibri" w:eastAsia="Calibri" w:hAnsi="Calibri" w:cs="Calibri"/>
                <w:color w:val="000000" w:themeColor="text1"/>
              </w:rPr>
              <w:t>r</w:t>
            </w:r>
            <w:r w:rsidR="5F4156FD" w:rsidRPr="298FD4F0">
              <w:rPr>
                <w:rStyle w:val="normaltextrun"/>
                <w:rFonts w:ascii="Calibri" w:eastAsia="Calibri" w:hAnsi="Calibri" w:cs="Calibri"/>
                <w:color w:val="000000" w:themeColor="text1"/>
              </w:rPr>
              <w:t>ecommend</w:t>
            </w:r>
            <w:r w:rsidR="278B6C6F" w:rsidRPr="298FD4F0">
              <w:rPr>
                <w:rStyle w:val="normaltextrun"/>
                <w:rFonts w:ascii="Calibri" w:eastAsia="Calibri" w:hAnsi="Calibri" w:cs="Calibri"/>
                <w:color w:val="000000" w:themeColor="text1"/>
              </w:rPr>
              <w:t>ed</w:t>
            </w:r>
            <w:r w:rsidR="5F4156FD" w:rsidRPr="298FD4F0">
              <w:rPr>
                <w:rStyle w:val="normaltextrun"/>
                <w:rFonts w:ascii="Calibri" w:eastAsia="Calibri" w:hAnsi="Calibri" w:cs="Calibri"/>
                <w:color w:val="000000" w:themeColor="text1"/>
              </w:rPr>
              <w:t xml:space="preserve"> </w:t>
            </w:r>
            <w:r w:rsidR="69AA874A" w:rsidRPr="298FD4F0">
              <w:rPr>
                <w:rStyle w:val="normaltextrun"/>
                <w:rFonts w:ascii="Calibri" w:eastAsia="Calibri" w:hAnsi="Calibri" w:cs="Calibri"/>
                <w:color w:val="000000" w:themeColor="text1"/>
              </w:rPr>
              <w:t>by</w:t>
            </w:r>
            <w:r w:rsidR="5F4156FD" w:rsidRPr="298FD4F0">
              <w:rPr>
                <w:rStyle w:val="normaltextrun"/>
                <w:rFonts w:ascii="Calibri" w:eastAsia="Calibri" w:hAnsi="Calibri" w:cs="Calibri"/>
                <w:color w:val="000000" w:themeColor="text1"/>
              </w:rPr>
              <w:t xml:space="preserve"> a specialist MDT for continued PTNS following review of results of the </w:t>
            </w:r>
            <w:proofErr w:type="gramStart"/>
            <w:r w:rsidR="5F4156FD" w:rsidRPr="298FD4F0">
              <w:rPr>
                <w:rStyle w:val="normaltextrun"/>
                <w:rFonts w:ascii="Calibri" w:eastAsia="Calibri" w:hAnsi="Calibri" w:cs="Calibri"/>
                <w:color w:val="000000" w:themeColor="text1"/>
              </w:rPr>
              <w:t>12 week</w:t>
            </w:r>
            <w:proofErr w:type="gramEnd"/>
            <w:r w:rsidR="5F4156FD" w:rsidRPr="298FD4F0">
              <w:rPr>
                <w:rStyle w:val="normaltextrun"/>
                <w:rFonts w:ascii="Calibri" w:eastAsia="Calibri" w:hAnsi="Calibri" w:cs="Calibri"/>
                <w:color w:val="000000" w:themeColor="text1"/>
              </w:rPr>
              <w:t xml:space="preserve"> trial by the specialist MDT</w:t>
            </w:r>
          </w:p>
        </w:tc>
      </w:tr>
      <w:tr w:rsidR="00113D9B" w14:paraId="2EEB5014" w14:textId="77777777" w:rsidTr="200811F8">
        <w:tc>
          <w:tcPr>
            <w:tcW w:w="2520" w:type="dxa"/>
          </w:tcPr>
          <w:p w14:paraId="31574E9B" w14:textId="509110BD" w:rsidR="00113D9B" w:rsidRDefault="00113D9B" w:rsidP="00113D9B">
            <w:r>
              <w:t>Summary of Rationale</w:t>
            </w:r>
          </w:p>
          <w:p w14:paraId="61460744" w14:textId="7D87783C" w:rsidR="00113D9B" w:rsidRDefault="00113D9B" w:rsidP="00113D9B"/>
        </w:tc>
        <w:tc>
          <w:tcPr>
            <w:tcW w:w="6496" w:type="dxa"/>
          </w:tcPr>
          <w:p w14:paraId="193ECABE" w14:textId="1A206FDA" w:rsidR="00113D9B" w:rsidRDefault="0A7BE0D5" w:rsidP="6F4809CD">
            <w:r>
              <w:t>Current evidence on percutaneous posterior tibial nerve stimulation (PTNS) for overactive bladder (OAB) syndrome shows that it is efficacious in reducing symptoms in the short and medium term. There are no major safety concerns. Therefore, the procedure may be used provided that normal arrangements are in place for clinical governance, consent and audit.</w:t>
            </w:r>
          </w:p>
          <w:p w14:paraId="5C37D4E2" w14:textId="08A24EC1" w:rsidR="298FD4F0" w:rsidRDefault="298FD4F0" w:rsidP="298FD4F0"/>
          <w:p w14:paraId="5691B576" w14:textId="01DB8179" w:rsidR="00113D9B" w:rsidRDefault="4C573905" w:rsidP="298FD4F0">
            <w:r>
              <w:t>NICE guid</w:t>
            </w:r>
            <w:r w:rsidR="2EAC9FAA">
              <w:t>ance recommends this intervention should only be offered following</w:t>
            </w:r>
            <w:r>
              <w:t xml:space="preserve"> a local MDT review</w:t>
            </w:r>
          </w:p>
        </w:tc>
      </w:tr>
      <w:tr w:rsidR="00113D9B" w14:paraId="45DC12DB" w14:textId="77777777" w:rsidTr="200811F8">
        <w:tc>
          <w:tcPr>
            <w:tcW w:w="2520" w:type="dxa"/>
          </w:tcPr>
          <w:p w14:paraId="5A47F1A1" w14:textId="4F582E47" w:rsidR="00113D9B" w:rsidRDefault="00113D9B" w:rsidP="00113D9B">
            <w:r>
              <w:t xml:space="preserve">References </w:t>
            </w:r>
          </w:p>
        </w:tc>
        <w:tc>
          <w:tcPr>
            <w:tcW w:w="6496" w:type="dxa"/>
          </w:tcPr>
          <w:p w14:paraId="075AF1B0" w14:textId="471BFCF2" w:rsidR="00113D9B" w:rsidRPr="0039492D" w:rsidRDefault="36C2D104" w:rsidP="263AD750">
            <w:pPr>
              <w:rPr>
                <w:rFonts w:ascii="Calibri" w:eastAsia="Calibri" w:hAnsi="Calibri" w:cs="Calibri"/>
              </w:rPr>
            </w:pPr>
            <w:hyperlink r:id="rId10">
              <w:r w:rsidRPr="263AD750">
                <w:rPr>
                  <w:rStyle w:val="Hyperlink"/>
                  <w:rFonts w:ascii="Calibri" w:eastAsia="Calibri" w:hAnsi="Calibri" w:cs="Calibri"/>
                </w:rPr>
                <w:t>IPG362 Percutaneous posterior tibial nerve stimulation for overactive bladder syndrome (NICE)</w:t>
              </w:r>
            </w:hyperlink>
          </w:p>
          <w:p w14:paraId="040C48F9" w14:textId="364FEE0E" w:rsidR="00113D9B" w:rsidRPr="0039492D" w:rsidRDefault="0CB8B493" w:rsidP="6F4809CD">
            <w:pPr>
              <w:rPr>
                <w:rFonts w:ascii="Calibri" w:eastAsia="Calibri" w:hAnsi="Calibri" w:cs="Calibri"/>
              </w:rPr>
            </w:pPr>
            <w:hyperlink r:id="rId11">
              <w:r w:rsidRPr="298FD4F0">
                <w:rPr>
                  <w:rStyle w:val="Hyperlink"/>
                  <w:rFonts w:ascii="Calibri" w:eastAsia="Calibri" w:hAnsi="Calibri" w:cs="Calibri"/>
                </w:rPr>
                <w:t>N</w:t>
              </w:r>
              <w:r w:rsidR="052F79C7" w:rsidRPr="298FD4F0">
                <w:rPr>
                  <w:rStyle w:val="Hyperlink"/>
                  <w:rFonts w:ascii="Calibri" w:eastAsia="Calibri" w:hAnsi="Calibri" w:cs="Calibri"/>
                </w:rPr>
                <w:t>G123 Pelvic organ prolapse and urinary incontinence in women (NICE)</w:t>
              </w:r>
            </w:hyperlink>
          </w:p>
          <w:p w14:paraId="150D9A10" w14:textId="3EC14E9C" w:rsidR="00113D9B" w:rsidRPr="0039492D" w:rsidRDefault="052F79C7" w:rsidP="25C9FF3D">
            <w:pPr>
              <w:rPr>
                <w:rFonts w:ascii="Calibri" w:eastAsia="Calibri" w:hAnsi="Calibri" w:cs="Calibri"/>
              </w:rPr>
            </w:pPr>
            <w:hyperlink r:id="rId12">
              <w:proofErr w:type="spellStart"/>
              <w:r w:rsidRPr="298FD4F0">
                <w:rPr>
                  <w:rStyle w:val="Hyperlink"/>
                  <w:rFonts w:ascii="Calibri" w:eastAsia="Calibri" w:hAnsi="Calibri" w:cs="Calibri"/>
                </w:rPr>
                <w:t>Non invasive</w:t>
              </w:r>
              <w:proofErr w:type="spellEnd"/>
              <w:r w:rsidRPr="298FD4F0">
                <w:rPr>
                  <w:rStyle w:val="Hyperlink"/>
                  <w:rFonts w:ascii="Calibri" w:eastAsia="Calibri" w:hAnsi="Calibri" w:cs="Calibri"/>
                </w:rPr>
                <w:t xml:space="preserve"> electrical stimulation in OAB (Cochrane)</w:t>
              </w:r>
            </w:hyperlink>
          </w:p>
        </w:tc>
      </w:tr>
      <w:tr w:rsidR="00113D9B" w14:paraId="2F64E887" w14:textId="77777777" w:rsidTr="200811F8">
        <w:tc>
          <w:tcPr>
            <w:tcW w:w="2520" w:type="dxa"/>
          </w:tcPr>
          <w:p w14:paraId="26CC3A7F" w14:textId="3F59DDFA" w:rsidR="00113D9B" w:rsidRDefault="00113D9B" w:rsidP="00113D9B">
            <w:r>
              <w:t>Effective from</w:t>
            </w:r>
          </w:p>
        </w:tc>
        <w:tc>
          <w:tcPr>
            <w:tcW w:w="6496" w:type="dxa"/>
          </w:tcPr>
          <w:p w14:paraId="03ECD2F0" w14:textId="56165080" w:rsidR="00113D9B" w:rsidRDefault="00113D9B" w:rsidP="00113D9B">
            <w:r>
              <w:t>J</w:t>
            </w:r>
            <w:r w:rsidR="2774F698">
              <w:t>anuary</w:t>
            </w:r>
            <w:r>
              <w:t xml:space="preserve"> 202</w:t>
            </w:r>
            <w:r w:rsidR="7BDB9E7E">
              <w:t>5</w:t>
            </w:r>
          </w:p>
        </w:tc>
      </w:tr>
      <w:tr w:rsidR="00113D9B" w14:paraId="2C1E1213" w14:textId="77777777" w:rsidTr="200811F8">
        <w:tc>
          <w:tcPr>
            <w:tcW w:w="2520" w:type="dxa"/>
          </w:tcPr>
          <w:p w14:paraId="4D394461" w14:textId="4D85EBE7" w:rsidR="00113D9B" w:rsidRDefault="00113D9B" w:rsidP="00113D9B">
            <w:r>
              <w:t xml:space="preserve">Policy Review Date </w:t>
            </w:r>
          </w:p>
        </w:tc>
        <w:tc>
          <w:tcPr>
            <w:tcW w:w="6496" w:type="dxa"/>
          </w:tcPr>
          <w:p w14:paraId="29012611" w14:textId="06355631" w:rsidR="00113D9B" w:rsidRDefault="00113D9B" w:rsidP="00113D9B">
            <w:r>
              <w:t>J</w:t>
            </w:r>
            <w:r w:rsidR="049F3D1C">
              <w:t>anuary</w:t>
            </w:r>
            <w:r>
              <w:t xml:space="preserve"> 202</w:t>
            </w:r>
            <w:r w:rsidR="6D0A1A02">
              <w:t>8</w:t>
            </w:r>
          </w:p>
        </w:tc>
      </w:tr>
    </w:tbl>
    <w:p w14:paraId="18EDB3DD" w14:textId="77777777" w:rsidR="000E104F" w:rsidRDefault="000E104F"/>
    <w:p w14:paraId="3457AFD9" w14:textId="5BBB7F4E" w:rsidR="3881437E" w:rsidRDefault="3881437E"/>
    <w:p w14:paraId="23110827" w14:textId="18E59BC1" w:rsidR="3881437E" w:rsidRDefault="3881437E"/>
    <w:sectPr w:rsidR="3881437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7FEB" w14:textId="77777777" w:rsidR="00C51B31" w:rsidRDefault="00C51B31">
      <w:pPr>
        <w:spacing w:after="0" w:line="240" w:lineRule="auto"/>
      </w:pPr>
      <w:r>
        <w:separator/>
      </w:r>
    </w:p>
  </w:endnote>
  <w:endnote w:type="continuationSeparator" w:id="0">
    <w:p w14:paraId="20813901" w14:textId="77777777" w:rsidR="00C51B31" w:rsidRDefault="00C5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244C" w14:textId="77777777" w:rsidR="00C51B31" w:rsidRDefault="00C51B31">
      <w:pPr>
        <w:spacing w:after="0" w:line="240" w:lineRule="auto"/>
      </w:pPr>
      <w:r>
        <w:separator/>
      </w:r>
    </w:p>
  </w:footnote>
  <w:footnote w:type="continuationSeparator" w:id="0">
    <w:p w14:paraId="07695738" w14:textId="77777777" w:rsidR="00C51B31" w:rsidRDefault="00C5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59733"/>
    <w:multiLevelType w:val="hybridMultilevel"/>
    <w:tmpl w:val="35A093DA"/>
    <w:lvl w:ilvl="0" w:tplc="7AE88E98">
      <w:start w:val="1"/>
      <w:numFmt w:val="bullet"/>
      <w:lvlText w:val=""/>
      <w:lvlJc w:val="left"/>
      <w:pPr>
        <w:ind w:left="720" w:hanging="360"/>
      </w:pPr>
      <w:rPr>
        <w:rFonts w:ascii="Symbol" w:hAnsi="Symbol" w:hint="default"/>
      </w:rPr>
    </w:lvl>
    <w:lvl w:ilvl="1" w:tplc="CCE876D2">
      <w:start w:val="1"/>
      <w:numFmt w:val="bullet"/>
      <w:lvlText w:val="o"/>
      <w:lvlJc w:val="left"/>
      <w:pPr>
        <w:ind w:left="1440" w:hanging="360"/>
      </w:pPr>
      <w:rPr>
        <w:rFonts w:ascii="Courier New" w:hAnsi="Courier New" w:hint="default"/>
      </w:rPr>
    </w:lvl>
    <w:lvl w:ilvl="2" w:tplc="B3463196">
      <w:start w:val="1"/>
      <w:numFmt w:val="bullet"/>
      <w:lvlText w:val=""/>
      <w:lvlJc w:val="left"/>
      <w:pPr>
        <w:ind w:left="2160" w:hanging="360"/>
      </w:pPr>
      <w:rPr>
        <w:rFonts w:ascii="Wingdings" w:hAnsi="Wingdings" w:hint="default"/>
      </w:rPr>
    </w:lvl>
    <w:lvl w:ilvl="3" w:tplc="B980EBE0">
      <w:start w:val="1"/>
      <w:numFmt w:val="bullet"/>
      <w:lvlText w:val=""/>
      <w:lvlJc w:val="left"/>
      <w:pPr>
        <w:ind w:left="2880" w:hanging="360"/>
      </w:pPr>
      <w:rPr>
        <w:rFonts w:ascii="Symbol" w:hAnsi="Symbol" w:hint="default"/>
      </w:rPr>
    </w:lvl>
    <w:lvl w:ilvl="4" w:tplc="A94428F0">
      <w:start w:val="1"/>
      <w:numFmt w:val="bullet"/>
      <w:lvlText w:val="o"/>
      <w:lvlJc w:val="left"/>
      <w:pPr>
        <w:ind w:left="3600" w:hanging="360"/>
      </w:pPr>
      <w:rPr>
        <w:rFonts w:ascii="Courier New" w:hAnsi="Courier New" w:hint="default"/>
      </w:rPr>
    </w:lvl>
    <w:lvl w:ilvl="5" w:tplc="C8E8F554">
      <w:start w:val="1"/>
      <w:numFmt w:val="bullet"/>
      <w:lvlText w:val=""/>
      <w:lvlJc w:val="left"/>
      <w:pPr>
        <w:ind w:left="4320" w:hanging="360"/>
      </w:pPr>
      <w:rPr>
        <w:rFonts w:ascii="Wingdings" w:hAnsi="Wingdings" w:hint="default"/>
      </w:rPr>
    </w:lvl>
    <w:lvl w:ilvl="6" w:tplc="5F326CA2">
      <w:start w:val="1"/>
      <w:numFmt w:val="bullet"/>
      <w:lvlText w:val=""/>
      <w:lvlJc w:val="left"/>
      <w:pPr>
        <w:ind w:left="5040" w:hanging="360"/>
      </w:pPr>
      <w:rPr>
        <w:rFonts w:ascii="Symbol" w:hAnsi="Symbol" w:hint="default"/>
      </w:rPr>
    </w:lvl>
    <w:lvl w:ilvl="7" w:tplc="0C9E628A">
      <w:start w:val="1"/>
      <w:numFmt w:val="bullet"/>
      <w:lvlText w:val="o"/>
      <w:lvlJc w:val="left"/>
      <w:pPr>
        <w:ind w:left="5760" w:hanging="360"/>
      </w:pPr>
      <w:rPr>
        <w:rFonts w:ascii="Courier New" w:hAnsi="Courier New" w:hint="default"/>
      </w:rPr>
    </w:lvl>
    <w:lvl w:ilvl="8" w:tplc="B8FACDFA">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22465">
    <w:abstractNumId w:val="9"/>
  </w:num>
  <w:num w:numId="2" w16cid:durableId="1733386344">
    <w:abstractNumId w:val="1"/>
  </w:num>
  <w:num w:numId="3" w16cid:durableId="1872303278">
    <w:abstractNumId w:val="11"/>
  </w:num>
  <w:num w:numId="4" w16cid:durableId="1147431926">
    <w:abstractNumId w:val="0"/>
  </w:num>
  <w:num w:numId="5" w16cid:durableId="890380511">
    <w:abstractNumId w:val="3"/>
  </w:num>
  <w:num w:numId="6" w16cid:durableId="1585725535">
    <w:abstractNumId w:val="10"/>
  </w:num>
  <w:num w:numId="7" w16cid:durableId="1128164145">
    <w:abstractNumId w:val="6"/>
  </w:num>
  <w:num w:numId="8" w16cid:durableId="1607155194">
    <w:abstractNumId w:val="8"/>
  </w:num>
  <w:num w:numId="9" w16cid:durableId="70854915">
    <w:abstractNumId w:val="2"/>
  </w:num>
  <w:num w:numId="10" w16cid:durableId="1686781628">
    <w:abstractNumId w:val="4"/>
  </w:num>
  <w:num w:numId="11" w16cid:durableId="1966278688">
    <w:abstractNumId w:val="5"/>
  </w:num>
  <w:num w:numId="12" w16cid:durableId="864752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05D9A"/>
    <w:rsid w:val="00113D9B"/>
    <w:rsid w:val="00177C4D"/>
    <w:rsid w:val="001816E6"/>
    <w:rsid w:val="002D97A4"/>
    <w:rsid w:val="00315AA0"/>
    <w:rsid w:val="00330790"/>
    <w:rsid w:val="0039492D"/>
    <w:rsid w:val="004C292B"/>
    <w:rsid w:val="005422BD"/>
    <w:rsid w:val="005565A7"/>
    <w:rsid w:val="005820AB"/>
    <w:rsid w:val="005E3ADB"/>
    <w:rsid w:val="005F0F1D"/>
    <w:rsid w:val="00656075"/>
    <w:rsid w:val="00702D52"/>
    <w:rsid w:val="007606C0"/>
    <w:rsid w:val="00784A20"/>
    <w:rsid w:val="007A1D76"/>
    <w:rsid w:val="0080365B"/>
    <w:rsid w:val="00857AC3"/>
    <w:rsid w:val="0086083A"/>
    <w:rsid w:val="0093C44A"/>
    <w:rsid w:val="00946B0C"/>
    <w:rsid w:val="009D48EB"/>
    <w:rsid w:val="00A21761"/>
    <w:rsid w:val="00A719FC"/>
    <w:rsid w:val="00AA38E1"/>
    <w:rsid w:val="00AE39A5"/>
    <w:rsid w:val="00B835D0"/>
    <w:rsid w:val="00B97DAB"/>
    <w:rsid w:val="00BC27F1"/>
    <w:rsid w:val="00C51B31"/>
    <w:rsid w:val="00C5358B"/>
    <w:rsid w:val="00C55041"/>
    <w:rsid w:val="00C59992"/>
    <w:rsid w:val="00CD4590"/>
    <w:rsid w:val="00D81158"/>
    <w:rsid w:val="00D923C3"/>
    <w:rsid w:val="00DD4A29"/>
    <w:rsid w:val="00E17065"/>
    <w:rsid w:val="00E23A5B"/>
    <w:rsid w:val="00EB3CFA"/>
    <w:rsid w:val="00ED5143"/>
    <w:rsid w:val="00F012EF"/>
    <w:rsid w:val="00F9067A"/>
    <w:rsid w:val="00FF3EE2"/>
    <w:rsid w:val="00FF6EF3"/>
    <w:rsid w:val="01A0723A"/>
    <w:rsid w:val="02B3C44F"/>
    <w:rsid w:val="02BCDE2B"/>
    <w:rsid w:val="031046DF"/>
    <w:rsid w:val="049F3D1C"/>
    <w:rsid w:val="052F79C7"/>
    <w:rsid w:val="07931A7A"/>
    <w:rsid w:val="0A1CB139"/>
    <w:rsid w:val="0A7BE0D5"/>
    <w:rsid w:val="0B6A0C66"/>
    <w:rsid w:val="0CB8B493"/>
    <w:rsid w:val="0DCB6B24"/>
    <w:rsid w:val="0E2289EC"/>
    <w:rsid w:val="0FB5482A"/>
    <w:rsid w:val="1193BD7E"/>
    <w:rsid w:val="1300C9E1"/>
    <w:rsid w:val="13685818"/>
    <w:rsid w:val="156791B2"/>
    <w:rsid w:val="17AECED6"/>
    <w:rsid w:val="1AA08D2B"/>
    <w:rsid w:val="1B5E3925"/>
    <w:rsid w:val="1BB46BBB"/>
    <w:rsid w:val="1BC662FA"/>
    <w:rsid w:val="1C8B89BA"/>
    <w:rsid w:val="1CA84272"/>
    <w:rsid w:val="1CC67B00"/>
    <w:rsid w:val="1D7BA3D8"/>
    <w:rsid w:val="1DD6F1EE"/>
    <w:rsid w:val="1DF0E17D"/>
    <w:rsid w:val="1F92CEBE"/>
    <w:rsid w:val="200811F8"/>
    <w:rsid w:val="202AE41E"/>
    <w:rsid w:val="208DACA9"/>
    <w:rsid w:val="229E4C0C"/>
    <w:rsid w:val="236D715C"/>
    <w:rsid w:val="237966E0"/>
    <w:rsid w:val="24570A94"/>
    <w:rsid w:val="24D5FB3E"/>
    <w:rsid w:val="25C9FF3D"/>
    <w:rsid w:val="263AD750"/>
    <w:rsid w:val="26418228"/>
    <w:rsid w:val="26524821"/>
    <w:rsid w:val="2774F698"/>
    <w:rsid w:val="278B6C6F"/>
    <w:rsid w:val="2803522F"/>
    <w:rsid w:val="298FD4F0"/>
    <w:rsid w:val="2A602EEE"/>
    <w:rsid w:val="2A723FE4"/>
    <w:rsid w:val="2AFC1F87"/>
    <w:rsid w:val="2B9E4B41"/>
    <w:rsid w:val="2BF356F9"/>
    <w:rsid w:val="2EAC9FAA"/>
    <w:rsid w:val="311A7F05"/>
    <w:rsid w:val="3194BA9C"/>
    <w:rsid w:val="34B68F6F"/>
    <w:rsid w:val="3527D7E2"/>
    <w:rsid w:val="36C2D104"/>
    <w:rsid w:val="3727196F"/>
    <w:rsid w:val="3881437E"/>
    <w:rsid w:val="389181A6"/>
    <w:rsid w:val="3898B2D9"/>
    <w:rsid w:val="39BAF3F0"/>
    <w:rsid w:val="3A03AC17"/>
    <w:rsid w:val="3B526FD8"/>
    <w:rsid w:val="3DD2678B"/>
    <w:rsid w:val="3DE3237E"/>
    <w:rsid w:val="3F49D7AA"/>
    <w:rsid w:val="3FF48BFB"/>
    <w:rsid w:val="43832D90"/>
    <w:rsid w:val="441FF119"/>
    <w:rsid w:val="44709B3A"/>
    <w:rsid w:val="44DFFF9E"/>
    <w:rsid w:val="45497F20"/>
    <w:rsid w:val="455AA220"/>
    <w:rsid w:val="466E3267"/>
    <w:rsid w:val="47E71DC5"/>
    <w:rsid w:val="492132F9"/>
    <w:rsid w:val="4960F62E"/>
    <w:rsid w:val="4BCADD73"/>
    <w:rsid w:val="4C573905"/>
    <w:rsid w:val="4CADA413"/>
    <w:rsid w:val="4CD9B854"/>
    <w:rsid w:val="4D8DD7CD"/>
    <w:rsid w:val="4E93B58B"/>
    <w:rsid w:val="4F9A594B"/>
    <w:rsid w:val="506D4E92"/>
    <w:rsid w:val="509D0A6E"/>
    <w:rsid w:val="50A0132D"/>
    <w:rsid w:val="518BE983"/>
    <w:rsid w:val="522AF6EB"/>
    <w:rsid w:val="52BAF039"/>
    <w:rsid w:val="56541B87"/>
    <w:rsid w:val="56FDB0F3"/>
    <w:rsid w:val="58265472"/>
    <w:rsid w:val="5889EC3A"/>
    <w:rsid w:val="5B7B4BF6"/>
    <w:rsid w:val="5D23953E"/>
    <w:rsid w:val="5D8D0C65"/>
    <w:rsid w:val="5EEF045C"/>
    <w:rsid w:val="5F4156FD"/>
    <w:rsid w:val="5F7939B4"/>
    <w:rsid w:val="618E33EE"/>
    <w:rsid w:val="62E581D5"/>
    <w:rsid w:val="6454475A"/>
    <w:rsid w:val="66F087F0"/>
    <w:rsid w:val="684015C6"/>
    <w:rsid w:val="689A4907"/>
    <w:rsid w:val="68E031B4"/>
    <w:rsid w:val="68F3DBFD"/>
    <w:rsid w:val="69AA874A"/>
    <w:rsid w:val="6A4E5608"/>
    <w:rsid w:val="6B712061"/>
    <w:rsid w:val="6D0A1A02"/>
    <w:rsid w:val="6DC22524"/>
    <w:rsid w:val="6F4809CD"/>
    <w:rsid w:val="72B139F9"/>
    <w:rsid w:val="72F30E7F"/>
    <w:rsid w:val="72FA37F0"/>
    <w:rsid w:val="744C9DA6"/>
    <w:rsid w:val="74D5C9A6"/>
    <w:rsid w:val="77383A75"/>
    <w:rsid w:val="788B39B6"/>
    <w:rsid w:val="79BC8E83"/>
    <w:rsid w:val="7A3DE6DD"/>
    <w:rsid w:val="7ADC5D01"/>
    <w:rsid w:val="7BDB9E7E"/>
    <w:rsid w:val="7D588AA7"/>
    <w:rsid w:val="7E0A7EF1"/>
    <w:rsid w:val="7EA56676"/>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chrane.org/CD010098/INCONT_non-invasive-electrical-stimulation-overactive-bladder-adult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ng123/resources/urinary-incontinence-and-pelvic-organ-prolapse-in-women-management-pdf-6614165720518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ice.org.uk/guidance/ipg3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9ED601C5-F9EA-4F9B-A310-ABDB442945EF}"/>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EF5E2BB1-B746-425F-8753-9F82113632BA}">
  <ds:schemaRefs>
    <ds:schemaRef ds:uri="http://schemas.microsoft.com/office/2006/documentManagement/types"/>
    <ds:schemaRef ds:uri="http://schemas.microsoft.com/office/2006/metadata/properties"/>
    <ds:schemaRef ds:uri="http://www.w3.org/XML/1998/namespace"/>
    <ds:schemaRef ds:uri="1365388d-8e0b-4df5-a0a3-cd102b49988e"/>
    <ds:schemaRef ds:uri="http://purl.org/dc/terms/"/>
    <ds:schemaRef ds:uri="http://schemas.microsoft.com/office/infopath/2007/PartnerControls"/>
    <ds:schemaRef ds:uri="http://schemas.openxmlformats.org/package/2006/metadata/core-properties"/>
    <ds:schemaRef ds:uri="f6a82410-35a1-48d9-a432-e298e5b95e46"/>
    <ds:schemaRef ds:uri="http://schemas.microsoft.com/sharepoint/v3"/>
    <ds:schemaRef ds:uri="http://purl.org/dc/dcmitype/"/>
    <ds:schemaRef ds:uri="http://purl.org/dc/elements/1.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Company>NHS</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DAVIES, Quintina (NHS HUMBER AND NORTH YORKSHIRE ICB - 02Y)</cp:lastModifiedBy>
  <cp:revision>3</cp:revision>
  <dcterms:created xsi:type="dcterms:W3CDTF">2025-03-19T16:42:00Z</dcterms:created>
  <dcterms:modified xsi:type="dcterms:W3CDTF">2025-04-04T11:01:00Z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55000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