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9016" w:type="dxa"/>
        <w:tblLook w:val="04A0" w:firstRow="1" w:lastRow="0" w:firstColumn="1" w:lastColumn="0" w:noHBand="0" w:noVBand="1"/>
      </w:tblPr>
      <w:tblGrid>
        <w:gridCol w:w="2610"/>
        <w:gridCol w:w="6406"/>
      </w:tblGrid>
      <w:tr w:rsidR="00B97DAB" w14:paraId="3F32C22B" w14:textId="77777777" w:rsidTr="1B5B196F">
        <w:tc>
          <w:tcPr>
            <w:tcW w:w="2610" w:type="dxa"/>
          </w:tcPr>
          <w:p w14:paraId="2137C5A4" w14:textId="11B48F23" w:rsidR="00B97DAB" w:rsidRDefault="00B97DAB">
            <w:r>
              <w:t xml:space="preserve">Intervention </w:t>
            </w:r>
          </w:p>
        </w:tc>
        <w:tc>
          <w:tcPr>
            <w:tcW w:w="6406" w:type="dxa"/>
          </w:tcPr>
          <w:p w14:paraId="73A5EAEF" w14:textId="79774104" w:rsidR="00B97DAB" w:rsidRPr="00623C10" w:rsidRDefault="002E4F0D" w:rsidP="1B5B196F">
            <w:pPr>
              <w:pStyle w:val="paragraph"/>
              <w:spacing w:before="0" w:beforeAutospacing="0" w:after="0" w:afterAutospacing="0"/>
              <w:rPr>
                <w:rStyle w:val="normaltextrun"/>
                <w:rFonts w:ascii="Calibri" w:hAnsi="Calibri" w:cs="Calibri"/>
                <w:b/>
                <w:bCs/>
                <w:color w:val="000000" w:themeColor="text1"/>
                <w:sz w:val="22"/>
                <w:szCs w:val="22"/>
                <w:lang w:val="en-US"/>
              </w:rPr>
            </w:pPr>
            <w:r w:rsidRPr="00623C10">
              <w:rPr>
                <w:rStyle w:val="normaltextrun"/>
                <w:rFonts w:ascii="Calibri" w:hAnsi="Calibri" w:cs="Calibri"/>
                <w:b/>
                <w:bCs/>
                <w:color w:val="000000" w:themeColor="text1"/>
                <w:sz w:val="22"/>
                <w:szCs w:val="22"/>
              </w:rPr>
              <w:t xml:space="preserve">116. </w:t>
            </w:r>
            <w:r w:rsidR="14EF59B2" w:rsidRPr="00623C10">
              <w:rPr>
                <w:rStyle w:val="normaltextrun"/>
                <w:rFonts w:ascii="Calibri" w:hAnsi="Calibri" w:cs="Calibri"/>
                <w:b/>
                <w:bCs/>
                <w:color w:val="000000" w:themeColor="text1"/>
                <w:sz w:val="22"/>
                <w:szCs w:val="22"/>
              </w:rPr>
              <w:t xml:space="preserve">Dupuytren’s Contracture </w:t>
            </w:r>
            <w:r w:rsidR="2B8121C1" w:rsidRPr="00623C10">
              <w:rPr>
                <w:rStyle w:val="normaltextrun"/>
                <w:rFonts w:ascii="Calibri" w:hAnsi="Calibri" w:cs="Calibri"/>
                <w:b/>
                <w:bCs/>
                <w:color w:val="000000" w:themeColor="text1"/>
                <w:sz w:val="22"/>
                <w:szCs w:val="22"/>
              </w:rPr>
              <w:t>Surgery</w:t>
            </w:r>
            <w:r w:rsidR="14EF59B2" w:rsidRPr="00623C10">
              <w:rPr>
                <w:rStyle w:val="normaltextrun"/>
                <w:rFonts w:ascii="Calibri" w:hAnsi="Calibri" w:cs="Calibri"/>
                <w:b/>
                <w:bCs/>
                <w:color w:val="000000" w:themeColor="text1"/>
                <w:sz w:val="22"/>
                <w:szCs w:val="22"/>
              </w:rPr>
              <w:t xml:space="preserve"> </w:t>
            </w:r>
            <w:r w:rsidR="597DCA3E" w:rsidRPr="00623C10">
              <w:rPr>
                <w:rStyle w:val="normaltextrun"/>
                <w:rFonts w:ascii="Calibri" w:hAnsi="Calibri" w:cs="Calibri"/>
                <w:b/>
                <w:bCs/>
                <w:color w:val="000000" w:themeColor="text1"/>
                <w:sz w:val="22"/>
                <w:szCs w:val="22"/>
              </w:rPr>
              <w:t>(</w:t>
            </w:r>
            <w:r w:rsidR="766B358C" w:rsidRPr="00623C10">
              <w:rPr>
                <w:rStyle w:val="normaltextrun"/>
                <w:rFonts w:ascii="Calibri" w:hAnsi="Calibri" w:cs="Calibri"/>
                <w:b/>
                <w:bCs/>
                <w:color w:val="000000" w:themeColor="text1"/>
                <w:sz w:val="22"/>
                <w:szCs w:val="22"/>
              </w:rPr>
              <w:t xml:space="preserve">including </w:t>
            </w:r>
            <w:r w:rsidR="597DCA3E" w:rsidRPr="00623C10">
              <w:rPr>
                <w:rStyle w:val="normaltextrun"/>
                <w:rFonts w:ascii="Calibri" w:hAnsi="Calibri" w:cs="Calibri"/>
                <w:b/>
                <w:bCs/>
                <w:color w:val="000000" w:themeColor="text1"/>
                <w:sz w:val="22"/>
                <w:szCs w:val="22"/>
              </w:rPr>
              <w:t>Needle fasciotomy, fasciectomy and dermofasciectomy)</w:t>
            </w:r>
          </w:p>
        </w:tc>
      </w:tr>
      <w:tr w:rsidR="00B97DAB" w14:paraId="004828E6" w14:textId="77777777" w:rsidTr="1B5B196F">
        <w:tc>
          <w:tcPr>
            <w:tcW w:w="2610" w:type="dxa"/>
          </w:tcPr>
          <w:p w14:paraId="194FC277" w14:textId="469D4455" w:rsidR="00B97DAB" w:rsidRDefault="00B97DAB">
            <w:r>
              <w:t xml:space="preserve">For the treatment of </w:t>
            </w:r>
          </w:p>
        </w:tc>
        <w:tc>
          <w:tcPr>
            <w:tcW w:w="6406" w:type="dxa"/>
          </w:tcPr>
          <w:p w14:paraId="23E416B7" w14:textId="014224DA" w:rsidR="00656075" w:rsidRDefault="18FC1261" w:rsidP="00330790">
            <w:r>
              <w:t>Dupuytren’s contracture</w:t>
            </w:r>
          </w:p>
        </w:tc>
      </w:tr>
      <w:tr w:rsidR="00113D9B" w14:paraId="3D720573" w14:textId="77777777" w:rsidTr="1B5B196F">
        <w:tc>
          <w:tcPr>
            <w:tcW w:w="2610" w:type="dxa"/>
          </w:tcPr>
          <w:p w14:paraId="6B55BECB" w14:textId="291589DB" w:rsidR="00113D9B" w:rsidRDefault="00113D9B" w:rsidP="00113D9B">
            <w:r>
              <w:t xml:space="preserve">Commissioning Position </w:t>
            </w:r>
          </w:p>
        </w:tc>
        <w:tc>
          <w:tcPr>
            <w:tcW w:w="6406" w:type="dxa"/>
          </w:tcPr>
          <w:p w14:paraId="711D6C5E" w14:textId="7D72A07E" w:rsidR="00177C4D" w:rsidRDefault="18A779DE" w:rsidP="05BFBEC2">
            <w:pPr>
              <w:pStyle w:val="paragraph"/>
              <w:spacing w:before="0" w:beforeAutospacing="0" w:after="0" w:afterAutospacing="0"/>
              <w:textAlignment w:val="baseline"/>
              <w:rPr>
                <w:rStyle w:val="normaltextrun"/>
                <w:rFonts w:ascii="Calibri" w:hAnsi="Calibri" w:cs="Calibri"/>
                <w:color w:val="000000" w:themeColor="text1"/>
                <w:sz w:val="22"/>
                <w:szCs w:val="22"/>
              </w:rPr>
            </w:pPr>
            <w:r w:rsidRPr="1B5B196F">
              <w:rPr>
                <w:rStyle w:val="normaltextrun"/>
                <w:rFonts w:ascii="Calibri" w:hAnsi="Calibri" w:cs="Calibri"/>
                <w:color w:val="000000" w:themeColor="text1"/>
                <w:sz w:val="22"/>
                <w:szCs w:val="22"/>
              </w:rPr>
              <w:t xml:space="preserve">This </w:t>
            </w:r>
            <w:r w:rsidR="5341478D" w:rsidRPr="1B5B196F">
              <w:rPr>
                <w:rStyle w:val="normaltextrun"/>
                <w:rFonts w:ascii="Calibri" w:hAnsi="Calibri" w:cs="Calibri"/>
                <w:color w:val="000000" w:themeColor="text1"/>
                <w:sz w:val="22"/>
                <w:szCs w:val="22"/>
              </w:rPr>
              <w:t>intervention</w:t>
            </w:r>
            <w:r w:rsidRPr="1B5B196F">
              <w:rPr>
                <w:rStyle w:val="normaltextrun"/>
                <w:rFonts w:ascii="Calibri" w:hAnsi="Calibri" w:cs="Calibri"/>
                <w:color w:val="000000" w:themeColor="text1"/>
                <w:sz w:val="22"/>
                <w:szCs w:val="22"/>
              </w:rPr>
              <w:t xml:space="preserve"> is commissioned if:</w:t>
            </w:r>
          </w:p>
          <w:p w14:paraId="7C4B27CA" w14:textId="6E94111E" w:rsidR="00177C4D" w:rsidRDefault="2AF9C115" w:rsidP="1B5B196F">
            <w:pPr>
              <w:pStyle w:val="paragraph"/>
              <w:numPr>
                <w:ilvl w:val="0"/>
                <w:numId w:val="1"/>
              </w:numPr>
              <w:spacing w:before="0" w:beforeAutospacing="0" w:after="0" w:afterAutospacing="0"/>
              <w:textAlignment w:val="baseline"/>
              <w:rPr>
                <w:rStyle w:val="normaltextrun"/>
                <w:rFonts w:ascii="Calibri" w:hAnsi="Calibri" w:cs="Calibri"/>
                <w:color w:val="000000" w:themeColor="text1"/>
                <w:sz w:val="22"/>
                <w:szCs w:val="22"/>
              </w:rPr>
            </w:pPr>
            <w:r w:rsidRPr="1B5B196F">
              <w:rPr>
                <w:rStyle w:val="normaltextrun"/>
                <w:rFonts w:ascii="Calibri" w:hAnsi="Calibri" w:cs="Calibri"/>
                <w:color w:val="000000" w:themeColor="text1"/>
                <w:sz w:val="22"/>
                <w:szCs w:val="22"/>
              </w:rPr>
              <w:t xml:space="preserve">the </w:t>
            </w:r>
            <w:r w:rsidR="70BAFBDA" w:rsidRPr="1B5B196F">
              <w:rPr>
                <w:rStyle w:val="normaltextrun"/>
                <w:rFonts w:ascii="Calibri" w:hAnsi="Calibri" w:cs="Calibri"/>
                <w:color w:val="000000" w:themeColor="text1"/>
                <w:sz w:val="22"/>
                <w:szCs w:val="22"/>
              </w:rPr>
              <w:t>c</w:t>
            </w:r>
            <w:r w:rsidR="18A779DE" w:rsidRPr="1B5B196F">
              <w:rPr>
                <w:rStyle w:val="normaltextrun"/>
                <w:rFonts w:ascii="Calibri" w:hAnsi="Calibri" w:cs="Calibri"/>
                <w:color w:val="000000" w:themeColor="text1"/>
                <w:sz w:val="22"/>
                <w:szCs w:val="22"/>
              </w:rPr>
              <w:t>ontracture</w:t>
            </w:r>
            <w:r w:rsidR="0B158EDE" w:rsidRPr="1B5B196F">
              <w:rPr>
                <w:rStyle w:val="normaltextrun"/>
                <w:rFonts w:ascii="Calibri" w:hAnsi="Calibri" w:cs="Calibri"/>
                <w:color w:val="000000" w:themeColor="text1"/>
                <w:sz w:val="22"/>
                <w:szCs w:val="22"/>
              </w:rPr>
              <w:t xml:space="preserve"> </w:t>
            </w:r>
            <w:r w:rsidR="18A779DE" w:rsidRPr="1B5B196F">
              <w:rPr>
                <w:rStyle w:val="normaltextrun"/>
                <w:rFonts w:ascii="Calibri" w:hAnsi="Calibri" w:cs="Calibri"/>
                <w:color w:val="000000" w:themeColor="text1"/>
                <w:sz w:val="22"/>
                <w:szCs w:val="22"/>
              </w:rPr>
              <w:t xml:space="preserve">is </w:t>
            </w:r>
            <w:r w:rsidR="2C8A91A2" w:rsidRPr="1B5B196F">
              <w:rPr>
                <w:rStyle w:val="normaltextrun"/>
                <w:rFonts w:ascii="Calibri" w:hAnsi="Calibri" w:cs="Calibri"/>
                <w:color w:val="000000" w:themeColor="text1"/>
                <w:sz w:val="22"/>
                <w:szCs w:val="22"/>
              </w:rPr>
              <w:t>worsen</w:t>
            </w:r>
            <w:r w:rsidR="18A779DE" w:rsidRPr="1B5B196F">
              <w:rPr>
                <w:rStyle w:val="normaltextrun"/>
                <w:rFonts w:ascii="Calibri" w:hAnsi="Calibri" w:cs="Calibri"/>
                <w:color w:val="000000" w:themeColor="text1"/>
                <w:sz w:val="22"/>
                <w:szCs w:val="22"/>
              </w:rPr>
              <w:t xml:space="preserve">ing </w:t>
            </w:r>
            <w:r w:rsidR="1E2BC89B" w:rsidRPr="1B5B196F">
              <w:rPr>
                <w:rStyle w:val="normaltextrun"/>
                <w:rFonts w:ascii="Calibri" w:hAnsi="Calibri" w:cs="Calibri"/>
                <w:color w:val="000000" w:themeColor="text1"/>
                <w:sz w:val="22"/>
                <w:szCs w:val="22"/>
              </w:rPr>
              <w:t>AND</w:t>
            </w:r>
            <w:r w:rsidR="18A779DE" w:rsidRPr="1B5B196F">
              <w:rPr>
                <w:rStyle w:val="normaltextrun"/>
                <w:rFonts w:ascii="Calibri" w:hAnsi="Calibri" w:cs="Calibri"/>
                <w:color w:val="000000" w:themeColor="text1"/>
                <w:sz w:val="22"/>
                <w:szCs w:val="22"/>
              </w:rPr>
              <w:t xml:space="preserve"> </w:t>
            </w:r>
          </w:p>
          <w:p w14:paraId="513EECEC" w14:textId="1BD56470" w:rsidR="00177C4D" w:rsidRDefault="7DC6A57F" w:rsidP="1B5B196F">
            <w:pPr>
              <w:pStyle w:val="paragraph"/>
              <w:numPr>
                <w:ilvl w:val="0"/>
                <w:numId w:val="1"/>
              </w:numPr>
              <w:spacing w:before="0" w:beforeAutospacing="0" w:after="0" w:afterAutospacing="0"/>
              <w:textAlignment w:val="baseline"/>
              <w:rPr>
                <w:rStyle w:val="normaltextrun"/>
                <w:rFonts w:ascii="Calibri" w:hAnsi="Calibri" w:cs="Calibri"/>
                <w:color w:val="000000" w:themeColor="text1"/>
                <w:sz w:val="22"/>
                <w:szCs w:val="22"/>
              </w:rPr>
            </w:pPr>
            <w:r w:rsidRPr="1B5B196F">
              <w:rPr>
                <w:rStyle w:val="normaltextrun"/>
                <w:rFonts w:ascii="Calibri" w:hAnsi="Calibri" w:cs="Calibri"/>
                <w:color w:val="000000" w:themeColor="text1"/>
                <w:sz w:val="22"/>
                <w:szCs w:val="22"/>
              </w:rPr>
              <w:t xml:space="preserve">significantly </w:t>
            </w:r>
            <w:r w:rsidR="18A779DE" w:rsidRPr="1B5B196F">
              <w:rPr>
                <w:rStyle w:val="normaltextrun"/>
                <w:rFonts w:ascii="Calibri" w:hAnsi="Calibri" w:cs="Calibri"/>
                <w:color w:val="000000" w:themeColor="text1"/>
                <w:sz w:val="22"/>
                <w:szCs w:val="22"/>
              </w:rPr>
              <w:t>impair</w:t>
            </w:r>
            <w:r w:rsidR="5D0ECB2E" w:rsidRPr="1B5B196F">
              <w:rPr>
                <w:rStyle w:val="normaltextrun"/>
                <w:rFonts w:ascii="Calibri" w:hAnsi="Calibri" w:cs="Calibri"/>
                <w:color w:val="000000" w:themeColor="text1"/>
                <w:sz w:val="22"/>
                <w:szCs w:val="22"/>
              </w:rPr>
              <w:t>s</w:t>
            </w:r>
            <w:r w:rsidR="18A779DE" w:rsidRPr="1B5B196F">
              <w:rPr>
                <w:rStyle w:val="normaltextrun"/>
                <w:rFonts w:ascii="Calibri" w:hAnsi="Calibri" w:cs="Calibri"/>
                <w:color w:val="000000" w:themeColor="text1"/>
                <w:sz w:val="22"/>
                <w:szCs w:val="22"/>
              </w:rPr>
              <w:t xml:space="preserve"> function</w:t>
            </w:r>
          </w:p>
          <w:p w14:paraId="37A42EDF" w14:textId="7BFF2E3D" w:rsidR="00177C4D" w:rsidRDefault="00177C4D" w:rsidP="1B5B196F">
            <w:pPr>
              <w:pStyle w:val="paragraph"/>
              <w:spacing w:before="0" w:beforeAutospacing="0" w:after="0" w:afterAutospacing="0"/>
              <w:textAlignment w:val="baseline"/>
              <w:rPr>
                <w:rStyle w:val="normaltextrun"/>
                <w:rFonts w:ascii="Calibri" w:hAnsi="Calibri" w:cs="Calibri"/>
                <w:color w:val="000000" w:themeColor="text1"/>
                <w:sz w:val="22"/>
                <w:szCs w:val="22"/>
              </w:rPr>
            </w:pPr>
          </w:p>
          <w:p w14:paraId="53855746" w14:textId="7F283FA0" w:rsidR="00177C4D" w:rsidRDefault="07878F61" w:rsidP="1B5B196F">
            <w:pPr>
              <w:pStyle w:val="paragraph"/>
              <w:spacing w:before="0" w:beforeAutospacing="0" w:after="0" w:afterAutospacing="0"/>
              <w:textAlignment w:val="baseline"/>
              <w:rPr>
                <w:rStyle w:val="normaltextrun"/>
                <w:rFonts w:ascii="Calibri" w:hAnsi="Calibri" w:cs="Calibri"/>
                <w:color w:val="000000" w:themeColor="text1"/>
                <w:sz w:val="22"/>
                <w:szCs w:val="22"/>
              </w:rPr>
            </w:pPr>
            <w:r w:rsidRPr="1B5B196F">
              <w:rPr>
                <w:rStyle w:val="normaltextrun"/>
                <w:rFonts w:ascii="Calibri" w:hAnsi="Calibri" w:cs="Calibri"/>
                <w:color w:val="000000" w:themeColor="text1"/>
                <w:sz w:val="22"/>
                <w:szCs w:val="22"/>
              </w:rPr>
              <w:t>This intervention is not commissioned for purely cosmetic purposes.</w:t>
            </w:r>
          </w:p>
        </w:tc>
      </w:tr>
      <w:tr w:rsidR="00113D9B" w14:paraId="2EEB5014" w14:textId="77777777" w:rsidTr="1B5B196F">
        <w:tc>
          <w:tcPr>
            <w:tcW w:w="2610" w:type="dxa"/>
          </w:tcPr>
          <w:p w14:paraId="31574E9B" w14:textId="509110BD" w:rsidR="00113D9B" w:rsidRDefault="00113D9B" w:rsidP="00113D9B">
            <w:r>
              <w:t>Summary of Rationale</w:t>
            </w:r>
          </w:p>
          <w:p w14:paraId="61460744" w14:textId="7D87783C" w:rsidR="00113D9B" w:rsidRDefault="00113D9B" w:rsidP="00113D9B"/>
        </w:tc>
        <w:tc>
          <w:tcPr>
            <w:tcW w:w="6406" w:type="dxa"/>
          </w:tcPr>
          <w:p w14:paraId="231572B9" w14:textId="242FF9E3" w:rsidR="00113D9B" w:rsidRDefault="2CDB88D0" w:rsidP="516BE6E1">
            <w:r w:rsidRPr="1B5B196F">
              <w:rPr>
                <w:rFonts w:ascii="Calibri" w:eastAsia="Calibri" w:hAnsi="Calibri" w:cs="Calibri"/>
              </w:rPr>
              <w:t xml:space="preserve">The disease process affects the hand to varying degrees and patients may present at different stages in the disease process. It is hence important that the timing and choice of intervention is tailored to the individual patient and based on shared decision making between the patient and a practitioner with clinical expertise in the various treatment options. </w:t>
            </w:r>
          </w:p>
          <w:p w14:paraId="3758B1F4" w14:textId="46500A62" w:rsidR="00113D9B" w:rsidRDefault="00113D9B" w:rsidP="1B5B196F">
            <w:pPr>
              <w:rPr>
                <w:rFonts w:ascii="Calibri" w:eastAsia="Calibri" w:hAnsi="Calibri" w:cs="Calibri"/>
              </w:rPr>
            </w:pPr>
          </w:p>
          <w:p w14:paraId="62A1592C" w14:textId="76628845" w:rsidR="00113D9B" w:rsidRDefault="2CDB88D0" w:rsidP="516BE6E1">
            <w:r w:rsidRPr="1B5B196F">
              <w:rPr>
                <w:rFonts w:ascii="Calibri" w:eastAsia="Calibri" w:hAnsi="Calibri" w:cs="Calibri"/>
              </w:rPr>
              <w:t>It is recommended that as part of the consultation process of patients undergoing intervention, a validated decision aid tool should be used during the consenting process to ensure that the patients’ desired outcomes have been considered. An example of decision aid tool is on the NHS website.</w:t>
            </w:r>
          </w:p>
          <w:p w14:paraId="7EA0E72F" w14:textId="6DBDB2BE" w:rsidR="00113D9B" w:rsidRDefault="00113D9B" w:rsidP="05BFBEC2">
            <w:pPr>
              <w:rPr>
                <w:rFonts w:ascii="Calibri" w:eastAsia="Calibri" w:hAnsi="Calibri" w:cs="Calibri"/>
              </w:rPr>
            </w:pPr>
          </w:p>
          <w:p w14:paraId="5691B576" w14:textId="0A111BA9" w:rsidR="00113D9B" w:rsidRDefault="3C42B4A8" w:rsidP="05BFBEC2">
            <w:pPr>
              <w:rPr>
                <w:rFonts w:ascii="Calibri" w:eastAsia="Calibri" w:hAnsi="Calibri" w:cs="Calibri"/>
              </w:rPr>
            </w:pPr>
            <w:r w:rsidRPr="1B5B196F">
              <w:rPr>
                <w:rFonts w:ascii="Calibri" w:eastAsia="Calibri" w:hAnsi="Calibri" w:cs="Calibri"/>
              </w:rPr>
              <w:t>C</w:t>
            </w:r>
            <w:r w:rsidR="032962D2" w:rsidRPr="1B5B196F">
              <w:rPr>
                <w:rFonts w:ascii="Calibri" w:eastAsia="Calibri" w:hAnsi="Calibri" w:cs="Calibri"/>
              </w:rPr>
              <w:t xml:space="preserve">ontractures usually progress and often fail to straighten fully with any treatment if allowed to progress too far. Larger interventions tend to carry a lower risk for </w:t>
            </w:r>
            <w:r w:rsidR="23086C88" w:rsidRPr="1B5B196F">
              <w:rPr>
                <w:rFonts w:ascii="Calibri" w:eastAsia="Calibri" w:hAnsi="Calibri" w:cs="Calibri"/>
              </w:rPr>
              <w:t>recurrence;</w:t>
            </w:r>
            <w:r w:rsidR="032962D2" w:rsidRPr="1B5B196F">
              <w:rPr>
                <w:rFonts w:ascii="Calibri" w:eastAsia="Calibri" w:hAnsi="Calibri" w:cs="Calibri"/>
              </w:rPr>
              <w:t xml:space="preserve"> </w:t>
            </w:r>
            <w:r w:rsidR="5EBD773C" w:rsidRPr="1B5B196F">
              <w:rPr>
                <w:rFonts w:ascii="Calibri" w:eastAsia="Calibri" w:hAnsi="Calibri" w:cs="Calibri"/>
              </w:rPr>
              <w:t>however,</w:t>
            </w:r>
            <w:r w:rsidR="032962D2" w:rsidRPr="1B5B196F">
              <w:rPr>
                <w:rFonts w:ascii="Calibri" w:eastAsia="Calibri" w:hAnsi="Calibri" w:cs="Calibri"/>
              </w:rPr>
              <w:t xml:space="preserve"> </w:t>
            </w:r>
            <w:r w:rsidR="4D7D201A" w:rsidRPr="1B5B196F">
              <w:rPr>
                <w:rFonts w:ascii="Calibri" w:eastAsia="Calibri" w:hAnsi="Calibri" w:cs="Calibri"/>
              </w:rPr>
              <w:t xml:space="preserve">they </w:t>
            </w:r>
            <w:r w:rsidR="032962D2" w:rsidRPr="1B5B196F">
              <w:rPr>
                <w:rFonts w:ascii="Calibri" w:eastAsia="Calibri" w:hAnsi="Calibri" w:cs="Calibri"/>
              </w:rPr>
              <w:t>are associated with complications that can lead to loss of function rather than overall improvement.</w:t>
            </w:r>
          </w:p>
        </w:tc>
      </w:tr>
      <w:tr w:rsidR="00113D9B" w14:paraId="45DC12DB" w14:textId="77777777" w:rsidTr="1B5B196F">
        <w:tc>
          <w:tcPr>
            <w:tcW w:w="2610" w:type="dxa"/>
          </w:tcPr>
          <w:p w14:paraId="5A47F1A1" w14:textId="4F582E47" w:rsidR="00113D9B" w:rsidRDefault="00113D9B" w:rsidP="00113D9B">
            <w:r>
              <w:t xml:space="preserve">References </w:t>
            </w:r>
          </w:p>
        </w:tc>
        <w:tc>
          <w:tcPr>
            <w:tcW w:w="6406" w:type="dxa"/>
          </w:tcPr>
          <w:p w14:paraId="057C42F8" w14:textId="6034EB0F" w:rsidR="05BFBEC2" w:rsidRDefault="029432C4" w:rsidP="05BFBEC2">
            <w:pPr>
              <w:rPr>
                <w:rFonts w:ascii="Calibri" w:eastAsia="Calibri" w:hAnsi="Calibri" w:cs="Calibri"/>
              </w:rPr>
            </w:pPr>
            <w:hyperlink r:id="rId10">
              <w:r w:rsidRPr="1B5B196F">
                <w:rPr>
                  <w:rStyle w:val="Hyperlink"/>
                  <w:rFonts w:ascii="Calibri" w:eastAsia="Calibri" w:hAnsi="Calibri" w:cs="Calibri"/>
                </w:rPr>
                <w:t>NHS dupytren's contracture decision aid tool</w:t>
              </w:r>
              <w:r w:rsidR="47741CD2" w:rsidRPr="1B5B196F">
                <w:rPr>
                  <w:rStyle w:val="Hyperlink"/>
                  <w:rFonts w:ascii="Calibri" w:eastAsia="Calibri" w:hAnsi="Calibri" w:cs="Calibri"/>
                </w:rPr>
                <w:t xml:space="preserve"> (NHSE)</w:t>
              </w:r>
            </w:hyperlink>
          </w:p>
          <w:p w14:paraId="42F36E2C" w14:textId="63291CF0" w:rsidR="00113D9B" w:rsidRPr="0039492D" w:rsidRDefault="47741CD2" w:rsidP="516BE6E1">
            <w:pPr>
              <w:rPr>
                <w:rFonts w:ascii="Calibri" w:eastAsia="Calibri" w:hAnsi="Calibri" w:cs="Calibri"/>
              </w:rPr>
            </w:pPr>
            <w:hyperlink r:id="rId11" w:anchor="!scenario">
              <w:r w:rsidRPr="1B5B196F">
                <w:rPr>
                  <w:rStyle w:val="Hyperlink"/>
                  <w:rFonts w:ascii="Calibri" w:eastAsia="Calibri" w:hAnsi="Calibri" w:cs="Calibri"/>
                </w:rPr>
                <w:t xml:space="preserve">CKS Dupuytren's disease (NICE) </w:t>
              </w:r>
            </w:hyperlink>
            <w:r w:rsidR="368A6C2F" w:rsidRPr="1B5B196F">
              <w:rPr>
                <w:rFonts w:ascii="Calibri" w:eastAsia="Calibri" w:hAnsi="Calibri" w:cs="Calibri"/>
              </w:rPr>
              <w:t xml:space="preserve"> </w:t>
            </w:r>
          </w:p>
          <w:p w14:paraId="4774EDBC" w14:textId="0F39731F" w:rsidR="00113D9B" w:rsidRPr="0039492D" w:rsidRDefault="22FABCA1" w:rsidP="516BE6E1">
            <w:hyperlink r:id="rId12">
              <w:r w:rsidRPr="1B5B196F">
                <w:rPr>
                  <w:rStyle w:val="Hyperlink"/>
                  <w:rFonts w:ascii="Calibri" w:eastAsia="Calibri" w:hAnsi="Calibri" w:cs="Calibri"/>
                </w:rPr>
                <w:t>IPG43 Needle fasciotomy for Dupuytren's contracture (NICE)</w:t>
              </w:r>
            </w:hyperlink>
            <w:r w:rsidR="35ABE305" w:rsidRPr="1B5B196F">
              <w:rPr>
                <w:rFonts w:ascii="Calibri" w:eastAsia="Calibri" w:hAnsi="Calibri" w:cs="Calibri"/>
              </w:rPr>
              <w:t xml:space="preserve"> </w:t>
            </w:r>
          </w:p>
          <w:p w14:paraId="150D9A10" w14:textId="01436580" w:rsidR="00113D9B" w:rsidRPr="0039492D" w:rsidRDefault="214A12AF" w:rsidP="05BFBEC2">
            <w:pPr>
              <w:rPr>
                <w:rFonts w:ascii="Calibri" w:eastAsia="Calibri" w:hAnsi="Calibri" w:cs="Calibri"/>
              </w:rPr>
            </w:pPr>
            <w:hyperlink r:id="rId13">
              <w:r w:rsidRPr="1B5B196F">
                <w:rPr>
                  <w:rStyle w:val="Hyperlink"/>
                  <w:rFonts w:ascii="Calibri" w:eastAsia="Calibri" w:hAnsi="Calibri" w:cs="Calibri"/>
                </w:rPr>
                <w:t>EBI Dupuytren’s contracture release in adults (NICE)</w:t>
              </w:r>
            </w:hyperlink>
            <w:r w:rsidR="3EF0F6CF" w:rsidRPr="1B5B196F">
              <w:rPr>
                <w:rFonts w:ascii="Calibri" w:eastAsia="Calibri" w:hAnsi="Calibri" w:cs="Calibri"/>
              </w:rPr>
              <w:t xml:space="preserve"> </w:t>
            </w:r>
          </w:p>
        </w:tc>
      </w:tr>
      <w:tr w:rsidR="00113D9B" w14:paraId="2F64E887" w14:textId="77777777" w:rsidTr="1B5B196F">
        <w:tc>
          <w:tcPr>
            <w:tcW w:w="2610" w:type="dxa"/>
          </w:tcPr>
          <w:p w14:paraId="26CC3A7F" w14:textId="3F59DDFA" w:rsidR="00113D9B" w:rsidRDefault="00113D9B" w:rsidP="00113D9B">
            <w:r>
              <w:t>Effective from</w:t>
            </w:r>
          </w:p>
        </w:tc>
        <w:tc>
          <w:tcPr>
            <w:tcW w:w="6406" w:type="dxa"/>
          </w:tcPr>
          <w:p w14:paraId="03ECD2F0" w14:textId="415B2283" w:rsidR="00113D9B" w:rsidRDefault="00113D9B" w:rsidP="00113D9B">
            <w:r>
              <w:t>J</w:t>
            </w:r>
            <w:r w:rsidR="79098026">
              <w:t>anuary</w:t>
            </w:r>
            <w:r>
              <w:t xml:space="preserve"> 202</w:t>
            </w:r>
            <w:r w:rsidR="2DD4049A">
              <w:t>5</w:t>
            </w:r>
          </w:p>
        </w:tc>
      </w:tr>
      <w:tr w:rsidR="00113D9B" w14:paraId="2C1E1213" w14:textId="77777777" w:rsidTr="1B5B196F">
        <w:tc>
          <w:tcPr>
            <w:tcW w:w="2610" w:type="dxa"/>
          </w:tcPr>
          <w:p w14:paraId="4D394461" w14:textId="4D85EBE7" w:rsidR="00113D9B" w:rsidRDefault="00113D9B" w:rsidP="00113D9B">
            <w:r>
              <w:t xml:space="preserve">Policy Review Date </w:t>
            </w:r>
          </w:p>
        </w:tc>
        <w:tc>
          <w:tcPr>
            <w:tcW w:w="6406" w:type="dxa"/>
          </w:tcPr>
          <w:p w14:paraId="29012611" w14:textId="56349681" w:rsidR="00113D9B" w:rsidRDefault="00113D9B" w:rsidP="00113D9B">
            <w:r>
              <w:t>J</w:t>
            </w:r>
            <w:r w:rsidR="50B7F0DA">
              <w:t>anuary</w:t>
            </w:r>
            <w:r>
              <w:t xml:space="preserve"> 202</w:t>
            </w:r>
            <w:r w:rsidR="79484802">
              <w:t>8</w:t>
            </w:r>
          </w:p>
        </w:tc>
      </w:tr>
    </w:tbl>
    <w:p w14:paraId="18EDB3DD" w14:textId="77777777" w:rsidR="000E104F" w:rsidRDefault="000E104F"/>
    <w:sectPr w:rsidR="000E104F">
      <w:headerReference w:type="default" r:id="rId14"/>
      <w:foot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ED7FEB" w14:textId="77777777" w:rsidR="00C51B31" w:rsidRDefault="00C51B31">
      <w:pPr>
        <w:spacing w:after="0" w:line="240" w:lineRule="auto"/>
      </w:pPr>
      <w:r>
        <w:separator/>
      </w:r>
    </w:p>
  </w:endnote>
  <w:endnote w:type="continuationSeparator" w:id="0">
    <w:p w14:paraId="20813901" w14:textId="77777777" w:rsidR="00C51B31" w:rsidRDefault="00C51B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7E0A7EF1" w14:paraId="4ECC4AA6" w14:textId="77777777" w:rsidTr="7E0A7EF1">
      <w:trPr>
        <w:trHeight w:val="300"/>
      </w:trPr>
      <w:tc>
        <w:tcPr>
          <w:tcW w:w="3005" w:type="dxa"/>
        </w:tcPr>
        <w:p w14:paraId="46E12BB5" w14:textId="15E9803C" w:rsidR="7E0A7EF1" w:rsidRDefault="7E0A7EF1" w:rsidP="7E0A7EF1">
          <w:pPr>
            <w:pStyle w:val="Header"/>
            <w:ind w:left="-115"/>
          </w:pPr>
        </w:p>
      </w:tc>
      <w:tc>
        <w:tcPr>
          <w:tcW w:w="3005" w:type="dxa"/>
        </w:tcPr>
        <w:p w14:paraId="6FDC0DF0" w14:textId="15E5D3F0" w:rsidR="7E0A7EF1" w:rsidRDefault="7E0A7EF1" w:rsidP="7E0A7EF1">
          <w:pPr>
            <w:pStyle w:val="Header"/>
            <w:jc w:val="center"/>
          </w:pPr>
        </w:p>
      </w:tc>
      <w:tc>
        <w:tcPr>
          <w:tcW w:w="3005" w:type="dxa"/>
        </w:tcPr>
        <w:p w14:paraId="0B0EF700" w14:textId="5D85FE91" w:rsidR="7E0A7EF1" w:rsidRDefault="7E0A7EF1" w:rsidP="7E0A7EF1">
          <w:pPr>
            <w:pStyle w:val="Header"/>
            <w:ind w:right="-115"/>
            <w:jc w:val="right"/>
          </w:pPr>
        </w:p>
      </w:tc>
    </w:tr>
  </w:tbl>
  <w:p w14:paraId="4A8E2A0F" w14:textId="0AF419A2" w:rsidR="7E0A7EF1" w:rsidRDefault="7E0A7EF1" w:rsidP="7E0A7EF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3F244C" w14:textId="77777777" w:rsidR="00C51B31" w:rsidRDefault="00C51B31">
      <w:pPr>
        <w:spacing w:after="0" w:line="240" w:lineRule="auto"/>
      </w:pPr>
      <w:r>
        <w:separator/>
      </w:r>
    </w:p>
  </w:footnote>
  <w:footnote w:type="continuationSeparator" w:id="0">
    <w:p w14:paraId="07695738" w14:textId="77777777" w:rsidR="00C51B31" w:rsidRDefault="00C51B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0DCDC9" w14:textId="127291D3" w:rsidR="7E0A7EF1" w:rsidRDefault="7E0A7EF1" w:rsidP="7E0A7EF1">
    <w:pPr>
      <w:pStyle w:val="Header"/>
    </w:pPr>
    <w:r>
      <w:rPr>
        <w:noProof/>
      </w:rPr>
      <w:drawing>
        <wp:inline distT="0" distB="0" distL="0" distR="0" wp14:anchorId="78DC3094" wp14:editId="05170533">
          <wp:extent cx="2905125" cy="552450"/>
          <wp:effectExtent l="0" t="0" r="0" b="0"/>
          <wp:docPr id="192037157" name="Picture 192037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2905125" cy="552450"/>
                  </a:xfrm>
                  <a:prstGeom prst="rect">
                    <a:avLst/>
                  </a:prstGeom>
                </pic:spPr>
              </pic:pic>
            </a:graphicData>
          </a:graphic>
        </wp:inline>
      </w:drawing>
    </w:r>
    <w:r>
      <w:tab/>
    </w:r>
    <w:r>
      <w:tab/>
    </w:r>
    <w:r>
      <w:rPr>
        <w:noProof/>
      </w:rPr>
      <w:drawing>
        <wp:inline distT="0" distB="0" distL="0" distR="0" wp14:anchorId="57C2E40D" wp14:editId="78B61C03">
          <wp:extent cx="1581150" cy="838200"/>
          <wp:effectExtent l="0" t="0" r="0" b="0"/>
          <wp:docPr id="401433085" name="Picture 4014330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a:extLst>
                      <a:ext uri="{28A0092B-C50C-407E-A947-70E740481C1C}">
                        <a14:useLocalDpi xmlns:a14="http://schemas.microsoft.com/office/drawing/2010/main" val="0"/>
                      </a:ext>
                    </a:extLst>
                  </a:blip>
                  <a:stretch>
                    <a:fillRect/>
                  </a:stretch>
                </pic:blipFill>
                <pic:spPr>
                  <a:xfrm>
                    <a:off x="0" y="0"/>
                    <a:ext cx="1581150" cy="838200"/>
                  </a:xfrm>
                  <a:prstGeom prst="rect">
                    <a:avLst/>
                  </a:prstGeom>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textHash int2:hashCode="MpvZB7MKQ7i+4f" int2:id="CED87Hcn">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93237DC"/>
    <w:multiLevelType w:val="hybridMultilevel"/>
    <w:tmpl w:val="81E262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F5ADCC2"/>
    <w:multiLevelType w:val="hybridMultilevel"/>
    <w:tmpl w:val="BD282952"/>
    <w:lvl w:ilvl="0" w:tplc="9E500C80">
      <w:start w:val="1"/>
      <w:numFmt w:val="bullet"/>
      <w:lvlText w:val=""/>
      <w:lvlJc w:val="left"/>
      <w:pPr>
        <w:ind w:left="720" w:hanging="360"/>
      </w:pPr>
      <w:rPr>
        <w:rFonts w:ascii="Symbol" w:hAnsi="Symbol" w:hint="default"/>
      </w:rPr>
    </w:lvl>
    <w:lvl w:ilvl="1" w:tplc="F68054DA">
      <w:start w:val="1"/>
      <w:numFmt w:val="bullet"/>
      <w:lvlText w:val="o"/>
      <w:lvlJc w:val="left"/>
      <w:pPr>
        <w:ind w:left="1440" w:hanging="360"/>
      </w:pPr>
      <w:rPr>
        <w:rFonts w:ascii="Courier New" w:hAnsi="Courier New" w:hint="default"/>
      </w:rPr>
    </w:lvl>
    <w:lvl w:ilvl="2" w:tplc="BFE8AF4A">
      <w:start w:val="1"/>
      <w:numFmt w:val="bullet"/>
      <w:lvlText w:val=""/>
      <w:lvlJc w:val="left"/>
      <w:pPr>
        <w:ind w:left="2160" w:hanging="360"/>
      </w:pPr>
      <w:rPr>
        <w:rFonts w:ascii="Wingdings" w:hAnsi="Wingdings" w:hint="default"/>
      </w:rPr>
    </w:lvl>
    <w:lvl w:ilvl="3" w:tplc="609A7780">
      <w:start w:val="1"/>
      <w:numFmt w:val="bullet"/>
      <w:lvlText w:val=""/>
      <w:lvlJc w:val="left"/>
      <w:pPr>
        <w:ind w:left="2880" w:hanging="360"/>
      </w:pPr>
      <w:rPr>
        <w:rFonts w:ascii="Symbol" w:hAnsi="Symbol" w:hint="default"/>
      </w:rPr>
    </w:lvl>
    <w:lvl w:ilvl="4" w:tplc="CA862036">
      <w:start w:val="1"/>
      <w:numFmt w:val="bullet"/>
      <w:lvlText w:val="o"/>
      <w:lvlJc w:val="left"/>
      <w:pPr>
        <w:ind w:left="3600" w:hanging="360"/>
      </w:pPr>
      <w:rPr>
        <w:rFonts w:ascii="Courier New" w:hAnsi="Courier New" w:hint="default"/>
      </w:rPr>
    </w:lvl>
    <w:lvl w:ilvl="5" w:tplc="329AA2A6">
      <w:start w:val="1"/>
      <w:numFmt w:val="bullet"/>
      <w:lvlText w:val=""/>
      <w:lvlJc w:val="left"/>
      <w:pPr>
        <w:ind w:left="4320" w:hanging="360"/>
      </w:pPr>
      <w:rPr>
        <w:rFonts w:ascii="Wingdings" w:hAnsi="Wingdings" w:hint="default"/>
      </w:rPr>
    </w:lvl>
    <w:lvl w:ilvl="6" w:tplc="272AE198">
      <w:start w:val="1"/>
      <w:numFmt w:val="bullet"/>
      <w:lvlText w:val=""/>
      <w:lvlJc w:val="left"/>
      <w:pPr>
        <w:ind w:left="5040" w:hanging="360"/>
      </w:pPr>
      <w:rPr>
        <w:rFonts w:ascii="Symbol" w:hAnsi="Symbol" w:hint="default"/>
      </w:rPr>
    </w:lvl>
    <w:lvl w:ilvl="7" w:tplc="00728362">
      <w:start w:val="1"/>
      <w:numFmt w:val="bullet"/>
      <w:lvlText w:val="o"/>
      <w:lvlJc w:val="left"/>
      <w:pPr>
        <w:ind w:left="5760" w:hanging="360"/>
      </w:pPr>
      <w:rPr>
        <w:rFonts w:ascii="Courier New" w:hAnsi="Courier New" w:hint="default"/>
      </w:rPr>
    </w:lvl>
    <w:lvl w:ilvl="8" w:tplc="A89C012C">
      <w:start w:val="1"/>
      <w:numFmt w:val="bullet"/>
      <w:lvlText w:val=""/>
      <w:lvlJc w:val="left"/>
      <w:pPr>
        <w:ind w:left="6480" w:hanging="360"/>
      </w:pPr>
      <w:rPr>
        <w:rFonts w:ascii="Wingdings" w:hAnsi="Wingdings" w:hint="default"/>
      </w:rPr>
    </w:lvl>
  </w:abstractNum>
  <w:abstractNum w:abstractNumId="2" w15:restartNumberingAfterBreak="0">
    <w:nsid w:val="238D22AB"/>
    <w:multiLevelType w:val="hybridMultilevel"/>
    <w:tmpl w:val="49A6BF7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278A1966"/>
    <w:multiLevelType w:val="hybridMultilevel"/>
    <w:tmpl w:val="6732880C"/>
    <w:lvl w:ilvl="0" w:tplc="71F07238">
      <w:start w:val="58"/>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2A668818"/>
    <w:multiLevelType w:val="hybridMultilevel"/>
    <w:tmpl w:val="85162578"/>
    <w:lvl w:ilvl="0" w:tplc="BF3286A8">
      <w:start w:val="1"/>
      <w:numFmt w:val="bullet"/>
      <w:lvlText w:val=""/>
      <w:lvlJc w:val="left"/>
      <w:pPr>
        <w:ind w:left="720" w:hanging="360"/>
      </w:pPr>
      <w:rPr>
        <w:rFonts w:ascii="Symbol" w:hAnsi="Symbol" w:hint="default"/>
      </w:rPr>
    </w:lvl>
    <w:lvl w:ilvl="1" w:tplc="6B5C0258">
      <w:start w:val="1"/>
      <w:numFmt w:val="bullet"/>
      <w:lvlText w:val="o"/>
      <w:lvlJc w:val="left"/>
      <w:pPr>
        <w:ind w:left="1440" w:hanging="360"/>
      </w:pPr>
      <w:rPr>
        <w:rFonts w:ascii="Courier New" w:hAnsi="Courier New" w:hint="default"/>
      </w:rPr>
    </w:lvl>
    <w:lvl w:ilvl="2" w:tplc="49467B74">
      <w:start w:val="1"/>
      <w:numFmt w:val="bullet"/>
      <w:lvlText w:val=""/>
      <w:lvlJc w:val="left"/>
      <w:pPr>
        <w:ind w:left="2160" w:hanging="360"/>
      </w:pPr>
      <w:rPr>
        <w:rFonts w:ascii="Wingdings" w:hAnsi="Wingdings" w:hint="default"/>
      </w:rPr>
    </w:lvl>
    <w:lvl w:ilvl="3" w:tplc="A3EAE388">
      <w:start w:val="1"/>
      <w:numFmt w:val="bullet"/>
      <w:lvlText w:val=""/>
      <w:lvlJc w:val="left"/>
      <w:pPr>
        <w:ind w:left="2880" w:hanging="360"/>
      </w:pPr>
      <w:rPr>
        <w:rFonts w:ascii="Symbol" w:hAnsi="Symbol" w:hint="default"/>
      </w:rPr>
    </w:lvl>
    <w:lvl w:ilvl="4" w:tplc="8C201A64">
      <w:start w:val="1"/>
      <w:numFmt w:val="bullet"/>
      <w:lvlText w:val="o"/>
      <w:lvlJc w:val="left"/>
      <w:pPr>
        <w:ind w:left="3600" w:hanging="360"/>
      </w:pPr>
      <w:rPr>
        <w:rFonts w:ascii="Courier New" w:hAnsi="Courier New" w:hint="default"/>
      </w:rPr>
    </w:lvl>
    <w:lvl w:ilvl="5" w:tplc="EED277AE">
      <w:start w:val="1"/>
      <w:numFmt w:val="bullet"/>
      <w:lvlText w:val=""/>
      <w:lvlJc w:val="left"/>
      <w:pPr>
        <w:ind w:left="4320" w:hanging="360"/>
      </w:pPr>
      <w:rPr>
        <w:rFonts w:ascii="Wingdings" w:hAnsi="Wingdings" w:hint="default"/>
      </w:rPr>
    </w:lvl>
    <w:lvl w:ilvl="6" w:tplc="CC2C564A">
      <w:start w:val="1"/>
      <w:numFmt w:val="bullet"/>
      <w:lvlText w:val=""/>
      <w:lvlJc w:val="left"/>
      <w:pPr>
        <w:ind w:left="5040" w:hanging="360"/>
      </w:pPr>
      <w:rPr>
        <w:rFonts w:ascii="Symbol" w:hAnsi="Symbol" w:hint="default"/>
      </w:rPr>
    </w:lvl>
    <w:lvl w:ilvl="7" w:tplc="E8DC0340">
      <w:start w:val="1"/>
      <w:numFmt w:val="bullet"/>
      <w:lvlText w:val="o"/>
      <w:lvlJc w:val="left"/>
      <w:pPr>
        <w:ind w:left="5760" w:hanging="360"/>
      </w:pPr>
      <w:rPr>
        <w:rFonts w:ascii="Courier New" w:hAnsi="Courier New" w:hint="default"/>
      </w:rPr>
    </w:lvl>
    <w:lvl w:ilvl="8" w:tplc="0136BF92">
      <w:start w:val="1"/>
      <w:numFmt w:val="bullet"/>
      <w:lvlText w:val=""/>
      <w:lvlJc w:val="left"/>
      <w:pPr>
        <w:ind w:left="6480" w:hanging="360"/>
      </w:pPr>
      <w:rPr>
        <w:rFonts w:ascii="Wingdings" w:hAnsi="Wingdings" w:hint="default"/>
      </w:rPr>
    </w:lvl>
  </w:abstractNum>
  <w:abstractNum w:abstractNumId="5" w15:restartNumberingAfterBreak="0">
    <w:nsid w:val="338661D1"/>
    <w:multiLevelType w:val="hybridMultilevel"/>
    <w:tmpl w:val="D2D00404"/>
    <w:lvl w:ilvl="0" w:tplc="0809000F">
      <w:start w:val="1"/>
      <w:numFmt w:val="decimal"/>
      <w:lvlText w:val="%1."/>
      <w:lvlJc w:val="left"/>
      <w:pPr>
        <w:ind w:left="360" w:hanging="360"/>
      </w:pPr>
      <w:rPr>
        <w:rFont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6" w15:restartNumberingAfterBreak="0">
    <w:nsid w:val="34914B13"/>
    <w:multiLevelType w:val="multilevel"/>
    <w:tmpl w:val="AC165F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41046FE6"/>
    <w:multiLevelType w:val="hybridMultilevel"/>
    <w:tmpl w:val="61CAF2A8"/>
    <w:lvl w:ilvl="0" w:tplc="F752D0C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7145BC1"/>
    <w:multiLevelType w:val="hybridMultilevel"/>
    <w:tmpl w:val="732260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3AF7A1A"/>
    <w:multiLevelType w:val="hybridMultilevel"/>
    <w:tmpl w:val="F446C3C2"/>
    <w:lvl w:ilvl="0" w:tplc="DAA2350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8F5418F"/>
    <w:multiLevelType w:val="hybridMultilevel"/>
    <w:tmpl w:val="28D03698"/>
    <w:lvl w:ilvl="0" w:tplc="57FA7C9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C2201F5"/>
    <w:multiLevelType w:val="hybridMultilevel"/>
    <w:tmpl w:val="2EA82C80"/>
    <w:lvl w:ilvl="0" w:tplc="32D46B6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03834556">
    <w:abstractNumId w:val="4"/>
  </w:num>
  <w:num w:numId="2" w16cid:durableId="1733386344">
    <w:abstractNumId w:val="1"/>
  </w:num>
  <w:num w:numId="3" w16cid:durableId="1872303278">
    <w:abstractNumId w:val="11"/>
  </w:num>
  <w:num w:numId="4" w16cid:durableId="1147431926">
    <w:abstractNumId w:val="0"/>
  </w:num>
  <w:num w:numId="5" w16cid:durableId="890380511">
    <w:abstractNumId w:val="3"/>
  </w:num>
  <w:num w:numId="6" w16cid:durableId="1585725535">
    <w:abstractNumId w:val="10"/>
  </w:num>
  <w:num w:numId="7" w16cid:durableId="1128164145">
    <w:abstractNumId w:val="7"/>
  </w:num>
  <w:num w:numId="8" w16cid:durableId="1607155194">
    <w:abstractNumId w:val="9"/>
  </w:num>
  <w:num w:numId="9" w16cid:durableId="70854915">
    <w:abstractNumId w:val="2"/>
  </w:num>
  <w:num w:numId="10" w16cid:durableId="1686781628">
    <w:abstractNumId w:val="5"/>
  </w:num>
  <w:num w:numId="11" w16cid:durableId="1966278688">
    <w:abstractNumId w:val="6"/>
  </w:num>
  <w:num w:numId="12" w16cid:durableId="86475262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7DAB"/>
    <w:rsid w:val="000132FD"/>
    <w:rsid w:val="000E104F"/>
    <w:rsid w:val="00113D9B"/>
    <w:rsid w:val="00177C4D"/>
    <w:rsid w:val="0017DF6D"/>
    <w:rsid w:val="001816E6"/>
    <w:rsid w:val="002D97A4"/>
    <w:rsid w:val="002E4F0D"/>
    <w:rsid w:val="00315AA0"/>
    <w:rsid w:val="00330790"/>
    <w:rsid w:val="0039492D"/>
    <w:rsid w:val="00467191"/>
    <w:rsid w:val="004C292B"/>
    <w:rsid w:val="005565A7"/>
    <w:rsid w:val="005820AB"/>
    <w:rsid w:val="005E3ADB"/>
    <w:rsid w:val="005F0F1D"/>
    <w:rsid w:val="00623C10"/>
    <w:rsid w:val="00656075"/>
    <w:rsid w:val="00702D52"/>
    <w:rsid w:val="007606C0"/>
    <w:rsid w:val="00784A20"/>
    <w:rsid w:val="007A1D76"/>
    <w:rsid w:val="007C18AF"/>
    <w:rsid w:val="0080365B"/>
    <w:rsid w:val="0086083A"/>
    <w:rsid w:val="0093C44A"/>
    <w:rsid w:val="00946B0C"/>
    <w:rsid w:val="009D48EB"/>
    <w:rsid w:val="00A21761"/>
    <w:rsid w:val="00A719FC"/>
    <w:rsid w:val="00AA38E1"/>
    <w:rsid w:val="00AE39A5"/>
    <w:rsid w:val="00B835D0"/>
    <w:rsid w:val="00B97DAB"/>
    <w:rsid w:val="00BC27F1"/>
    <w:rsid w:val="00C51B31"/>
    <w:rsid w:val="00C5358B"/>
    <w:rsid w:val="00C55041"/>
    <w:rsid w:val="00C96AB1"/>
    <w:rsid w:val="00CD4590"/>
    <w:rsid w:val="00D81158"/>
    <w:rsid w:val="00DA2946"/>
    <w:rsid w:val="00DD4A29"/>
    <w:rsid w:val="00E17065"/>
    <w:rsid w:val="00E23A5B"/>
    <w:rsid w:val="00EB3CFA"/>
    <w:rsid w:val="00ED5143"/>
    <w:rsid w:val="00F012EF"/>
    <w:rsid w:val="00F9067A"/>
    <w:rsid w:val="00FF3EE2"/>
    <w:rsid w:val="00FF6EF3"/>
    <w:rsid w:val="01375F9E"/>
    <w:rsid w:val="019115FA"/>
    <w:rsid w:val="01A0723A"/>
    <w:rsid w:val="01C584D3"/>
    <w:rsid w:val="02930CD1"/>
    <w:rsid w:val="029432C4"/>
    <w:rsid w:val="02B3C44F"/>
    <w:rsid w:val="02BCDE2B"/>
    <w:rsid w:val="02F5696B"/>
    <w:rsid w:val="031046DF"/>
    <w:rsid w:val="032962D2"/>
    <w:rsid w:val="03EAFC35"/>
    <w:rsid w:val="04823337"/>
    <w:rsid w:val="0582A8AC"/>
    <w:rsid w:val="05BFBEC2"/>
    <w:rsid w:val="06ADE5C4"/>
    <w:rsid w:val="0746B200"/>
    <w:rsid w:val="07878F61"/>
    <w:rsid w:val="08275A2B"/>
    <w:rsid w:val="09D29CF8"/>
    <w:rsid w:val="0A8AEE04"/>
    <w:rsid w:val="0AF8BD5E"/>
    <w:rsid w:val="0B158EDE"/>
    <w:rsid w:val="0B6A0C66"/>
    <w:rsid w:val="0C2AACD7"/>
    <w:rsid w:val="0DCB6B24"/>
    <w:rsid w:val="0E2289EC"/>
    <w:rsid w:val="0E5E27CD"/>
    <w:rsid w:val="0FB5482A"/>
    <w:rsid w:val="107A2093"/>
    <w:rsid w:val="1300C9E1"/>
    <w:rsid w:val="13685818"/>
    <w:rsid w:val="14EF59B2"/>
    <w:rsid w:val="152E6BB4"/>
    <w:rsid w:val="15EE4551"/>
    <w:rsid w:val="17AECED6"/>
    <w:rsid w:val="18A779DE"/>
    <w:rsid w:val="18FC1261"/>
    <w:rsid w:val="1B5B196F"/>
    <w:rsid w:val="1BC662FA"/>
    <w:rsid w:val="1C8B89BA"/>
    <w:rsid w:val="1D7BA3D8"/>
    <w:rsid w:val="1DD6F1EE"/>
    <w:rsid w:val="1DF0E17D"/>
    <w:rsid w:val="1E2BC89B"/>
    <w:rsid w:val="1F92CEBE"/>
    <w:rsid w:val="214A12AF"/>
    <w:rsid w:val="2164C09B"/>
    <w:rsid w:val="229E4C0C"/>
    <w:rsid w:val="22FABCA1"/>
    <w:rsid w:val="23086C88"/>
    <w:rsid w:val="236D715C"/>
    <w:rsid w:val="237966E0"/>
    <w:rsid w:val="24570A94"/>
    <w:rsid w:val="248DEDDF"/>
    <w:rsid w:val="24D5FB3E"/>
    <w:rsid w:val="25C9FF3D"/>
    <w:rsid w:val="289B9AAC"/>
    <w:rsid w:val="2A602EEE"/>
    <w:rsid w:val="2A723FE4"/>
    <w:rsid w:val="2AF9C115"/>
    <w:rsid w:val="2B8121C1"/>
    <w:rsid w:val="2B9E4B41"/>
    <w:rsid w:val="2BEDAA31"/>
    <w:rsid w:val="2BF356F9"/>
    <w:rsid w:val="2C8A91A2"/>
    <w:rsid w:val="2CA6B45E"/>
    <w:rsid w:val="2CDB88D0"/>
    <w:rsid w:val="2DD4049A"/>
    <w:rsid w:val="2F244BEF"/>
    <w:rsid w:val="30D55368"/>
    <w:rsid w:val="30F74687"/>
    <w:rsid w:val="312F6E83"/>
    <w:rsid w:val="3194BA9C"/>
    <w:rsid w:val="332C81A9"/>
    <w:rsid w:val="33703988"/>
    <w:rsid w:val="33B3C4CD"/>
    <w:rsid w:val="3462C9CF"/>
    <w:rsid w:val="34B68F6F"/>
    <w:rsid w:val="35ABE305"/>
    <w:rsid w:val="368A6C2F"/>
    <w:rsid w:val="37116604"/>
    <w:rsid w:val="372AE57D"/>
    <w:rsid w:val="37D0A0CA"/>
    <w:rsid w:val="389181A6"/>
    <w:rsid w:val="39BAF3F0"/>
    <w:rsid w:val="3A03AC17"/>
    <w:rsid w:val="3B526FD8"/>
    <w:rsid w:val="3C42B4A8"/>
    <w:rsid w:val="3C877273"/>
    <w:rsid w:val="3DD2678B"/>
    <w:rsid w:val="3EF0F6CF"/>
    <w:rsid w:val="3F49D7AA"/>
    <w:rsid w:val="3F76AC8B"/>
    <w:rsid w:val="3FF48BFB"/>
    <w:rsid w:val="40CAB8DF"/>
    <w:rsid w:val="419BB05D"/>
    <w:rsid w:val="441FF119"/>
    <w:rsid w:val="443A9AFE"/>
    <w:rsid w:val="44709B3A"/>
    <w:rsid w:val="44DFFF9E"/>
    <w:rsid w:val="45497F20"/>
    <w:rsid w:val="455AA220"/>
    <w:rsid w:val="4659EA3C"/>
    <w:rsid w:val="466E3267"/>
    <w:rsid w:val="46B09DDC"/>
    <w:rsid w:val="47741CD2"/>
    <w:rsid w:val="48521688"/>
    <w:rsid w:val="492132F9"/>
    <w:rsid w:val="4960F62E"/>
    <w:rsid w:val="4CADA413"/>
    <w:rsid w:val="4D7D201A"/>
    <w:rsid w:val="4D8DD7CD"/>
    <w:rsid w:val="4F81229E"/>
    <w:rsid w:val="4F9A594B"/>
    <w:rsid w:val="5049330A"/>
    <w:rsid w:val="506D4E92"/>
    <w:rsid w:val="509D0A6E"/>
    <w:rsid w:val="50A0132D"/>
    <w:rsid w:val="50B7F0DA"/>
    <w:rsid w:val="516BE6E1"/>
    <w:rsid w:val="518BE983"/>
    <w:rsid w:val="522AF6EB"/>
    <w:rsid w:val="52BAF039"/>
    <w:rsid w:val="531A38A1"/>
    <w:rsid w:val="5341478D"/>
    <w:rsid w:val="53C1DF5F"/>
    <w:rsid w:val="56541B87"/>
    <w:rsid w:val="56FDB0F3"/>
    <w:rsid w:val="582FBFBF"/>
    <w:rsid w:val="5889EC3A"/>
    <w:rsid w:val="594EBE35"/>
    <w:rsid w:val="597DCA3E"/>
    <w:rsid w:val="5B7B4BF6"/>
    <w:rsid w:val="5D0ECB2E"/>
    <w:rsid w:val="5D23953E"/>
    <w:rsid w:val="5E3F0D46"/>
    <w:rsid w:val="5EBD773C"/>
    <w:rsid w:val="5EEF045C"/>
    <w:rsid w:val="5FB817B8"/>
    <w:rsid w:val="60F357E5"/>
    <w:rsid w:val="618E33EE"/>
    <w:rsid w:val="62E581D5"/>
    <w:rsid w:val="640CB257"/>
    <w:rsid w:val="643CA823"/>
    <w:rsid w:val="6454475A"/>
    <w:rsid w:val="657726CB"/>
    <w:rsid w:val="65D24E52"/>
    <w:rsid w:val="684015C6"/>
    <w:rsid w:val="68D48C26"/>
    <w:rsid w:val="69592E08"/>
    <w:rsid w:val="6B712061"/>
    <w:rsid w:val="6C1F466A"/>
    <w:rsid w:val="6D71E930"/>
    <w:rsid w:val="6E4CD517"/>
    <w:rsid w:val="6EC2FE2F"/>
    <w:rsid w:val="70BAFBDA"/>
    <w:rsid w:val="70FB0942"/>
    <w:rsid w:val="713D6E4D"/>
    <w:rsid w:val="72F30E7F"/>
    <w:rsid w:val="72FA37F0"/>
    <w:rsid w:val="73F779EB"/>
    <w:rsid w:val="74D5C9A6"/>
    <w:rsid w:val="755C8E19"/>
    <w:rsid w:val="766B358C"/>
    <w:rsid w:val="77383A75"/>
    <w:rsid w:val="7779874D"/>
    <w:rsid w:val="78223892"/>
    <w:rsid w:val="788B39B6"/>
    <w:rsid w:val="78B4A8B0"/>
    <w:rsid w:val="79098026"/>
    <w:rsid w:val="79484802"/>
    <w:rsid w:val="79BC8E83"/>
    <w:rsid w:val="7ADC5D01"/>
    <w:rsid w:val="7B5A4450"/>
    <w:rsid w:val="7B79D19A"/>
    <w:rsid w:val="7D588AA7"/>
    <w:rsid w:val="7DC6A57F"/>
    <w:rsid w:val="7E0A7EF1"/>
    <w:rsid w:val="7F3030AF"/>
    <w:rsid w:val="7F6C614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E3799D"/>
  <w15:chartTrackingRefBased/>
  <w15:docId w15:val="{F1D33F2A-868D-425A-BE63-2D9A010A6E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97D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97DAB"/>
    <w:pPr>
      <w:ind w:left="720"/>
      <w:contextualSpacing/>
    </w:pPr>
  </w:style>
  <w:style w:type="character" w:styleId="Hyperlink">
    <w:name w:val="Hyperlink"/>
    <w:basedOn w:val="DefaultParagraphFont"/>
    <w:uiPriority w:val="99"/>
    <w:semiHidden/>
    <w:unhideWhenUsed/>
    <w:rsid w:val="007A1D76"/>
    <w:rPr>
      <w:color w:val="0000FF"/>
      <w:u w:val="single"/>
    </w:rPr>
  </w:style>
  <w:style w:type="character" w:styleId="FollowedHyperlink">
    <w:name w:val="FollowedHyperlink"/>
    <w:basedOn w:val="DefaultParagraphFont"/>
    <w:uiPriority w:val="99"/>
    <w:semiHidden/>
    <w:unhideWhenUsed/>
    <w:rsid w:val="007A1D76"/>
    <w:rPr>
      <w:color w:val="954F72" w:themeColor="followedHyperlink"/>
      <w:u w:val="single"/>
    </w:rPr>
  </w:style>
  <w:style w:type="character" w:styleId="CommentReference">
    <w:name w:val="annotation reference"/>
    <w:basedOn w:val="DefaultParagraphFont"/>
    <w:uiPriority w:val="99"/>
    <w:semiHidden/>
    <w:unhideWhenUsed/>
    <w:rsid w:val="00A719FC"/>
    <w:rPr>
      <w:sz w:val="16"/>
      <w:szCs w:val="16"/>
    </w:rPr>
  </w:style>
  <w:style w:type="paragraph" w:styleId="CommentText">
    <w:name w:val="annotation text"/>
    <w:basedOn w:val="Normal"/>
    <w:link w:val="CommentTextChar"/>
    <w:uiPriority w:val="99"/>
    <w:unhideWhenUsed/>
    <w:rsid w:val="00A719FC"/>
    <w:pPr>
      <w:spacing w:line="240" w:lineRule="auto"/>
    </w:pPr>
    <w:rPr>
      <w:sz w:val="20"/>
      <w:szCs w:val="20"/>
    </w:rPr>
  </w:style>
  <w:style w:type="character" w:customStyle="1" w:styleId="CommentTextChar">
    <w:name w:val="Comment Text Char"/>
    <w:basedOn w:val="DefaultParagraphFont"/>
    <w:link w:val="CommentText"/>
    <w:uiPriority w:val="99"/>
    <w:rsid w:val="00A719FC"/>
    <w:rPr>
      <w:sz w:val="20"/>
      <w:szCs w:val="20"/>
    </w:rPr>
  </w:style>
  <w:style w:type="paragraph" w:styleId="CommentSubject">
    <w:name w:val="annotation subject"/>
    <w:basedOn w:val="CommentText"/>
    <w:next w:val="CommentText"/>
    <w:link w:val="CommentSubjectChar"/>
    <w:uiPriority w:val="99"/>
    <w:semiHidden/>
    <w:unhideWhenUsed/>
    <w:rsid w:val="00A719FC"/>
    <w:rPr>
      <w:b/>
      <w:bCs/>
    </w:rPr>
  </w:style>
  <w:style w:type="character" w:customStyle="1" w:styleId="CommentSubjectChar">
    <w:name w:val="Comment Subject Char"/>
    <w:basedOn w:val="CommentTextChar"/>
    <w:link w:val="CommentSubject"/>
    <w:uiPriority w:val="99"/>
    <w:semiHidden/>
    <w:rsid w:val="00A719FC"/>
    <w:rPr>
      <w:b/>
      <w:bCs/>
      <w:sz w:val="20"/>
      <w:szCs w:val="20"/>
    </w:r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paragraph" w:customStyle="1" w:styleId="paragraph">
    <w:name w:val="paragraph"/>
    <w:basedOn w:val="Normal"/>
    <w:rsid w:val="005820AB"/>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normaltextrun">
    <w:name w:val="normaltextrun"/>
    <w:basedOn w:val="DefaultParagraphFont"/>
    <w:rsid w:val="005820AB"/>
  </w:style>
  <w:style w:type="character" w:customStyle="1" w:styleId="eop">
    <w:name w:val="eop"/>
    <w:basedOn w:val="DefaultParagraphFont"/>
    <w:rsid w:val="005820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862537">
      <w:bodyDiv w:val="1"/>
      <w:marLeft w:val="0"/>
      <w:marRight w:val="0"/>
      <w:marTop w:val="0"/>
      <w:marBottom w:val="0"/>
      <w:divBdr>
        <w:top w:val="none" w:sz="0" w:space="0" w:color="auto"/>
        <w:left w:val="none" w:sz="0" w:space="0" w:color="auto"/>
        <w:bottom w:val="none" w:sz="0" w:space="0" w:color="auto"/>
        <w:right w:val="none" w:sz="0" w:space="0" w:color="auto"/>
      </w:divBdr>
      <w:divsChild>
        <w:div w:id="382680300">
          <w:marLeft w:val="0"/>
          <w:marRight w:val="0"/>
          <w:marTop w:val="0"/>
          <w:marBottom w:val="0"/>
          <w:divBdr>
            <w:top w:val="none" w:sz="0" w:space="0" w:color="auto"/>
            <w:left w:val="none" w:sz="0" w:space="0" w:color="auto"/>
            <w:bottom w:val="none" w:sz="0" w:space="0" w:color="auto"/>
            <w:right w:val="none" w:sz="0" w:space="0" w:color="auto"/>
          </w:divBdr>
        </w:div>
        <w:div w:id="1824665276">
          <w:marLeft w:val="0"/>
          <w:marRight w:val="0"/>
          <w:marTop w:val="0"/>
          <w:marBottom w:val="0"/>
          <w:divBdr>
            <w:top w:val="none" w:sz="0" w:space="0" w:color="auto"/>
            <w:left w:val="none" w:sz="0" w:space="0" w:color="auto"/>
            <w:bottom w:val="none" w:sz="0" w:space="0" w:color="auto"/>
            <w:right w:val="none" w:sz="0" w:space="0" w:color="auto"/>
          </w:divBdr>
        </w:div>
        <w:div w:id="1851485153">
          <w:marLeft w:val="0"/>
          <w:marRight w:val="0"/>
          <w:marTop w:val="0"/>
          <w:marBottom w:val="0"/>
          <w:divBdr>
            <w:top w:val="none" w:sz="0" w:space="0" w:color="auto"/>
            <w:left w:val="none" w:sz="0" w:space="0" w:color="auto"/>
            <w:bottom w:val="none" w:sz="0" w:space="0" w:color="auto"/>
            <w:right w:val="none" w:sz="0" w:space="0" w:color="auto"/>
          </w:divBdr>
        </w:div>
        <w:div w:id="818421869">
          <w:marLeft w:val="0"/>
          <w:marRight w:val="0"/>
          <w:marTop w:val="0"/>
          <w:marBottom w:val="0"/>
          <w:divBdr>
            <w:top w:val="none" w:sz="0" w:space="0" w:color="auto"/>
            <w:left w:val="none" w:sz="0" w:space="0" w:color="auto"/>
            <w:bottom w:val="none" w:sz="0" w:space="0" w:color="auto"/>
            <w:right w:val="none" w:sz="0" w:space="0" w:color="auto"/>
          </w:divBdr>
        </w:div>
      </w:divsChild>
    </w:div>
    <w:div w:id="370035583">
      <w:bodyDiv w:val="1"/>
      <w:marLeft w:val="0"/>
      <w:marRight w:val="0"/>
      <w:marTop w:val="0"/>
      <w:marBottom w:val="0"/>
      <w:divBdr>
        <w:top w:val="none" w:sz="0" w:space="0" w:color="auto"/>
        <w:left w:val="none" w:sz="0" w:space="0" w:color="auto"/>
        <w:bottom w:val="none" w:sz="0" w:space="0" w:color="auto"/>
        <w:right w:val="none" w:sz="0" w:space="0" w:color="auto"/>
      </w:divBdr>
      <w:divsChild>
        <w:div w:id="1485242896">
          <w:marLeft w:val="0"/>
          <w:marRight w:val="0"/>
          <w:marTop w:val="0"/>
          <w:marBottom w:val="0"/>
          <w:divBdr>
            <w:top w:val="none" w:sz="0" w:space="0" w:color="auto"/>
            <w:left w:val="none" w:sz="0" w:space="0" w:color="auto"/>
            <w:bottom w:val="none" w:sz="0" w:space="0" w:color="auto"/>
            <w:right w:val="none" w:sz="0" w:space="0" w:color="auto"/>
          </w:divBdr>
        </w:div>
        <w:div w:id="374820199">
          <w:marLeft w:val="0"/>
          <w:marRight w:val="0"/>
          <w:marTop w:val="0"/>
          <w:marBottom w:val="0"/>
          <w:divBdr>
            <w:top w:val="none" w:sz="0" w:space="0" w:color="auto"/>
            <w:left w:val="none" w:sz="0" w:space="0" w:color="auto"/>
            <w:bottom w:val="none" w:sz="0" w:space="0" w:color="auto"/>
            <w:right w:val="none" w:sz="0" w:space="0" w:color="auto"/>
          </w:divBdr>
        </w:div>
        <w:div w:id="2122530908">
          <w:marLeft w:val="0"/>
          <w:marRight w:val="0"/>
          <w:marTop w:val="0"/>
          <w:marBottom w:val="0"/>
          <w:divBdr>
            <w:top w:val="none" w:sz="0" w:space="0" w:color="auto"/>
            <w:left w:val="none" w:sz="0" w:space="0" w:color="auto"/>
            <w:bottom w:val="none" w:sz="0" w:space="0" w:color="auto"/>
            <w:right w:val="none" w:sz="0" w:space="0" w:color="auto"/>
          </w:divBdr>
        </w:div>
      </w:divsChild>
    </w:div>
    <w:div w:id="4849023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ebi.aomrc.org.uk/interventions/dupuytrens-contracture-release-in-adults/" TargetMode="External"/><Relationship Id="rId18" Type="http://schemas.microsoft.com/office/2020/10/relationships/intelligence" Target="intelligence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nice.org.uk/guidance/ipg43"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cks.nice.org.uk/topics/dupuytrens-disease/"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hyperlink" Target="https://www.england.nhs.uk/wp-content/uploads/2022/07/Making-a-decision-about-Dupuytrens-contracture.pdf"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5f3a27a0-5bd1-4826-8a06-13af7378a15a">
      <Terms xmlns="http://schemas.microsoft.com/office/infopath/2007/PartnerControls"/>
    </lcf76f155ced4ddcb4097134ff3c332f>
    <TaxCatchAll xmlns="f3067cdb-6540-48a2-9007-7587a8c1b009"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DC4934F7B0CB64FB712635246851451" ma:contentTypeVersion="14" ma:contentTypeDescription="Create a new document." ma:contentTypeScope="" ma:versionID="c9425648ac719d32d7dec3fe6dedc87b">
  <xsd:schema xmlns:xsd="http://www.w3.org/2001/XMLSchema" xmlns:xs="http://www.w3.org/2001/XMLSchema" xmlns:p="http://schemas.microsoft.com/office/2006/metadata/properties" xmlns:ns1="http://schemas.microsoft.com/sharepoint/v3" xmlns:ns2="5f3a27a0-5bd1-4826-8a06-13af7378a15a" xmlns:ns3="f3067cdb-6540-48a2-9007-7587a8c1b009" targetNamespace="http://schemas.microsoft.com/office/2006/metadata/properties" ma:root="true" ma:fieldsID="12f5ce4f5736c4bba1e66b482f48bbfd" ns1:_="" ns2:_="" ns3:_="">
    <xsd:import namespace="http://schemas.microsoft.com/sharepoint/v3"/>
    <xsd:import namespace="5f3a27a0-5bd1-4826-8a06-13af7378a15a"/>
    <xsd:import namespace="f3067cdb-6540-48a2-9007-7587a8c1b009"/>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1:_ip_UnifiedCompliancePolicyProperties" minOccurs="0"/>
                <xsd:element ref="ns1:_ip_UnifiedCompliancePolicyUIAction" minOccurs="0"/>
                <xsd:element ref="ns2:MediaServiceOCR"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8" nillable="true" ma:displayName="Unified Compliance Policy Properties" ma:hidden="true" ma:internalName="_ip_UnifiedCompliancePolicyProperties">
      <xsd:simpleType>
        <xsd:restriction base="dms:Note"/>
      </xsd:simpleType>
    </xsd:element>
    <xsd:element name="_ip_UnifiedCompliancePolicyUIAction" ma:index="1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f3a27a0-5bd1-4826-8a06-13af7378a15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BillingMetadata" ma:index="21"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3067cdb-6540-48a2-9007-7587a8c1b009"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f226a901-8310-4a0f-879f-ab13f29bf486}" ma:internalName="TaxCatchAll" ma:showField="CatchAllData" ma:web="f3067cdb-6540-48a2-9007-7587a8c1b00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FBBD2CD-97AF-407D-915F-1CD1CD696BF3}">
  <ds:schemaRefs>
    <ds:schemaRef ds:uri="http://schemas.microsoft.com/sharepoint/v3/contenttype/forms"/>
  </ds:schemaRefs>
</ds:datastoreItem>
</file>

<file path=customXml/itemProps2.xml><?xml version="1.0" encoding="utf-8"?>
<ds:datastoreItem xmlns:ds="http://schemas.openxmlformats.org/officeDocument/2006/customXml" ds:itemID="{EF5E2BB1-B746-425F-8753-9F82113632BA}">
  <ds:schemaRefs>
    <ds:schemaRef ds:uri="http://schemas.microsoft.com/sharepoint/v3"/>
    <ds:schemaRef ds:uri="http://schemas.microsoft.com/office/2006/documentManagement/types"/>
    <ds:schemaRef ds:uri="http://schemas.microsoft.com/office/2006/metadata/properties"/>
    <ds:schemaRef ds:uri="http://schemas.microsoft.com/office/infopath/2007/PartnerControls"/>
    <ds:schemaRef ds:uri="http://purl.org/dc/terms/"/>
    <ds:schemaRef ds:uri="f6a82410-35a1-48d9-a432-e298e5b95e46"/>
    <ds:schemaRef ds:uri="http://www.w3.org/XML/1998/namespace"/>
    <ds:schemaRef ds:uri="http://purl.org/dc/dcmitype/"/>
    <ds:schemaRef ds:uri="http://schemas.openxmlformats.org/package/2006/metadata/core-properties"/>
    <ds:schemaRef ds:uri="1365388d-8e0b-4df5-a0a3-cd102b49988e"/>
    <ds:schemaRef ds:uri="http://purl.org/dc/elements/1.1/"/>
  </ds:schemaRefs>
</ds:datastoreItem>
</file>

<file path=customXml/itemProps3.xml><?xml version="1.0" encoding="utf-8"?>
<ds:datastoreItem xmlns:ds="http://schemas.openxmlformats.org/officeDocument/2006/customXml" ds:itemID="{938C2F2B-FF83-4550-96BE-A17A48122BF3}"/>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Template>
  <TotalTime>0</TotalTime>
  <Pages>1</Pages>
  <Words>294</Words>
  <Characters>1681</Characters>
  <Application>Microsoft Office Word</Application>
  <DocSecurity>0</DocSecurity>
  <Lines>14</Lines>
  <Paragraphs>3</Paragraphs>
  <ScaleCrop>false</ScaleCrop>
  <Company>NHS</Company>
  <LinksUpToDate>false</LinksUpToDate>
  <CharactersWithSpaces>1972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SPALDING, Anne (THE ROXTON PRACTICE)</dc:creator>
  <cp:keywords/>
  <dc:description/>
  <cp:lastModifiedBy>BLACK, Rebecca (NHS HUMBER AND NORTH YORKSHIRE ICB - 02Y)</cp:lastModifiedBy>
  <cp:revision>2</cp:revision>
  <dcterms:created xsi:type="dcterms:W3CDTF">2025-03-19T16:42:00Z</dcterms:created>
  <dcterms:modified xsi:type="dcterms:W3CDTF">2025-03-19T16:42:00Z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0x0101008DC4934F7B0CB64FB712635246851451</vt:lpwstr>
  </property>
  <property fmtid="{D5CDD505-2E9C-101B-9397-08002B2CF9AE}" pid="3" name="MediaServiceImageTags">
    <vt:lpwstr/>
  </property>
  <property fmtid="{D5CDD505-2E9C-101B-9397-08002B2CF9AE}" pid="4" name="Order">
    <vt:r8>57200</vt:r8>
  </property>
  <property fmtid="{D5CDD505-2E9C-101B-9397-08002B2CF9AE}" pid="5" name="_SourceUrl">
    <vt:lpwstr/>
  </property>
  <property fmtid="{D5CDD505-2E9C-101B-9397-08002B2CF9AE}" pid="6" name="_SharedFileIndex">
    <vt:lpwstr/>
  </property>
  <property fmtid="{D5CDD505-2E9C-101B-9397-08002B2CF9AE}" pid="7" name="ComplianceAssetId">
    <vt:lpwstr/>
  </property>
  <property fmtid="{D5CDD505-2E9C-101B-9397-08002B2CF9AE}" pid="8" name="_ExtendedDescription">
    <vt:lpwstr/>
  </property>
  <property fmtid="{D5CDD505-2E9C-101B-9397-08002B2CF9AE}" pid="9" name="TriggerFlowInfo">
    <vt:lpwstr/>
  </property>
  <property fmtid="{D5CDD505-2E9C-101B-9397-08002B2CF9AE}" pid="10" name="xd_Signature">
    <vt:bool>false</vt:bool>
  </property>
  <property fmtid="{D5CDD505-2E9C-101B-9397-08002B2CF9AE}" pid="11" name="xd_ProgID">
    <vt:lpwstr/>
  </property>
  <property fmtid="{D5CDD505-2E9C-101B-9397-08002B2CF9AE}" pid="12" name="TemplateUrl">
    <vt:lpwstr/>
  </property>
</Properties>
</file>