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625"/>
        <w:gridCol w:w="6391"/>
      </w:tblGrid>
      <w:tr w:rsidR="00B97DAB" w14:paraId="3F32C22B" w14:textId="77777777" w:rsidTr="669FC75C">
        <w:trPr>
          <w:trHeight w:val="435"/>
        </w:trPr>
        <w:tc>
          <w:tcPr>
            <w:tcW w:w="2625" w:type="dxa"/>
          </w:tcPr>
          <w:p w14:paraId="2137C5A4" w14:textId="11B48F23" w:rsidR="00B97DAB" w:rsidRDefault="00B97DAB" w:rsidP="0F6F53A2">
            <w:pPr>
              <w:rPr>
                <w:rFonts w:eastAsiaTheme="minorEastAsia"/>
              </w:rPr>
            </w:pPr>
            <w:r w:rsidRPr="0F6F53A2">
              <w:rPr>
                <w:rFonts w:eastAsiaTheme="minorEastAsia"/>
              </w:rPr>
              <w:t xml:space="preserve">Intervention </w:t>
            </w:r>
          </w:p>
        </w:tc>
        <w:tc>
          <w:tcPr>
            <w:tcW w:w="6391" w:type="dxa"/>
          </w:tcPr>
          <w:p w14:paraId="73A5EAEF" w14:textId="3766B00B" w:rsidR="00B97DAB" w:rsidRPr="00ED5143" w:rsidRDefault="339DA539" w:rsidP="1BDA4DA5">
            <w:pPr>
              <w:rPr>
                <w:rFonts w:eastAsiaTheme="minorEastAsia"/>
                <w:b/>
                <w:bCs/>
                <w:lang w:val="en-US"/>
              </w:rPr>
            </w:pPr>
            <w:r w:rsidRPr="669FC75C">
              <w:rPr>
                <w:rFonts w:eastAsiaTheme="minorEastAsia"/>
                <w:b/>
                <w:bCs/>
                <w:color w:val="000000" w:themeColor="text1"/>
              </w:rPr>
              <w:t xml:space="preserve">118. </w:t>
            </w:r>
            <w:proofErr w:type="spellStart"/>
            <w:r w:rsidR="63F0AB0D" w:rsidRPr="669FC75C">
              <w:rPr>
                <w:rFonts w:eastAsiaTheme="minorEastAsia"/>
                <w:b/>
                <w:bCs/>
                <w:color w:val="000000" w:themeColor="text1"/>
              </w:rPr>
              <w:t>Gastroelectrical</w:t>
            </w:r>
            <w:proofErr w:type="spellEnd"/>
            <w:r w:rsidR="63F0AB0D" w:rsidRPr="669FC75C">
              <w:rPr>
                <w:rFonts w:eastAsiaTheme="minorEastAsia"/>
                <w:b/>
                <w:bCs/>
                <w:color w:val="000000" w:themeColor="text1"/>
              </w:rPr>
              <w:t xml:space="preserve"> Stimulation (GES) / Gastro neuromodulation</w:t>
            </w:r>
          </w:p>
        </w:tc>
      </w:tr>
      <w:tr w:rsidR="00B97DAB" w14:paraId="004828E6" w14:textId="77777777" w:rsidTr="669FC75C">
        <w:trPr>
          <w:trHeight w:val="750"/>
        </w:trPr>
        <w:tc>
          <w:tcPr>
            <w:tcW w:w="2625" w:type="dxa"/>
          </w:tcPr>
          <w:p w14:paraId="194FC277" w14:textId="469D4455" w:rsidR="00B97DAB" w:rsidRDefault="00B97DAB" w:rsidP="0F6F53A2">
            <w:pPr>
              <w:rPr>
                <w:rFonts w:eastAsiaTheme="minorEastAsia"/>
              </w:rPr>
            </w:pPr>
            <w:r w:rsidRPr="0F6F53A2">
              <w:rPr>
                <w:rFonts w:eastAsiaTheme="minorEastAsia"/>
              </w:rPr>
              <w:t xml:space="preserve">For the treatment of </w:t>
            </w:r>
          </w:p>
        </w:tc>
        <w:tc>
          <w:tcPr>
            <w:tcW w:w="6391" w:type="dxa"/>
          </w:tcPr>
          <w:p w14:paraId="23E416B7" w14:textId="210801FA" w:rsidR="00656075" w:rsidRDefault="315A370F" w:rsidP="0F6F53A2">
            <w:pPr>
              <w:rPr>
                <w:rFonts w:eastAsiaTheme="minorEastAsia"/>
              </w:rPr>
            </w:pPr>
            <w:r w:rsidRPr="0F6F53A2">
              <w:rPr>
                <w:rFonts w:eastAsiaTheme="minorEastAsia"/>
              </w:rPr>
              <w:t>Drug refractory gastroparesis or persistent nausea and vomiting in the absence of a mechanical bowel obstruction.</w:t>
            </w:r>
          </w:p>
        </w:tc>
      </w:tr>
      <w:tr w:rsidR="00113D9B" w14:paraId="3D720573" w14:textId="77777777" w:rsidTr="669FC75C">
        <w:trPr>
          <w:trHeight w:val="1770"/>
        </w:trPr>
        <w:tc>
          <w:tcPr>
            <w:tcW w:w="2625" w:type="dxa"/>
          </w:tcPr>
          <w:p w14:paraId="6B55BECB" w14:textId="291589DB" w:rsidR="00113D9B" w:rsidRDefault="00113D9B" w:rsidP="0F6F53A2">
            <w:pPr>
              <w:rPr>
                <w:rFonts w:eastAsiaTheme="minorEastAsia"/>
              </w:rPr>
            </w:pPr>
            <w:r w:rsidRPr="0F6F53A2">
              <w:rPr>
                <w:rFonts w:eastAsiaTheme="minorEastAsia"/>
              </w:rPr>
              <w:t xml:space="preserve">Commissioning Position </w:t>
            </w:r>
          </w:p>
        </w:tc>
        <w:tc>
          <w:tcPr>
            <w:tcW w:w="6391" w:type="dxa"/>
          </w:tcPr>
          <w:p w14:paraId="53855746" w14:textId="30472718" w:rsidR="00177C4D" w:rsidRDefault="19777CD8" w:rsidP="1BDA4DA5">
            <w:pPr>
              <w:textAlignment w:val="baseline"/>
              <w:rPr>
                <w:rFonts w:eastAsiaTheme="minorEastAsia"/>
              </w:rPr>
            </w:pPr>
            <w:r w:rsidRPr="1BDA4DA5">
              <w:rPr>
                <w:rFonts w:eastAsiaTheme="minorEastAsia"/>
              </w:rPr>
              <w:t>This intervention is not routinely commissioned and therefore should not be offered to patients. Application for funding approval can be made, using the IFR process, by the clinician recommending the intervention, if their assessment is that there are exceptional reasons why their patient could benefit from it.</w:t>
            </w:r>
          </w:p>
        </w:tc>
      </w:tr>
      <w:tr w:rsidR="00113D9B" w14:paraId="2EEB5014" w14:textId="77777777" w:rsidTr="669FC75C">
        <w:trPr>
          <w:trHeight w:val="915"/>
        </w:trPr>
        <w:tc>
          <w:tcPr>
            <w:tcW w:w="2625" w:type="dxa"/>
          </w:tcPr>
          <w:p w14:paraId="31574E9B" w14:textId="509110BD" w:rsidR="00113D9B" w:rsidRDefault="00113D9B" w:rsidP="0F6F53A2">
            <w:pPr>
              <w:rPr>
                <w:rFonts w:eastAsiaTheme="minorEastAsia"/>
              </w:rPr>
            </w:pPr>
            <w:r w:rsidRPr="0F6F53A2">
              <w:rPr>
                <w:rFonts w:eastAsiaTheme="minorEastAsia"/>
              </w:rPr>
              <w:t>Summary of Rationale</w:t>
            </w:r>
          </w:p>
          <w:p w14:paraId="61460744" w14:textId="7D87783C" w:rsidR="00113D9B" w:rsidRDefault="00113D9B" w:rsidP="0F6F53A2">
            <w:pPr>
              <w:rPr>
                <w:rFonts w:eastAsiaTheme="minorEastAsia"/>
              </w:rPr>
            </w:pPr>
          </w:p>
        </w:tc>
        <w:tc>
          <w:tcPr>
            <w:tcW w:w="6391" w:type="dxa"/>
          </w:tcPr>
          <w:p w14:paraId="5691B576" w14:textId="1B6358AF" w:rsidR="00113D9B" w:rsidRDefault="278D65F4" w:rsidP="0F6F53A2">
            <w:pPr>
              <w:rPr>
                <w:rFonts w:eastAsiaTheme="minorEastAsia"/>
              </w:rPr>
            </w:pPr>
            <w:r w:rsidRPr="1BDA4DA5">
              <w:rPr>
                <w:rFonts w:eastAsiaTheme="minorEastAsia"/>
              </w:rPr>
              <w:t>The evidence of effectiveness is uncertain and only demonstrated in a small number of lower quality studies.</w:t>
            </w:r>
          </w:p>
        </w:tc>
      </w:tr>
      <w:tr w:rsidR="00113D9B" w14:paraId="45DC12DB" w14:textId="77777777" w:rsidTr="669FC75C">
        <w:trPr>
          <w:trHeight w:val="840"/>
        </w:trPr>
        <w:tc>
          <w:tcPr>
            <w:tcW w:w="2625" w:type="dxa"/>
          </w:tcPr>
          <w:p w14:paraId="5A47F1A1" w14:textId="4F582E47" w:rsidR="00113D9B" w:rsidRDefault="00113D9B" w:rsidP="0F6F53A2">
            <w:pPr>
              <w:rPr>
                <w:rFonts w:eastAsiaTheme="minorEastAsia"/>
              </w:rPr>
            </w:pPr>
            <w:r w:rsidRPr="0F6F53A2">
              <w:rPr>
                <w:rFonts w:eastAsiaTheme="minorEastAsia"/>
              </w:rPr>
              <w:t xml:space="preserve">References </w:t>
            </w:r>
          </w:p>
        </w:tc>
        <w:tc>
          <w:tcPr>
            <w:tcW w:w="6391" w:type="dxa"/>
          </w:tcPr>
          <w:p w14:paraId="41C55573" w14:textId="1CD37AB1" w:rsidR="00113D9B" w:rsidRPr="0039492D" w:rsidRDefault="3D35CBDA" w:rsidP="0F6F53A2">
            <w:pPr>
              <w:rPr>
                <w:rFonts w:eastAsiaTheme="minorEastAsia"/>
              </w:rPr>
            </w:pPr>
            <w:hyperlink r:id="rId10">
              <w:r w:rsidRPr="1BDA4DA5">
                <w:rPr>
                  <w:rStyle w:val="Hyperlink"/>
                  <w:rFonts w:eastAsiaTheme="minorEastAsia"/>
                </w:rPr>
                <w:t>GES medical policy manual</w:t>
              </w:r>
            </w:hyperlink>
          </w:p>
          <w:p w14:paraId="150D9A10" w14:textId="6B91B23F" w:rsidR="00113D9B" w:rsidRPr="0039492D" w:rsidRDefault="383ECCB8" w:rsidP="1BDA4DA5">
            <w:pPr>
              <w:rPr>
                <w:rFonts w:eastAsiaTheme="minorEastAsia"/>
              </w:rPr>
            </w:pPr>
            <w:hyperlink r:id="rId11">
              <w:r w:rsidRPr="1BDA4DA5">
                <w:rPr>
                  <w:rStyle w:val="Hyperlink"/>
                  <w:rFonts w:eastAsiaTheme="minorEastAsia"/>
                </w:rPr>
                <w:t>GES for gastroparesis policy statement (NHSE)</w:t>
              </w:r>
            </w:hyperlink>
          </w:p>
        </w:tc>
      </w:tr>
      <w:tr w:rsidR="00113D9B" w14:paraId="2F64E887" w14:textId="77777777" w:rsidTr="669FC75C">
        <w:tc>
          <w:tcPr>
            <w:tcW w:w="2625" w:type="dxa"/>
          </w:tcPr>
          <w:p w14:paraId="26CC3A7F" w14:textId="3F59DDFA" w:rsidR="00113D9B" w:rsidRDefault="00113D9B" w:rsidP="0F6F53A2">
            <w:pPr>
              <w:rPr>
                <w:rFonts w:eastAsiaTheme="minorEastAsia"/>
              </w:rPr>
            </w:pPr>
            <w:r w:rsidRPr="0F6F53A2">
              <w:rPr>
                <w:rFonts w:eastAsiaTheme="minorEastAsia"/>
              </w:rPr>
              <w:t>Effective from</w:t>
            </w:r>
          </w:p>
        </w:tc>
        <w:tc>
          <w:tcPr>
            <w:tcW w:w="6391" w:type="dxa"/>
          </w:tcPr>
          <w:p w14:paraId="03ECD2F0" w14:textId="10B8E02D" w:rsidR="00113D9B" w:rsidRDefault="00113D9B" w:rsidP="0F6F53A2">
            <w:pPr>
              <w:rPr>
                <w:rFonts w:eastAsiaTheme="minorEastAsia"/>
              </w:rPr>
            </w:pPr>
            <w:r w:rsidRPr="1BDA4DA5">
              <w:rPr>
                <w:rFonts w:eastAsiaTheme="minorEastAsia"/>
              </w:rPr>
              <w:t>J</w:t>
            </w:r>
            <w:r w:rsidR="4D4F6BB0" w:rsidRPr="1BDA4DA5">
              <w:rPr>
                <w:rFonts w:eastAsiaTheme="minorEastAsia"/>
              </w:rPr>
              <w:t>anuary</w:t>
            </w:r>
            <w:r w:rsidRPr="1BDA4DA5">
              <w:rPr>
                <w:rFonts w:eastAsiaTheme="minorEastAsia"/>
              </w:rPr>
              <w:t xml:space="preserve"> 202</w:t>
            </w:r>
            <w:r w:rsidR="03D2DF59" w:rsidRPr="1BDA4DA5">
              <w:rPr>
                <w:rFonts w:eastAsiaTheme="minorEastAsia"/>
              </w:rPr>
              <w:t>5</w:t>
            </w:r>
          </w:p>
        </w:tc>
      </w:tr>
      <w:tr w:rsidR="00113D9B" w14:paraId="2C1E1213" w14:textId="77777777" w:rsidTr="669FC75C">
        <w:tc>
          <w:tcPr>
            <w:tcW w:w="2625" w:type="dxa"/>
          </w:tcPr>
          <w:p w14:paraId="4D394461" w14:textId="4D85EBE7" w:rsidR="00113D9B" w:rsidRDefault="00113D9B" w:rsidP="0F6F53A2">
            <w:pPr>
              <w:rPr>
                <w:rFonts w:eastAsiaTheme="minorEastAsia"/>
              </w:rPr>
            </w:pPr>
            <w:r w:rsidRPr="0F6F53A2">
              <w:rPr>
                <w:rFonts w:eastAsiaTheme="minorEastAsia"/>
              </w:rPr>
              <w:t xml:space="preserve">Policy Review Date </w:t>
            </w:r>
          </w:p>
        </w:tc>
        <w:tc>
          <w:tcPr>
            <w:tcW w:w="6391" w:type="dxa"/>
          </w:tcPr>
          <w:p w14:paraId="29012611" w14:textId="7272F1BE" w:rsidR="00113D9B" w:rsidRDefault="00113D9B" w:rsidP="0F6F53A2">
            <w:pPr>
              <w:rPr>
                <w:rFonts w:eastAsiaTheme="minorEastAsia"/>
              </w:rPr>
            </w:pPr>
            <w:r w:rsidRPr="1BDA4DA5">
              <w:rPr>
                <w:rFonts w:eastAsiaTheme="minorEastAsia"/>
              </w:rPr>
              <w:t>J</w:t>
            </w:r>
            <w:r w:rsidR="2BB21A66" w:rsidRPr="1BDA4DA5">
              <w:rPr>
                <w:rFonts w:eastAsiaTheme="minorEastAsia"/>
              </w:rPr>
              <w:t>anuary</w:t>
            </w:r>
            <w:r w:rsidRPr="1BDA4DA5">
              <w:rPr>
                <w:rFonts w:eastAsiaTheme="minorEastAsia"/>
              </w:rPr>
              <w:t xml:space="preserve"> 202</w:t>
            </w:r>
            <w:r w:rsidR="62E059F8" w:rsidRPr="1BDA4DA5">
              <w:rPr>
                <w:rFonts w:eastAsiaTheme="minorEastAsia"/>
              </w:rPr>
              <w:t>8</w:t>
            </w:r>
          </w:p>
        </w:tc>
      </w:tr>
    </w:tbl>
    <w:p w14:paraId="18EDB3DD" w14:textId="77777777" w:rsidR="000E104F" w:rsidRDefault="000E104F"/>
    <w:sectPr w:rsidR="000E10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7FEB" w14:textId="77777777" w:rsidR="00C51B31" w:rsidRDefault="00C51B31">
      <w:pPr>
        <w:spacing w:after="0" w:line="240" w:lineRule="auto"/>
      </w:pPr>
      <w:r>
        <w:separator/>
      </w:r>
    </w:p>
  </w:endnote>
  <w:endnote w:type="continuationSeparator" w:id="0">
    <w:p w14:paraId="20813901" w14:textId="77777777" w:rsidR="00C51B31" w:rsidRDefault="00C5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244C" w14:textId="77777777" w:rsidR="00C51B31" w:rsidRDefault="00C51B31">
      <w:pPr>
        <w:spacing w:after="0" w:line="240" w:lineRule="auto"/>
      </w:pPr>
      <w:r>
        <w:separator/>
      </w:r>
    </w:p>
  </w:footnote>
  <w:footnote w:type="continuationSeparator" w:id="0">
    <w:p w14:paraId="07695738" w14:textId="77777777" w:rsidR="00C51B31" w:rsidRDefault="00C5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1"/>
  </w:num>
  <w:num w:numId="2" w16cid:durableId="1872303278">
    <w:abstractNumId w:val="10"/>
  </w:num>
  <w:num w:numId="3" w16cid:durableId="1147431926">
    <w:abstractNumId w:val="0"/>
  </w:num>
  <w:num w:numId="4" w16cid:durableId="890380511">
    <w:abstractNumId w:val="3"/>
  </w:num>
  <w:num w:numId="5" w16cid:durableId="1585725535">
    <w:abstractNumId w:val="9"/>
  </w:num>
  <w:num w:numId="6" w16cid:durableId="1128164145">
    <w:abstractNumId w:val="6"/>
  </w:num>
  <w:num w:numId="7" w16cid:durableId="1607155194">
    <w:abstractNumId w:val="8"/>
  </w:num>
  <w:num w:numId="8" w16cid:durableId="70854915">
    <w:abstractNumId w:val="2"/>
  </w:num>
  <w:num w:numId="9" w16cid:durableId="1686781628">
    <w:abstractNumId w:val="4"/>
  </w:num>
  <w:num w:numId="10" w16cid:durableId="1966278688">
    <w:abstractNumId w:val="5"/>
  </w:num>
  <w:num w:numId="11" w16cid:durableId="864752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C292B"/>
    <w:rsid w:val="005565A7"/>
    <w:rsid w:val="005820AB"/>
    <w:rsid w:val="005E3ADB"/>
    <w:rsid w:val="005F0F1D"/>
    <w:rsid w:val="00656075"/>
    <w:rsid w:val="0067059C"/>
    <w:rsid w:val="00702D52"/>
    <w:rsid w:val="007606C0"/>
    <w:rsid w:val="00784A20"/>
    <w:rsid w:val="007A1D76"/>
    <w:rsid w:val="0080365B"/>
    <w:rsid w:val="0086083A"/>
    <w:rsid w:val="0093C44A"/>
    <w:rsid w:val="00946B0C"/>
    <w:rsid w:val="009D48EB"/>
    <w:rsid w:val="00A21761"/>
    <w:rsid w:val="00A719FC"/>
    <w:rsid w:val="00AA38E1"/>
    <w:rsid w:val="00AE39A5"/>
    <w:rsid w:val="00B835D0"/>
    <w:rsid w:val="00B97DAB"/>
    <w:rsid w:val="00BC27F1"/>
    <w:rsid w:val="00C51B31"/>
    <w:rsid w:val="00C5358B"/>
    <w:rsid w:val="00C55041"/>
    <w:rsid w:val="00CD4590"/>
    <w:rsid w:val="00D81158"/>
    <w:rsid w:val="00DD4A29"/>
    <w:rsid w:val="00DF780D"/>
    <w:rsid w:val="00E17065"/>
    <w:rsid w:val="00E23A5B"/>
    <w:rsid w:val="00EB3CFA"/>
    <w:rsid w:val="00ED5143"/>
    <w:rsid w:val="00F012EF"/>
    <w:rsid w:val="00F9067A"/>
    <w:rsid w:val="00FF3EE2"/>
    <w:rsid w:val="00FF6EF3"/>
    <w:rsid w:val="018414F4"/>
    <w:rsid w:val="01A0723A"/>
    <w:rsid w:val="02B3C44F"/>
    <w:rsid w:val="02BCDE2B"/>
    <w:rsid w:val="031046DF"/>
    <w:rsid w:val="03D2DF59"/>
    <w:rsid w:val="0A02B48E"/>
    <w:rsid w:val="0B6A0C66"/>
    <w:rsid w:val="0DCB6B24"/>
    <w:rsid w:val="0E2289EC"/>
    <w:rsid w:val="0F6F53A2"/>
    <w:rsid w:val="0FB5482A"/>
    <w:rsid w:val="1300C9E1"/>
    <w:rsid w:val="13685818"/>
    <w:rsid w:val="1388B416"/>
    <w:rsid w:val="13F9C661"/>
    <w:rsid w:val="17AECED6"/>
    <w:rsid w:val="19777CD8"/>
    <w:rsid w:val="1AE79720"/>
    <w:rsid w:val="1BC662FA"/>
    <w:rsid w:val="1BDA4DA5"/>
    <w:rsid w:val="1C8B89BA"/>
    <w:rsid w:val="1D7BA3D8"/>
    <w:rsid w:val="1DD6F1EE"/>
    <w:rsid w:val="1DF0E17D"/>
    <w:rsid w:val="1F92CEBE"/>
    <w:rsid w:val="2267D09E"/>
    <w:rsid w:val="229E4C0C"/>
    <w:rsid w:val="236D715C"/>
    <w:rsid w:val="237966E0"/>
    <w:rsid w:val="24570A94"/>
    <w:rsid w:val="24D5FB3E"/>
    <w:rsid w:val="250B64B0"/>
    <w:rsid w:val="25C9FF3D"/>
    <w:rsid w:val="2676A7D0"/>
    <w:rsid w:val="278D65F4"/>
    <w:rsid w:val="29717CE5"/>
    <w:rsid w:val="2A602EEE"/>
    <w:rsid w:val="2A723FE4"/>
    <w:rsid w:val="2AE30BDD"/>
    <w:rsid w:val="2B9E4B41"/>
    <w:rsid w:val="2BB21A66"/>
    <w:rsid w:val="2BF356F9"/>
    <w:rsid w:val="2D4B8355"/>
    <w:rsid w:val="2F8273F4"/>
    <w:rsid w:val="30F21462"/>
    <w:rsid w:val="315A370F"/>
    <w:rsid w:val="3194BA9C"/>
    <w:rsid w:val="339DA539"/>
    <w:rsid w:val="34B68F6F"/>
    <w:rsid w:val="383ECCB8"/>
    <w:rsid w:val="389181A6"/>
    <w:rsid w:val="39BAF3F0"/>
    <w:rsid w:val="3A03AC17"/>
    <w:rsid w:val="3B526FD8"/>
    <w:rsid w:val="3C67D46F"/>
    <w:rsid w:val="3D35CBDA"/>
    <w:rsid w:val="3DD2678B"/>
    <w:rsid w:val="3E3A18A2"/>
    <w:rsid w:val="3F33F45F"/>
    <w:rsid w:val="3F49D7AA"/>
    <w:rsid w:val="3FF48BFB"/>
    <w:rsid w:val="441FF119"/>
    <w:rsid w:val="44709B3A"/>
    <w:rsid w:val="44DFFF9E"/>
    <w:rsid w:val="45497F20"/>
    <w:rsid w:val="455AA220"/>
    <w:rsid w:val="466E3267"/>
    <w:rsid w:val="492132F9"/>
    <w:rsid w:val="495C7032"/>
    <w:rsid w:val="4960F62E"/>
    <w:rsid w:val="4A04609C"/>
    <w:rsid w:val="4B1087BE"/>
    <w:rsid w:val="4BB1261F"/>
    <w:rsid w:val="4CADA413"/>
    <w:rsid w:val="4D1CD44E"/>
    <w:rsid w:val="4D4F6BB0"/>
    <w:rsid w:val="4D8DD7CD"/>
    <w:rsid w:val="4F9A594B"/>
    <w:rsid w:val="506D4E92"/>
    <w:rsid w:val="509D0A6E"/>
    <w:rsid w:val="50A0132D"/>
    <w:rsid w:val="518BE983"/>
    <w:rsid w:val="522AF6EB"/>
    <w:rsid w:val="52BAF039"/>
    <w:rsid w:val="56541B87"/>
    <w:rsid w:val="56FDB0F3"/>
    <w:rsid w:val="5889EC3A"/>
    <w:rsid w:val="5B7B4BF6"/>
    <w:rsid w:val="5D13724F"/>
    <w:rsid w:val="5D23953E"/>
    <w:rsid w:val="5EEF045C"/>
    <w:rsid w:val="618E33EE"/>
    <w:rsid w:val="62E059F8"/>
    <w:rsid w:val="62E581D5"/>
    <w:rsid w:val="63F0AB0D"/>
    <w:rsid w:val="6454475A"/>
    <w:rsid w:val="669FC75C"/>
    <w:rsid w:val="684015C6"/>
    <w:rsid w:val="6B712061"/>
    <w:rsid w:val="6E68DA70"/>
    <w:rsid w:val="72F30E7F"/>
    <w:rsid w:val="72FA37F0"/>
    <w:rsid w:val="74D5C9A6"/>
    <w:rsid w:val="77383A75"/>
    <w:rsid w:val="788B39B6"/>
    <w:rsid w:val="7939E72D"/>
    <w:rsid w:val="79BC8E83"/>
    <w:rsid w:val="7ADC5D01"/>
    <w:rsid w:val="7D588AA7"/>
    <w:rsid w:val="7E0A7EF1"/>
    <w:rsid w:val="7EACD05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wp-content/uploads/2018/07/Gastroelectrical-stimulation-for-gastroparesi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eonbrand.getbynder.com/m/1dbcdbb10a2e7024/original/Gastric-Electrical-Stimul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E2BB1-B746-425F-8753-9F82113632BA}">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1365388d-8e0b-4df5-a0a3-cd102b49988e"/>
    <ds:schemaRef ds:uri="f6a82410-35a1-48d9-a432-e298e5b95e46"/>
    <ds:schemaRef ds:uri="http://schemas.microsoft.com/sharepoint/v3"/>
    <ds:schemaRef ds:uri="http://purl.org/dc/terms/"/>
  </ds:schemaRefs>
</ds:datastoreItem>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4A207061-A3CA-4919-BB65-EDE116577BB4}"/>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Company>NHS</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2025-03-19T16:44:00Z</dcterms:created>
  <dcterms:modified xsi:type="dcterms:W3CDTF">2025-03-19T16:44:00Z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57400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