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550"/>
        <w:gridCol w:w="6466"/>
      </w:tblGrid>
      <w:tr w:rsidR="00B97DAB" w14:paraId="3F32C22B" w14:textId="77777777" w:rsidTr="1346E7C1">
        <w:tc>
          <w:tcPr>
            <w:tcW w:w="2550" w:type="dxa"/>
          </w:tcPr>
          <w:p w14:paraId="2137C5A4" w14:textId="11B48F23" w:rsidR="00B97DAB" w:rsidRDefault="00B97DAB">
            <w:r>
              <w:t xml:space="preserve">Intervention </w:t>
            </w:r>
          </w:p>
        </w:tc>
        <w:tc>
          <w:tcPr>
            <w:tcW w:w="6466" w:type="dxa"/>
          </w:tcPr>
          <w:p w14:paraId="73A5EAEF" w14:textId="2809A65B" w:rsidR="00B97DAB" w:rsidRPr="00ED5143" w:rsidRDefault="0F945870" w:rsidP="25C9FF3D">
            <w:pPr>
              <w:rPr>
                <w:b/>
                <w:bCs/>
                <w:lang w:val="en-US"/>
              </w:rPr>
            </w:pPr>
            <w:r w:rsidRPr="1346E7C1">
              <w:rPr>
                <w:b/>
                <w:bCs/>
                <w:lang w:val="en-US"/>
              </w:rPr>
              <w:t xml:space="preserve">124. </w:t>
            </w:r>
            <w:r w:rsidR="1B51AE03" w:rsidRPr="1346E7C1">
              <w:rPr>
                <w:b/>
                <w:bCs/>
                <w:lang w:val="en-US"/>
              </w:rPr>
              <w:t xml:space="preserve">Hip and Knee Replacement </w:t>
            </w:r>
          </w:p>
        </w:tc>
      </w:tr>
      <w:tr w:rsidR="00B97DAB" w14:paraId="004828E6" w14:textId="77777777" w:rsidTr="1346E7C1">
        <w:tc>
          <w:tcPr>
            <w:tcW w:w="2550" w:type="dxa"/>
          </w:tcPr>
          <w:p w14:paraId="194FC277" w14:textId="469D4455" w:rsidR="00B97DAB" w:rsidRDefault="00B97DAB">
            <w:r>
              <w:t xml:space="preserve">For the treatment of </w:t>
            </w:r>
          </w:p>
        </w:tc>
        <w:tc>
          <w:tcPr>
            <w:tcW w:w="6466" w:type="dxa"/>
          </w:tcPr>
          <w:p w14:paraId="23E416B7" w14:textId="5CD26AC9" w:rsidR="00656075" w:rsidRDefault="0F3D3480" w:rsidP="00330790">
            <w:r>
              <w:t>Hip and Knee</w:t>
            </w:r>
            <w:r w:rsidR="3F0B0DB7">
              <w:t xml:space="preserve"> intraarticular pathology</w:t>
            </w:r>
            <w:r>
              <w:t xml:space="preserve"> in patients aged over 16</w:t>
            </w:r>
          </w:p>
        </w:tc>
      </w:tr>
      <w:tr w:rsidR="00113D9B" w14:paraId="3D720573" w14:textId="77777777" w:rsidTr="1346E7C1">
        <w:trPr>
          <w:trHeight w:val="1380"/>
        </w:trPr>
        <w:tc>
          <w:tcPr>
            <w:tcW w:w="2550" w:type="dxa"/>
          </w:tcPr>
          <w:p w14:paraId="6B55BECB" w14:textId="291589DB" w:rsidR="00113D9B" w:rsidRDefault="00113D9B" w:rsidP="00113D9B">
            <w:r>
              <w:t xml:space="preserve">Commissioning Position </w:t>
            </w:r>
          </w:p>
        </w:tc>
        <w:tc>
          <w:tcPr>
            <w:tcW w:w="6466" w:type="dxa"/>
          </w:tcPr>
          <w:p w14:paraId="1FEB3DAF" w14:textId="1D916EED" w:rsidR="00177C4D" w:rsidRDefault="13641389" w:rsidP="026905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26905A1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Th</w:t>
            </w:r>
            <w:r w:rsidR="28EBBEAF" w:rsidRPr="026905A1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is intervention is commissioned</w:t>
            </w:r>
            <w:r w:rsidRPr="026905A1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if:</w:t>
            </w:r>
          </w:p>
          <w:p w14:paraId="006079AE" w14:textId="03428969" w:rsidR="00177C4D" w:rsidRDefault="26E43E41" w:rsidP="026905A1">
            <w:pPr>
              <w:pStyle w:val="ListParagraph"/>
              <w:numPr>
                <w:ilvl w:val="0"/>
                <w:numId w:val="3"/>
              </w:numPr>
              <w:rPr>
                <w:rFonts w:ascii="Roboto" w:eastAsia="Roboto" w:hAnsi="Roboto" w:cs="Roboto"/>
                <w:b/>
                <w:bCs/>
                <w:color w:val="0E0E0E"/>
              </w:rPr>
            </w:pPr>
            <w:r>
              <w:t xml:space="preserve">joint symptoms (such as pain, stiffness, reduced function or progressive joint deformity) are substantially impacting quality of life </w:t>
            </w:r>
            <w:r w:rsidR="3081C2B9">
              <w:t>AND</w:t>
            </w:r>
          </w:p>
          <w:p w14:paraId="01598346" w14:textId="356BA459" w:rsidR="00177C4D" w:rsidRDefault="6F7C669E" w:rsidP="026905A1">
            <w:pPr>
              <w:pStyle w:val="ListParagraph"/>
              <w:numPr>
                <w:ilvl w:val="0"/>
                <w:numId w:val="2"/>
              </w:numPr>
              <w:rPr>
                <w:rFonts w:ascii="Roboto" w:eastAsia="Roboto" w:hAnsi="Roboto" w:cs="Roboto"/>
                <w:color w:val="0E0E0E"/>
              </w:rPr>
            </w:pPr>
            <w:r>
              <w:t>n</w:t>
            </w:r>
            <w:r w:rsidR="26E43E41">
              <w:t>on-surgical management</w:t>
            </w:r>
            <w:r w:rsidR="2539E1B0">
              <w:t xml:space="preserve"> (therapeutic exercise, weight loss, pain relief) has been tried for </w:t>
            </w:r>
            <w:r w:rsidR="60ADFEB5">
              <w:t>up</w:t>
            </w:r>
            <w:r w:rsidR="4EBA4707">
              <w:t xml:space="preserve"> </w:t>
            </w:r>
            <w:r w:rsidR="60ADFEB5">
              <w:t>to</w:t>
            </w:r>
            <w:r w:rsidR="2539E1B0">
              <w:t xml:space="preserve"> 3 months </w:t>
            </w:r>
            <w:r w:rsidR="43E69FE7">
              <w:t xml:space="preserve">and </w:t>
            </w:r>
            <w:r w:rsidR="26E43E41">
              <w:t xml:space="preserve">is ineffective </w:t>
            </w:r>
            <w:r w:rsidR="004B17D2" w:rsidRPr="026905A1">
              <w:rPr>
                <w:b/>
                <w:bCs/>
                <w:u w:val="single"/>
              </w:rPr>
              <w:t>OR</w:t>
            </w:r>
            <w:r w:rsidR="26E43E41">
              <w:t xml:space="preserve"> </w:t>
            </w:r>
            <w:r w:rsidR="1C51CF5E">
              <w:t xml:space="preserve">is </w:t>
            </w:r>
            <w:r w:rsidR="26E43E41">
              <w:t>unsuitable</w:t>
            </w:r>
            <w:r w:rsidR="14E57B92">
              <w:t xml:space="preserve"> to try</w:t>
            </w:r>
            <w:r w:rsidR="41A5F0F1">
              <w:t xml:space="preserve"> </w:t>
            </w:r>
            <w:r w:rsidR="496563FD">
              <w:t>AND</w:t>
            </w:r>
          </w:p>
          <w:p w14:paraId="475C4089" w14:textId="25FC8560" w:rsidR="00177C4D" w:rsidRDefault="643AE5A1" w:rsidP="1377DEC0">
            <w:pPr>
              <w:pStyle w:val="ListParagraph"/>
              <w:numPr>
                <w:ilvl w:val="0"/>
                <w:numId w:val="1"/>
              </w:numPr>
              <w:rPr>
                <w:rFonts w:ascii="Roboto" w:eastAsia="Roboto" w:hAnsi="Roboto" w:cs="Roboto"/>
                <w:color w:val="0E0E0E"/>
              </w:rPr>
            </w:pPr>
            <w:r>
              <w:t>l</w:t>
            </w:r>
            <w:r w:rsidR="4343D51E">
              <w:t xml:space="preserve">ocal </w:t>
            </w:r>
            <w:r w:rsidR="57C42EA3">
              <w:t>p</w:t>
            </w:r>
            <w:r w:rsidR="4343D51E">
              <w:t xml:space="preserve">athways are used for referral </w:t>
            </w:r>
          </w:p>
          <w:p w14:paraId="78C810DF" w14:textId="23663CFE" w:rsidR="00177C4D" w:rsidRDefault="00177C4D" w:rsidP="1377DEC0"/>
          <w:p w14:paraId="53855746" w14:textId="01C587A3" w:rsidR="00177C4D" w:rsidRDefault="43B9DABA" w:rsidP="026905A1">
            <w:pPr>
              <w:textAlignment w:val="baseline"/>
              <w:rPr>
                <w:rStyle w:val="normaltextrun"/>
                <w:rFonts w:ascii="Calibri" w:hAnsi="Calibri" w:cs="Calibri"/>
                <w:color w:val="000000" w:themeColor="text1"/>
              </w:rPr>
            </w:pPr>
            <w:r>
              <w:t>This policy excludes Hip</w:t>
            </w:r>
            <w:r w:rsidR="6A75DD39">
              <w:t xml:space="preserve">/ knee </w:t>
            </w:r>
            <w:r>
              <w:t>replacements required due to acute trauma or cancer.</w:t>
            </w:r>
          </w:p>
        </w:tc>
      </w:tr>
      <w:tr w:rsidR="00113D9B" w14:paraId="2EEB5014" w14:textId="77777777" w:rsidTr="1346E7C1">
        <w:tc>
          <w:tcPr>
            <w:tcW w:w="2550" w:type="dxa"/>
          </w:tcPr>
          <w:p w14:paraId="31574E9B" w14:textId="509110BD" w:rsidR="00113D9B" w:rsidRDefault="00113D9B" w:rsidP="00113D9B">
            <w:r>
              <w:t>Summary of Rationale</w:t>
            </w:r>
          </w:p>
          <w:p w14:paraId="61460744" w14:textId="7D87783C" w:rsidR="00113D9B" w:rsidRDefault="00113D9B" w:rsidP="00113D9B"/>
        </w:tc>
        <w:tc>
          <w:tcPr>
            <w:tcW w:w="6466" w:type="dxa"/>
          </w:tcPr>
          <w:p w14:paraId="532B7929" w14:textId="1C9FCA79" w:rsidR="7956FDE7" w:rsidRDefault="7956FDE7" w:rsidP="1B163D51">
            <w:pPr>
              <w:rPr>
                <w:rFonts w:ascii="Calibri" w:eastAsia="Calibri" w:hAnsi="Calibri" w:cs="Calibri"/>
              </w:rPr>
            </w:pPr>
            <w:r w:rsidRPr="1B163D51">
              <w:rPr>
                <w:rFonts w:ascii="Calibri" w:eastAsia="Calibri" w:hAnsi="Calibri" w:cs="Calibri"/>
              </w:rPr>
              <w:t xml:space="preserve">People should </w:t>
            </w:r>
            <w:r w:rsidR="03AAD8A8" w:rsidRPr="1B163D51">
              <w:rPr>
                <w:rFonts w:ascii="Calibri" w:eastAsia="Calibri" w:hAnsi="Calibri" w:cs="Calibri"/>
              </w:rPr>
              <w:t xml:space="preserve">be counselled that </w:t>
            </w:r>
            <w:r w:rsidRPr="1B163D51">
              <w:rPr>
                <w:rFonts w:ascii="Calibri" w:eastAsia="Calibri" w:hAnsi="Calibri" w:cs="Calibri"/>
              </w:rPr>
              <w:t>age, sex or gender, smoking, comorbidities or overweight or obesity, based on measurements such as body mass index (BMI)</w:t>
            </w:r>
            <w:r w:rsidR="090E194C" w:rsidRPr="1B163D51">
              <w:rPr>
                <w:rFonts w:ascii="Calibri" w:eastAsia="Calibri" w:hAnsi="Calibri" w:cs="Calibri"/>
              </w:rPr>
              <w:t xml:space="preserve"> </w:t>
            </w:r>
            <w:r w:rsidR="055157DD" w:rsidRPr="1B163D51">
              <w:rPr>
                <w:rFonts w:ascii="Calibri" w:eastAsia="Calibri" w:hAnsi="Calibri" w:cs="Calibri"/>
              </w:rPr>
              <w:t>can affect the</w:t>
            </w:r>
            <w:r w:rsidR="319D13A2" w:rsidRPr="1B163D51">
              <w:rPr>
                <w:rFonts w:ascii="Calibri" w:eastAsia="Calibri" w:hAnsi="Calibri" w:cs="Calibri"/>
              </w:rPr>
              <w:t xml:space="preserve"> </w:t>
            </w:r>
            <w:r w:rsidR="090E194C" w:rsidRPr="1B163D51">
              <w:rPr>
                <w:rFonts w:ascii="Calibri" w:eastAsia="Calibri" w:hAnsi="Calibri" w:cs="Calibri"/>
              </w:rPr>
              <w:t>risks</w:t>
            </w:r>
            <w:r w:rsidR="68F867CD" w:rsidRPr="1B163D51">
              <w:rPr>
                <w:rFonts w:ascii="Calibri" w:eastAsia="Calibri" w:hAnsi="Calibri" w:cs="Calibri"/>
              </w:rPr>
              <w:t xml:space="preserve"> of replacement surgery</w:t>
            </w:r>
            <w:r w:rsidR="6B1EDA12" w:rsidRPr="1B163D51">
              <w:rPr>
                <w:rFonts w:ascii="Calibri" w:eastAsia="Calibri" w:hAnsi="Calibri" w:cs="Calibri"/>
              </w:rPr>
              <w:t xml:space="preserve"> but should</w:t>
            </w:r>
            <w:r w:rsidR="49E7163B" w:rsidRPr="1B163D51">
              <w:rPr>
                <w:rFonts w:ascii="Calibri" w:eastAsia="Calibri" w:hAnsi="Calibri" w:cs="Calibri"/>
              </w:rPr>
              <w:t xml:space="preserve"> not be excluded from consideration for joint replacement because </w:t>
            </w:r>
            <w:r w:rsidR="252598FE" w:rsidRPr="1B163D51">
              <w:rPr>
                <w:rFonts w:ascii="Calibri" w:eastAsia="Calibri" w:hAnsi="Calibri" w:cs="Calibri"/>
              </w:rPr>
              <w:t>of these factors.</w:t>
            </w:r>
          </w:p>
          <w:p w14:paraId="100524BA" w14:textId="1CDD212D" w:rsidR="026905A1" w:rsidRDefault="026905A1" w:rsidP="026905A1">
            <w:pPr>
              <w:rPr>
                <w:rFonts w:ascii="Calibri" w:eastAsia="Calibri" w:hAnsi="Calibri" w:cs="Calibri"/>
              </w:rPr>
            </w:pPr>
          </w:p>
          <w:p w14:paraId="5B9506C8" w14:textId="434DECC3" w:rsidR="00113D9B" w:rsidRDefault="4999F008" w:rsidP="1377DEC0">
            <w:r w:rsidRPr="1B163D51">
              <w:rPr>
                <w:rFonts w:ascii="Calibri" w:eastAsia="Calibri" w:hAnsi="Calibri" w:cs="Calibri"/>
              </w:rPr>
              <w:t xml:space="preserve">Osteoarthritis may not be </w:t>
            </w:r>
            <w:r w:rsidR="29671FDA" w:rsidRPr="1B163D51">
              <w:rPr>
                <w:rFonts w:ascii="Calibri" w:eastAsia="Calibri" w:hAnsi="Calibri" w:cs="Calibri"/>
              </w:rPr>
              <w:t>progressive,</w:t>
            </w:r>
            <w:r w:rsidRPr="1B163D51">
              <w:rPr>
                <w:rFonts w:ascii="Calibri" w:eastAsia="Calibri" w:hAnsi="Calibri" w:cs="Calibri"/>
              </w:rPr>
              <w:t xml:space="preserve"> and most patients will not need surgery, with their symptoms adequately controlled by non-surgical measures as outlined by NICE. When patient’s symptoms are not controlled by up to 3 months of non-operative treatment they become candidates for assessment for joint surgery. A decision to have joint surgery should account for pre-operative levels of symptoms, capacity to benefit, expectation of the outcome and attitude to the risks involved, as well as any personal preferences.</w:t>
            </w:r>
          </w:p>
          <w:p w14:paraId="7E71B07D" w14:textId="77F89272" w:rsidR="00113D9B" w:rsidRDefault="00113D9B" w:rsidP="1B163D51">
            <w:pPr>
              <w:rPr>
                <w:rFonts w:ascii="Calibri" w:eastAsia="Calibri" w:hAnsi="Calibri" w:cs="Calibri"/>
              </w:rPr>
            </w:pPr>
          </w:p>
          <w:p w14:paraId="5691B576" w14:textId="148B36D3" w:rsidR="00113D9B" w:rsidRDefault="58521FFD" w:rsidP="1B163D51">
            <w:pPr>
              <w:rPr>
                <w:rFonts w:ascii="Calibri" w:eastAsia="Calibri" w:hAnsi="Calibri" w:cs="Calibri"/>
              </w:rPr>
            </w:pPr>
            <w:r w:rsidRPr="1B163D51">
              <w:rPr>
                <w:rFonts w:ascii="Calibri" w:eastAsia="Calibri" w:hAnsi="Calibri" w:cs="Calibri"/>
              </w:rPr>
              <w:t>A patient decision support tool may help some people.</w:t>
            </w:r>
          </w:p>
        </w:tc>
      </w:tr>
      <w:tr w:rsidR="00113D9B" w14:paraId="45DC12DB" w14:textId="77777777" w:rsidTr="1346E7C1">
        <w:tc>
          <w:tcPr>
            <w:tcW w:w="2550" w:type="dxa"/>
          </w:tcPr>
          <w:p w14:paraId="5A47F1A1" w14:textId="4F582E47" w:rsidR="00113D9B" w:rsidRDefault="00113D9B" w:rsidP="00113D9B">
            <w:r>
              <w:t xml:space="preserve">References </w:t>
            </w:r>
          </w:p>
        </w:tc>
        <w:tc>
          <w:tcPr>
            <w:tcW w:w="6466" w:type="dxa"/>
          </w:tcPr>
          <w:p w14:paraId="3918F738" w14:textId="591EDAAB" w:rsidR="00113D9B" w:rsidRPr="0039492D" w:rsidRDefault="033C59E4" w:rsidP="1377DEC0">
            <w:pPr>
              <w:rPr>
                <w:rFonts w:ascii="Calibri" w:eastAsia="Calibri" w:hAnsi="Calibri" w:cs="Calibri"/>
              </w:rPr>
            </w:pPr>
            <w:hyperlink r:id="rId10" w:anchor="referral-for-joint-replacement">
              <w:r w:rsidRPr="1B163D51">
                <w:rPr>
                  <w:rStyle w:val="Hyperlink"/>
                  <w:rFonts w:ascii="Calibri" w:eastAsia="Calibri" w:hAnsi="Calibri" w:cs="Calibri"/>
                </w:rPr>
                <w:t>N</w:t>
              </w:r>
              <w:r w:rsidR="4F8E4AEB" w:rsidRPr="1B163D51">
                <w:rPr>
                  <w:rStyle w:val="Hyperlink"/>
                  <w:rFonts w:ascii="Calibri" w:eastAsia="Calibri" w:hAnsi="Calibri" w:cs="Calibri"/>
                </w:rPr>
                <w:t xml:space="preserve">G226 </w:t>
              </w:r>
              <w:r w:rsidR="62D31B23" w:rsidRPr="1B163D51">
                <w:rPr>
                  <w:rStyle w:val="Hyperlink"/>
                  <w:rFonts w:ascii="Calibri" w:eastAsia="Calibri" w:hAnsi="Calibri" w:cs="Calibri"/>
                </w:rPr>
                <w:t>Recommendations - referral for joint replacement</w:t>
              </w:r>
              <w:r w:rsidR="4F8E4AEB" w:rsidRPr="1B163D51">
                <w:rPr>
                  <w:rStyle w:val="Hyperlink"/>
                  <w:rFonts w:ascii="Calibri" w:eastAsia="Calibri" w:hAnsi="Calibri" w:cs="Calibri"/>
                </w:rPr>
                <w:t xml:space="preserve"> (NICE)</w:t>
              </w:r>
            </w:hyperlink>
          </w:p>
          <w:p w14:paraId="6BE58B03" w14:textId="112B394C" w:rsidR="00113D9B" w:rsidRPr="0039492D" w:rsidRDefault="4F8E4AEB" w:rsidP="1377DEC0">
            <w:pPr>
              <w:rPr>
                <w:rFonts w:ascii="Calibri" w:eastAsia="Calibri" w:hAnsi="Calibri" w:cs="Calibri"/>
              </w:rPr>
            </w:pPr>
            <w:hyperlink r:id="rId11">
              <w:r w:rsidRPr="1B163D51">
                <w:rPr>
                  <w:rStyle w:val="Hyperlink"/>
                  <w:rFonts w:ascii="Calibri" w:eastAsia="Calibri" w:hAnsi="Calibri" w:cs="Calibri"/>
                </w:rPr>
                <w:t>Painful Osteoarthritis of knee (BOA)</w:t>
              </w:r>
            </w:hyperlink>
          </w:p>
          <w:p w14:paraId="1D5F1FF5" w14:textId="60948409" w:rsidR="00113D9B" w:rsidRPr="0039492D" w:rsidRDefault="4F8E4AEB" w:rsidP="1B163D51">
            <w:pPr>
              <w:rPr>
                <w:rFonts w:ascii="Calibri" w:eastAsia="Calibri" w:hAnsi="Calibri" w:cs="Calibri"/>
              </w:rPr>
            </w:pPr>
            <w:hyperlink r:id="rId12">
              <w:r w:rsidRPr="1B163D51">
                <w:rPr>
                  <w:rStyle w:val="Hyperlink"/>
                  <w:rFonts w:ascii="Calibri" w:eastAsia="Calibri" w:hAnsi="Calibri" w:cs="Calibri"/>
                </w:rPr>
                <w:t>Knee and Hip Replacement Pathway (GIRFT)</w:t>
              </w:r>
            </w:hyperlink>
          </w:p>
          <w:p w14:paraId="150D9A10" w14:textId="4BB23538" w:rsidR="00113D9B" w:rsidRPr="0039492D" w:rsidRDefault="71444F0C" w:rsidP="1B163D51">
            <w:pPr>
              <w:rPr>
                <w:rFonts w:ascii="Calibri" w:eastAsia="Calibri" w:hAnsi="Calibri" w:cs="Calibri"/>
              </w:rPr>
            </w:pPr>
            <w:hyperlink r:id="rId13">
              <w:r w:rsidRPr="1B163D51">
                <w:rPr>
                  <w:rStyle w:val="Hyperlink"/>
                  <w:rFonts w:ascii="Calibri" w:eastAsia="Calibri" w:hAnsi="Calibri" w:cs="Calibri"/>
                </w:rPr>
                <w:t>Patient Decision Support Tool for Joint Replacement (National Joint Registry)</w:t>
              </w:r>
            </w:hyperlink>
          </w:p>
        </w:tc>
      </w:tr>
      <w:tr w:rsidR="00113D9B" w14:paraId="2F64E887" w14:textId="77777777" w:rsidTr="1346E7C1">
        <w:tc>
          <w:tcPr>
            <w:tcW w:w="2550" w:type="dxa"/>
          </w:tcPr>
          <w:p w14:paraId="26CC3A7F" w14:textId="3F59DDFA" w:rsidR="00113D9B" w:rsidRDefault="00113D9B" w:rsidP="00113D9B">
            <w:r>
              <w:t>Effective from</w:t>
            </w:r>
          </w:p>
        </w:tc>
        <w:tc>
          <w:tcPr>
            <w:tcW w:w="6466" w:type="dxa"/>
          </w:tcPr>
          <w:p w14:paraId="03ECD2F0" w14:textId="6386626D" w:rsidR="00113D9B" w:rsidRDefault="00113D9B" w:rsidP="00113D9B">
            <w:r>
              <w:t>J</w:t>
            </w:r>
            <w:r w:rsidR="5F6A4B37">
              <w:t>anuary</w:t>
            </w:r>
            <w:r>
              <w:t xml:space="preserve"> 202</w:t>
            </w:r>
            <w:r w:rsidR="6967E71A">
              <w:t>5</w:t>
            </w:r>
          </w:p>
        </w:tc>
      </w:tr>
      <w:tr w:rsidR="00113D9B" w14:paraId="2C1E1213" w14:textId="77777777" w:rsidTr="1346E7C1">
        <w:tc>
          <w:tcPr>
            <w:tcW w:w="2550" w:type="dxa"/>
          </w:tcPr>
          <w:p w14:paraId="4D394461" w14:textId="4D85EBE7" w:rsidR="00113D9B" w:rsidRDefault="00113D9B" w:rsidP="00113D9B">
            <w:r>
              <w:t xml:space="preserve">Policy Review Date </w:t>
            </w:r>
          </w:p>
        </w:tc>
        <w:tc>
          <w:tcPr>
            <w:tcW w:w="6466" w:type="dxa"/>
          </w:tcPr>
          <w:p w14:paraId="29012611" w14:textId="62F91CED" w:rsidR="00113D9B" w:rsidRDefault="00113D9B" w:rsidP="00113D9B">
            <w:r>
              <w:t>J</w:t>
            </w:r>
            <w:r w:rsidR="03006696">
              <w:t>anuary</w:t>
            </w:r>
            <w:r>
              <w:t xml:space="preserve"> 202</w:t>
            </w:r>
            <w:r w:rsidR="0AABF750">
              <w:t>8</w:t>
            </w:r>
          </w:p>
        </w:tc>
      </w:tr>
    </w:tbl>
    <w:p w14:paraId="18EDB3DD" w14:textId="77777777" w:rsidR="000E104F" w:rsidRDefault="000E104F"/>
    <w:sectPr w:rsidR="000E104F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BD52C" w14:textId="77777777" w:rsidR="0073008D" w:rsidRDefault="0073008D">
      <w:pPr>
        <w:spacing w:after="0" w:line="240" w:lineRule="auto"/>
      </w:pPr>
      <w:r>
        <w:separator/>
      </w:r>
    </w:p>
  </w:endnote>
  <w:endnote w:type="continuationSeparator" w:id="0">
    <w:p w14:paraId="1F06E0CC" w14:textId="77777777" w:rsidR="0073008D" w:rsidRDefault="0073008D">
      <w:pPr>
        <w:spacing w:after="0" w:line="240" w:lineRule="auto"/>
      </w:pPr>
      <w:r>
        <w:continuationSeparator/>
      </w:r>
    </w:p>
  </w:endnote>
  <w:endnote w:type="continuationNotice" w:id="1">
    <w:p w14:paraId="754CA3C2" w14:textId="77777777" w:rsidR="0073008D" w:rsidRDefault="007300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E0A7EF1" w14:paraId="4ECC4AA6" w14:textId="77777777" w:rsidTr="7E0A7EF1">
      <w:trPr>
        <w:trHeight w:val="300"/>
      </w:trPr>
      <w:tc>
        <w:tcPr>
          <w:tcW w:w="3005" w:type="dxa"/>
        </w:tcPr>
        <w:p w14:paraId="46E12BB5" w14:textId="15E9803C" w:rsidR="7E0A7EF1" w:rsidRDefault="7E0A7EF1" w:rsidP="7E0A7EF1">
          <w:pPr>
            <w:pStyle w:val="Header"/>
            <w:ind w:left="-115"/>
          </w:pPr>
        </w:p>
      </w:tc>
      <w:tc>
        <w:tcPr>
          <w:tcW w:w="3005" w:type="dxa"/>
        </w:tcPr>
        <w:p w14:paraId="6FDC0DF0" w14:textId="15E5D3F0" w:rsidR="7E0A7EF1" w:rsidRDefault="7E0A7EF1" w:rsidP="7E0A7EF1">
          <w:pPr>
            <w:pStyle w:val="Header"/>
            <w:jc w:val="center"/>
          </w:pPr>
        </w:p>
      </w:tc>
      <w:tc>
        <w:tcPr>
          <w:tcW w:w="3005" w:type="dxa"/>
        </w:tcPr>
        <w:p w14:paraId="0B0EF700" w14:textId="5D85FE91" w:rsidR="7E0A7EF1" w:rsidRDefault="7E0A7EF1" w:rsidP="7E0A7EF1">
          <w:pPr>
            <w:pStyle w:val="Header"/>
            <w:ind w:right="-115"/>
            <w:jc w:val="right"/>
          </w:pPr>
        </w:p>
      </w:tc>
    </w:tr>
  </w:tbl>
  <w:p w14:paraId="4A8E2A0F" w14:textId="0AF419A2" w:rsidR="7E0A7EF1" w:rsidRDefault="7E0A7EF1" w:rsidP="7E0A7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BC2C4" w14:textId="77777777" w:rsidR="0073008D" w:rsidRDefault="0073008D">
      <w:pPr>
        <w:spacing w:after="0" w:line="240" w:lineRule="auto"/>
      </w:pPr>
      <w:r>
        <w:separator/>
      </w:r>
    </w:p>
  </w:footnote>
  <w:footnote w:type="continuationSeparator" w:id="0">
    <w:p w14:paraId="269A0165" w14:textId="77777777" w:rsidR="0073008D" w:rsidRDefault="0073008D">
      <w:pPr>
        <w:spacing w:after="0" w:line="240" w:lineRule="auto"/>
      </w:pPr>
      <w:r>
        <w:continuationSeparator/>
      </w:r>
    </w:p>
  </w:footnote>
  <w:footnote w:type="continuationNotice" w:id="1">
    <w:p w14:paraId="5C054BF5" w14:textId="77777777" w:rsidR="0073008D" w:rsidRDefault="007300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DCDC9" w14:textId="127291D3" w:rsidR="7E0A7EF1" w:rsidRDefault="7E0A7EF1" w:rsidP="7E0A7EF1">
    <w:pPr>
      <w:pStyle w:val="Header"/>
    </w:pPr>
    <w:r>
      <w:rPr>
        <w:noProof/>
      </w:rPr>
      <w:drawing>
        <wp:inline distT="0" distB="0" distL="0" distR="0" wp14:anchorId="78DC3094" wp14:editId="05170533">
          <wp:extent cx="2905125" cy="552450"/>
          <wp:effectExtent l="0" t="0" r="0" b="0"/>
          <wp:docPr id="192037157" name="Picture 192037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7C2E40D" wp14:editId="78B61C03">
          <wp:extent cx="1581150" cy="838200"/>
          <wp:effectExtent l="0" t="0" r="0" b="0"/>
          <wp:docPr id="401433085" name="Picture 401433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pvZB7MKQ7i+4f" int2:id="CED87Hc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81C8"/>
    <w:multiLevelType w:val="hybridMultilevel"/>
    <w:tmpl w:val="A71667F0"/>
    <w:lvl w:ilvl="0" w:tplc="CC7C6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249D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E65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72B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1C59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84E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4AA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C5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A07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237DC"/>
    <w:multiLevelType w:val="hybridMultilevel"/>
    <w:tmpl w:val="81E262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ADCC2"/>
    <w:multiLevelType w:val="hybridMultilevel"/>
    <w:tmpl w:val="BD282952"/>
    <w:lvl w:ilvl="0" w:tplc="9E500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805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E8A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A7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62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9AA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AE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28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9C0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5A02F"/>
    <w:multiLevelType w:val="hybridMultilevel"/>
    <w:tmpl w:val="B29A5B6E"/>
    <w:lvl w:ilvl="0" w:tplc="0AEC8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42D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3C5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27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B4DB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DA9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E3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5C1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9E4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D22AB"/>
    <w:multiLevelType w:val="hybridMultilevel"/>
    <w:tmpl w:val="49A6BF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8A1966"/>
    <w:multiLevelType w:val="hybridMultilevel"/>
    <w:tmpl w:val="6732880C"/>
    <w:lvl w:ilvl="0" w:tplc="71F07238">
      <w:start w:val="5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5CA42D"/>
    <w:multiLevelType w:val="hybridMultilevel"/>
    <w:tmpl w:val="F536E340"/>
    <w:lvl w:ilvl="0" w:tplc="A3D47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2A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C1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48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E4EE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7AD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4F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C4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C2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661D1"/>
    <w:multiLevelType w:val="hybridMultilevel"/>
    <w:tmpl w:val="D2D004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914B13"/>
    <w:multiLevelType w:val="multilevel"/>
    <w:tmpl w:val="AC16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046FE6"/>
    <w:multiLevelType w:val="hybridMultilevel"/>
    <w:tmpl w:val="61CAF2A8"/>
    <w:lvl w:ilvl="0" w:tplc="F752D0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E9EE0"/>
    <w:multiLevelType w:val="hybridMultilevel"/>
    <w:tmpl w:val="E87A3384"/>
    <w:lvl w:ilvl="0" w:tplc="D4FA2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45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881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90A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3CC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5E0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D8F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A5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149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45BC1"/>
    <w:multiLevelType w:val="hybridMultilevel"/>
    <w:tmpl w:val="73226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F7A1A"/>
    <w:multiLevelType w:val="hybridMultilevel"/>
    <w:tmpl w:val="F446C3C2"/>
    <w:lvl w:ilvl="0" w:tplc="DAA235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F5418F"/>
    <w:multiLevelType w:val="hybridMultilevel"/>
    <w:tmpl w:val="28D03698"/>
    <w:lvl w:ilvl="0" w:tplc="57FA7C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2BEEF"/>
    <w:multiLevelType w:val="hybridMultilevel"/>
    <w:tmpl w:val="271E0974"/>
    <w:lvl w:ilvl="0" w:tplc="F8D6C83E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82AC9F12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6F665B0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9E663658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4D788DEA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B2585A46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8F3C9D82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D4EDD98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C64C01B4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5" w15:restartNumberingAfterBreak="0">
    <w:nsid w:val="75361061"/>
    <w:multiLevelType w:val="hybridMultilevel"/>
    <w:tmpl w:val="589257E0"/>
    <w:lvl w:ilvl="0" w:tplc="91F4B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A409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3C92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202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DAFD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964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D81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C5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107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201F5"/>
    <w:multiLevelType w:val="hybridMultilevel"/>
    <w:tmpl w:val="2EA82C80"/>
    <w:lvl w:ilvl="0" w:tplc="32D46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130806">
    <w:abstractNumId w:val="3"/>
  </w:num>
  <w:num w:numId="2" w16cid:durableId="1310020204">
    <w:abstractNumId w:val="0"/>
  </w:num>
  <w:num w:numId="3" w16cid:durableId="2013949292">
    <w:abstractNumId w:val="10"/>
  </w:num>
  <w:num w:numId="4" w16cid:durableId="893731665">
    <w:abstractNumId w:val="6"/>
  </w:num>
  <w:num w:numId="5" w16cid:durableId="1950818487">
    <w:abstractNumId w:val="14"/>
  </w:num>
  <w:num w:numId="6" w16cid:durableId="647053404">
    <w:abstractNumId w:val="15"/>
  </w:num>
  <w:num w:numId="7" w16cid:durableId="1733386344">
    <w:abstractNumId w:val="2"/>
  </w:num>
  <w:num w:numId="8" w16cid:durableId="1872303278">
    <w:abstractNumId w:val="16"/>
  </w:num>
  <w:num w:numId="9" w16cid:durableId="1147431926">
    <w:abstractNumId w:val="1"/>
  </w:num>
  <w:num w:numId="10" w16cid:durableId="890380511">
    <w:abstractNumId w:val="5"/>
  </w:num>
  <w:num w:numId="11" w16cid:durableId="1585725535">
    <w:abstractNumId w:val="13"/>
  </w:num>
  <w:num w:numId="12" w16cid:durableId="1128164145">
    <w:abstractNumId w:val="9"/>
  </w:num>
  <w:num w:numId="13" w16cid:durableId="1607155194">
    <w:abstractNumId w:val="12"/>
  </w:num>
  <w:num w:numId="14" w16cid:durableId="70854915">
    <w:abstractNumId w:val="4"/>
  </w:num>
  <w:num w:numId="15" w16cid:durableId="1686781628">
    <w:abstractNumId w:val="7"/>
  </w:num>
  <w:num w:numId="16" w16cid:durableId="1966278688">
    <w:abstractNumId w:val="8"/>
  </w:num>
  <w:num w:numId="17" w16cid:durableId="8647526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AB"/>
    <w:rsid w:val="000132FD"/>
    <w:rsid w:val="000E104F"/>
    <w:rsid w:val="00113D9B"/>
    <w:rsid w:val="0012047D"/>
    <w:rsid w:val="00123D8B"/>
    <w:rsid w:val="00150422"/>
    <w:rsid w:val="001530E8"/>
    <w:rsid w:val="00177C4D"/>
    <w:rsid w:val="001816E6"/>
    <w:rsid w:val="00292179"/>
    <w:rsid w:val="002D97A4"/>
    <w:rsid w:val="00315AA0"/>
    <w:rsid w:val="00330790"/>
    <w:rsid w:val="0039492D"/>
    <w:rsid w:val="00394A31"/>
    <w:rsid w:val="003D8FD7"/>
    <w:rsid w:val="00427F8E"/>
    <w:rsid w:val="00470189"/>
    <w:rsid w:val="00496FC2"/>
    <w:rsid w:val="004B17D2"/>
    <w:rsid w:val="004C292B"/>
    <w:rsid w:val="005565A7"/>
    <w:rsid w:val="005820AB"/>
    <w:rsid w:val="005B5503"/>
    <w:rsid w:val="005C19E5"/>
    <w:rsid w:val="005E3ADB"/>
    <w:rsid w:val="005F0F1D"/>
    <w:rsid w:val="00656075"/>
    <w:rsid w:val="006A1DC3"/>
    <w:rsid w:val="00702D52"/>
    <w:rsid w:val="0073008D"/>
    <w:rsid w:val="007606C0"/>
    <w:rsid w:val="00784A20"/>
    <w:rsid w:val="007A1D76"/>
    <w:rsid w:val="007F3302"/>
    <w:rsid w:val="0080365B"/>
    <w:rsid w:val="00805019"/>
    <w:rsid w:val="0086083A"/>
    <w:rsid w:val="008E5B98"/>
    <w:rsid w:val="00911BE3"/>
    <w:rsid w:val="0093C44A"/>
    <w:rsid w:val="00946B0C"/>
    <w:rsid w:val="00964C47"/>
    <w:rsid w:val="009D48EB"/>
    <w:rsid w:val="009F6598"/>
    <w:rsid w:val="00A21761"/>
    <w:rsid w:val="00A4116E"/>
    <w:rsid w:val="00A51972"/>
    <w:rsid w:val="00A719FC"/>
    <w:rsid w:val="00AA1464"/>
    <w:rsid w:val="00AA38E1"/>
    <w:rsid w:val="00AE39A5"/>
    <w:rsid w:val="00B2441F"/>
    <w:rsid w:val="00B57ED0"/>
    <w:rsid w:val="00B835D0"/>
    <w:rsid w:val="00B97DAB"/>
    <w:rsid w:val="00BC27F1"/>
    <w:rsid w:val="00C5358B"/>
    <w:rsid w:val="00C55041"/>
    <w:rsid w:val="00C66BDB"/>
    <w:rsid w:val="00CC3553"/>
    <w:rsid w:val="00D81158"/>
    <w:rsid w:val="00D81B9A"/>
    <w:rsid w:val="00DD4A29"/>
    <w:rsid w:val="00E17065"/>
    <w:rsid w:val="00E231B9"/>
    <w:rsid w:val="00E23A5B"/>
    <w:rsid w:val="00EA6D65"/>
    <w:rsid w:val="00EB3CFA"/>
    <w:rsid w:val="00ED5143"/>
    <w:rsid w:val="00EE189F"/>
    <w:rsid w:val="00F012EF"/>
    <w:rsid w:val="00F353AA"/>
    <w:rsid w:val="00F41D9D"/>
    <w:rsid w:val="00F51AF4"/>
    <w:rsid w:val="00F61305"/>
    <w:rsid w:val="00F9067A"/>
    <w:rsid w:val="00FA37E4"/>
    <w:rsid w:val="00FF3EE2"/>
    <w:rsid w:val="00FF6EF3"/>
    <w:rsid w:val="01A0723A"/>
    <w:rsid w:val="01F7CDAC"/>
    <w:rsid w:val="026905A1"/>
    <w:rsid w:val="02B3C44F"/>
    <w:rsid w:val="02BCDE2B"/>
    <w:rsid w:val="03006696"/>
    <w:rsid w:val="031046DF"/>
    <w:rsid w:val="033C59E4"/>
    <w:rsid w:val="03AAD8A8"/>
    <w:rsid w:val="0416B92B"/>
    <w:rsid w:val="0530FEDF"/>
    <w:rsid w:val="055157DD"/>
    <w:rsid w:val="073ABDD3"/>
    <w:rsid w:val="090E194C"/>
    <w:rsid w:val="0AABF750"/>
    <w:rsid w:val="0AD5A556"/>
    <w:rsid w:val="0B6A0C66"/>
    <w:rsid w:val="0C1961BD"/>
    <w:rsid w:val="0D412E5C"/>
    <w:rsid w:val="0DCB6B24"/>
    <w:rsid w:val="0E2289EC"/>
    <w:rsid w:val="0E2B6740"/>
    <w:rsid w:val="0F3D3480"/>
    <w:rsid w:val="0F945870"/>
    <w:rsid w:val="0FB5482A"/>
    <w:rsid w:val="1092FFAE"/>
    <w:rsid w:val="10D5289B"/>
    <w:rsid w:val="1300C9E1"/>
    <w:rsid w:val="1346E7C1"/>
    <w:rsid w:val="13641389"/>
    <w:rsid w:val="13685818"/>
    <w:rsid w:val="1377DEC0"/>
    <w:rsid w:val="1400463E"/>
    <w:rsid w:val="14E57B92"/>
    <w:rsid w:val="14F4BD7D"/>
    <w:rsid w:val="17AECED6"/>
    <w:rsid w:val="1B163D51"/>
    <w:rsid w:val="1B51AE03"/>
    <w:rsid w:val="1BC662FA"/>
    <w:rsid w:val="1BCDF607"/>
    <w:rsid w:val="1BD4BE8D"/>
    <w:rsid w:val="1C51CF5E"/>
    <w:rsid w:val="1C8B89BA"/>
    <w:rsid w:val="1D7BA3D8"/>
    <w:rsid w:val="1DD6F1EE"/>
    <w:rsid w:val="1DF0E17D"/>
    <w:rsid w:val="1EF75475"/>
    <w:rsid w:val="1F92CEBE"/>
    <w:rsid w:val="20FF8CAE"/>
    <w:rsid w:val="229E4C0C"/>
    <w:rsid w:val="236D715C"/>
    <w:rsid w:val="237966E0"/>
    <w:rsid w:val="24570A94"/>
    <w:rsid w:val="24882AA6"/>
    <w:rsid w:val="249FB1FB"/>
    <w:rsid w:val="24D5FB3E"/>
    <w:rsid w:val="252598FE"/>
    <w:rsid w:val="2539E1B0"/>
    <w:rsid w:val="25C9FF3D"/>
    <w:rsid w:val="25E93B3A"/>
    <w:rsid w:val="268B46D0"/>
    <w:rsid w:val="26E43E41"/>
    <w:rsid w:val="26F699FE"/>
    <w:rsid w:val="28677F91"/>
    <w:rsid w:val="28EBBEAF"/>
    <w:rsid w:val="29671FDA"/>
    <w:rsid w:val="297C9BAD"/>
    <w:rsid w:val="2A167C41"/>
    <w:rsid w:val="2A602EEE"/>
    <w:rsid w:val="2A723FE4"/>
    <w:rsid w:val="2B9E4B41"/>
    <w:rsid w:val="2BF356F9"/>
    <w:rsid w:val="2D1EAAB0"/>
    <w:rsid w:val="3081C2B9"/>
    <w:rsid w:val="31224A07"/>
    <w:rsid w:val="3194BA9C"/>
    <w:rsid w:val="319D13A2"/>
    <w:rsid w:val="34B68F6F"/>
    <w:rsid w:val="389181A6"/>
    <w:rsid w:val="39BAF3F0"/>
    <w:rsid w:val="3A03AC17"/>
    <w:rsid w:val="3B526FD8"/>
    <w:rsid w:val="3C6AC5B0"/>
    <w:rsid w:val="3DD2678B"/>
    <w:rsid w:val="3F0B0DB7"/>
    <w:rsid w:val="3F2CB3CA"/>
    <w:rsid w:val="3F49D7AA"/>
    <w:rsid w:val="3FF48BFB"/>
    <w:rsid w:val="41A5F0F1"/>
    <w:rsid w:val="42EC5F96"/>
    <w:rsid w:val="4343D51E"/>
    <w:rsid w:val="43B9DABA"/>
    <w:rsid w:val="43E69FE7"/>
    <w:rsid w:val="441FF119"/>
    <w:rsid w:val="44709B3A"/>
    <w:rsid w:val="44DFFF9E"/>
    <w:rsid w:val="45497F20"/>
    <w:rsid w:val="455AA220"/>
    <w:rsid w:val="458BE6F3"/>
    <w:rsid w:val="466E3267"/>
    <w:rsid w:val="46D55233"/>
    <w:rsid w:val="483B6DD0"/>
    <w:rsid w:val="492132F9"/>
    <w:rsid w:val="4960F62E"/>
    <w:rsid w:val="496563FD"/>
    <w:rsid w:val="4999F008"/>
    <w:rsid w:val="49E7163B"/>
    <w:rsid w:val="4A4A54EC"/>
    <w:rsid w:val="4CADA413"/>
    <w:rsid w:val="4D8DD7CD"/>
    <w:rsid w:val="4E3AE420"/>
    <w:rsid w:val="4EBA4707"/>
    <w:rsid w:val="4F70E791"/>
    <w:rsid w:val="4F8E4AEB"/>
    <w:rsid w:val="4F9A594B"/>
    <w:rsid w:val="506D4E92"/>
    <w:rsid w:val="509D0A6E"/>
    <w:rsid w:val="50A0132D"/>
    <w:rsid w:val="518BE983"/>
    <w:rsid w:val="520CE9DC"/>
    <w:rsid w:val="522AF6EB"/>
    <w:rsid w:val="52BAF039"/>
    <w:rsid w:val="56541B87"/>
    <w:rsid w:val="56FDB0F3"/>
    <w:rsid w:val="57C42EA3"/>
    <w:rsid w:val="58521FFD"/>
    <w:rsid w:val="5876C95B"/>
    <w:rsid w:val="5889EC3A"/>
    <w:rsid w:val="58DACE0B"/>
    <w:rsid w:val="5B7B4BF6"/>
    <w:rsid w:val="5D23953E"/>
    <w:rsid w:val="5E114826"/>
    <w:rsid w:val="5EEF045C"/>
    <w:rsid w:val="5F45232F"/>
    <w:rsid w:val="5F6A4B37"/>
    <w:rsid w:val="60ADFEB5"/>
    <w:rsid w:val="618E33EE"/>
    <w:rsid w:val="62D31B23"/>
    <w:rsid w:val="62E581D5"/>
    <w:rsid w:val="62EEC1E2"/>
    <w:rsid w:val="643AE5A1"/>
    <w:rsid w:val="6454475A"/>
    <w:rsid w:val="6630974A"/>
    <w:rsid w:val="67EC4221"/>
    <w:rsid w:val="684015C6"/>
    <w:rsid w:val="68A5039D"/>
    <w:rsid w:val="68F867CD"/>
    <w:rsid w:val="6967E71A"/>
    <w:rsid w:val="6A75DD39"/>
    <w:rsid w:val="6A9EE845"/>
    <w:rsid w:val="6B1EDA12"/>
    <w:rsid w:val="6B712061"/>
    <w:rsid w:val="6F7C669E"/>
    <w:rsid w:val="6FF27CF5"/>
    <w:rsid w:val="71149329"/>
    <w:rsid w:val="71444F0C"/>
    <w:rsid w:val="720F0242"/>
    <w:rsid w:val="72F30E7F"/>
    <w:rsid w:val="72FA37F0"/>
    <w:rsid w:val="7449F282"/>
    <w:rsid w:val="74D5C9A6"/>
    <w:rsid w:val="77383A75"/>
    <w:rsid w:val="788B39B6"/>
    <w:rsid w:val="7890406F"/>
    <w:rsid w:val="7956FDE7"/>
    <w:rsid w:val="79BC8E83"/>
    <w:rsid w:val="7ADC5D01"/>
    <w:rsid w:val="7D588AA7"/>
    <w:rsid w:val="7D613DCB"/>
    <w:rsid w:val="7D8A8A21"/>
    <w:rsid w:val="7E0A7EF1"/>
    <w:rsid w:val="7F3030AF"/>
    <w:rsid w:val="7F6C614E"/>
    <w:rsid w:val="7FFA8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3799D"/>
  <w15:chartTrackingRefBased/>
  <w15:docId w15:val="{4D2F7FC2-9156-4BC6-85EA-E092509D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DA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A1D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1D7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1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1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19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9FC"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Normal"/>
    <w:rsid w:val="00582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5820AB"/>
  </w:style>
  <w:style w:type="character" w:customStyle="1" w:styleId="eop">
    <w:name w:val="eop"/>
    <w:basedOn w:val="DefaultParagraphFont"/>
    <w:rsid w:val="00582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jointcalc.shef.ac.uk/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ettingitrightfirsttime.co.uk/wp-content/uploads/2020/08/GIRFT-Hip-and-Knee-replacement-pathway-May-2020-003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oa.ac.uk/static/f1bb6329-2d48-4221-9abd2c32c5731061/painful%20oa%20knee%20guide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nice.org.uk/guidance/ng226/chapter/Recommendat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f3a27a0-5bd1-4826-8a06-13af7378a15a">
      <Terms xmlns="http://schemas.microsoft.com/office/infopath/2007/PartnerControls"/>
    </lcf76f155ced4ddcb4097134ff3c332f>
    <TaxCatchAll xmlns="f3067cdb-6540-48a2-9007-7587a8c1b0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C4934F7B0CB64FB712635246851451" ma:contentTypeVersion="14" ma:contentTypeDescription="Create a new document." ma:contentTypeScope="" ma:versionID="c9425648ac719d32d7dec3fe6dedc87b">
  <xsd:schema xmlns:xsd="http://www.w3.org/2001/XMLSchema" xmlns:xs="http://www.w3.org/2001/XMLSchema" xmlns:p="http://schemas.microsoft.com/office/2006/metadata/properties" xmlns:ns1="http://schemas.microsoft.com/sharepoint/v3" xmlns:ns2="5f3a27a0-5bd1-4826-8a06-13af7378a15a" xmlns:ns3="f3067cdb-6540-48a2-9007-7587a8c1b009" targetNamespace="http://schemas.microsoft.com/office/2006/metadata/properties" ma:root="true" ma:fieldsID="12f5ce4f5736c4bba1e66b482f48bbfd" ns1:_="" ns2:_="" ns3:_="">
    <xsd:import namespace="http://schemas.microsoft.com/sharepoint/v3"/>
    <xsd:import namespace="5f3a27a0-5bd1-4826-8a06-13af7378a15a"/>
    <xsd:import namespace="f3067cdb-6540-48a2-9007-7587a8c1b0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a27a0-5bd1-4826-8a06-13af7378a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67cdb-6540-48a2-9007-7587a8c1b0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226a901-8310-4a0f-879f-ab13f29bf486}" ma:internalName="TaxCatchAll" ma:showField="CatchAllData" ma:web="f3067cdb-6540-48a2-9007-7587a8c1b0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5E2BB1-B746-425F-8753-9F82113632BA}">
  <ds:schemaRefs>
    <ds:schemaRef ds:uri="http://purl.org/dc/dcmitype/"/>
    <ds:schemaRef ds:uri="http://schemas.microsoft.com/office/2006/metadata/properties"/>
    <ds:schemaRef ds:uri="f6a82410-35a1-48d9-a432-e298e5b95e46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365388d-8e0b-4df5-a0a3-cd102b49988e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97AE7AE-D9DE-43A3-B394-0014B380D123}"/>
</file>

<file path=customXml/itemProps3.xml><?xml version="1.0" encoding="utf-8"?>
<ds:datastoreItem xmlns:ds="http://schemas.openxmlformats.org/officeDocument/2006/customXml" ds:itemID="{DFBBD2CD-97AF-407D-915F-1CD1CD696BF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Company>NHS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SPALDING, Anne (THE ROXTON PRACTICE)</dc:creator>
  <cp:keywords/>
  <dc:description/>
  <cp:lastModifiedBy>BLACK, Rebecca (NHS HUMBER AND NORTH YORKSHIRE ICB - 02Y)</cp:lastModifiedBy>
  <cp:revision>2</cp:revision>
  <dcterms:created xsi:type="dcterms:W3CDTF">2025-03-19T16:45:00Z</dcterms:created>
  <dcterms:modified xsi:type="dcterms:W3CDTF">2025-03-19T16:45:00Z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0x0101008DC4934F7B0CB64FB712635246851451</vt:lpwstr>
  </property>
  <property fmtid="{D5CDD505-2E9C-101B-9397-08002B2CF9AE}" pid="3" name="MediaServiceImageTags">
    <vt:lpwstr/>
  </property>
  <property fmtid="{D5CDD505-2E9C-101B-9397-08002B2CF9AE}" pid="4" name="Order">
    <vt:r8>56300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TemplateUrl">
    <vt:lpwstr/>
  </property>
</Properties>
</file>