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016" w:type="dxa"/>
        <w:tblLook w:val="04A0" w:firstRow="1" w:lastRow="0" w:firstColumn="1" w:lastColumn="0" w:noHBand="0" w:noVBand="1"/>
      </w:tblPr>
      <w:tblGrid>
        <w:gridCol w:w="2655"/>
        <w:gridCol w:w="6361"/>
      </w:tblGrid>
      <w:tr w:rsidR="00B97DAB" w14:paraId="3F32C22B" w14:textId="77777777" w:rsidTr="4C124F2E">
        <w:tc>
          <w:tcPr>
            <w:tcW w:w="2655" w:type="dxa"/>
          </w:tcPr>
          <w:p w14:paraId="2137C5A4" w14:textId="11B48F23" w:rsidR="00B97DAB" w:rsidRDefault="00B97DAB">
            <w:r>
              <w:t xml:space="preserve">Intervention </w:t>
            </w:r>
          </w:p>
        </w:tc>
        <w:tc>
          <w:tcPr>
            <w:tcW w:w="6361" w:type="dxa"/>
          </w:tcPr>
          <w:p w14:paraId="73A5EAEF" w14:textId="0E9C682D" w:rsidR="00B97DAB" w:rsidRPr="00ED5143" w:rsidRDefault="00604124" w:rsidP="25C9FF3D">
            <w:pPr>
              <w:rPr>
                <w:b/>
                <w:bCs/>
                <w:lang w:val="en-US"/>
              </w:rPr>
            </w:pPr>
            <w:r>
              <w:rPr>
                <w:b/>
                <w:bCs/>
                <w:lang w:val="en-US"/>
              </w:rPr>
              <w:t xml:space="preserve">126. </w:t>
            </w:r>
            <w:r w:rsidR="7E6AF93C" w:rsidRPr="559F1D54">
              <w:rPr>
                <w:b/>
                <w:bCs/>
                <w:lang w:val="en-US"/>
              </w:rPr>
              <w:t>Arthrosco</w:t>
            </w:r>
            <w:r w:rsidR="62E3078A" w:rsidRPr="559F1D54">
              <w:rPr>
                <w:b/>
                <w:bCs/>
                <w:lang w:val="en-US"/>
              </w:rPr>
              <w:t>pic</w:t>
            </w:r>
            <w:r w:rsidR="7E6AF93C" w:rsidRPr="559F1D54">
              <w:rPr>
                <w:b/>
                <w:bCs/>
                <w:lang w:val="en-US"/>
              </w:rPr>
              <w:t xml:space="preserve"> Lavage and Debridement</w:t>
            </w:r>
          </w:p>
        </w:tc>
      </w:tr>
      <w:tr w:rsidR="00B97DAB" w14:paraId="004828E6" w14:textId="77777777" w:rsidTr="4C124F2E">
        <w:tc>
          <w:tcPr>
            <w:tcW w:w="2655" w:type="dxa"/>
          </w:tcPr>
          <w:p w14:paraId="194FC277" w14:textId="469D4455" w:rsidR="00B97DAB" w:rsidRDefault="00B97DAB">
            <w:r>
              <w:t xml:space="preserve">For the treatment of </w:t>
            </w:r>
          </w:p>
        </w:tc>
        <w:tc>
          <w:tcPr>
            <w:tcW w:w="6361" w:type="dxa"/>
          </w:tcPr>
          <w:p w14:paraId="23E416B7" w14:textId="4C07E55C" w:rsidR="00656075" w:rsidRDefault="32535982" w:rsidP="00330790">
            <w:r>
              <w:t xml:space="preserve">Osteoarthritis of the knee </w:t>
            </w:r>
          </w:p>
        </w:tc>
      </w:tr>
      <w:tr w:rsidR="00113D9B" w14:paraId="3D720573" w14:textId="77777777" w:rsidTr="4C124F2E">
        <w:tc>
          <w:tcPr>
            <w:tcW w:w="2655" w:type="dxa"/>
          </w:tcPr>
          <w:p w14:paraId="6B55BECB" w14:textId="291589DB" w:rsidR="00113D9B" w:rsidRDefault="00113D9B" w:rsidP="00113D9B">
            <w:r>
              <w:t xml:space="preserve">Commissioning Position </w:t>
            </w:r>
          </w:p>
        </w:tc>
        <w:tc>
          <w:tcPr>
            <w:tcW w:w="6361" w:type="dxa"/>
          </w:tcPr>
          <w:p w14:paraId="7085464A" w14:textId="6AFBC255" w:rsidR="00177C4D" w:rsidRDefault="08EFDF0C" w:rsidP="4C124F2E">
            <w:pPr>
              <w:textAlignment w:val="baseline"/>
              <w:rPr>
                <w:rFonts w:ascii="Calibri" w:eastAsia="Calibri" w:hAnsi="Calibri" w:cs="Calibri"/>
              </w:rPr>
            </w:pPr>
            <w:r>
              <w:t xml:space="preserve">Arthroscopic knee washout (lavage and debridement) is not commissioned as a treatment for osteoarthritis </w:t>
            </w:r>
            <w:r w:rsidRPr="4C124F2E">
              <w:rPr>
                <w:rFonts w:ascii="Calibri" w:eastAsia="Calibri" w:hAnsi="Calibri" w:cs="Calibri"/>
                <w:color w:val="000000" w:themeColor="text1"/>
              </w:rPr>
              <w:t>and therefore should not be routinely offered to patients. Application for funding approval can be made, using the IFR process, by the clinician recommending the intervention, if their assessment is that there are exceptional reasons why their patient could benefit from it.</w:t>
            </w:r>
          </w:p>
          <w:p w14:paraId="0E45E01B" w14:textId="77FF4D97" w:rsidR="00177C4D" w:rsidRDefault="00177C4D" w:rsidP="4C124F2E">
            <w:pPr>
              <w:textAlignment w:val="baseline"/>
            </w:pPr>
          </w:p>
          <w:p w14:paraId="53855746" w14:textId="65216CAC" w:rsidR="00177C4D" w:rsidRDefault="4434D515" w:rsidP="4C124F2E">
            <w:pPr>
              <w:pStyle w:val="paragraph"/>
              <w:spacing w:before="0" w:beforeAutospacing="0" w:after="0" w:afterAutospacing="0"/>
              <w:textAlignment w:val="baseline"/>
              <w:rPr>
                <w:rStyle w:val="normaltextrun"/>
                <w:rFonts w:ascii="Calibri" w:hAnsi="Calibri" w:cs="Calibri"/>
                <w:color w:val="000000" w:themeColor="text1"/>
                <w:sz w:val="22"/>
                <w:szCs w:val="22"/>
              </w:rPr>
            </w:pPr>
            <w:r w:rsidRPr="4C124F2E">
              <w:rPr>
                <w:rStyle w:val="normaltextrun"/>
                <w:rFonts w:ascii="Calibri" w:hAnsi="Calibri" w:cs="Calibri"/>
                <w:color w:val="000000" w:themeColor="text1"/>
                <w:sz w:val="22"/>
                <w:szCs w:val="22"/>
              </w:rPr>
              <w:t xml:space="preserve">This </w:t>
            </w:r>
            <w:r w:rsidR="3EF6F1E5" w:rsidRPr="4C124F2E">
              <w:rPr>
                <w:rStyle w:val="normaltextrun"/>
                <w:rFonts w:ascii="Calibri" w:hAnsi="Calibri" w:cs="Calibri"/>
                <w:color w:val="000000" w:themeColor="text1"/>
                <w:sz w:val="22"/>
                <w:szCs w:val="22"/>
              </w:rPr>
              <w:t>policy does not exclude the use of arthroscopy</w:t>
            </w:r>
            <w:r w:rsidRPr="4C124F2E">
              <w:rPr>
                <w:rStyle w:val="normaltextrun"/>
                <w:rFonts w:ascii="Calibri" w:hAnsi="Calibri" w:cs="Calibri"/>
                <w:color w:val="000000" w:themeColor="text1"/>
                <w:sz w:val="22"/>
                <w:szCs w:val="22"/>
              </w:rPr>
              <w:t xml:space="preserve"> if there is a clear history of mechanical locking</w:t>
            </w:r>
            <w:r w:rsidR="2DB5BE43" w:rsidRPr="4C124F2E">
              <w:rPr>
                <w:rStyle w:val="normaltextrun"/>
                <w:rFonts w:ascii="Calibri" w:hAnsi="Calibri" w:cs="Calibri"/>
                <w:color w:val="000000" w:themeColor="text1"/>
                <w:sz w:val="22"/>
                <w:szCs w:val="22"/>
              </w:rPr>
              <w:t>, which is commissioned and does not require prior approval.</w:t>
            </w:r>
          </w:p>
        </w:tc>
      </w:tr>
      <w:tr w:rsidR="00113D9B" w14:paraId="2EEB5014" w14:textId="77777777" w:rsidTr="4C124F2E">
        <w:tc>
          <w:tcPr>
            <w:tcW w:w="2655" w:type="dxa"/>
          </w:tcPr>
          <w:p w14:paraId="31574E9B" w14:textId="509110BD" w:rsidR="00113D9B" w:rsidRDefault="00113D9B" w:rsidP="00113D9B">
            <w:r>
              <w:t>Summary of Rationale</w:t>
            </w:r>
          </w:p>
          <w:p w14:paraId="61460744" w14:textId="7D87783C" w:rsidR="00113D9B" w:rsidRDefault="00113D9B" w:rsidP="00113D9B"/>
        </w:tc>
        <w:tc>
          <w:tcPr>
            <w:tcW w:w="6361" w:type="dxa"/>
          </w:tcPr>
          <w:p w14:paraId="3EC21358" w14:textId="7D75D9E9" w:rsidR="00113D9B" w:rsidRDefault="6721B93D" w:rsidP="559F1D54">
            <w:pPr>
              <w:rPr>
                <w:rFonts w:ascii="Calibri" w:eastAsia="Calibri" w:hAnsi="Calibri" w:cs="Calibri"/>
              </w:rPr>
            </w:pPr>
            <w:r>
              <w:t>NICE has reviewed the evidence for how well knee washout works for people with osteoarthritis. Seven clinical trials and three case studies have shown that knee wash out for people with osteoarthritis did not reduce pain nor improve how well their knees worked. There was a small increased risk of bleeding inside the knee joint (</w:t>
            </w:r>
            <w:proofErr w:type="spellStart"/>
            <w:r>
              <w:t>haemarthrosis</w:t>
            </w:r>
            <w:proofErr w:type="spellEnd"/>
            <w:r>
              <w:t>) (2%) or blood clot in the leg (deep vein thrombosis) (0.5%).</w:t>
            </w:r>
          </w:p>
          <w:p w14:paraId="46B76393" w14:textId="02020996" w:rsidR="4C124F2E" w:rsidRDefault="4C124F2E"/>
          <w:p w14:paraId="5691B576" w14:textId="5C2F0A85" w:rsidR="00113D9B" w:rsidRDefault="07BCC3F3" w:rsidP="559F1D54">
            <w:r>
              <w:t>More effective treatment includes exercise programmes (e.g. ESCAPE pain), losing weight (if necessary) and managing pain. Osteoarthritis is relatively common in older age groups. Where symptoms do not resolve after non- operative treatment, referral for consideration of knee replacement, or joint preserving surgery such as osteotomy is appropriate.</w:t>
            </w:r>
          </w:p>
        </w:tc>
      </w:tr>
      <w:tr w:rsidR="00113D9B" w14:paraId="45DC12DB" w14:textId="77777777" w:rsidTr="4C124F2E">
        <w:tc>
          <w:tcPr>
            <w:tcW w:w="2655" w:type="dxa"/>
          </w:tcPr>
          <w:p w14:paraId="5A47F1A1" w14:textId="4F582E47" w:rsidR="00113D9B" w:rsidRDefault="00113D9B" w:rsidP="00113D9B">
            <w:r>
              <w:t xml:space="preserve">References </w:t>
            </w:r>
          </w:p>
        </w:tc>
        <w:tc>
          <w:tcPr>
            <w:tcW w:w="6361" w:type="dxa"/>
          </w:tcPr>
          <w:p w14:paraId="59E56432" w14:textId="4DECA1A9" w:rsidR="00113D9B" w:rsidRPr="0039492D" w:rsidRDefault="696E6980" w:rsidP="559F1D54">
            <w:pPr>
              <w:rPr>
                <w:rFonts w:ascii="Calibri" w:eastAsia="Calibri" w:hAnsi="Calibri" w:cs="Calibri"/>
              </w:rPr>
            </w:pPr>
            <w:hyperlink r:id="rId10" w:anchor="arthroscopic-procedures">
              <w:r w:rsidRPr="4C124F2E">
                <w:rPr>
                  <w:rStyle w:val="Hyperlink"/>
                  <w:rFonts w:ascii="Calibri" w:eastAsia="Calibri" w:hAnsi="Calibri" w:cs="Calibri"/>
                </w:rPr>
                <w:t>N</w:t>
              </w:r>
              <w:r w:rsidR="7D973E2C" w:rsidRPr="4C124F2E">
                <w:rPr>
                  <w:rStyle w:val="Hyperlink"/>
                  <w:rFonts w:ascii="Calibri" w:eastAsia="Calibri" w:hAnsi="Calibri" w:cs="Calibri"/>
                </w:rPr>
                <w:t>G226 Recommendations - Arthroscopic procedures (NICE)</w:t>
              </w:r>
            </w:hyperlink>
          </w:p>
          <w:p w14:paraId="52DD8ED6" w14:textId="2AFB9D77" w:rsidR="00113D9B" w:rsidRPr="0039492D" w:rsidRDefault="2F172517" w:rsidP="559F1D54">
            <w:pPr>
              <w:rPr>
                <w:rFonts w:ascii="Calibri" w:eastAsia="Calibri" w:hAnsi="Calibri" w:cs="Calibri"/>
              </w:rPr>
            </w:pPr>
            <w:hyperlink r:id="rId11">
              <w:r w:rsidRPr="4C124F2E">
                <w:rPr>
                  <w:rStyle w:val="Hyperlink"/>
                  <w:rFonts w:ascii="Calibri" w:eastAsia="Calibri" w:hAnsi="Calibri" w:cs="Calibri"/>
                </w:rPr>
                <w:t>IPG230 Arthroscopic knee washout, with or without debridement, for the treatment of osteoarthritis (NICE)</w:t>
              </w:r>
            </w:hyperlink>
          </w:p>
          <w:p w14:paraId="150D9A10" w14:textId="601BB9E0" w:rsidR="00113D9B" w:rsidRPr="0039492D" w:rsidRDefault="6FB05E3B" w:rsidP="25C9FF3D">
            <w:pPr>
              <w:rPr>
                <w:rFonts w:ascii="Calibri" w:eastAsia="Calibri" w:hAnsi="Calibri" w:cs="Calibri"/>
              </w:rPr>
            </w:pPr>
            <w:hyperlink r:id="rId12">
              <w:r w:rsidRPr="4C124F2E">
                <w:rPr>
                  <w:rStyle w:val="Hyperlink"/>
                  <w:rFonts w:ascii="Calibri" w:eastAsia="Calibri" w:hAnsi="Calibri" w:cs="Calibri"/>
                </w:rPr>
                <w:t>EBI</w:t>
              </w:r>
              <w:r w:rsidR="07B08D20" w:rsidRPr="4C124F2E">
                <w:rPr>
                  <w:rStyle w:val="Hyperlink"/>
                  <w:rFonts w:ascii="Calibri" w:eastAsia="Calibri" w:hAnsi="Calibri" w:cs="Calibri"/>
                </w:rPr>
                <w:t xml:space="preserve"> Knee arthroscopy for patients with osteoarthritis (AOMRC)</w:t>
              </w:r>
            </w:hyperlink>
          </w:p>
        </w:tc>
      </w:tr>
      <w:tr w:rsidR="00113D9B" w14:paraId="2F64E887" w14:textId="77777777" w:rsidTr="4C124F2E">
        <w:tc>
          <w:tcPr>
            <w:tcW w:w="2655" w:type="dxa"/>
          </w:tcPr>
          <w:p w14:paraId="26CC3A7F" w14:textId="3F59DDFA" w:rsidR="00113D9B" w:rsidRDefault="00113D9B" w:rsidP="00113D9B">
            <w:r>
              <w:t>Effective from</w:t>
            </w:r>
          </w:p>
        </w:tc>
        <w:tc>
          <w:tcPr>
            <w:tcW w:w="6361" w:type="dxa"/>
          </w:tcPr>
          <w:p w14:paraId="03ECD2F0" w14:textId="60C07013" w:rsidR="00113D9B" w:rsidRDefault="37BABC1E" w:rsidP="00113D9B">
            <w:r>
              <w:t>January</w:t>
            </w:r>
            <w:r w:rsidR="45605E1F">
              <w:t xml:space="preserve"> </w:t>
            </w:r>
            <w:r w:rsidR="00113D9B">
              <w:t>202</w:t>
            </w:r>
            <w:r w:rsidR="45A0F0D6">
              <w:t>5</w:t>
            </w:r>
          </w:p>
        </w:tc>
      </w:tr>
      <w:tr w:rsidR="00113D9B" w14:paraId="2C1E1213" w14:textId="77777777" w:rsidTr="4C124F2E">
        <w:tc>
          <w:tcPr>
            <w:tcW w:w="2655" w:type="dxa"/>
          </w:tcPr>
          <w:p w14:paraId="4D394461" w14:textId="4D85EBE7" w:rsidR="00113D9B" w:rsidRDefault="00113D9B" w:rsidP="00113D9B">
            <w:r>
              <w:t xml:space="preserve">Policy Review Date </w:t>
            </w:r>
          </w:p>
        </w:tc>
        <w:tc>
          <w:tcPr>
            <w:tcW w:w="6361" w:type="dxa"/>
          </w:tcPr>
          <w:p w14:paraId="29012611" w14:textId="2E21F914" w:rsidR="00113D9B" w:rsidRDefault="7C20FC2D" w:rsidP="00113D9B">
            <w:r>
              <w:t>January</w:t>
            </w:r>
            <w:r w:rsidR="00113D9B">
              <w:t xml:space="preserve"> 202</w:t>
            </w:r>
            <w:r w:rsidR="06E2D563">
              <w:t>8</w:t>
            </w:r>
          </w:p>
        </w:tc>
      </w:tr>
    </w:tbl>
    <w:p w14:paraId="18EDB3DD" w14:textId="77777777" w:rsidR="000E104F" w:rsidRDefault="000E104F"/>
    <w:sectPr w:rsidR="000E104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5B4F3" w14:textId="77777777" w:rsidR="007E2A26" w:rsidRDefault="007E2A26">
      <w:pPr>
        <w:spacing w:after="0" w:line="240" w:lineRule="auto"/>
      </w:pPr>
      <w:r>
        <w:separator/>
      </w:r>
    </w:p>
  </w:endnote>
  <w:endnote w:type="continuationSeparator" w:id="0">
    <w:p w14:paraId="059C917A" w14:textId="77777777" w:rsidR="007E2A26" w:rsidRDefault="007E2A26">
      <w:pPr>
        <w:spacing w:after="0" w:line="240" w:lineRule="auto"/>
      </w:pPr>
      <w:r>
        <w:continuationSeparator/>
      </w:r>
    </w:p>
  </w:endnote>
  <w:endnote w:type="continuationNotice" w:id="1">
    <w:p w14:paraId="3E1F1AF8" w14:textId="77777777" w:rsidR="007E2A26" w:rsidRDefault="007E2A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E0A7EF1" w14:paraId="4ECC4AA6" w14:textId="77777777" w:rsidTr="7E0A7EF1">
      <w:trPr>
        <w:trHeight w:val="300"/>
      </w:trPr>
      <w:tc>
        <w:tcPr>
          <w:tcW w:w="3005" w:type="dxa"/>
        </w:tcPr>
        <w:p w14:paraId="46E12BB5" w14:textId="15E9803C" w:rsidR="7E0A7EF1" w:rsidRDefault="7E0A7EF1" w:rsidP="7E0A7EF1">
          <w:pPr>
            <w:pStyle w:val="Header"/>
            <w:ind w:left="-115"/>
          </w:pPr>
        </w:p>
      </w:tc>
      <w:tc>
        <w:tcPr>
          <w:tcW w:w="3005" w:type="dxa"/>
        </w:tcPr>
        <w:p w14:paraId="6FDC0DF0" w14:textId="15E5D3F0" w:rsidR="7E0A7EF1" w:rsidRDefault="7E0A7EF1" w:rsidP="7E0A7EF1">
          <w:pPr>
            <w:pStyle w:val="Header"/>
            <w:jc w:val="center"/>
          </w:pPr>
        </w:p>
      </w:tc>
      <w:tc>
        <w:tcPr>
          <w:tcW w:w="3005" w:type="dxa"/>
        </w:tcPr>
        <w:p w14:paraId="0B0EF700" w14:textId="5D85FE91" w:rsidR="7E0A7EF1" w:rsidRDefault="7E0A7EF1" w:rsidP="7E0A7EF1">
          <w:pPr>
            <w:pStyle w:val="Header"/>
            <w:ind w:right="-115"/>
            <w:jc w:val="right"/>
          </w:pPr>
        </w:p>
      </w:tc>
    </w:tr>
  </w:tbl>
  <w:p w14:paraId="4A8E2A0F" w14:textId="0AF419A2" w:rsidR="7E0A7EF1" w:rsidRDefault="7E0A7EF1" w:rsidP="7E0A7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021D0" w14:textId="77777777" w:rsidR="007E2A26" w:rsidRDefault="007E2A26">
      <w:pPr>
        <w:spacing w:after="0" w:line="240" w:lineRule="auto"/>
      </w:pPr>
      <w:r>
        <w:separator/>
      </w:r>
    </w:p>
  </w:footnote>
  <w:footnote w:type="continuationSeparator" w:id="0">
    <w:p w14:paraId="4E2DAB50" w14:textId="77777777" w:rsidR="007E2A26" w:rsidRDefault="007E2A26">
      <w:pPr>
        <w:spacing w:after="0" w:line="240" w:lineRule="auto"/>
      </w:pPr>
      <w:r>
        <w:continuationSeparator/>
      </w:r>
    </w:p>
  </w:footnote>
  <w:footnote w:type="continuationNotice" w:id="1">
    <w:p w14:paraId="5066F859" w14:textId="77777777" w:rsidR="007E2A26" w:rsidRDefault="007E2A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DCDC9" w14:textId="127291D3" w:rsidR="7E0A7EF1" w:rsidRDefault="7E0A7EF1" w:rsidP="7E0A7EF1">
    <w:pPr>
      <w:pStyle w:val="Header"/>
    </w:pPr>
    <w:r>
      <w:rPr>
        <w:noProof/>
      </w:rPr>
      <w:drawing>
        <wp:inline distT="0" distB="0" distL="0" distR="0" wp14:anchorId="78DC3094" wp14:editId="05170533">
          <wp:extent cx="2905125" cy="552450"/>
          <wp:effectExtent l="0" t="0" r="0" b="0"/>
          <wp:docPr id="192037157" name="Picture 192037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05125" cy="552450"/>
                  </a:xfrm>
                  <a:prstGeom prst="rect">
                    <a:avLst/>
                  </a:prstGeom>
                </pic:spPr>
              </pic:pic>
            </a:graphicData>
          </a:graphic>
        </wp:inline>
      </w:drawing>
    </w:r>
    <w:r>
      <w:tab/>
    </w:r>
    <w:r>
      <w:tab/>
    </w:r>
    <w:r>
      <w:rPr>
        <w:noProof/>
      </w:rPr>
      <w:drawing>
        <wp:inline distT="0" distB="0" distL="0" distR="0" wp14:anchorId="57C2E40D" wp14:editId="78B61C03">
          <wp:extent cx="1581150" cy="838200"/>
          <wp:effectExtent l="0" t="0" r="0" b="0"/>
          <wp:docPr id="401433085" name="Picture 401433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581150" cy="8382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MpvZB7MKQ7i+4f" int2:id="CED87Hc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17D94"/>
    <w:multiLevelType w:val="hybridMultilevel"/>
    <w:tmpl w:val="17CA050A"/>
    <w:lvl w:ilvl="0" w:tplc="BF08104E">
      <w:start w:val="1"/>
      <w:numFmt w:val="bullet"/>
      <w:lvlText w:val=""/>
      <w:lvlJc w:val="left"/>
      <w:pPr>
        <w:ind w:left="720" w:hanging="360"/>
      </w:pPr>
      <w:rPr>
        <w:rFonts w:ascii="Symbol" w:hAnsi="Symbol" w:hint="default"/>
      </w:rPr>
    </w:lvl>
    <w:lvl w:ilvl="1" w:tplc="FDB6FAAC">
      <w:start w:val="1"/>
      <w:numFmt w:val="bullet"/>
      <w:lvlText w:val="o"/>
      <w:lvlJc w:val="left"/>
      <w:pPr>
        <w:ind w:left="1440" w:hanging="360"/>
      </w:pPr>
      <w:rPr>
        <w:rFonts w:ascii="Courier New" w:hAnsi="Courier New" w:hint="default"/>
      </w:rPr>
    </w:lvl>
    <w:lvl w:ilvl="2" w:tplc="547ED06E">
      <w:start w:val="1"/>
      <w:numFmt w:val="bullet"/>
      <w:lvlText w:val=""/>
      <w:lvlJc w:val="left"/>
      <w:pPr>
        <w:ind w:left="2160" w:hanging="360"/>
      </w:pPr>
      <w:rPr>
        <w:rFonts w:ascii="Wingdings" w:hAnsi="Wingdings" w:hint="default"/>
      </w:rPr>
    </w:lvl>
    <w:lvl w:ilvl="3" w:tplc="AB3E10E0">
      <w:start w:val="1"/>
      <w:numFmt w:val="bullet"/>
      <w:lvlText w:val=""/>
      <w:lvlJc w:val="left"/>
      <w:pPr>
        <w:ind w:left="2880" w:hanging="360"/>
      </w:pPr>
      <w:rPr>
        <w:rFonts w:ascii="Symbol" w:hAnsi="Symbol" w:hint="default"/>
      </w:rPr>
    </w:lvl>
    <w:lvl w:ilvl="4" w:tplc="C6AC4C3E">
      <w:start w:val="1"/>
      <w:numFmt w:val="bullet"/>
      <w:lvlText w:val="o"/>
      <w:lvlJc w:val="left"/>
      <w:pPr>
        <w:ind w:left="3600" w:hanging="360"/>
      </w:pPr>
      <w:rPr>
        <w:rFonts w:ascii="Courier New" w:hAnsi="Courier New" w:hint="default"/>
      </w:rPr>
    </w:lvl>
    <w:lvl w:ilvl="5" w:tplc="6D6C6630">
      <w:start w:val="1"/>
      <w:numFmt w:val="bullet"/>
      <w:lvlText w:val=""/>
      <w:lvlJc w:val="left"/>
      <w:pPr>
        <w:ind w:left="4320" w:hanging="360"/>
      </w:pPr>
      <w:rPr>
        <w:rFonts w:ascii="Wingdings" w:hAnsi="Wingdings" w:hint="default"/>
      </w:rPr>
    </w:lvl>
    <w:lvl w:ilvl="6" w:tplc="CE60CBB2">
      <w:start w:val="1"/>
      <w:numFmt w:val="bullet"/>
      <w:lvlText w:val=""/>
      <w:lvlJc w:val="left"/>
      <w:pPr>
        <w:ind w:left="5040" w:hanging="360"/>
      </w:pPr>
      <w:rPr>
        <w:rFonts w:ascii="Symbol" w:hAnsi="Symbol" w:hint="default"/>
      </w:rPr>
    </w:lvl>
    <w:lvl w:ilvl="7" w:tplc="F6DC05B4">
      <w:start w:val="1"/>
      <w:numFmt w:val="bullet"/>
      <w:lvlText w:val="o"/>
      <w:lvlJc w:val="left"/>
      <w:pPr>
        <w:ind w:left="5760" w:hanging="360"/>
      </w:pPr>
      <w:rPr>
        <w:rFonts w:ascii="Courier New" w:hAnsi="Courier New" w:hint="default"/>
      </w:rPr>
    </w:lvl>
    <w:lvl w:ilvl="8" w:tplc="4A1C6396">
      <w:start w:val="1"/>
      <w:numFmt w:val="bullet"/>
      <w:lvlText w:val=""/>
      <w:lvlJc w:val="left"/>
      <w:pPr>
        <w:ind w:left="6480" w:hanging="360"/>
      </w:pPr>
      <w:rPr>
        <w:rFonts w:ascii="Wingdings" w:hAnsi="Wingdings" w:hint="default"/>
      </w:rPr>
    </w:lvl>
  </w:abstractNum>
  <w:abstractNum w:abstractNumId="1" w15:restartNumberingAfterBreak="0">
    <w:nsid w:val="193237DC"/>
    <w:multiLevelType w:val="hybridMultilevel"/>
    <w:tmpl w:val="81E26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5ADCC2"/>
    <w:multiLevelType w:val="hybridMultilevel"/>
    <w:tmpl w:val="BD282952"/>
    <w:lvl w:ilvl="0" w:tplc="9E500C80">
      <w:start w:val="1"/>
      <w:numFmt w:val="bullet"/>
      <w:lvlText w:val=""/>
      <w:lvlJc w:val="left"/>
      <w:pPr>
        <w:ind w:left="720" w:hanging="360"/>
      </w:pPr>
      <w:rPr>
        <w:rFonts w:ascii="Symbol" w:hAnsi="Symbol" w:hint="default"/>
      </w:rPr>
    </w:lvl>
    <w:lvl w:ilvl="1" w:tplc="F68054DA">
      <w:start w:val="1"/>
      <w:numFmt w:val="bullet"/>
      <w:lvlText w:val="o"/>
      <w:lvlJc w:val="left"/>
      <w:pPr>
        <w:ind w:left="1440" w:hanging="360"/>
      </w:pPr>
      <w:rPr>
        <w:rFonts w:ascii="Courier New" w:hAnsi="Courier New" w:hint="default"/>
      </w:rPr>
    </w:lvl>
    <w:lvl w:ilvl="2" w:tplc="BFE8AF4A">
      <w:start w:val="1"/>
      <w:numFmt w:val="bullet"/>
      <w:lvlText w:val=""/>
      <w:lvlJc w:val="left"/>
      <w:pPr>
        <w:ind w:left="2160" w:hanging="360"/>
      </w:pPr>
      <w:rPr>
        <w:rFonts w:ascii="Wingdings" w:hAnsi="Wingdings" w:hint="default"/>
      </w:rPr>
    </w:lvl>
    <w:lvl w:ilvl="3" w:tplc="609A7780">
      <w:start w:val="1"/>
      <w:numFmt w:val="bullet"/>
      <w:lvlText w:val=""/>
      <w:lvlJc w:val="left"/>
      <w:pPr>
        <w:ind w:left="2880" w:hanging="360"/>
      </w:pPr>
      <w:rPr>
        <w:rFonts w:ascii="Symbol" w:hAnsi="Symbol" w:hint="default"/>
      </w:rPr>
    </w:lvl>
    <w:lvl w:ilvl="4" w:tplc="CA862036">
      <w:start w:val="1"/>
      <w:numFmt w:val="bullet"/>
      <w:lvlText w:val="o"/>
      <w:lvlJc w:val="left"/>
      <w:pPr>
        <w:ind w:left="3600" w:hanging="360"/>
      </w:pPr>
      <w:rPr>
        <w:rFonts w:ascii="Courier New" w:hAnsi="Courier New" w:hint="default"/>
      </w:rPr>
    </w:lvl>
    <w:lvl w:ilvl="5" w:tplc="329AA2A6">
      <w:start w:val="1"/>
      <w:numFmt w:val="bullet"/>
      <w:lvlText w:val=""/>
      <w:lvlJc w:val="left"/>
      <w:pPr>
        <w:ind w:left="4320" w:hanging="360"/>
      </w:pPr>
      <w:rPr>
        <w:rFonts w:ascii="Wingdings" w:hAnsi="Wingdings" w:hint="default"/>
      </w:rPr>
    </w:lvl>
    <w:lvl w:ilvl="6" w:tplc="272AE198">
      <w:start w:val="1"/>
      <w:numFmt w:val="bullet"/>
      <w:lvlText w:val=""/>
      <w:lvlJc w:val="left"/>
      <w:pPr>
        <w:ind w:left="5040" w:hanging="360"/>
      </w:pPr>
      <w:rPr>
        <w:rFonts w:ascii="Symbol" w:hAnsi="Symbol" w:hint="default"/>
      </w:rPr>
    </w:lvl>
    <w:lvl w:ilvl="7" w:tplc="00728362">
      <w:start w:val="1"/>
      <w:numFmt w:val="bullet"/>
      <w:lvlText w:val="o"/>
      <w:lvlJc w:val="left"/>
      <w:pPr>
        <w:ind w:left="5760" w:hanging="360"/>
      </w:pPr>
      <w:rPr>
        <w:rFonts w:ascii="Courier New" w:hAnsi="Courier New" w:hint="default"/>
      </w:rPr>
    </w:lvl>
    <w:lvl w:ilvl="8" w:tplc="A89C012C">
      <w:start w:val="1"/>
      <w:numFmt w:val="bullet"/>
      <w:lvlText w:val=""/>
      <w:lvlJc w:val="left"/>
      <w:pPr>
        <w:ind w:left="6480" w:hanging="360"/>
      </w:pPr>
      <w:rPr>
        <w:rFonts w:ascii="Wingdings" w:hAnsi="Wingdings" w:hint="default"/>
      </w:rPr>
    </w:lvl>
  </w:abstractNum>
  <w:abstractNum w:abstractNumId="3" w15:restartNumberingAfterBreak="0">
    <w:nsid w:val="238D22AB"/>
    <w:multiLevelType w:val="hybridMultilevel"/>
    <w:tmpl w:val="49A6B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8A1966"/>
    <w:multiLevelType w:val="hybridMultilevel"/>
    <w:tmpl w:val="6732880C"/>
    <w:lvl w:ilvl="0" w:tplc="71F07238">
      <w:start w:val="5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38661D1"/>
    <w:multiLevelType w:val="hybridMultilevel"/>
    <w:tmpl w:val="D2D0040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4914B13"/>
    <w:multiLevelType w:val="multilevel"/>
    <w:tmpl w:val="AC16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046FE6"/>
    <w:multiLevelType w:val="hybridMultilevel"/>
    <w:tmpl w:val="61CAF2A8"/>
    <w:lvl w:ilvl="0" w:tplc="F752D0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145BC1"/>
    <w:multiLevelType w:val="hybridMultilevel"/>
    <w:tmpl w:val="7322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AF7A1A"/>
    <w:multiLevelType w:val="hybridMultilevel"/>
    <w:tmpl w:val="F446C3C2"/>
    <w:lvl w:ilvl="0" w:tplc="DAA235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F5418F"/>
    <w:multiLevelType w:val="hybridMultilevel"/>
    <w:tmpl w:val="28D03698"/>
    <w:lvl w:ilvl="0" w:tplc="57FA7C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2201F5"/>
    <w:multiLevelType w:val="hybridMultilevel"/>
    <w:tmpl w:val="2EA82C80"/>
    <w:lvl w:ilvl="0" w:tplc="32D46B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6853417">
    <w:abstractNumId w:val="0"/>
  </w:num>
  <w:num w:numId="2" w16cid:durableId="1733386344">
    <w:abstractNumId w:val="2"/>
  </w:num>
  <w:num w:numId="3" w16cid:durableId="1872303278">
    <w:abstractNumId w:val="11"/>
  </w:num>
  <w:num w:numId="4" w16cid:durableId="1147431926">
    <w:abstractNumId w:val="1"/>
  </w:num>
  <w:num w:numId="5" w16cid:durableId="890380511">
    <w:abstractNumId w:val="4"/>
  </w:num>
  <w:num w:numId="6" w16cid:durableId="1585725535">
    <w:abstractNumId w:val="10"/>
  </w:num>
  <w:num w:numId="7" w16cid:durableId="1128164145">
    <w:abstractNumId w:val="7"/>
  </w:num>
  <w:num w:numId="8" w16cid:durableId="1607155194">
    <w:abstractNumId w:val="9"/>
  </w:num>
  <w:num w:numId="9" w16cid:durableId="70854915">
    <w:abstractNumId w:val="3"/>
  </w:num>
  <w:num w:numId="10" w16cid:durableId="1686781628">
    <w:abstractNumId w:val="5"/>
  </w:num>
  <w:num w:numId="11" w16cid:durableId="1966278688">
    <w:abstractNumId w:val="6"/>
  </w:num>
  <w:num w:numId="12" w16cid:durableId="8647526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AB"/>
    <w:rsid w:val="000132FD"/>
    <w:rsid w:val="00033034"/>
    <w:rsid w:val="000625A0"/>
    <w:rsid w:val="0007290E"/>
    <w:rsid w:val="000D1D6B"/>
    <w:rsid w:val="000E104F"/>
    <w:rsid w:val="00113D9B"/>
    <w:rsid w:val="00177C4D"/>
    <w:rsid w:val="001816E6"/>
    <w:rsid w:val="00192D42"/>
    <w:rsid w:val="002308D8"/>
    <w:rsid w:val="00245804"/>
    <w:rsid w:val="002C011C"/>
    <w:rsid w:val="002C64B3"/>
    <w:rsid w:val="002D97A4"/>
    <w:rsid w:val="002E13F7"/>
    <w:rsid w:val="00307243"/>
    <w:rsid w:val="00315AA0"/>
    <w:rsid w:val="00330790"/>
    <w:rsid w:val="003367A0"/>
    <w:rsid w:val="00387144"/>
    <w:rsid w:val="0039492D"/>
    <w:rsid w:val="003A5C41"/>
    <w:rsid w:val="003D0AF4"/>
    <w:rsid w:val="004023E0"/>
    <w:rsid w:val="00423C50"/>
    <w:rsid w:val="00427F8E"/>
    <w:rsid w:val="00442EDA"/>
    <w:rsid w:val="00471DC7"/>
    <w:rsid w:val="004760D4"/>
    <w:rsid w:val="00496FC2"/>
    <w:rsid w:val="004C0138"/>
    <w:rsid w:val="004C292B"/>
    <w:rsid w:val="004E02B5"/>
    <w:rsid w:val="005145C5"/>
    <w:rsid w:val="0053772E"/>
    <w:rsid w:val="005565A7"/>
    <w:rsid w:val="0057603E"/>
    <w:rsid w:val="005820AB"/>
    <w:rsid w:val="005A5106"/>
    <w:rsid w:val="005B52BE"/>
    <w:rsid w:val="005E3ADB"/>
    <w:rsid w:val="005F0F1D"/>
    <w:rsid w:val="00604124"/>
    <w:rsid w:val="00656075"/>
    <w:rsid w:val="006A1DC3"/>
    <w:rsid w:val="006C32EC"/>
    <w:rsid w:val="00702D52"/>
    <w:rsid w:val="00731333"/>
    <w:rsid w:val="007606C0"/>
    <w:rsid w:val="00784A20"/>
    <w:rsid w:val="007A1D76"/>
    <w:rsid w:val="007E2A26"/>
    <w:rsid w:val="00802633"/>
    <w:rsid w:val="0080365B"/>
    <w:rsid w:val="0086083A"/>
    <w:rsid w:val="008F2485"/>
    <w:rsid w:val="00934A12"/>
    <w:rsid w:val="00936E8C"/>
    <w:rsid w:val="0093C44A"/>
    <w:rsid w:val="00946B0C"/>
    <w:rsid w:val="0096658A"/>
    <w:rsid w:val="00972C08"/>
    <w:rsid w:val="009D48EB"/>
    <w:rsid w:val="00A0363B"/>
    <w:rsid w:val="00A21761"/>
    <w:rsid w:val="00A30539"/>
    <w:rsid w:val="00A3128B"/>
    <w:rsid w:val="00A51020"/>
    <w:rsid w:val="00A51972"/>
    <w:rsid w:val="00A57364"/>
    <w:rsid w:val="00A719FC"/>
    <w:rsid w:val="00A76561"/>
    <w:rsid w:val="00A86D94"/>
    <w:rsid w:val="00AA0404"/>
    <w:rsid w:val="00AA38E1"/>
    <w:rsid w:val="00AD35FC"/>
    <w:rsid w:val="00AD5EE3"/>
    <w:rsid w:val="00AE39A5"/>
    <w:rsid w:val="00B01E01"/>
    <w:rsid w:val="00B64A49"/>
    <w:rsid w:val="00B835D0"/>
    <w:rsid w:val="00B954FC"/>
    <w:rsid w:val="00B97DAB"/>
    <w:rsid w:val="00BC27F1"/>
    <w:rsid w:val="00BC661E"/>
    <w:rsid w:val="00BF5530"/>
    <w:rsid w:val="00BF7956"/>
    <w:rsid w:val="00C25515"/>
    <w:rsid w:val="00C5178A"/>
    <w:rsid w:val="00C5358B"/>
    <w:rsid w:val="00C55041"/>
    <w:rsid w:val="00C6281F"/>
    <w:rsid w:val="00C84721"/>
    <w:rsid w:val="00D0092C"/>
    <w:rsid w:val="00D57EFB"/>
    <w:rsid w:val="00D81158"/>
    <w:rsid w:val="00D81B9A"/>
    <w:rsid w:val="00D93A2C"/>
    <w:rsid w:val="00DC744C"/>
    <w:rsid w:val="00DD4A29"/>
    <w:rsid w:val="00DE6639"/>
    <w:rsid w:val="00E17065"/>
    <w:rsid w:val="00E23A5B"/>
    <w:rsid w:val="00EB3CFA"/>
    <w:rsid w:val="00EB5467"/>
    <w:rsid w:val="00EC12D6"/>
    <w:rsid w:val="00ED5143"/>
    <w:rsid w:val="00EF04D7"/>
    <w:rsid w:val="00F012EF"/>
    <w:rsid w:val="00F46EE3"/>
    <w:rsid w:val="00F87DCF"/>
    <w:rsid w:val="00F9067A"/>
    <w:rsid w:val="00FF2D5E"/>
    <w:rsid w:val="00FF3EE2"/>
    <w:rsid w:val="00FF6EF3"/>
    <w:rsid w:val="013B8033"/>
    <w:rsid w:val="01A0723A"/>
    <w:rsid w:val="01F63CC2"/>
    <w:rsid w:val="021AC82B"/>
    <w:rsid w:val="02B3C44F"/>
    <w:rsid w:val="02BCDE2B"/>
    <w:rsid w:val="031046DF"/>
    <w:rsid w:val="06E2D563"/>
    <w:rsid w:val="07B08D20"/>
    <w:rsid w:val="07BCC3F3"/>
    <w:rsid w:val="08EFDF0C"/>
    <w:rsid w:val="097496C9"/>
    <w:rsid w:val="0A45F0F2"/>
    <w:rsid w:val="0B6A0C66"/>
    <w:rsid w:val="0DCB6B24"/>
    <w:rsid w:val="0E2289EC"/>
    <w:rsid w:val="0FB5482A"/>
    <w:rsid w:val="1300C9E1"/>
    <w:rsid w:val="13685818"/>
    <w:rsid w:val="17AECED6"/>
    <w:rsid w:val="17FD7BD2"/>
    <w:rsid w:val="18BBEB0A"/>
    <w:rsid w:val="1BC662FA"/>
    <w:rsid w:val="1C8B89BA"/>
    <w:rsid w:val="1D3DB0FD"/>
    <w:rsid w:val="1D7BA3D8"/>
    <w:rsid w:val="1DD6F1EE"/>
    <w:rsid w:val="1DF0E17D"/>
    <w:rsid w:val="1F8F7F81"/>
    <w:rsid w:val="1F92CEBE"/>
    <w:rsid w:val="2254608B"/>
    <w:rsid w:val="229E4C0C"/>
    <w:rsid w:val="236D715C"/>
    <w:rsid w:val="237966E0"/>
    <w:rsid w:val="23E562D6"/>
    <w:rsid w:val="2456AD74"/>
    <w:rsid w:val="24570A94"/>
    <w:rsid w:val="24A0B96E"/>
    <w:rsid w:val="24D5FB3E"/>
    <w:rsid w:val="25C9FF3D"/>
    <w:rsid w:val="26747F3C"/>
    <w:rsid w:val="27959A43"/>
    <w:rsid w:val="29E283D4"/>
    <w:rsid w:val="2A602EEE"/>
    <w:rsid w:val="2A723FE4"/>
    <w:rsid w:val="2B9E4B41"/>
    <w:rsid w:val="2BF356F9"/>
    <w:rsid w:val="2DB5BE43"/>
    <w:rsid w:val="2F172517"/>
    <w:rsid w:val="3194BA9C"/>
    <w:rsid w:val="32535982"/>
    <w:rsid w:val="34B68F6F"/>
    <w:rsid w:val="34F182F5"/>
    <w:rsid w:val="362AA3F4"/>
    <w:rsid w:val="37BABC1E"/>
    <w:rsid w:val="389181A6"/>
    <w:rsid w:val="39BAF3F0"/>
    <w:rsid w:val="3A03AC17"/>
    <w:rsid w:val="3B526FD8"/>
    <w:rsid w:val="3DD2678B"/>
    <w:rsid w:val="3EF6F1E5"/>
    <w:rsid w:val="3F49D7AA"/>
    <w:rsid w:val="3FF48BFB"/>
    <w:rsid w:val="40D9BEDA"/>
    <w:rsid w:val="42B3B803"/>
    <w:rsid w:val="441FF119"/>
    <w:rsid w:val="4434D515"/>
    <w:rsid w:val="44709B3A"/>
    <w:rsid w:val="44AC7B5D"/>
    <w:rsid w:val="44DFFF9E"/>
    <w:rsid w:val="45497F20"/>
    <w:rsid w:val="455AA220"/>
    <w:rsid w:val="45605E1F"/>
    <w:rsid w:val="45A0F0D6"/>
    <w:rsid w:val="466E3267"/>
    <w:rsid w:val="492132F9"/>
    <w:rsid w:val="4960F62E"/>
    <w:rsid w:val="4A9FCCC6"/>
    <w:rsid w:val="4AD7C340"/>
    <w:rsid w:val="4B0590E1"/>
    <w:rsid w:val="4B0E3DAA"/>
    <w:rsid w:val="4C124F2E"/>
    <w:rsid w:val="4C526F9B"/>
    <w:rsid w:val="4C61B40A"/>
    <w:rsid w:val="4CADA413"/>
    <w:rsid w:val="4D6705AD"/>
    <w:rsid w:val="4D7DC937"/>
    <w:rsid w:val="4D8DD7CD"/>
    <w:rsid w:val="4DCCEED1"/>
    <w:rsid w:val="4ED2F372"/>
    <w:rsid w:val="4F9A594B"/>
    <w:rsid w:val="5022CC69"/>
    <w:rsid w:val="506D4E92"/>
    <w:rsid w:val="509D0A6E"/>
    <w:rsid w:val="50A0132D"/>
    <w:rsid w:val="510EC287"/>
    <w:rsid w:val="518BE983"/>
    <w:rsid w:val="5225DEF6"/>
    <w:rsid w:val="522AF6EB"/>
    <w:rsid w:val="52BAF039"/>
    <w:rsid w:val="52F0FA37"/>
    <w:rsid w:val="53FAC095"/>
    <w:rsid w:val="550AEBBA"/>
    <w:rsid w:val="559F1D54"/>
    <w:rsid w:val="56541B87"/>
    <w:rsid w:val="56FDB0F3"/>
    <w:rsid w:val="5889EC3A"/>
    <w:rsid w:val="5B7B4BF6"/>
    <w:rsid w:val="5C527DF1"/>
    <w:rsid w:val="5D23953E"/>
    <w:rsid w:val="5E081D1D"/>
    <w:rsid w:val="5EEF045C"/>
    <w:rsid w:val="614FC04E"/>
    <w:rsid w:val="618E33EE"/>
    <w:rsid w:val="61C8E933"/>
    <w:rsid w:val="62E3078A"/>
    <w:rsid w:val="62E581D5"/>
    <w:rsid w:val="640FA5B4"/>
    <w:rsid w:val="6454475A"/>
    <w:rsid w:val="64B58511"/>
    <w:rsid w:val="66090156"/>
    <w:rsid w:val="6721B93D"/>
    <w:rsid w:val="684015C6"/>
    <w:rsid w:val="696E6980"/>
    <w:rsid w:val="69FA1C89"/>
    <w:rsid w:val="6A7882AC"/>
    <w:rsid w:val="6B712061"/>
    <w:rsid w:val="6FB05E3B"/>
    <w:rsid w:val="707FDBB8"/>
    <w:rsid w:val="713217BC"/>
    <w:rsid w:val="72A3D08B"/>
    <w:rsid w:val="72F30E7F"/>
    <w:rsid w:val="72FA37F0"/>
    <w:rsid w:val="743666E7"/>
    <w:rsid w:val="74D5C9A6"/>
    <w:rsid w:val="754B7830"/>
    <w:rsid w:val="77383A75"/>
    <w:rsid w:val="77822976"/>
    <w:rsid w:val="788B39B6"/>
    <w:rsid w:val="79BC8E83"/>
    <w:rsid w:val="79EF4E44"/>
    <w:rsid w:val="7A5837BE"/>
    <w:rsid w:val="7ADC5D01"/>
    <w:rsid w:val="7B504675"/>
    <w:rsid w:val="7C20FC2D"/>
    <w:rsid w:val="7D3772E9"/>
    <w:rsid w:val="7D588AA7"/>
    <w:rsid w:val="7D973E2C"/>
    <w:rsid w:val="7E0A7EF1"/>
    <w:rsid w:val="7E6AF93C"/>
    <w:rsid w:val="7F3030AF"/>
    <w:rsid w:val="7F6C6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799D"/>
  <w15:chartTrackingRefBased/>
  <w15:docId w15:val="{047F857E-F005-406A-81C5-58D49CE56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DAB"/>
    <w:pPr>
      <w:ind w:left="720"/>
      <w:contextualSpacing/>
    </w:pPr>
  </w:style>
  <w:style w:type="character" w:styleId="Hyperlink">
    <w:name w:val="Hyperlink"/>
    <w:basedOn w:val="DefaultParagraphFont"/>
    <w:uiPriority w:val="99"/>
    <w:semiHidden/>
    <w:unhideWhenUsed/>
    <w:rsid w:val="007A1D76"/>
    <w:rPr>
      <w:color w:val="0000FF"/>
      <w:u w:val="single"/>
    </w:rPr>
  </w:style>
  <w:style w:type="character" w:styleId="FollowedHyperlink">
    <w:name w:val="FollowedHyperlink"/>
    <w:basedOn w:val="DefaultParagraphFont"/>
    <w:uiPriority w:val="99"/>
    <w:semiHidden/>
    <w:unhideWhenUsed/>
    <w:rsid w:val="007A1D76"/>
    <w:rPr>
      <w:color w:val="954F72" w:themeColor="followedHyperlink"/>
      <w:u w:val="single"/>
    </w:rPr>
  </w:style>
  <w:style w:type="character" w:styleId="CommentReference">
    <w:name w:val="annotation reference"/>
    <w:basedOn w:val="DefaultParagraphFont"/>
    <w:uiPriority w:val="99"/>
    <w:semiHidden/>
    <w:unhideWhenUsed/>
    <w:rsid w:val="00A719FC"/>
    <w:rPr>
      <w:sz w:val="16"/>
      <w:szCs w:val="16"/>
    </w:rPr>
  </w:style>
  <w:style w:type="paragraph" w:styleId="CommentText">
    <w:name w:val="annotation text"/>
    <w:basedOn w:val="Normal"/>
    <w:link w:val="CommentTextChar"/>
    <w:uiPriority w:val="99"/>
    <w:unhideWhenUsed/>
    <w:rsid w:val="00A719FC"/>
    <w:pPr>
      <w:spacing w:line="240" w:lineRule="auto"/>
    </w:pPr>
    <w:rPr>
      <w:sz w:val="20"/>
      <w:szCs w:val="20"/>
    </w:rPr>
  </w:style>
  <w:style w:type="character" w:customStyle="1" w:styleId="CommentTextChar">
    <w:name w:val="Comment Text Char"/>
    <w:basedOn w:val="DefaultParagraphFont"/>
    <w:link w:val="CommentText"/>
    <w:uiPriority w:val="99"/>
    <w:rsid w:val="00A719FC"/>
    <w:rPr>
      <w:sz w:val="20"/>
      <w:szCs w:val="20"/>
    </w:rPr>
  </w:style>
  <w:style w:type="paragraph" w:styleId="CommentSubject">
    <w:name w:val="annotation subject"/>
    <w:basedOn w:val="CommentText"/>
    <w:next w:val="CommentText"/>
    <w:link w:val="CommentSubjectChar"/>
    <w:uiPriority w:val="99"/>
    <w:semiHidden/>
    <w:unhideWhenUsed/>
    <w:rsid w:val="00A719FC"/>
    <w:rPr>
      <w:b/>
      <w:bCs/>
    </w:rPr>
  </w:style>
  <w:style w:type="character" w:customStyle="1" w:styleId="CommentSubjectChar">
    <w:name w:val="Comment Subject Char"/>
    <w:basedOn w:val="CommentTextChar"/>
    <w:link w:val="CommentSubject"/>
    <w:uiPriority w:val="99"/>
    <w:semiHidden/>
    <w:rsid w:val="00A719FC"/>
    <w:rPr>
      <w:b/>
      <w:bCs/>
      <w:sz w:val="20"/>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5820A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820AB"/>
  </w:style>
  <w:style w:type="character" w:customStyle="1" w:styleId="eop">
    <w:name w:val="eop"/>
    <w:basedOn w:val="DefaultParagraphFont"/>
    <w:rsid w:val="00582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2537">
      <w:bodyDiv w:val="1"/>
      <w:marLeft w:val="0"/>
      <w:marRight w:val="0"/>
      <w:marTop w:val="0"/>
      <w:marBottom w:val="0"/>
      <w:divBdr>
        <w:top w:val="none" w:sz="0" w:space="0" w:color="auto"/>
        <w:left w:val="none" w:sz="0" w:space="0" w:color="auto"/>
        <w:bottom w:val="none" w:sz="0" w:space="0" w:color="auto"/>
        <w:right w:val="none" w:sz="0" w:space="0" w:color="auto"/>
      </w:divBdr>
      <w:divsChild>
        <w:div w:id="382680300">
          <w:marLeft w:val="0"/>
          <w:marRight w:val="0"/>
          <w:marTop w:val="0"/>
          <w:marBottom w:val="0"/>
          <w:divBdr>
            <w:top w:val="none" w:sz="0" w:space="0" w:color="auto"/>
            <w:left w:val="none" w:sz="0" w:space="0" w:color="auto"/>
            <w:bottom w:val="none" w:sz="0" w:space="0" w:color="auto"/>
            <w:right w:val="none" w:sz="0" w:space="0" w:color="auto"/>
          </w:divBdr>
        </w:div>
        <w:div w:id="818421869">
          <w:marLeft w:val="0"/>
          <w:marRight w:val="0"/>
          <w:marTop w:val="0"/>
          <w:marBottom w:val="0"/>
          <w:divBdr>
            <w:top w:val="none" w:sz="0" w:space="0" w:color="auto"/>
            <w:left w:val="none" w:sz="0" w:space="0" w:color="auto"/>
            <w:bottom w:val="none" w:sz="0" w:space="0" w:color="auto"/>
            <w:right w:val="none" w:sz="0" w:space="0" w:color="auto"/>
          </w:divBdr>
        </w:div>
        <w:div w:id="1824665276">
          <w:marLeft w:val="0"/>
          <w:marRight w:val="0"/>
          <w:marTop w:val="0"/>
          <w:marBottom w:val="0"/>
          <w:divBdr>
            <w:top w:val="none" w:sz="0" w:space="0" w:color="auto"/>
            <w:left w:val="none" w:sz="0" w:space="0" w:color="auto"/>
            <w:bottom w:val="none" w:sz="0" w:space="0" w:color="auto"/>
            <w:right w:val="none" w:sz="0" w:space="0" w:color="auto"/>
          </w:divBdr>
        </w:div>
        <w:div w:id="1851485153">
          <w:marLeft w:val="0"/>
          <w:marRight w:val="0"/>
          <w:marTop w:val="0"/>
          <w:marBottom w:val="0"/>
          <w:divBdr>
            <w:top w:val="none" w:sz="0" w:space="0" w:color="auto"/>
            <w:left w:val="none" w:sz="0" w:space="0" w:color="auto"/>
            <w:bottom w:val="none" w:sz="0" w:space="0" w:color="auto"/>
            <w:right w:val="none" w:sz="0" w:space="0" w:color="auto"/>
          </w:divBdr>
        </w:div>
      </w:divsChild>
    </w:div>
    <w:div w:id="370035583">
      <w:bodyDiv w:val="1"/>
      <w:marLeft w:val="0"/>
      <w:marRight w:val="0"/>
      <w:marTop w:val="0"/>
      <w:marBottom w:val="0"/>
      <w:divBdr>
        <w:top w:val="none" w:sz="0" w:space="0" w:color="auto"/>
        <w:left w:val="none" w:sz="0" w:space="0" w:color="auto"/>
        <w:bottom w:val="none" w:sz="0" w:space="0" w:color="auto"/>
        <w:right w:val="none" w:sz="0" w:space="0" w:color="auto"/>
      </w:divBdr>
      <w:divsChild>
        <w:div w:id="374820199">
          <w:marLeft w:val="0"/>
          <w:marRight w:val="0"/>
          <w:marTop w:val="0"/>
          <w:marBottom w:val="0"/>
          <w:divBdr>
            <w:top w:val="none" w:sz="0" w:space="0" w:color="auto"/>
            <w:left w:val="none" w:sz="0" w:space="0" w:color="auto"/>
            <w:bottom w:val="none" w:sz="0" w:space="0" w:color="auto"/>
            <w:right w:val="none" w:sz="0" w:space="0" w:color="auto"/>
          </w:divBdr>
        </w:div>
        <w:div w:id="1485242896">
          <w:marLeft w:val="0"/>
          <w:marRight w:val="0"/>
          <w:marTop w:val="0"/>
          <w:marBottom w:val="0"/>
          <w:divBdr>
            <w:top w:val="none" w:sz="0" w:space="0" w:color="auto"/>
            <w:left w:val="none" w:sz="0" w:space="0" w:color="auto"/>
            <w:bottom w:val="none" w:sz="0" w:space="0" w:color="auto"/>
            <w:right w:val="none" w:sz="0" w:space="0" w:color="auto"/>
          </w:divBdr>
        </w:div>
        <w:div w:id="2122530908">
          <w:marLeft w:val="0"/>
          <w:marRight w:val="0"/>
          <w:marTop w:val="0"/>
          <w:marBottom w:val="0"/>
          <w:divBdr>
            <w:top w:val="none" w:sz="0" w:space="0" w:color="auto"/>
            <w:left w:val="none" w:sz="0" w:space="0" w:color="auto"/>
            <w:bottom w:val="none" w:sz="0" w:space="0" w:color="auto"/>
            <w:right w:val="none" w:sz="0" w:space="0" w:color="auto"/>
          </w:divBdr>
        </w:div>
      </w:divsChild>
    </w:div>
    <w:div w:id="48490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bi.aomrc.org.uk/interventions/knee-arthroscopy-for-patients-with-osteoarthritis/"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ice.org.uk/guidance/ipg23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ice.org.uk/guidance/ng226/chapter/Recommenda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C4934F7B0CB64FB712635246851451" ma:contentTypeVersion="14" ma:contentTypeDescription="Create a new document." ma:contentTypeScope="" ma:versionID="c9425648ac719d32d7dec3fe6dedc87b">
  <xsd:schema xmlns:xsd="http://www.w3.org/2001/XMLSchema" xmlns:xs="http://www.w3.org/2001/XMLSchema" xmlns:p="http://schemas.microsoft.com/office/2006/metadata/properties" xmlns:ns1="http://schemas.microsoft.com/sharepoint/v3" xmlns:ns2="5f3a27a0-5bd1-4826-8a06-13af7378a15a" xmlns:ns3="f3067cdb-6540-48a2-9007-7587a8c1b009" targetNamespace="http://schemas.microsoft.com/office/2006/metadata/properties" ma:root="true" ma:fieldsID="12f5ce4f5736c4bba1e66b482f48bbfd" ns1:_="" ns2:_="" ns3:_="">
    <xsd:import namespace="http://schemas.microsoft.com/sharepoint/v3"/>
    <xsd:import namespace="5f3a27a0-5bd1-4826-8a06-13af7378a15a"/>
    <xsd:import namespace="f3067cdb-6540-48a2-9007-7587a8c1b0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a27a0-5bd1-4826-8a06-13af7378a1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067cdb-6540-48a2-9007-7587a8c1b00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226a901-8310-4a0f-879f-ab13f29bf486}" ma:internalName="TaxCatchAll" ma:showField="CatchAllData" ma:web="f3067cdb-6540-48a2-9007-7587a8c1b0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f3a27a0-5bd1-4826-8a06-13af7378a15a">
      <Terms xmlns="http://schemas.microsoft.com/office/infopath/2007/PartnerControls"/>
    </lcf76f155ced4ddcb4097134ff3c332f>
    <TaxCatchAll xmlns="f3067cdb-6540-48a2-9007-7587a8c1b0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45ECC5-FB87-4AA7-B6AF-D35292F3A67B}"/>
</file>

<file path=customXml/itemProps2.xml><?xml version="1.0" encoding="utf-8"?>
<ds:datastoreItem xmlns:ds="http://schemas.openxmlformats.org/officeDocument/2006/customXml" ds:itemID="{EF5E2BB1-B746-425F-8753-9F82113632BA}">
  <ds:schemaRefs>
    <ds:schemaRef ds:uri="http://schemas.microsoft.com/office/2006/documentManagement/types"/>
    <ds:schemaRef ds:uri="http://purl.org/dc/terms/"/>
    <ds:schemaRef ds:uri="http://purl.org/dc/elements/1.1/"/>
    <ds:schemaRef ds:uri="http://schemas.microsoft.com/office/2006/metadata/properties"/>
    <ds:schemaRef ds:uri="http://schemas.openxmlformats.org/package/2006/metadata/core-properties"/>
    <ds:schemaRef ds:uri="f6a82410-35a1-48d9-a432-e298e5b95e46"/>
    <ds:schemaRef ds:uri="http://www.w3.org/XML/1998/namespace"/>
    <ds:schemaRef ds:uri="http://schemas.microsoft.com/sharepoint/v3"/>
    <ds:schemaRef ds:uri="http://schemas.microsoft.com/office/infopath/2007/PartnerControls"/>
    <ds:schemaRef ds:uri="1365388d-8e0b-4df5-a0a3-cd102b49988e"/>
    <ds:schemaRef ds:uri="http://purl.org/dc/dcmitype/"/>
  </ds:schemaRefs>
</ds:datastoreItem>
</file>

<file path=customXml/itemProps3.xml><?xml version="1.0" encoding="utf-8"?>
<ds:datastoreItem xmlns:ds="http://schemas.openxmlformats.org/officeDocument/2006/customXml" ds:itemID="{DFBBD2CD-97AF-407D-915F-1CD1CD696BF3}">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1729</Characters>
  <Application>Microsoft Office Word</Application>
  <DocSecurity>0</DocSecurity>
  <Lines>14</Lines>
  <Paragraphs>4</Paragraphs>
  <ScaleCrop>false</ScaleCrop>
  <Company>NHS</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SPALDING, Anne (THE ROXTON PRACTICE)</dc:creator>
  <cp:keywords/>
  <dc:description/>
  <cp:lastModifiedBy>BLACK, Rebecca (NHS HUMBER AND NORTH YORKSHIRE ICB - 02Y)</cp:lastModifiedBy>
  <cp:revision>2</cp:revision>
  <dcterms:created xsi:type="dcterms:W3CDTF">2025-03-19T16:46:00Z</dcterms:created>
  <dcterms:modified xsi:type="dcterms:W3CDTF">2025-03-19T16:46:00Z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0x0101008DC4934F7B0CB64FB712635246851451</vt:lpwstr>
  </property>
  <property fmtid="{D5CDD505-2E9C-101B-9397-08002B2CF9AE}" pid="3" name="MediaServiceImageTags">
    <vt:lpwstr/>
  </property>
  <property fmtid="{D5CDD505-2E9C-101B-9397-08002B2CF9AE}" pid="4" name="Order">
    <vt:r8>56200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ies>
</file>