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655"/>
        <w:gridCol w:w="6361"/>
      </w:tblGrid>
      <w:tr w:rsidR="00B97DAB" w14:paraId="3F32C22B" w14:textId="77777777" w:rsidTr="2C7F2839">
        <w:tc>
          <w:tcPr>
            <w:tcW w:w="2655" w:type="dxa"/>
          </w:tcPr>
          <w:p w14:paraId="2137C5A4" w14:textId="11B48F23" w:rsidR="00B97DAB" w:rsidRDefault="00B97DAB">
            <w:r>
              <w:t xml:space="preserve">Intervention </w:t>
            </w:r>
          </w:p>
        </w:tc>
        <w:tc>
          <w:tcPr>
            <w:tcW w:w="6361" w:type="dxa"/>
          </w:tcPr>
          <w:p w14:paraId="73A5EAEF" w14:textId="57909549" w:rsidR="00B97DAB" w:rsidRPr="00ED5143" w:rsidRDefault="1D878B4D" w:rsidP="25C9FF3D">
            <w:pPr>
              <w:rPr>
                <w:b/>
                <w:bCs/>
                <w:lang w:val="en-US"/>
              </w:rPr>
            </w:pPr>
            <w:r w:rsidRPr="2C7F2839">
              <w:rPr>
                <w:b/>
                <w:bCs/>
                <w:lang w:val="en-US"/>
              </w:rPr>
              <w:t xml:space="preserve">135. </w:t>
            </w:r>
            <w:r w:rsidR="55A62775" w:rsidRPr="2C7F2839">
              <w:rPr>
                <w:b/>
                <w:bCs/>
                <w:lang w:val="en-US"/>
              </w:rPr>
              <w:t>Benign skin lesion</w:t>
            </w:r>
            <w:r w:rsidR="03B7B26C" w:rsidRPr="2C7F2839">
              <w:rPr>
                <w:b/>
                <w:bCs/>
                <w:lang w:val="en-US"/>
              </w:rPr>
              <w:t xml:space="preserve"> – Surgical removal (including </w:t>
            </w:r>
            <w:r w:rsidR="4E64C95F" w:rsidRPr="2C7F2839">
              <w:rPr>
                <w:b/>
                <w:bCs/>
                <w:lang w:val="en-US"/>
              </w:rPr>
              <w:t>E</w:t>
            </w:r>
            <w:r w:rsidR="7D9E18D0" w:rsidRPr="2C7F2839">
              <w:rPr>
                <w:b/>
                <w:bCs/>
                <w:lang w:val="en-US"/>
              </w:rPr>
              <w:t>xcision</w:t>
            </w:r>
            <w:r w:rsidR="484046FC" w:rsidRPr="2C7F2839">
              <w:rPr>
                <w:b/>
                <w:bCs/>
                <w:lang w:val="en-US"/>
              </w:rPr>
              <w:t xml:space="preserve">, </w:t>
            </w:r>
            <w:r w:rsidR="7E44714B" w:rsidRPr="2C7F2839">
              <w:rPr>
                <w:b/>
                <w:bCs/>
                <w:lang w:val="en-US"/>
              </w:rPr>
              <w:t>Cryotherapy</w:t>
            </w:r>
            <w:r w:rsidR="2F669DA0" w:rsidRPr="2C7F2839">
              <w:rPr>
                <w:b/>
                <w:bCs/>
                <w:lang w:val="en-US"/>
              </w:rPr>
              <w:t>)</w:t>
            </w:r>
          </w:p>
        </w:tc>
      </w:tr>
      <w:tr w:rsidR="00B97DAB" w14:paraId="004828E6" w14:textId="77777777" w:rsidTr="2C7F2839">
        <w:tc>
          <w:tcPr>
            <w:tcW w:w="2655" w:type="dxa"/>
          </w:tcPr>
          <w:p w14:paraId="194FC277" w14:textId="469D4455" w:rsidR="00B97DAB" w:rsidRDefault="00B97DAB">
            <w:r>
              <w:t xml:space="preserve">For the treatment of </w:t>
            </w:r>
          </w:p>
        </w:tc>
        <w:tc>
          <w:tcPr>
            <w:tcW w:w="6361" w:type="dxa"/>
          </w:tcPr>
          <w:p w14:paraId="23E416B7" w14:textId="00003F9B" w:rsidR="00656075" w:rsidRDefault="65A7F979" w:rsidP="00330790">
            <w:r>
              <w:t xml:space="preserve">Benign skin lesions </w:t>
            </w:r>
          </w:p>
        </w:tc>
      </w:tr>
      <w:tr w:rsidR="00113D9B" w14:paraId="3D720573" w14:textId="77777777" w:rsidTr="2C7F2839">
        <w:tc>
          <w:tcPr>
            <w:tcW w:w="2655" w:type="dxa"/>
          </w:tcPr>
          <w:p w14:paraId="6B55BECB" w14:textId="291589DB" w:rsidR="00113D9B" w:rsidRDefault="00113D9B" w:rsidP="00113D9B">
            <w:r>
              <w:t xml:space="preserve">Commissioning Position </w:t>
            </w:r>
          </w:p>
        </w:tc>
        <w:tc>
          <w:tcPr>
            <w:tcW w:w="6361" w:type="dxa"/>
          </w:tcPr>
          <w:p w14:paraId="11535D23" w14:textId="3C2EB66E" w:rsidR="00177C4D" w:rsidRDefault="71F9B1D8" w:rsidP="52BF884C">
            <w:pPr>
              <w:spacing w:after="240"/>
              <w:textAlignment w:val="baseline"/>
            </w:pPr>
            <w:r w:rsidRPr="52BF884C">
              <w:t>This policy applies to all providers, including general practitioners (GPs), GPs with enhanced role (</w:t>
            </w:r>
            <w:proofErr w:type="spellStart"/>
            <w:r w:rsidRPr="52BF884C">
              <w:t>GPwER</w:t>
            </w:r>
            <w:proofErr w:type="spellEnd"/>
            <w:r w:rsidRPr="52BF884C">
              <w:t xml:space="preserve">), independent providers of NHS care, and community or intermediate NHS services. </w:t>
            </w:r>
          </w:p>
          <w:p w14:paraId="6CCD5AC4" w14:textId="43BC576D" w:rsidR="00177C4D" w:rsidRDefault="5FC9D243" w:rsidP="52BF884C">
            <w:pPr>
              <w:spacing w:before="240" w:after="240"/>
              <w:textAlignment w:val="baseline"/>
            </w:pPr>
            <w:r w:rsidRPr="52BF884C">
              <w:t>This policy refers to the following benign lesions when there is diagnostic certainty</w:t>
            </w:r>
            <w:r w:rsidR="7D514B33" w:rsidRPr="52BF884C">
              <w:t xml:space="preserve">: </w:t>
            </w:r>
            <w:r w:rsidRPr="52BF884C">
              <w:t>benign moles (excluding large congenital naevi), corn/callous, dermatofibroma, epidermoid &amp; pilar cysts (sometimes incorrectly called sebaceous cysts),</w:t>
            </w:r>
            <w:r w:rsidR="099309AA" w:rsidRPr="52BF884C">
              <w:t xml:space="preserve"> </w:t>
            </w:r>
            <w:r w:rsidRPr="52BF884C">
              <w:t>lipomas</w:t>
            </w:r>
            <w:r w:rsidR="760DF182" w:rsidRPr="52BF884C">
              <w:t xml:space="preserve">, </w:t>
            </w:r>
            <w:r w:rsidRPr="52BF884C">
              <w:t>milia</w:t>
            </w:r>
            <w:r w:rsidR="3385D40D" w:rsidRPr="52BF884C">
              <w:t xml:space="preserve">, </w:t>
            </w:r>
            <w:r w:rsidRPr="52BF884C">
              <w:t>molluscum contagiosum (non-genital)</w:t>
            </w:r>
            <w:r w:rsidR="4D378FC5" w:rsidRPr="52BF884C">
              <w:t xml:space="preserve">, </w:t>
            </w:r>
            <w:proofErr w:type="spellStart"/>
            <w:r w:rsidRPr="52BF884C">
              <w:t>neurofibromata</w:t>
            </w:r>
            <w:proofErr w:type="spellEnd"/>
            <w:r w:rsidR="747A496A" w:rsidRPr="52BF884C">
              <w:t xml:space="preserve">, </w:t>
            </w:r>
            <w:r w:rsidRPr="52BF884C">
              <w:t>non-genital viral warts in immunocompetent patients</w:t>
            </w:r>
            <w:r w:rsidR="70475364" w:rsidRPr="52BF884C">
              <w:t xml:space="preserve">, </w:t>
            </w:r>
            <w:r w:rsidRPr="52BF884C">
              <w:t>seborrhoeic keratoses (basal cell papillomata)</w:t>
            </w:r>
            <w:r w:rsidR="6A61ADA6" w:rsidRPr="52BF884C">
              <w:t xml:space="preserve">, </w:t>
            </w:r>
            <w:r w:rsidRPr="52BF884C">
              <w:t>skin tags (fibroepithelial polyps) including anal tags</w:t>
            </w:r>
            <w:r w:rsidR="1017022C" w:rsidRPr="52BF884C">
              <w:t xml:space="preserve">, </w:t>
            </w:r>
            <w:r w:rsidRPr="52BF884C">
              <w:t xml:space="preserve">solar </w:t>
            </w:r>
            <w:proofErr w:type="spellStart"/>
            <w:r w:rsidRPr="52BF884C">
              <w:t>comedones</w:t>
            </w:r>
            <w:proofErr w:type="spellEnd"/>
            <w:r w:rsidR="6D52BCB0" w:rsidRPr="52BF884C">
              <w:t xml:space="preserve">, </w:t>
            </w:r>
            <w:r w:rsidRPr="52BF884C">
              <w:t>spider naevi (telangiectasia)</w:t>
            </w:r>
            <w:r w:rsidR="2E759372" w:rsidRPr="52BF884C">
              <w:t xml:space="preserve">, </w:t>
            </w:r>
            <w:proofErr w:type="spellStart"/>
            <w:r w:rsidRPr="52BF884C">
              <w:t>xanthelasmata</w:t>
            </w:r>
            <w:proofErr w:type="spellEnd"/>
            <w:r w:rsidRPr="52BF884C">
              <w:t>.</w:t>
            </w:r>
          </w:p>
          <w:p w14:paraId="0B58F4B4" w14:textId="0C4F1364" w:rsidR="00177C4D" w:rsidRDefault="7161875F" w:rsidP="52BF884C">
            <w:pPr>
              <w:spacing w:before="240" w:after="240"/>
              <w:textAlignment w:val="baseline"/>
            </w:pPr>
            <w:r w:rsidRPr="52BF884C">
              <w:t>These interventions are commissioned for removal of any of the b</w:t>
            </w:r>
            <w:r w:rsidR="5FC9D243" w:rsidRPr="52BF884C">
              <w:t>enign skin lesions listed above</w:t>
            </w:r>
            <w:r w:rsidR="624D7F01" w:rsidRPr="52BF884C">
              <w:t xml:space="preserve"> if</w:t>
            </w:r>
            <w:r w:rsidR="5FC9D243" w:rsidRPr="52BF884C">
              <w:t>:</w:t>
            </w:r>
          </w:p>
          <w:p w14:paraId="2A8154F6" w14:textId="7F34D2F8" w:rsidR="00177C4D" w:rsidRDefault="2044EF41" w:rsidP="5B943958">
            <w:pPr>
              <w:pStyle w:val="ListParagraph"/>
              <w:numPr>
                <w:ilvl w:val="0"/>
                <w:numId w:val="1"/>
              </w:numPr>
              <w:spacing w:before="240" w:after="240"/>
              <w:textAlignment w:val="baseline"/>
            </w:pPr>
            <w:r w:rsidRPr="52BF884C">
              <w:t>t</w:t>
            </w:r>
            <w:r w:rsidR="5FC9D243" w:rsidRPr="52BF884C">
              <w:t>he lesion is unavoidably and significantly traumatised on a regular basis with evidence of this causing regular bleeding (more than twice weekly for at least four weeks caused by everyday activities i.e. not due to picking)</w:t>
            </w:r>
            <w:r w:rsidR="1BCF8AF3" w:rsidRPr="52BF884C">
              <w:t xml:space="preserve"> OR</w:t>
            </w:r>
          </w:p>
          <w:p w14:paraId="6A44205E" w14:textId="3AFADA54" w:rsidR="00177C4D" w:rsidRDefault="413EDBB2" w:rsidP="5B943958">
            <w:pPr>
              <w:pStyle w:val="ListParagraph"/>
              <w:numPr>
                <w:ilvl w:val="0"/>
                <w:numId w:val="1"/>
              </w:numPr>
              <w:spacing w:before="240" w:after="240"/>
              <w:textAlignment w:val="baseline"/>
            </w:pPr>
            <w:r w:rsidRPr="52BF884C">
              <w:t>t</w:t>
            </w:r>
            <w:r w:rsidR="5FC9D243" w:rsidRPr="52BF884C">
              <w:t>here is repeated infection requiring 2 or more antibiotic courses per year</w:t>
            </w:r>
            <w:r w:rsidR="51129582" w:rsidRPr="52BF884C">
              <w:t xml:space="preserve"> OR</w:t>
            </w:r>
          </w:p>
          <w:p w14:paraId="52837816" w14:textId="76CE2364" w:rsidR="00177C4D" w:rsidRDefault="469B5E11" w:rsidP="5B943958">
            <w:pPr>
              <w:pStyle w:val="ListParagraph"/>
              <w:numPr>
                <w:ilvl w:val="0"/>
                <w:numId w:val="1"/>
              </w:numPr>
              <w:spacing w:before="240" w:after="240"/>
              <w:textAlignment w:val="baseline"/>
            </w:pPr>
            <w:r w:rsidRPr="52BF884C">
              <w:t>t</w:t>
            </w:r>
            <w:r w:rsidR="5FC9D243" w:rsidRPr="52BF884C">
              <w:t xml:space="preserve">he lesion bleeds (more than twice weekly for at least four weeks) </w:t>
            </w:r>
            <w:r w:rsidR="15DCAF42" w:rsidRPr="52BF884C">
              <w:t>during</w:t>
            </w:r>
            <w:r w:rsidR="5FC9D243" w:rsidRPr="52BF884C">
              <w:t xml:space="preserve"> normal everyday activity</w:t>
            </w:r>
            <w:r w:rsidR="4CD3210E" w:rsidRPr="52BF884C">
              <w:t xml:space="preserve"> OR</w:t>
            </w:r>
          </w:p>
          <w:p w14:paraId="687868BA" w14:textId="510CF18B" w:rsidR="00177C4D" w:rsidRDefault="4CD3210E" w:rsidP="52BF884C">
            <w:pPr>
              <w:pStyle w:val="ListParagraph"/>
              <w:numPr>
                <w:ilvl w:val="0"/>
                <w:numId w:val="1"/>
              </w:numPr>
              <w:spacing w:before="240" w:after="240"/>
              <w:textAlignment w:val="baseline"/>
            </w:pPr>
            <w:r w:rsidRPr="52BF884C">
              <w:t>t</w:t>
            </w:r>
            <w:r w:rsidR="5FC9D243" w:rsidRPr="52BF884C">
              <w:t>he lesion causes pain requiring long-term daily medication</w:t>
            </w:r>
            <w:r w:rsidR="4D8E17F7" w:rsidRPr="52BF884C">
              <w:t xml:space="preserve"> OR</w:t>
            </w:r>
          </w:p>
          <w:p w14:paraId="72FDE120" w14:textId="31C75B90" w:rsidR="00177C4D" w:rsidRDefault="4D8E17F7" w:rsidP="52BF884C">
            <w:pPr>
              <w:pStyle w:val="ListParagraph"/>
              <w:numPr>
                <w:ilvl w:val="0"/>
                <w:numId w:val="1"/>
              </w:numPr>
              <w:spacing w:before="240" w:after="240"/>
              <w:textAlignment w:val="baseline"/>
            </w:pPr>
            <w:r w:rsidRPr="52BF884C">
              <w:t>t</w:t>
            </w:r>
            <w:r w:rsidR="5FC9D243" w:rsidRPr="52BF884C">
              <w:t xml:space="preserve">he lesion is obstructing an orifice or impairing field </w:t>
            </w:r>
            <w:r w:rsidR="7931A3AC" w:rsidRPr="52BF884C">
              <w:t xml:space="preserve">of </w:t>
            </w:r>
            <w:r w:rsidR="5FC9D243" w:rsidRPr="52BF884C">
              <w:t>vision</w:t>
            </w:r>
            <w:r w:rsidR="795D70DB" w:rsidRPr="52BF884C">
              <w:t xml:space="preserve"> OR</w:t>
            </w:r>
          </w:p>
          <w:p w14:paraId="1E930698" w14:textId="5EB15A3B" w:rsidR="00177C4D" w:rsidRDefault="795D70DB" w:rsidP="52BF884C">
            <w:pPr>
              <w:pStyle w:val="ListParagraph"/>
              <w:numPr>
                <w:ilvl w:val="0"/>
                <w:numId w:val="1"/>
              </w:numPr>
              <w:spacing w:before="240" w:after="240"/>
              <w:textAlignment w:val="baseline"/>
            </w:pPr>
            <w:r w:rsidRPr="52BF884C">
              <w:t>t</w:t>
            </w:r>
            <w:r w:rsidR="5FC9D243" w:rsidRPr="52BF884C">
              <w:t>he lesion significantly impacts on function e.g. restricts joint movement</w:t>
            </w:r>
            <w:r w:rsidR="5088BB12" w:rsidRPr="52BF884C">
              <w:t xml:space="preserve"> OR</w:t>
            </w:r>
          </w:p>
          <w:p w14:paraId="265D86B8" w14:textId="45777273" w:rsidR="00177C4D" w:rsidRDefault="5088BB12" w:rsidP="5B943958">
            <w:pPr>
              <w:pStyle w:val="ListParagraph"/>
              <w:numPr>
                <w:ilvl w:val="0"/>
                <w:numId w:val="1"/>
              </w:numPr>
              <w:spacing w:before="240" w:after="240"/>
              <w:textAlignment w:val="baseline"/>
            </w:pPr>
            <w:r w:rsidRPr="52BF884C">
              <w:t>t</w:t>
            </w:r>
            <w:r w:rsidR="5FC9D243" w:rsidRPr="52BF884C">
              <w:t xml:space="preserve">he lesion causes pressure symptoms which are unavoidable, cannot be managed conservatively and cause atrophy. </w:t>
            </w:r>
            <w:r w:rsidR="0E3B3B67" w:rsidRPr="52BF884C">
              <w:t xml:space="preserve">(NB </w:t>
            </w:r>
            <w:r w:rsidR="5FC9D243" w:rsidRPr="52BF884C">
              <w:t>Verruca</w:t>
            </w:r>
            <w:r w:rsidR="444CA756" w:rsidRPr="52BF884C">
              <w:t>e</w:t>
            </w:r>
            <w:r w:rsidR="5FC9D243" w:rsidRPr="52BF884C">
              <w:t xml:space="preserve"> on the feet do not normally meet </w:t>
            </w:r>
            <w:r w:rsidR="47E17F74" w:rsidRPr="52BF884C">
              <w:t>these criteria</w:t>
            </w:r>
            <w:r w:rsidR="5FC9D243" w:rsidRPr="52BF884C">
              <w:t xml:space="preserve"> as they can be pared back to avoid pressure symptoms</w:t>
            </w:r>
            <w:r w:rsidR="2D426EDC" w:rsidRPr="52BF884C">
              <w:t>). OR</w:t>
            </w:r>
          </w:p>
          <w:p w14:paraId="770F2BE6" w14:textId="48649E00" w:rsidR="00177C4D" w:rsidRDefault="2D426EDC" w:rsidP="52BF884C">
            <w:pPr>
              <w:pStyle w:val="ListParagraph"/>
              <w:numPr>
                <w:ilvl w:val="0"/>
                <w:numId w:val="1"/>
              </w:numPr>
              <w:spacing w:before="240" w:after="240"/>
              <w:textAlignment w:val="baseline"/>
            </w:pPr>
            <w:r w:rsidRPr="52BF884C">
              <w:t>i</w:t>
            </w:r>
            <w:r w:rsidR="5FC9D243" w:rsidRPr="52BF884C">
              <w:t xml:space="preserve">f left untreated, more invasive intervention would be required </w:t>
            </w:r>
            <w:r w:rsidR="2F4ADDB0" w:rsidRPr="52BF884C">
              <w:t xml:space="preserve">later </w:t>
            </w:r>
            <w:r w:rsidR="5FC9D243" w:rsidRPr="52BF884C">
              <w:t>for removal</w:t>
            </w:r>
            <w:r w:rsidR="1447818A" w:rsidRPr="52BF884C">
              <w:t xml:space="preserve"> OR</w:t>
            </w:r>
          </w:p>
          <w:p w14:paraId="240D6614" w14:textId="4E6A3C4B" w:rsidR="00177C4D" w:rsidRDefault="1447818A" w:rsidP="52BF884C">
            <w:pPr>
              <w:pStyle w:val="ListParagraph"/>
              <w:numPr>
                <w:ilvl w:val="0"/>
                <w:numId w:val="1"/>
              </w:numPr>
              <w:spacing w:before="240"/>
              <w:textAlignment w:val="baseline"/>
            </w:pPr>
            <w:r w:rsidRPr="52BF884C">
              <w:t>the lesion is a f</w:t>
            </w:r>
            <w:r w:rsidR="5FC9D243" w:rsidRPr="52BF884C">
              <w:t>acial viral wart causing significant psychological distress</w:t>
            </w:r>
          </w:p>
          <w:p w14:paraId="0A527DD6" w14:textId="149EA229" w:rsidR="00177C4D" w:rsidRDefault="00177C4D" w:rsidP="52BF884C">
            <w:pPr>
              <w:textAlignment w:val="baseline"/>
            </w:pPr>
          </w:p>
          <w:p w14:paraId="318E62E9" w14:textId="096499C7" w:rsidR="2AA2F7B2" w:rsidRDefault="2AA2F7B2" w:rsidP="53D359D8">
            <w:pPr>
              <w:spacing w:line="259" w:lineRule="auto"/>
              <w:rPr>
                <w:rFonts w:ascii="Calibri" w:eastAsia="Calibri" w:hAnsi="Calibri" w:cs="Calibri"/>
              </w:rPr>
            </w:pPr>
            <w:r w:rsidRPr="53D359D8">
              <w:rPr>
                <w:rFonts w:ascii="Calibri" w:eastAsia="Calibri" w:hAnsi="Calibri" w:cs="Calibri"/>
                <w:color w:val="000000" w:themeColor="text1"/>
              </w:rPr>
              <w:t>Treatment is not otherwise commissioned for personal preference on cosmetic grounds.</w:t>
            </w:r>
          </w:p>
          <w:p w14:paraId="03FB827A" w14:textId="7E027C15" w:rsidR="53D359D8" w:rsidRDefault="53D359D8" w:rsidP="53D359D8"/>
          <w:p w14:paraId="53855746" w14:textId="605D0681" w:rsidR="00177C4D" w:rsidRDefault="5221F600" w:rsidP="52BF884C">
            <w:pPr>
              <w:textAlignment w:val="baseline"/>
            </w:pPr>
            <w:r w:rsidRPr="52BF884C">
              <w:t xml:space="preserve">Lesions that are suspicious of malignancy, any lesion where there is diagnostic uncertainty, lesions with premalignant potential and </w:t>
            </w:r>
            <w:r w:rsidRPr="52BF884C">
              <w:lastRenderedPageBreak/>
              <w:t>removal of lesions other than those listed above are not covered by this policy.</w:t>
            </w:r>
          </w:p>
        </w:tc>
      </w:tr>
      <w:tr w:rsidR="00113D9B" w14:paraId="2EEB5014" w14:textId="77777777" w:rsidTr="2C7F2839">
        <w:tc>
          <w:tcPr>
            <w:tcW w:w="2655" w:type="dxa"/>
          </w:tcPr>
          <w:p w14:paraId="31574E9B" w14:textId="509110BD" w:rsidR="00113D9B" w:rsidRDefault="00113D9B" w:rsidP="00113D9B">
            <w:r>
              <w:lastRenderedPageBreak/>
              <w:t>Summary of Rationale</w:t>
            </w:r>
          </w:p>
          <w:p w14:paraId="61460744" w14:textId="7D87783C" w:rsidR="00113D9B" w:rsidRDefault="00113D9B" w:rsidP="00113D9B"/>
        </w:tc>
        <w:tc>
          <w:tcPr>
            <w:tcW w:w="6361" w:type="dxa"/>
          </w:tcPr>
          <w:p w14:paraId="71E7E449" w14:textId="7BD6FFDD" w:rsidR="00113D9B" w:rsidRDefault="0256BB29" w:rsidP="52BF884C">
            <w:pPr>
              <w:spacing w:after="240"/>
            </w:pPr>
            <w:r w:rsidRPr="52BF884C">
              <w:rPr>
                <w:rFonts w:ascii="Calibri" w:eastAsia="Calibri" w:hAnsi="Calibri" w:cs="Calibri"/>
              </w:rPr>
              <w:t>There is little evidence to suggest that removing benign skin lesions to improve appearance is beneficial. Risks of this procedure include bleeding, pain, infection and scarring. Though in certain specific cases as outlined by the criteria above, there are benefits for removing skin lesions, for example, avoidance of pain and allowing normal functioning.</w:t>
            </w:r>
          </w:p>
          <w:p w14:paraId="5691B576" w14:textId="390799DE" w:rsidR="00113D9B" w:rsidRDefault="52EC3652" w:rsidP="52BF884C">
            <w:r w:rsidRPr="52BF884C">
              <w:t>Lipomas on the body &gt; 5cms, or in a sub-facial position, with rapid growth and/or pain should be referred to a Sarcoma clinic.</w:t>
            </w:r>
          </w:p>
        </w:tc>
      </w:tr>
      <w:tr w:rsidR="00113D9B" w14:paraId="45DC12DB" w14:textId="77777777" w:rsidTr="2C7F2839">
        <w:tc>
          <w:tcPr>
            <w:tcW w:w="2655" w:type="dxa"/>
          </w:tcPr>
          <w:p w14:paraId="5A47F1A1" w14:textId="4F582E47" w:rsidR="00113D9B" w:rsidRDefault="00113D9B" w:rsidP="00113D9B">
            <w:r>
              <w:t xml:space="preserve">References </w:t>
            </w:r>
          </w:p>
        </w:tc>
        <w:tc>
          <w:tcPr>
            <w:tcW w:w="6361" w:type="dxa"/>
          </w:tcPr>
          <w:p w14:paraId="150D9A10" w14:textId="5952CC56" w:rsidR="00113D9B" w:rsidRPr="0039492D" w:rsidRDefault="2F4FD95B" w:rsidP="5B943958">
            <w:hyperlink r:id="rId10">
              <w:r w:rsidRPr="52BF884C">
                <w:rPr>
                  <w:rStyle w:val="Hyperlink"/>
                  <w:rFonts w:ascii="Calibri" w:eastAsia="Calibri" w:hAnsi="Calibri" w:cs="Calibri"/>
                </w:rPr>
                <w:t xml:space="preserve">EBI </w:t>
              </w:r>
              <w:r w:rsidR="3A03E815" w:rsidRPr="52BF884C">
                <w:rPr>
                  <w:rStyle w:val="Hyperlink"/>
                  <w:rFonts w:ascii="Calibri" w:eastAsia="Calibri" w:hAnsi="Calibri" w:cs="Calibri"/>
                </w:rPr>
                <w:t>Removal of benign skin lesions (AOMRC)</w:t>
              </w:r>
            </w:hyperlink>
          </w:p>
        </w:tc>
      </w:tr>
      <w:tr w:rsidR="00113D9B" w14:paraId="2F64E887" w14:textId="77777777" w:rsidTr="2C7F2839">
        <w:tc>
          <w:tcPr>
            <w:tcW w:w="2655" w:type="dxa"/>
          </w:tcPr>
          <w:p w14:paraId="26CC3A7F" w14:textId="3F59DDFA" w:rsidR="00113D9B" w:rsidRDefault="00113D9B" w:rsidP="00113D9B">
            <w:r>
              <w:t>Effective from</w:t>
            </w:r>
          </w:p>
        </w:tc>
        <w:tc>
          <w:tcPr>
            <w:tcW w:w="6361" w:type="dxa"/>
          </w:tcPr>
          <w:p w14:paraId="03ECD2F0" w14:textId="4917313C" w:rsidR="00113D9B" w:rsidRDefault="0F8D92AA" w:rsidP="00113D9B">
            <w:r>
              <w:t>January</w:t>
            </w:r>
            <w:r w:rsidR="45E72C2A">
              <w:t xml:space="preserve"> </w:t>
            </w:r>
            <w:r w:rsidR="00113D9B">
              <w:t>202</w:t>
            </w:r>
            <w:r w:rsidR="1ACCDB11">
              <w:t>5</w:t>
            </w:r>
          </w:p>
        </w:tc>
      </w:tr>
      <w:tr w:rsidR="00113D9B" w14:paraId="2C1E1213" w14:textId="77777777" w:rsidTr="2C7F2839">
        <w:tc>
          <w:tcPr>
            <w:tcW w:w="2655" w:type="dxa"/>
          </w:tcPr>
          <w:p w14:paraId="4D394461" w14:textId="4D85EBE7" w:rsidR="00113D9B" w:rsidRDefault="00113D9B" w:rsidP="00113D9B">
            <w:r>
              <w:t xml:space="preserve">Policy Review Date </w:t>
            </w:r>
          </w:p>
        </w:tc>
        <w:tc>
          <w:tcPr>
            <w:tcW w:w="6361" w:type="dxa"/>
          </w:tcPr>
          <w:p w14:paraId="29012611" w14:textId="491D2B20" w:rsidR="00113D9B" w:rsidRDefault="70DEF337" w:rsidP="00113D9B">
            <w:r>
              <w:t>January</w:t>
            </w:r>
            <w:r w:rsidR="78802FCE">
              <w:t xml:space="preserve"> </w:t>
            </w:r>
            <w:r w:rsidR="00113D9B">
              <w:t>202</w:t>
            </w:r>
            <w:r w:rsidR="49290983">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E7339C"/>
    <w:multiLevelType w:val="hybridMultilevel"/>
    <w:tmpl w:val="83DE519A"/>
    <w:lvl w:ilvl="0" w:tplc="EAFA35EE">
      <w:start w:val="1"/>
      <w:numFmt w:val="bullet"/>
      <w:lvlText w:val=""/>
      <w:lvlJc w:val="left"/>
      <w:pPr>
        <w:ind w:left="720" w:hanging="360"/>
      </w:pPr>
      <w:rPr>
        <w:rFonts w:ascii="Symbol" w:hAnsi="Symbol" w:hint="default"/>
      </w:rPr>
    </w:lvl>
    <w:lvl w:ilvl="1" w:tplc="657238D6">
      <w:start w:val="1"/>
      <w:numFmt w:val="bullet"/>
      <w:lvlText w:val="o"/>
      <w:lvlJc w:val="left"/>
      <w:pPr>
        <w:ind w:left="1440" w:hanging="360"/>
      </w:pPr>
      <w:rPr>
        <w:rFonts w:ascii="Courier New" w:hAnsi="Courier New" w:hint="default"/>
      </w:rPr>
    </w:lvl>
    <w:lvl w:ilvl="2" w:tplc="CC8818FA">
      <w:start w:val="1"/>
      <w:numFmt w:val="bullet"/>
      <w:lvlText w:val=""/>
      <w:lvlJc w:val="left"/>
      <w:pPr>
        <w:ind w:left="2160" w:hanging="360"/>
      </w:pPr>
      <w:rPr>
        <w:rFonts w:ascii="Wingdings" w:hAnsi="Wingdings" w:hint="default"/>
      </w:rPr>
    </w:lvl>
    <w:lvl w:ilvl="3" w:tplc="A8F8A030">
      <w:start w:val="1"/>
      <w:numFmt w:val="bullet"/>
      <w:lvlText w:val=""/>
      <w:lvlJc w:val="left"/>
      <w:pPr>
        <w:ind w:left="2880" w:hanging="360"/>
      </w:pPr>
      <w:rPr>
        <w:rFonts w:ascii="Symbol" w:hAnsi="Symbol" w:hint="default"/>
      </w:rPr>
    </w:lvl>
    <w:lvl w:ilvl="4" w:tplc="CF30074A">
      <w:start w:val="1"/>
      <w:numFmt w:val="bullet"/>
      <w:lvlText w:val="o"/>
      <w:lvlJc w:val="left"/>
      <w:pPr>
        <w:ind w:left="3600" w:hanging="360"/>
      </w:pPr>
      <w:rPr>
        <w:rFonts w:ascii="Courier New" w:hAnsi="Courier New" w:hint="default"/>
      </w:rPr>
    </w:lvl>
    <w:lvl w:ilvl="5" w:tplc="16621BA8">
      <w:start w:val="1"/>
      <w:numFmt w:val="bullet"/>
      <w:lvlText w:val=""/>
      <w:lvlJc w:val="left"/>
      <w:pPr>
        <w:ind w:left="4320" w:hanging="360"/>
      </w:pPr>
      <w:rPr>
        <w:rFonts w:ascii="Wingdings" w:hAnsi="Wingdings" w:hint="default"/>
      </w:rPr>
    </w:lvl>
    <w:lvl w:ilvl="6" w:tplc="4B6A84EC">
      <w:start w:val="1"/>
      <w:numFmt w:val="bullet"/>
      <w:lvlText w:val=""/>
      <w:lvlJc w:val="left"/>
      <w:pPr>
        <w:ind w:left="5040" w:hanging="360"/>
      </w:pPr>
      <w:rPr>
        <w:rFonts w:ascii="Symbol" w:hAnsi="Symbol" w:hint="default"/>
      </w:rPr>
    </w:lvl>
    <w:lvl w:ilvl="7" w:tplc="AFEEB1EE">
      <w:start w:val="1"/>
      <w:numFmt w:val="bullet"/>
      <w:lvlText w:val="o"/>
      <w:lvlJc w:val="left"/>
      <w:pPr>
        <w:ind w:left="5760" w:hanging="360"/>
      </w:pPr>
      <w:rPr>
        <w:rFonts w:ascii="Courier New" w:hAnsi="Courier New" w:hint="default"/>
      </w:rPr>
    </w:lvl>
    <w:lvl w:ilvl="8" w:tplc="991A0C74">
      <w:start w:val="1"/>
      <w:numFmt w:val="bullet"/>
      <w:lvlText w:val=""/>
      <w:lvlJc w:val="left"/>
      <w:pPr>
        <w:ind w:left="648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196902">
    <w:abstractNumId w:val="3"/>
  </w:num>
  <w:num w:numId="2" w16cid:durableId="1733386344">
    <w:abstractNumId w:val="1"/>
  </w:num>
  <w:num w:numId="3" w16cid:durableId="1872303278">
    <w:abstractNumId w:val="11"/>
  </w:num>
  <w:num w:numId="4" w16cid:durableId="1147431926">
    <w:abstractNumId w:val="0"/>
  </w:num>
  <w:num w:numId="5" w16cid:durableId="890380511">
    <w:abstractNumId w:val="4"/>
  </w:num>
  <w:num w:numId="6" w16cid:durableId="1585725535">
    <w:abstractNumId w:val="10"/>
  </w:num>
  <w:num w:numId="7" w16cid:durableId="1128164145">
    <w:abstractNumId w:val="7"/>
  </w:num>
  <w:num w:numId="8" w16cid:durableId="1607155194">
    <w:abstractNumId w:val="9"/>
  </w:num>
  <w:num w:numId="9" w16cid:durableId="70854915">
    <w:abstractNumId w:val="2"/>
  </w:num>
  <w:num w:numId="10" w16cid:durableId="1686781628">
    <w:abstractNumId w:val="5"/>
  </w:num>
  <w:num w:numId="11" w16cid:durableId="1966278688">
    <w:abstractNumId w:val="6"/>
  </w:num>
  <w:num w:numId="12"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27F8E"/>
    <w:rsid w:val="00496FC2"/>
    <w:rsid w:val="004C292B"/>
    <w:rsid w:val="0054235E"/>
    <w:rsid w:val="005565A7"/>
    <w:rsid w:val="005820AB"/>
    <w:rsid w:val="005E3ADB"/>
    <w:rsid w:val="005F0F1D"/>
    <w:rsid w:val="00601702"/>
    <w:rsid w:val="00656075"/>
    <w:rsid w:val="006A1DC3"/>
    <w:rsid w:val="00702D52"/>
    <w:rsid w:val="007606C0"/>
    <w:rsid w:val="00784A20"/>
    <w:rsid w:val="007A1D76"/>
    <w:rsid w:val="0080365B"/>
    <w:rsid w:val="0086083A"/>
    <w:rsid w:val="0093C44A"/>
    <w:rsid w:val="00946B0C"/>
    <w:rsid w:val="009D48EB"/>
    <w:rsid w:val="00A00E8F"/>
    <w:rsid w:val="00A21761"/>
    <w:rsid w:val="00A51972"/>
    <w:rsid w:val="00A719FC"/>
    <w:rsid w:val="00AA38E1"/>
    <w:rsid w:val="00AE39A5"/>
    <w:rsid w:val="00B835D0"/>
    <w:rsid w:val="00B97DAB"/>
    <w:rsid w:val="00BC27F1"/>
    <w:rsid w:val="00C5358B"/>
    <w:rsid w:val="00C55041"/>
    <w:rsid w:val="00CAA4BC"/>
    <w:rsid w:val="00D81158"/>
    <w:rsid w:val="00D81B9A"/>
    <w:rsid w:val="00DD4A29"/>
    <w:rsid w:val="00E13A3A"/>
    <w:rsid w:val="00E17065"/>
    <w:rsid w:val="00E23A5B"/>
    <w:rsid w:val="00EB3CFA"/>
    <w:rsid w:val="00ED5143"/>
    <w:rsid w:val="00F012EF"/>
    <w:rsid w:val="00F9067A"/>
    <w:rsid w:val="00FF3EE2"/>
    <w:rsid w:val="00FF6EF3"/>
    <w:rsid w:val="01280B37"/>
    <w:rsid w:val="01A0723A"/>
    <w:rsid w:val="01D2C0F8"/>
    <w:rsid w:val="0256BB29"/>
    <w:rsid w:val="02B3C44F"/>
    <w:rsid w:val="02BCDE2B"/>
    <w:rsid w:val="031046DF"/>
    <w:rsid w:val="034324B1"/>
    <w:rsid w:val="03B7B26C"/>
    <w:rsid w:val="040C853C"/>
    <w:rsid w:val="05425A74"/>
    <w:rsid w:val="099309AA"/>
    <w:rsid w:val="09960BC3"/>
    <w:rsid w:val="0A0B1EC8"/>
    <w:rsid w:val="0B6A0C66"/>
    <w:rsid w:val="0C7EE188"/>
    <w:rsid w:val="0DCB6B24"/>
    <w:rsid w:val="0E2289EC"/>
    <w:rsid w:val="0E3B3B67"/>
    <w:rsid w:val="0F8D92AA"/>
    <w:rsid w:val="0FB5482A"/>
    <w:rsid w:val="1017022C"/>
    <w:rsid w:val="12AEB916"/>
    <w:rsid w:val="1300C9E1"/>
    <w:rsid w:val="13685818"/>
    <w:rsid w:val="13F63555"/>
    <w:rsid w:val="142DD9A1"/>
    <w:rsid w:val="1447818A"/>
    <w:rsid w:val="15DCAF42"/>
    <w:rsid w:val="17AECED6"/>
    <w:rsid w:val="17D143FA"/>
    <w:rsid w:val="17E0DCF2"/>
    <w:rsid w:val="1829AC84"/>
    <w:rsid w:val="19E33475"/>
    <w:rsid w:val="1ACCDB11"/>
    <w:rsid w:val="1B43426C"/>
    <w:rsid w:val="1BC662FA"/>
    <w:rsid w:val="1BCF8AF3"/>
    <w:rsid w:val="1C8B89BA"/>
    <w:rsid w:val="1D18DE6F"/>
    <w:rsid w:val="1D7BA3D8"/>
    <w:rsid w:val="1D878B4D"/>
    <w:rsid w:val="1DD6F1EE"/>
    <w:rsid w:val="1DF0E17D"/>
    <w:rsid w:val="1E87FD59"/>
    <w:rsid w:val="1F92CEBE"/>
    <w:rsid w:val="1F978405"/>
    <w:rsid w:val="2044EF41"/>
    <w:rsid w:val="210AD16C"/>
    <w:rsid w:val="229E4C0C"/>
    <w:rsid w:val="231DDA19"/>
    <w:rsid w:val="236D715C"/>
    <w:rsid w:val="237966E0"/>
    <w:rsid w:val="24570A94"/>
    <w:rsid w:val="24D5FB3E"/>
    <w:rsid w:val="25C9FF3D"/>
    <w:rsid w:val="2734FF8D"/>
    <w:rsid w:val="29633193"/>
    <w:rsid w:val="2A602EEE"/>
    <w:rsid w:val="2A723FE4"/>
    <w:rsid w:val="2AA2F7B2"/>
    <w:rsid w:val="2B9E4B41"/>
    <w:rsid w:val="2BF356F9"/>
    <w:rsid w:val="2C2E96FA"/>
    <w:rsid w:val="2C7F2839"/>
    <w:rsid w:val="2CED6C48"/>
    <w:rsid w:val="2D426EDC"/>
    <w:rsid w:val="2D66449F"/>
    <w:rsid w:val="2E0A843C"/>
    <w:rsid w:val="2E759372"/>
    <w:rsid w:val="2F4ADDB0"/>
    <w:rsid w:val="2F4FD95B"/>
    <w:rsid w:val="2F669DA0"/>
    <w:rsid w:val="308DA33E"/>
    <w:rsid w:val="3194BA9C"/>
    <w:rsid w:val="3238E483"/>
    <w:rsid w:val="32E980F6"/>
    <w:rsid w:val="3385D40D"/>
    <w:rsid w:val="34B68F6F"/>
    <w:rsid w:val="35BA78BC"/>
    <w:rsid w:val="385D97DD"/>
    <w:rsid w:val="389181A6"/>
    <w:rsid w:val="39BAF3F0"/>
    <w:rsid w:val="3A03AC17"/>
    <w:rsid w:val="3A03E815"/>
    <w:rsid w:val="3A4F6AFC"/>
    <w:rsid w:val="3B526FD8"/>
    <w:rsid w:val="3BD040C2"/>
    <w:rsid w:val="3C212B25"/>
    <w:rsid w:val="3C486DD2"/>
    <w:rsid w:val="3C6709A9"/>
    <w:rsid w:val="3DD2678B"/>
    <w:rsid w:val="3E8E071A"/>
    <w:rsid w:val="3F49D7AA"/>
    <w:rsid w:val="3FF48BFB"/>
    <w:rsid w:val="413EDBB2"/>
    <w:rsid w:val="423AEE49"/>
    <w:rsid w:val="42A30257"/>
    <w:rsid w:val="43D8C9D4"/>
    <w:rsid w:val="43E4EBAB"/>
    <w:rsid w:val="441FF119"/>
    <w:rsid w:val="444CA756"/>
    <w:rsid w:val="44709B3A"/>
    <w:rsid w:val="44DFFF9E"/>
    <w:rsid w:val="45497F20"/>
    <w:rsid w:val="455AA220"/>
    <w:rsid w:val="45BBB0C4"/>
    <w:rsid w:val="45E72C2A"/>
    <w:rsid w:val="4604FD5E"/>
    <w:rsid w:val="465C7FDE"/>
    <w:rsid w:val="466E3267"/>
    <w:rsid w:val="469B5E11"/>
    <w:rsid w:val="47464528"/>
    <w:rsid w:val="47E17F74"/>
    <w:rsid w:val="484046FC"/>
    <w:rsid w:val="4895AD33"/>
    <w:rsid w:val="492132F9"/>
    <w:rsid w:val="49290983"/>
    <w:rsid w:val="4960F62E"/>
    <w:rsid w:val="4AEE0397"/>
    <w:rsid w:val="4BA7C9DC"/>
    <w:rsid w:val="4CADA413"/>
    <w:rsid w:val="4CD3210E"/>
    <w:rsid w:val="4D301143"/>
    <w:rsid w:val="4D378FC5"/>
    <w:rsid w:val="4D8DD7CD"/>
    <w:rsid w:val="4D8E17F7"/>
    <w:rsid w:val="4E64C95F"/>
    <w:rsid w:val="4F9A594B"/>
    <w:rsid w:val="506D4E92"/>
    <w:rsid w:val="5088BB12"/>
    <w:rsid w:val="509D0A6E"/>
    <w:rsid w:val="50A0132D"/>
    <w:rsid w:val="51129582"/>
    <w:rsid w:val="518BE983"/>
    <w:rsid w:val="51E8A9EF"/>
    <w:rsid w:val="5221F600"/>
    <w:rsid w:val="522AF6EB"/>
    <w:rsid w:val="52BAF039"/>
    <w:rsid w:val="52BF884C"/>
    <w:rsid w:val="52EC3652"/>
    <w:rsid w:val="53D359D8"/>
    <w:rsid w:val="55A62775"/>
    <w:rsid w:val="56541B87"/>
    <w:rsid w:val="56FDB0F3"/>
    <w:rsid w:val="5889EC3A"/>
    <w:rsid w:val="5A1FE28F"/>
    <w:rsid w:val="5B7B4BF6"/>
    <w:rsid w:val="5B943958"/>
    <w:rsid w:val="5BE0BB1E"/>
    <w:rsid w:val="5CDDD6E9"/>
    <w:rsid w:val="5D23953E"/>
    <w:rsid w:val="5D842159"/>
    <w:rsid w:val="5EEF045C"/>
    <w:rsid w:val="5F1E1171"/>
    <w:rsid w:val="5FC9D243"/>
    <w:rsid w:val="616F8327"/>
    <w:rsid w:val="618E33EE"/>
    <w:rsid w:val="624D7F01"/>
    <w:rsid w:val="62E581D5"/>
    <w:rsid w:val="6454475A"/>
    <w:rsid w:val="65A7F979"/>
    <w:rsid w:val="66C9DBA0"/>
    <w:rsid w:val="684015C6"/>
    <w:rsid w:val="6896AD0E"/>
    <w:rsid w:val="68A754F2"/>
    <w:rsid w:val="6907A8AE"/>
    <w:rsid w:val="6A61ADA6"/>
    <w:rsid w:val="6B712061"/>
    <w:rsid w:val="6CF44C8E"/>
    <w:rsid w:val="6D52BCB0"/>
    <w:rsid w:val="6FEBCAED"/>
    <w:rsid w:val="70475364"/>
    <w:rsid w:val="70DEF337"/>
    <w:rsid w:val="7161875F"/>
    <w:rsid w:val="71F9B1D8"/>
    <w:rsid w:val="72F30E7F"/>
    <w:rsid w:val="72F6B1C3"/>
    <w:rsid w:val="72FA37F0"/>
    <w:rsid w:val="730D646E"/>
    <w:rsid w:val="747A496A"/>
    <w:rsid w:val="74D5C9A6"/>
    <w:rsid w:val="7541B582"/>
    <w:rsid w:val="760DF182"/>
    <w:rsid w:val="77383A75"/>
    <w:rsid w:val="78802FCE"/>
    <w:rsid w:val="788B39B6"/>
    <w:rsid w:val="79305005"/>
    <w:rsid w:val="7931A3AC"/>
    <w:rsid w:val="794AB224"/>
    <w:rsid w:val="795D70DB"/>
    <w:rsid w:val="79BC8E83"/>
    <w:rsid w:val="7A960F3D"/>
    <w:rsid w:val="7AD5B258"/>
    <w:rsid w:val="7ADC5D01"/>
    <w:rsid w:val="7D514B33"/>
    <w:rsid w:val="7D588AA7"/>
    <w:rsid w:val="7D9E18D0"/>
    <w:rsid w:val="7E0A7EF1"/>
    <w:rsid w:val="7E44714B"/>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ebi.aomrc.org.uk/interventions/removal-of-benign-skin-le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0902693A-7007-4EBD-B74A-6BC2E4A1F0F0}"/>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f6a82410-35a1-48d9-a432-e298e5b95e46"/>
    <ds:schemaRef ds:uri="http://purl.org/dc/elements/1.1/"/>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1365388d-8e0b-4df5-a0a3-cd102b49988e"/>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Company>NHS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DAVIES, Quintina (NHS HUMBER AND NORTH YORKSHIRE ICB - 02Y)</cp:lastModifiedBy>
  <cp:revision>3</cp:revision>
  <dcterms:created xsi:type="dcterms:W3CDTF">2025-03-19T16:48:00Z</dcterms:created>
  <dcterms:modified xsi:type="dcterms:W3CDTF">2025-04-04T10:20:00Z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56800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