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95"/>
        <w:gridCol w:w="6421"/>
      </w:tblGrid>
      <w:tr w:rsidR="00B97DAB" w14:paraId="3F32C22B" w14:textId="77777777" w:rsidTr="06302FD8">
        <w:tc>
          <w:tcPr>
            <w:tcW w:w="2595" w:type="dxa"/>
          </w:tcPr>
          <w:p w14:paraId="2137C5A4" w14:textId="48B8DBCE" w:rsidR="00B97DAB" w:rsidRDefault="00B97DAB">
            <w:r>
              <w:t xml:space="preserve">Intervention </w:t>
            </w:r>
          </w:p>
        </w:tc>
        <w:tc>
          <w:tcPr>
            <w:tcW w:w="6421" w:type="dxa"/>
          </w:tcPr>
          <w:p w14:paraId="73A5EAEF" w14:textId="7A5EE7D3" w:rsidR="00B97DAB" w:rsidRPr="00ED5143" w:rsidRDefault="0AC3CC63" w:rsidP="25C9FF3D">
            <w:pPr>
              <w:rPr>
                <w:b/>
                <w:bCs/>
                <w:lang w:val="en-US"/>
              </w:rPr>
            </w:pPr>
            <w:r w:rsidRPr="17346E1A">
              <w:rPr>
                <w:b/>
                <w:bCs/>
                <w:lang w:val="en-US"/>
              </w:rPr>
              <w:t xml:space="preserve">136. </w:t>
            </w:r>
            <w:r w:rsidR="379A1B51" w:rsidRPr="17346E1A">
              <w:rPr>
                <w:b/>
                <w:bCs/>
                <w:lang w:val="en-US"/>
              </w:rPr>
              <w:t>Vaginoplasty, Labiaplasty and Hymenorrhaphy</w:t>
            </w:r>
          </w:p>
        </w:tc>
      </w:tr>
      <w:tr w:rsidR="00B97DAB" w14:paraId="004828E6" w14:textId="77777777" w:rsidTr="06302FD8">
        <w:tc>
          <w:tcPr>
            <w:tcW w:w="2595" w:type="dxa"/>
          </w:tcPr>
          <w:p w14:paraId="194FC277" w14:textId="469D4455" w:rsidR="00B97DAB" w:rsidRDefault="00B97DAB">
            <w:r>
              <w:t xml:space="preserve">For the treatment of </w:t>
            </w:r>
          </w:p>
        </w:tc>
        <w:tc>
          <w:tcPr>
            <w:tcW w:w="6421" w:type="dxa"/>
          </w:tcPr>
          <w:p w14:paraId="23E416B7" w14:textId="3F7B2863" w:rsidR="00656075" w:rsidRDefault="2C7742DC" w:rsidP="7BFD36DC">
            <w:pPr>
              <w:spacing w:line="259" w:lineRule="auto"/>
            </w:pPr>
            <w:r>
              <w:t>Reconstruction of vagina, labia and hymen</w:t>
            </w:r>
          </w:p>
        </w:tc>
      </w:tr>
      <w:tr w:rsidR="00113D9B" w14:paraId="3D720573" w14:textId="77777777" w:rsidTr="06302FD8">
        <w:tc>
          <w:tcPr>
            <w:tcW w:w="2595" w:type="dxa"/>
          </w:tcPr>
          <w:p w14:paraId="6B55BECB" w14:textId="291589DB" w:rsidR="00113D9B" w:rsidRDefault="00113D9B" w:rsidP="00113D9B">
            <w:r>
              <w:t xml:space="preserve">Commissioning Position </w:t>
            </w:r>
          </w:p>
        </w:tc>
        <w:tc>
          <w:tcPr>
            <w:tcW w:w="6421" w:type="dxa"/>
          </w:tcPr>
          <w:p w14:paraId="443857AD" w14:textId="1DCFEBFE" w:rsidR="00177C4D" w:rsidRDefault="437F914E" w:rsidP="2D145B6C">
            <w:pPr>
              <w:textAlignment w:val="baseline"/>
            </w:pPr>
            <w:r w:rsidRPr="2D145B6C">
              <w:t>Vaginoplasty is commissioned if:</w:t>
            </w:r>
          </w:p>
          <w:p w14:paraId="0C5AA15D" w14:textId="03BFB151" w:rsidR="00177C4D" w:rsidRDefault="437F914E" w:rsidP="2D145B6C">
            <w:pPr>
              <w:pStyle w:val="ListParagraph"/>
              <w:numPr>
                <w:ilvl w:val="0"/>
                <w:numId w:val="1"/>
              </w:numPr>
              <w:spacing w:after="240"/>
              <w:textAlignment w:val="baseline"/>
              <w:rPr>
                <w:rFonts w:ascii="Calibri" w:eastAsia="Calibri" w:hAnsi="Calibri" w:cs="Calibri"/>
              </w:rPr>
            </w:pPr>
            <w:r w:rsidRPr="2D145B6C">
              <w:rPr>
                <w:rFonts w:ascii="Calibri" w:eastAsia="Calibri" w:hAnsi="Calibri" w:cs="Calibri"/>
              </w:rPr>
              <w:t>there is congenital absence or significant developmental/endocrine abnormality of the vaginal canal OR</w:t>
            </w:r>
          </w:p>
          <w:p w14:paraId="7953A8C4" w14:textId="3909930A" w:rsidR="00177C4D" w:rsidRDefault="437F914E" w:rsidP="2D145B6C">
            <w:pPr>
              <w:pStyle w:val="ListParagraph"/>
              <w:numPr>
                <w:ilvl w:val="0"/>
                <w:numId w:val="1"/>
              </w:numPr>
              <w:spacing w:before="240" w:after="240"/>
              <w:textAlignment w:val="baseline"/>
            </w:pPr>
            <w:r w:rsidRPr="2D145B6C">
              <w:rPr>
                <w:rFonts w:ascii="Calibri" w:eastAsia="Calibri" w:hAnsi="Calibri" w:cs="Calibri"/>
              </w:rPr>
              <w:t xml:space="preserve"> repair of the vaginal canal is required after trauma. </w:t>
            </w:r>
          </w:p>
          <w:p w14:paraId="2C0A9AE6" w14:textId="6C778389" w:rsidR="00177C4D" w:rsidRDefault="0DC1C6DC" w:rsidP="2D145B6C">
            <w:pPr>
              <w:textAlignment w:val="baseline"/>
            </w:pPr>
            <w:r w:rsidRPr="2D145B6C">
              <w:t xml:space="preserve">Labiaplasty is commissioned if: </w:t>
            </w:r>
          </w:p>
          <w:p w14:paraId="3A1267E7" w14:textId="386A53D0" w:rsidR="00177C4D" w:rsidRDefault="0DC1C6DC" w:rsidP="2D145B6C">
            <w:pPr>
              <w:pStyle w:val="ListParagraph"/>
              <w:numPr>
                <w:ilvl w:val="0"/>
                <w:numId w:val="2"/>
              </w:numPr>
              <w:spacing w:after="240"/>
              <w:textAlignment w:val="baseline"/>
              <w:rPr>
                <w:rFonts w:ascii="Calibri" w:eastAsia="Calibri" w:hAnsi="Calibri" w:cs="Calibri"/>
              </w:rPr>
            </w:pPr>
            <w:r w:rsidRPr="2D145B6C">
              <w:rPr>
                <w:rFonts w:ascii="Calibri" w:eastAsia="Calibri" w:hAnsi="Calibri" w:cs="Calibri"/>
              </w:rPr>
              <w:t>the labial anatomy is contributing to recurrent disease or infection OR</w:t>
            </w:r>
          </w:p>
          <w:p w14:paraId="52A7B014" w14:textId="465112F4" w:rsidR="00177C4D" w:rsidRDefault="0DC1C6DC" w:rsidP="2D145B6C">
            <w:pPr>
              <w:pStyle w:val="ListParagraph"/>
              <w:numPr>
                <w:ilvl w:val="0"/>
                <w:numId w:val="2"/>
              </w:numPr>
              <w:spacing w:before="240" w:after="240"/>
              <w:textAlignment w:val="baseline"/>
              <w:rPr>
                <w:rFonts w:ascii="Calibri" w:eastAsia="Calibri" w:hAnsi="Calibri" w:cs="Calibri"/>
              </w:rPr>
            </w:pPr>
            <w:r w:rsidRPr="2D145B6C">
              <w:rPr>
                <w:rFonts w:ascii="Calibri" w:eastAsia="Calibri" w:hAnsi="Calibri" w:cs="Calibri"/>
              </w:rPr>
              <w:t>repair of the labia is required after trauma.</w:t>
            </w:r>
          </w:p>
          <w:p w14:paraId="5BD27B91" w14:textId="4394B8EE" w:rsidR="00177C4D" w:rsidRDefault="7AEC5358" w:rsidP="2D145B6C">
            <w:pPr>
              <w:spacing w:after="240"/>
              <w:textAlignment w:val="baseline"/>
              <w:rPr>
                <w:rFonts w:ascii="Calibri" w:eastAsia="Calibri" w:hAnsi="Calibri" w:cs="Calibri"/>
              </w:rPr>
            </w:pPr>
            <w:r w:rsidRPr="2D145B6C">
              <w:rPr>
                <w:rFonts w:ascii="Calibri" w:eastAsia="Calibri" w:hAnsi="Calibri" w:cs="Calibri"/>
              </w:rPr>
              <w:t xml:space="preserve">Hymenorrhaphy is </w:t>
            </w:r>
            <w:r w:rsidR="35628178" w:rsidRPr="2D145B6C">
              <w:rPr>
                <w:rFonts w:ascii="Calibri" w:eastAsia="Calibri" w:hAnsi="Calibri" w:cs="Calibri"/>
              </w:rPr>
              <w:t>not</w:t>
            </w:r>
            <w:r w:rsidRPr="2D145B6C">
              <w:rPr>
                <w:rFonts w:ascii="Calibri" w:eastAsia="Calibri" w:hAnsi="Calibri" w:cs="Calibri"/>
              </w:rPr>
              <w:t xml:space="preserve"> commissioned</w:t>
            </w:r>
            <w:r w:rsidR="20C9874F" w:rsidRPr="2D145B6C">
              <w:rPr>
                <w:rFonts w:ascii="Calibri" w:eastAsia="Calibri" w:hAnsi="Calibri" w:cs="Calibri"/>
              </w:rPr>
              <w:t xml:space="preserve"> </w:t>
            </w:r>
            <w:r w:rsidR="20C9874F" w:rsidRPr="2D145B6C">
              <w:rPr>
                <w:rFonts w:ascii="Calibri" w:eastAsia="Calibri" w:hAnsi="Calibri" w:cs="Calibri"/>
                <w:color w:val="000000" w:themeColor="text1"/>
              </w:rPr>
              <w:t xml:space="preserve">and therefore should not be routinely offered to patients. Application for funding approval can be made, using the IFR process, by the clinician recommending the intervention, if their assessment is that there are exceptional reasons why their patient could benefit from </w:t>
            </w:r>
            <w:r w:rsidR="03BE7CF0" w:rsidRPr="2D145B6C">
              <w:rPr>
                <w:rFonts w:ascii="Calibri" w:eastAsia="Calibri" w:hAnsi="Calibri" w:cs="Calibri"/>
                <w:color w:val="000000" w:themeColor="text1"/>
              </w:rPr>
              <w:t>it.</w:t>
            </w:r>
          </w:p>
          <w:p w14:paraId="53855746" w14:textId="15A46ABE" w:rsidR="00177C4D" w:rsidRDefault="4C9D7E53" w:rsidP="297EA65F">
            <w:pPr>
              <w:spacing w:before="240" w:after="240"/>
              <w:textAlignment w:val="baseline"/>
              <w:rPr>
                <w:rFonts w:ascii="Calibri" w:eastAsia="Calibri" w:hAnsi="Calibri" w:cs="Calibri"/>
              </w:rPr>
            </w:pPr>
            <w:r w:rsidRPr="2D145B6C">
              <w:rPr>
                <w:rFonts w:ascii="Calibri" w:eastAsia="Calibri" w:hAnsi="Calibri" w:cs="Calibri"/>
                <w:color w:val="000000" w:themeColor="text1"/>
              </w:rPr>
              <w:t>For Gender Dysphoria patients, please see NHS England Specialised Commissioning Policy.</w:t>
            </w:r>
          </w:p>
        </w:tc>
      </w:tr>
      <w:tr w:rsidR="00113D9B" w14:paraId="2EEB5014" w14:textId="77777777" w:rsidTr="06302FD8">
        <w:tc>
          <w:tcPr>
            <w:tcW w:w="2595" w:type="dxa"/>
          </w:tcPr>
          <w:p w14:paraId="31574E9B" w14:textId="509110BD" w:rsidR="00113D9B" w:rsidRDefault="00113D9B" w:rsidP="00113D9B">
            <w:r>
              <w:t>Summary of Rationale</w:t>
            </w:r>
          </w:p>
          <w:p w14:paraId="61460744" w14:textId="7D87783C" w:rsidR="00113D9B" w:rsidRDefault="00113D9B" w:rsidP="00113D9B"/>
        </w:tc>
        <w:tc>
          <w:tcPr>
            <w:tcW w:w="6421" w:type="dxa"/>
          </w:tcPr>
          <w:p w14:paraId="48351357" w14:textId="4FF4D297" w:rsidR="00113D9B" w:rsidRDefault="2E12B0EF" w:rsidP="7BFD36DC">
            <w:r w:rsidRPr="2D145B6C">
              <w:rPr>
                <w:rFonts w:ascii="Calibri" w:eastAsia="Calibri" w:hAnsi="Calibri" w:cs="Calibri"/>
              </w:rPr>
              <w:t>There is no good evidence for clinical effectiveness of genital reconstructive surgery so it can be considered as medically non-essential surgery and thus not routinely commissioned. Some case series also point to re-operation rates following labiaplasty of up to 7% for reasons such as wound dehiscence, infection and dissatisfaction with appearance. None of the studies found in a literature review looked at the potential for long-term obstetric complications after such surgery.</w:t>
            </w:r>
          </w:p>
          <w:p w14:paraId="5691B576" w14:textId="6E03F695" w:rsidR="00113D9B" w:rsidRDefault="5AEB8E9D" w:rsidP="2D145B6C">
            <w:pPr>
              <w:spacing w:before="240"/>
              <w:rPr>
                <w:rFonts w:ascii="Calibri" w:eastAsia="Calibri" w:hAnsi="Calibri" w:cs="Calibri"/>
              </w:rPr>
            </w:pPr>
            <w:r w:rsidRPr="2D145B6C">
              <w:rPr>
                <w:rFonts w:ascii="Calibri" w:eastAsia="Calibri" w:hAnsi="Calibri" w:cs="Calibri"/>
              </w:rPr>
              <w:t xml:space="preserve">Hymenorrhaphy is </w:t>
            </w:r>
            <w:r w:rsidR="37EB2554" w:rsidRPr="2D145B6C">
              <w:rPr>
                <w:rFonts w:ascii="Calibri" w:eastAsia="Calibri" w:hAnsi="Calibri" w:cs="Calibri"/>
              </w:rPr>
              <w:t xml:space="preserve">regarded as </w:t>
            </w:r>
            <w:r w:rsidRPr="2D145B6C">
              <w:rPr>
                <w:rFonts w:ascii="Calibri" w:eastAsia="Calibri" w:hAnsi="Calibri" w:cs="Calibri"/>
              </w:rPr>
              <w:t>a cosmetic procedure.</w:t>
            </w:r>
          </w:p>
        </w:tc>
      </w:tr>
      <w:tr w:rsidR="00113D9B" w14:paraId="45DC12DB" w14:textId="77777777" w:rsidTr="06302FD8">
        <w:tc>
          <w:tcPr>
            <w:tcW w:w="2595" w:type="dxa"/>
          </w:tcPr>
          <w:p w14:paraId="5A47F1A1" w14:textId="4F582E47" w:rsidR="00113D9B" w:rsidRDefault="00113D9B" w:rsidP="00113D9B">
            <w:r>
              <w:t xml:space="preserve">References </w:t>
            </w:r>
          </w:p>
        </w:tc>
        <w:tc>
          <w:tcPr>
            <w:tcW w:w="6421" w:type="dxa"/>
          </w:tcPr>
          <w:p w14:paraId="150D9A10" w14:textId="22AB9651" w:rsidR="00113D9B" w:rsidRPr="0039492D" w:rsidRDefault="5D17B193" w:rsidP="25C9FF3D">
            <w:pPr>
              <w:rPr>
                <w:rFonts w:ascii="Calibri" w:eastAsia="Calibri" w:hAnsi="Calibri" w:cs="Calibri"/>
              </w:rPr>
            </w:pPr>
            <w:hyperlink r:id="rId10">
              <w:r w:rsidRPr="2D145B6C">
                <w:rPr>
                  <w:rStyle w:val="Hyperlink"/>
                  <w:rFonts w:ascii="Calibri" w:eastAsia="Calibri" w:hAnsi="Calibri" w:cs="Calibri"/>
                </w:rPr>
                <w:t xml:space="preserve">Interim Clinical </w:t>
              </w:r>
              <w:proofErr w:type="gramStart"/>
              <w:r w:rsidRPr="2D145B6C">
                <w:rPr>
                  <w:rStyle w:val="Hyperlink"/>
                  <w:rFonts w:ascii="Calibri" w:eastAsia="Calibri" w:hAnsi="Calibri" w:cs="Calibri"/>
                </w:rPr>
                <w:t>Commissioning  Policy</w:t>
              </w:r>
              <w:proofErr w:type="gramEnd"/>
              <w:r w:rsidRPr="2D145B6C">
                <w:rPr>
                  <w:rStyle w:val="Hyperlink"/>
                  <w:rFonts w:ascii="Calibri" w:eastAsia="Calibri" w:hAnsi="Calibri" w:cs="Calibri"/>
                </w:rPr>
                <w:t xml:space="preserve">: Labiaplasty,  Vaginoplasty and </w:t>
              </w:r>
              <w:proofErr w:type="spellStart"/>
              <w:r w:rsidRPr="2D145B6C">
                <w:rPr>
                  <w:rStyle w:val="Hyperlink"/>
                  <w:rFonts w:ascii="Calibri" w:eastAsia="Calibri" w:hAnsi="Calibri" w:cs="Calibri"/>
                </w:rPr>
                <w:t>Hymenorraphy</w:t>
              </w:r>
              <w:proofErr w:type="spellEnd"/>
              <w:r w:rsidRPr="2D145B6C">
                <w:rPr>
                  <w:rStyle w:val="Hyperlink"/>
                  <w:rFonts w:ascii="Calibri" w:eastAsia="Calibri" w:hAnsi="Calibri" w:cs="Calibri"/>
                </w:rPr>
                <w:t xml:space="preserve"> (NHSE)</w:t>
              </w:r>
            </w:hyperlink>
          </w:p>
        </w:tc>
      </w:tr>
      <w:tr w:rsidR="00113D9B" w14:paraId="2F64E887" w14:textId="77777777" w:rsidTr="06302FD8">
        <w:tc>
          <w:tcPr>
            <w:tcW w:w="2595" w:type="dxa"/>
          </w:tcPr>
          <w:p w14:paraId="26CC3A7F" w14:textId="3F59DDFA" w:rsidR="00113D9B" w:rsidRDefault="00113D9B" w:rsidP="00113D9B">
            <w:r>
              <w:t>Effective from</w:t>
            </w:r>
          </w:p>
        </w:tc>
        <w:tc>
          <w:tcPr>
            <w:tcW w:w="6421" w:type="dxa"/>
          </w:tcPr>
          <w:p w14:paraId="03ECD2F0" w14:textId="5BA3F351" w:rsidR="00113D9B" w:rsidRDefault="00113D9B" w:rsidP="00113D9B">
            <w:r>
              <w:t>J</w:t>
            </w:r>
            <w:r w:rsidR="6EBB89CD">
              <w:t>anuary</w:t>
            </w:r>
            <w:r>
              <w:t xml:space="preserve"> 202</w:t>
            </w:r>
            <w:r w:rsidR="311A492D">
              <w:t>5</w:t>
            </w:r>
          </w:p>
        </w:tc>
      </w:tr>
      <w:tr w:rsidR="00113D9B" w14:paraId="2C1E1213" w14:textId="77777777" w:rsidTr="06302FD8">
        <w:tc>
          <w:tcPr>
            <w:tcW w:w="2595" w:type="dxa"/>
          </w:tcPr>
          <w:p w14:paraId="4D394461" w14:textId="4D85EBE7" w:rsidR="00113D9B" w:rsidRDefault="00113D9B" w:rsidP="00113D9B">
            <w:r>
              <w:t xml:space="preserve">Policy Review Date </w:t>
            </w:r>
          </w:p>
        </w:tc>
        <w:tc>
          <w:tcPr>
            <w:tcW w:w="6421" w:type="dxa"/>
          </w:tcPr>
          <w:p w14:paraId="29012611" w14:textId="217892AC" w:rsidR="00113D9B" w:rsidRDefault="00113D9B" w:rsidP="00113D9B">
            <w:r>
              <w:t>J</w:t>
            </w:r>
            <w:r w:rsidR="6590085C">
              <w:t>anuary</w:t>
            </w:r>
            <w:r>
              <w:t xml:space="preserve"> 202</w:t>
            </w:r>
            <w:r w:rsidR="37D1D2FA">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 w:type="continuationNotice" w:id="1">
    <w:p w14:paraId="64C042D7" w14:textId="77777777" w:rsidR="00496FC2" w:rsidRDefault="00496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 w:type="continuationNotice" w:id="1">
    <w:p w14:paraId="522F59A3" w14:textId="77777777" w:rsidR="00496FC2" w:rsidRDefault="00496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27230"/>
    <w:multiLevelType w:val="hybridMultilevel"/>
    <w:tmpl w:val="551692CA"/>
    <w:lvl w:ilvl="0" w:tplc="BDAC1A62">
      <w:start w:val="1"/>
      <w:numFmt w:val="bullet"/>
      <w:lvlText w:val=""/>
      <w:lvlJc w:val="left"/>
      <w:pPr>
        <w:ind w:left="720" w:hanging="360"/>
      </w:pPr>
      <w:rPr>
        <w:rFonts w:ascii="Symbol" w:hAnsi="Symbol" w:hint="default"/>
      </w:rPr>
    </w:lvl>
    <w:lvl w:ilvl="1" w:tplc="61741968">
      <w:start w:val="1"/>
      <w:numFmt w:val="bullet"/>
      <w:lvlText w:val="o"/>
      <w:lvlJc w:val="left"/>
      <w:pPr>
        <w:ind w:left="1440" w:hanging="360"/>
      </w:pPr>
      <w:rPr>
        <w:rFonts w:ascii="Courier New" w:hAnsi="Courier New" w:hint="default"/>
      </w:rPr>
    </w:lvl>
    <w:lvl w:ilvl="2" w:tplc="F6EA263A">
      <w:start w:val="1"/>
      <w:numFmt w:val="bullet"/>
      <w:lvlText w:val=""/>
      <w:lvlJc w:val="left"/>
      <w:pPr>
        <w:ind w:left="2160" w:hanging="360"/>
      </w:pPr>
      <w:rPr>
        <w:rFonts w:ascii="Wingdings" w:hAnsi="Wingdings" w:hint="default"/>
      </w:rPr>
    </w:lvl>
    <w:lvl w:ilvl="3" w:tplc="D3F85586">
      <w:start w:val="1"/>
      <w:numFmt w:val="bullet"/>
      <w:lvlText w:val=""/>
      <w:lvlJc w:val="left"/>
      <w:pPr>
        <w:ind w:left="2880" w:hanging="360"/>
      </w:pPr>
      <w:rPr>
        <w:rFonts w:ascii="Symbol" w:hAnsi="Symbol" w:hint="default"/>
      </w:rPr>
    </w:lvl>
    <w:lvl w:ilvl="4" w:tplc="506495AE">
      <w:start w:val="1"/>
      <w:numFmt w:val="bullet"/>
      <w:lvlText w:val="o"/>
      <w:lvlJc w:val="left"/>
      <w:pPr>
        <w:ind w:left="3600" w:hanging="360"/>
      </w:pPr>
      <w:rPr>
        <w:rFonts w:ascii="Courier New" w:hAnsi="Courier New" w:hint="default"/>
      </w:rPr>
    </w:lvl>
    <w:lvl w:ilvl="5" w:tplc="B52E565E">
      <w:start w:val="1"/>
      <w:numFmt w:val="bullet"/>
      <w:lvlText w:val=""/>
      <w:lvlJc w:val="left"/>
      <w:pPr>
        <w:ind w:left="4320" w:hanging="360"/>
      </w:pPr>
      <w:rPr>
        <w:rFonts w:ascii="Wingdings" w:hAnsi="Wingdings" w:hint="default"/>
      </w:rPr>
    </w:lvl>
    <w:lvl w:ilvl="6" w:tplc="BB8EDB2A">
      <w:start w:val="1"/>
      <w:numFmt w:val="bullet"/>
      <w:lvlText w:val=""/>
      <w:lvlJc w:val="left"/>
      <w:pPr>
        <w:ind w:left="5040" w:hanging="360"/>
      </w:pPr>
      <w:rPr>
        <w:rFonts w:ascii="Symbol" w:hAnsi="Symbol" w:hint="default"/>
      </w:rPr>
    </w:lvl>
    <w:lvl w:ilvl="7" w:tplc="665E9408">
      <w:start w:val="1"/>
      <w:numFmt w:val="bullet"/>
      <w:lvlText w:val="o"/>
      <w:lvlJc w:val="left"/>
      <w:pPr>
        <w:ind w:left="5760" w:hanging="360"/>
      </w:pPr>
      <w:rPr>
        <w:rFonts w:ascii="Courier New" w:hAnsi="Courier New" w:hint="default"/>
      </w:rPr>
    </w:lvl>
    <w:lvl w:ilvl="8" w:tplc="931AC41E">
      <w:start w:val="1"/>
      <w:numFmt w:val="bullet"/>
      <w:lvlText w:val=""/>
      <w:lvlJc w:val="left"/>
      <w:pPr>
        <w:ind w:left="6480" w:hanging="360"/>
      </w:pPr>
      <w:rPr>
        <w:rFonts w:ascii="Wingdings" w:hAnsi="Wingdings" w:hint="default"/>
      </w:rPr>
    </w:lvl>
  </w:abstractNum>
  <w:abstractNum w:abstractNumId="2"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3"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18108"/>
    <w:multiLevelType w:val="hybridMultilevel"/>
    <w:tmpl w:val="8436B0C2"/>
    <w:lvl w:ilvl="0" w:tplc="7492A9BE">
      <w:start w:val="1"/>
      <w:numFmt w:val="bullet"/>
      <w:lvlText w:val=""/>
      <w:lvlJc w:val="left"/>
      <w:pPr>
        <w:ind w:left="720" w:hanging="360"/>
      </w:pPr>
      <w:rPr>
        <w:rFonts w:ascii="Symbol" w:hAnsi="Symbol" w:hint="default"/>
      </w:rPr>
    </w:lvl>
    <w:lvl w:ilvl="1" w:tplc="8D768E8E">
      <w:start w:val="1"/>
      <w:numFmt w:val="bullet"/>
      <w:lvlText w:val="o"/>
      <w:lvlJc w:val="left"/>
      <w:pPr>
        <w:ind w:left="1440" w:hanging="360"/>
      </w:pPr>
      <w:rPr>
        <w:rFonts w:ascii="Courier New" w:hAnsi="Courier New" w:hint="default"/>
      </w:rPr>
    </w:lvl>
    <w:lvl w:ilvl="2" w:tplc="4EE660A8">
      <w:start w:val="1"/>
      <w:numFmt w:val="bullet"/>
      <w:lvlText w:val=""/>
      <w:lvlJc w:val="left"/>
      <w:pPr>
        <w:ind w:left="2160" w:hanging="360"/>
      </w:pPr>
      <w:rPr>
        <w:rFonts w:ascii="Wingdings" w:hAnsi="Wingdings" w:hint="default"/>
      </w:rPr>
    </w:lvl>
    <w:lvl w:ilvl="3" w:tplc="95C429D0">
      <w:start w:val="1"/>
      <w:numFmt w:val="bullet"/>
      <w:lvlText w:val=""/>
      <w:lvlJc w:val="left"/>
      <w:pPr>
        <w:ind w:left="2880" w:hanging="360"/>
      </w:pPr>
      <w:rPr>
        <w:rFonts w:ascii="Symbol" w:hAnsi="Symbol" w:hint="default"/>
      </w:rPr>
    </w:lvl>
    <w:lvl w:ilvl="4" w:tplc="8308594E">
      <w:start w:val="1"/>
      <w:numFmt w:val="bullet"/>
      <w:lvlText w:val="o"/>
      <w:lvlJc w:val="left"/>
      <w:pPr>
        <w:ind w:left="3600" w:hanging="360"/>
      </w:pPr>
      <w:rPr>
        <w:rFonts w:ascii="Courier New" w:hAnsi="Courier New" w:hint="default"/>
      </w:rPr>
    </w:lvl>
    <w:lvl w:ilvl="5" w:tplc="98822DD0">
      <w:start w:val="1"/>
      <w:numFmt w:val="bullet"/>
      <w:lvlText w:val=""/>
      <w:lvlJc w:val="left"/>
      <w:pPr>
        <w:ind w:left="4320" w:hanging="360"/>
      </w:pPr>
      <w:rPr>
        <w:rFonts w:ascii="Wingdings" w:hAnsi="Wingdings" w:hint="default"/>
      </w:rPr>
    </w:lvl>
    <w:lvl w:ilvl="6" w:tplc="DA80E8D0">
      <w:start w:val="1"/>
      <w:numFmt w:val="bullet"/>
      <w:lvlText w:val=""/>
      <w:lvlJc w:val="left"/>
      <w:pPr>
        <w:ind w:left="5040" w:hanging="360"/>
      </w:pPr>
      <w:rPr>
        <w:rFonts w:ascii="Symbol" w:hAnsi="Symbol" w:hint="default"/>
      </w:rPr>
    </w:lvl>
    <w:lvl w:ilvl="7" w:tplc="064C0B44">
      <w:start w:val="1"/>
      <w:numFmt w:val="bullet"/>
      <w:lvlText w:val="o"/>
      <w:lvlJc w:val="left"/>
      <w:pPr>
        <w:ind w:left="5760" w:hanging="360"/>
      </w:pPr>
      <w:rPr>
        <w:rFonts w:ascii="Courier New" w:hAnsi="Courier New" w:hint="default"/>
      </w:rPr>
    </w:lvl>
    <w:lvl w:ilvl="8" w:tplc="89A04B92">
      <w:start w:val="1"/>
      <w:numFmt w:val="bullet"/>
      <w:lvlText w:val=""/>
      <w:lvlJc w:val="left"/>
      <w:pPr>
        <w:ind w:left="6480" w:hanging="360"/>
      </w:pPr>
      <w:rPr>
        <w:rFonts w:ascii="Wingdings" w:hAnsi="Wingdings" w:hint="default"/>
      </w:rPr>
    </w:lvl>
  </w:abstractNum>
  <w:abstractNum w:abstractNumId="5"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6E7C1"/>
    <w:multiLevelType w:val="hybridMultilevel"/>
    <w:tmpl w:val="A2787DFC"/>
    <w:lvl w:ilvl="0" w:tplc="C29446EA">
      <w:start w:val="1"/>
      <w:numFmt w:val="bullet"/>
      <w:lvlText w:val=""/>
      <w:lvlJc w:val="left"/>
      <w:pPr>
        <w:ind w:left="720" w:hanging="360"/>
      </w:pPr>
      <w:rPr>
        <w:rFonts w:ascii="Symbol" w:hAnsi="Symbol" w:hint="default"/>
      </w:rPr>
    </w:lvl>
    <w:lvl w:ilvl="1" w:tplc="F87A1244">
      <w:start w:val="1"/>
      <w:numFmt w:val="bullet"/>
      <w:lvlText w:val="o"/>
      <w:lvlJc w:val="left"/>
      <w:pPr>
        <w:ind w:left="1440" w:hanging="360"/>
      </w:pPr>
      <w:rPr>
        <w:rFonts w:ascii="Courier New" w:hAnsi="Courier New" w:hint="default"/>
      </w:rPr>
    </w:lvl>
    <w:lvl w:ilvl="2" w:tplc="12E40734">
      <w:start w:val="1"/>
      <w:numFmt w:val="bullet"/>
      <w:lvlText w:val=""/>
      <w:lvlJc w:val="left"/>
      <w:pPr>
        <w:ind w:left="2160" w:hanging="360"/>
      </w:pPr>
      <w:rPr>
        <w:rFonts w:ascii="Wingdings" w:hAnsi="Wingdings" w:hint="default"/>
      </w:rPr>
    </w:lvl>
    <w:lvl w:ilvl="3" w:tplc="D592FAFA">
      <w:start w:val="1"/>
      <w:numFmt w:val="bullet"/>
      <w:lvlText w:val=""/>
      <w:lvlJc w:val="left"/>
      <w:pPr>
        <w:ind w:left="2880" w:hanging="360"/>
      </w:pPr>
      <w:rPr>
        <w:rFonts w:ascii="Symbol" w:hAnsi="Symbol" w:hint="default"/>
      </w:rPr>
    </w:lvl>
    <w:lvl w:ilvl="4" w:tplc="F1A86FBA">
      <w:start w:val="1"/>
      <w:numFmt w:val="bullet"/>
      <w:lvlText w:val="o"/>
      <w:lvlJc w:val="left"/>
      <w:pPr>
        <w:ind w:left="3600" w:hanging="360"/>
      </w:pPr>
      <w:rPr>
        <w:rFonts w:ascii="Courier New" w:hAnsi="Courier New" w:hint="default"/>
      </w:rPr>
    </w:lvl>
    <w:lvl w:ilvl="5" w:tplc="A42CA0EC">
      <w:start w:val="1"/>
      <w:numFmt w:val="bullet"/>
      <w:lvlText w:val=""/>
      <w:lvlJc w:val="left"/>
      <w:pPr>
        <w:ind w:left="4320" w:hanging="360"/>
      </w:pPr>
      <w:rPr>
        <w:rFonts w:ascii="Wingdings" w:hAnsi="Wingdings" w:hint="default"/>
      </w:rPr>
    </w:lvl>
    <w:lvl w:ilvl="6" w:tplc="020253C4">
      <w:start w:val="1"/>
      <w:numFmt w:val="bullet"/>
      <w:lvlText w:val=""/>
      <w:lvlJc w:val="left"/>
      <w:pPr>
        <w:ind w:left="5040" w:hanging="360"/>
      </w:pPr>
      <w:rPr>
        <w:rFonts w:ascii="Symbol" w:hAnsi="Symbol" w:hint="default"/>
      </w:rPr>
    </w:lvl>
    <w:lvl w:ilvl="7" w:tplc="E58CD7EE">
      <w:start w:val="1"/>
      <w:numFmt w:val="bullet"/>
      <w:lvlText w:val="o"/>
      <w:lvlJc w:val="left"/>
      <w:pPr>
        <w:ind w:left="5760" w:hanging="360"/>
      </w:pPr>
      <w:rPr>
        <w:rFonts w:ascii="Courier New" w:hAnsi="Courier New" w:hint="default"/>
      </w:rPr>
    </w:lvl>
    <w:lvl w:ilvl="8" w:tplc="4656C7B6">
      <w:start w:val="1"/>
      <w:numFmt w:val="bullet"/>
      <w:lvlText w:val=""/>
      <w:lvlJc w:val="left"/>
      <w:pPr>
        <w:ind w:left="6480" w:hanging="360"/>
      </w:pPr>
      <w:rPr>
        <w:rFonts w:ascii="Wingdings" w:hAnsi="Wingdings" w:hint="default"/>
      </w:rPr>
    </w:lvl>
  </w:abstractNum>
  <w:abstractNum w:abstractNumId="13"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1814979">
    <w:abstractNumId w:val="12"/>
  </w:num>
  <w:num w:numId="2" w16cid:durableId="1492527981">
    <w:abstractNumId w:val="4"/>
  </w:num>
  <w:num w:numId="3" w16cid:durableId="75976443">
    <w:abstractNumId w:val="1"/>
  </w:num>
  <w:num w:numId="4" w16cid:durableId="1733386344">
    <w:abstractNumId w:val="2"/>
  </w:num>
  <w:num w:numId="5" w16cid:durableId="1872303278">
    <w:abstractNumId w:val="13"/>
  </w:num>
  <w:num w:numId="6" w16cid:durableId="1147431926">
    <w:abstractNumId w:val="0"/>
  </w:num>
  <w:num w:numId="7" w16cid:durableId="890380511">
    <w:abstractNumId w:val="5"/>
  </w:num>
  <w:num w:numId="8" w16cid:durableId="1585725535">
    <w:abstractNumId w:val="11"/>
  </w:num>
  <w:num w:numId="9" w16cid:durableId="1128164145">
    <w:abstractNumId w:val="8"/>
  </w:num>
  <w:num w:numId="10" w16cid:durableId="1607155194">
    <w:abstractNumId w:val="10"/>
  </w:num>
  <w:num w:numId="11" w16cid:durableId="70854915">
    <w:abstractNumId w:val="3"/>
  </w:num>
  <w:num w:numId="12" w16cid:durableId="1686781628">
    <w:abstractNumId w:val="6"/>
  </w:num>
  <w:num w:numId="13" w16cid:durableId="1966278688">
    <w:abstractNumId w:val="7"/>
  </w:num>
  <w:num w:numId="14" w16cid:durableId="864752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27F8E"/>
    <w:rsid w:val="00496FC2"/>
    <w:rsid w:val="004C292B"/>
    <w:rsid w:val="005565A7"/>
    <w:rsid w:val="005820AB"/>
    <w:rsid w:val="005E3ADB"/>
    <w:rsid w:val="005F0F1D"/>
    <w:rsid w:val="00656075"/>
    <w:rsid w:val="006A1DC3"/>
    <w:rsid w:val="00702D52"/>
    <w:rsid w:val="007606C0"/>
    <w:rsid w:val="00784A20"/>
    <w:rsid w:val="00794F0C"/>
    <w:rsid w:val="007A1D76"/>
    <w:rsid w:val="0080365B"/>
    <w:rsid w:val="0086083A"/>
    <w:rsid w:val="0091473D"/>
    <w:rsid w:val="0093C44A"/>
    <w:rsid w:val="00946B0C"/>
    <w:rsid w:val="009D48EB"/>
    <w:rsid w:val="00A21761"/>
    <w:rsid w:val="00A51972"/>
    <w:rsid w:val="00A719FC"/>
    <w:rsid w:val="00AA38E1"/>
    <w:rsid w:val="00AE39A5"/>
    <w:rsid w:val="00B32DA9"/>
    <w:rsid w:val="00B835D0"/>
    <w:rsid w:val="00B97DAB"/>
    <w:rsid w:val="00BC27F1"/>
    <w:rsid w:val="00C5358B"/>
    <w:rsid w:val="00C55041"/>
    <w:rsid w:val="00D81158"/>
    <w:rsid w:val="00D81B9A"/>
    <w:rsid w:val="00DD4A29"/>
    <w:rsid w:val="00E17065"/>
    <w:rsid w:val="00E23A5B"/>
    <w:rsid w:val="00EB3CFA"/>
    <w:rsid w:val="00ED5143"/>
    <w:rsid w:val="00F012EF"/>
    <w:rsid w:val="00F9067A"/>
    <w:rsid w:val="00FF3EE2"/>
    <w:rsid w:val="00FF6EF3"/>
    <w:rsid w:val="01A0723A"/>
    <w:rsid w:val="02B3C44F"/>
    <w:rsid w:val="02BCDE2B"/>
    <w:rsid w:val="031046DF"/>
    <w:rsid w:val="033A6697"/>
    <w:rsid w:val="03BE7CF0"/>
    <w:rsid w:val="06302FD8"/>
    <w:rsid w:val="06872430"/>
    <w:rsid w:val="0749BCBC"/>
    <w:rsid w:val="08585856"/>
    <w:rsid w:val="0AC3CC63"/>
    <w:rsid w:val="0B6A0C66"/>
    <w:rsid w:val="0DC1C6DC"/>
    <w:rsid w:val="0DCB6B24"/>
    <w:rsid w:val="0E2289EC"/>
    <w:rsid w:val="0FB5482A"/>
    <w:rsid w:val="0FEDB70D"/>
    <w:rsid w:val="1300C9E1"/>
    <w:rsid w:val="13685818"/>
    <w:rsid w:val="13D7134B"/>
    <w:rsid w:val="1648EFDA"/>
    <w:rsid w:val="17346E1A"/>
    <w:rsid w:val="17AECED6"/>
    <w:rsid w:val="1820FFFA"/>
    <w:rsid w:val="1BC662FA"/>
    <w:rsid w:val="1C8B89BA"/>
    <w:rsid w:val="1CF37486"/>
    <w:rsid w:val="1D76B2A0"/>
    <w:rsid w:val="1D7BA3D8"/>
    <w:rsid w:val="1DD6F1EE"/>
    <w:rsid w:val="1DF0E17D"/>
    <w:rsid w:val="1F92CEBE"/>
    <w:rsid w:val="20C9874F"/>
    <w:rsid w:val="229E4C0C"/>
    <w:rsid w:val="236D715C"/>
    <w:rsid w:val="237966E0"/>
    <w:rsid w:val="23B317C8"/>
    <w:rsid w:val="24570A94"/>
    <w:rsid w:val="24D5FB3E"/>
    <w:rsid w:val="25837A9B"/>
    <w:rsid w:val="25C9FF3D"/>
    <w:rsid w:val="278147B2"/>
    <w:rsid w:val="28B4C6DA"/>
    <w:rsid w:val="297EA65F"/>
    <w:rsid w:val="2A602EEE"/>
    <w:rsid w:val="2A723FE4"/>
    <w:rsid w:val="2B9E4B41"/>
    <w:rsid w:val="2BBA6993"/>
    <w:rsid w:val="2BF356F9"/>
    <w:rsid w:val="2C7742DC"/>
    <w:rsid w:val="2D145B6C"/>
    <w:rsid w:val="2E087182"/>
    <w:rsid w:val="2E12B0EF"/>
    <w:rsid w:val="311A492D"/>
    <w:rsid w:val="3139CC10"/>
    <w:rsid w:val="3194BA9C"/>
    <w:rsid w:val="34B68F6F"/>
    <w:rsid w:val="35628178"/>
    <w:rsid w:val="35C183E3"/>
    <w:rsid w:val="379A1B51"/>
    <w:rsid w:val="37D1D2FA"/>
    <w:rsid w:val="37EB2554"/>
    <w:rsid w:val="384D7670"/>
    <w:rsid w:val="389181A6"/>
    <w:rsid w:val="39BAF3F0"/>
    <w:rsid w:val="3A03AC17"/>
    <w:rsid w:val="3A08D66F"/>
    <w:rsid w:val="3A2A1B52"/>
    <w:rsid w:val="3B526FD8"/>
    <w:rsid w:val="3DD2678B"/>
    <w:rsid w:val="3F49D7AA"/>
    <w:rsid w:val="3FF48BFB"/>
    <w:rsid w:val="40FF35DF"/>
    <w:rsid w:val="437F914E"/>
    <w:rsid w:val="440D0753"/>
    <w:rsid w:val="441FF119"/>
    <w:rsid w:val="44709B3A"/>
    <w:rsid w:val="44DFFF9E"/>
    <w:rsid w:val="45497F20"/>
    <w:rsid w:val="455AA220"/>
    <w:rsid w:val="45720EA3"/>
    <w:rsid w:val="466E3267"/>
    <w:rsid w:val="4754F90B"/>
    <w:rsid w:val="47F804E8"/>
    <w:rsid w:val="492132F9"/>
    <w:rsid w:val="4960F62E"/>
    <w:rsid w:val="4B531BD9"/>
    <w:rsid w:val="4BE7CAC3"/>
    <w:rsid w:val="4C9D7E53"/>
    <w:rsid w:val="4CADA413"/>
    <w:rsid w:val="4CCC3D4E"/>
    <w:rsid w:val="4D8DD7CD"/>
    <w:rsid w:val="4F9A594B"/>
    <w:rsid w:val="506D4E92"/>
    <w:rsid w:val="509D0A6E"/>
    <w:rsid w:val="50A0132D"/>
    <w:rsid w:val="5143C54F"/>
    <w:rsid w:val="518BE983"/>
    <w:rsid w:val="51C4B528"/>
    <w:rsid w:val="522AF6EB"/>
    <w:rsid w:val="52BAF039"/>
    <w:rsid w:val="52EFFFD9"/>
    <w:rsid w:val="53FC7B59"/>
    <w:rsid w:val="5533FC78"/>
    <w:rsid w:val="56541B87"/>
    <w:rsid w:val="56FDB0F3"/>
    <w:rsid w:val="57A1B620"/>
    <w:rsid w:val="5889EC3A"/>
    <w:rsid w:val="5ABEDC55"/>
    <w:rsid w:val="5AEB8E9D"/>
    <w:rsid w:val="5B7B4BF6"/>
    <w:rsid w:val="5D144298"/>
    <w:rsid w:val="5D17B193"/>
    <w:rsid w:val="5D23953E"/>
    <w:rsid w:val="5EEF045C"/>
    <w:rsid w:val="5FEB2911"/>
    <w:rsid w:val="618E33EE"/>
    <w:rsid w:val="62E581D5"/>
    <w:rsid w:val="6454475A"/>
    <w:rsid w:val="652E468C"/>
    <w:rsid w:val="6590085C"/>
    <w:rsid w:val="65FDB4C9"/>
    <w:rsid w:val="684015C6"/>
    <w:rsid w:val="68BE29FC"/>
    <w:rsid w:val="6971F99C"/>
    <w:rsid w:val="6B15CAD1"/>
    <w:rsid w:val="6B712061"/>
    <w:rsid w:val="6C1277DE"/>
    <w:rsid w:val="6EBB89CD"/>
    <w:rsid w:val="712B0329"/>
    <w:rsid w:val="72F30E7F"/>
    <w:rsid w:val="72FA37F0"/>
    <w:rsid w:val="74D5C9A6"/>
    <w:rsid w:val="77383A75"/>
    <w:rsid w:val="788B39B6"/>
    <w:rsid w:val="79BC8E83"/>
    <w:rsid w:val="7ADC5D01"/>
    <w:rsid w:val="7AEC5358"/>
    <w:rsid w:val="7B75A546"/>
    <w:rsid w:val="7BDD718E"/>
    <w:rsid w:val="7BFD36DC"/>
    <w:rsid w:val="7D0AA06E"/>
    <w:rsid w:val="7D588AA7"/>
    <w:rsid w:val="7E0A7EF1"/>
    <w:rsid w:val="7E9DCB2D"/>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england.nhs.uk/commissioning/wp-content/uploads/sites/12/2013/11/N-SC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2BB1-B746-425F-8753-9F82113632BA}">
  <ds:schemaRefs>
    <ds:schemaRef ds:uri="http://purl.org/dc/terms/"/>
    <ds:schemaRef ds:uri="http://www.w3.org/XML/1998/namespace"/>
    <ds:schemaRef ds:uri="1365388d-8e0b-4df5-a0a3-cd102b49988e"/>
    <ds:schemaRef ds:uri="http://schemas.microsoft.com/office/2006/documentManagement/types"/>
    <ds:schemaRef ds:uri="http://purl.org/dc/dcmitype/"/>
    <ds:schemaRef ds:uri="http://schemas.microsoft.com/office/infopath/2007/PartnerControls"/>
    <ds:schemaRef ds:uri="f6a82410-35a1-48d9-a432-e298e5b95e46"/>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AC73AEA9-E197-4353-9296-286E0ECEB4D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NHS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2025-03-19T16:49:00Z</dcterms:created>
  <dcterms:modified xsi:type="dcterms:W3CDTF">2025-03-19T16:49:00Z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56900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