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0FC1E9" w14:textId="022D8077" w:rsidR="004E17BD" w:rsidRPr="00E971BB" w:rsidRDefault="00EA7A26" w:rsidP="004E17BD">
      <w:pPr>
        <w:pStyle w:val="Heading1"/>
      </w:pPr>
      <w:r>
        <w:t xml:space="preserve">Medicines Optimisation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47"/>
        <w:gridCol w:w="6269"/>
      </w:tblGrid>
      <w:tr w:rsidR="004E17BD" w:rsidRPr="00E971BB" w14:paraId="02BD4224" w14:textId="77777777" w:rsidTr="0023761E">
        <w:tc>
          <w:tcPr>
            <w:tcW w:w="2802" w:type="dxa"/>
            <w:shd w:val="clear" w:color="auto" w:fill="auto"/>
          </w:tcPr>
          <w:p w14:paraId="6A8EB1D4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Data Controller(s)</w:t>
            </w:r>
          </w:p>
        </w:tc>
        <w:tc>
          <w:tcPr>
            <w:tcW w:w="6440" w:type="dxa"/>
            <w:shd w:val="clear" w:color="auto" w:fill="auto"/>
          </w:tcPr>
          <w:p w14:paraId="2D1110C6" w14:textId="2A12DA6A" w:rsidR="004E17BD" w:rsidRPr="00E971BB" w:rsidRDefault="00EA7A26" w:rsidP="008413C5">
            <w:pPr>
              <w:pStyle w:val="NoSpacing"/>
            </w:pPr>
            <w:r>
              <w:t xml:space="preserve">GP Practices within the H&amp;NY ICB geography. </w:t>
            </w:r>
          </w:p>
        </w:tc>
      </w:tr>
      <w:tr w:rsidR="004E17BD" w:rsidRPr="00E971BB" w14:paraId="5C26D253" w14:textId="77777777" w:rsidTr="0023761E">
        <w:tc>
          <w:tcPr>
            <w:tcW w:w="2802" w:type="dxa"/>
            <w:shd w:val="clear" w:color="auto" w:fill="auto"/>
          </w:tcPr>
          <w:p w14:paraId="319F1A1F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Purpose</w:t>
            </w:r>
          </w:p>
        </w:tc>
        <w:tc>
          <w:tcPr>
            <w:tcW w:w="6440" w:type="dxa"/>
            <w:shd w:val="clear" w:color="auto" w:fill="auto"/>
          </w:tcPr>
          <w:p w14:paraId="4515D4A3" w14:textId="77777777" w:rsidR="00D52F5B" w:rsidRDefault="00D52F5B" w:rsidP="00DF0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D52F5B">
              <w:rPr>
                <w:rFonts w:asciiTheme="minorHAnsi" w:hAnsiTheme="minorHAnsi" w:cstheme="minorHAnsi"/>
              </w:rPr>
              <w:t xml:space="preserve">Medicines optimisation looks at the value which medicines deliver, making sure they are </w:t>
            </w:r>
            <w:proofErr w:type="gramStart"/>
            <w:r w:rsidRPr="00D52F5B">
              <w:rPr>
                <w:rFonts w:asciiTheme="minorHAnsi" w:hAnsiTheme="minorHAnsi" w:cstheme="minorHAnsi"/>
              </w:rPr>
              <w:t>clinically-effective</w:t>
            </w:r>
            <w:proofErr w:type="gramEnd"/>
            <w:r w:rsidRPr="00D52F5B">
              <w:rPr>
                <w:rFonts w:asciiTheme="minorHAnsi" w:hAnsiTheme="minorHAnsi" w:cstheme="minorHAnsi"/>
              </w:rPr>
              <w:t xml:space="preserve"> and cost-effective. It is about ensuring people get the right choice of medicines, at the right time, and are engaged in the process by their clinical team</w:t>
            </w:r>
            <w:r>
              <w:rPr>
                <w:rFonts w:asciiTheme="minorHAnsi" w:hAnsiTheme="minorHAnsi" w:cstheme="minorHAnsi"/>
              </w:rPr>
              <w:t>.</w:t>
            </w:r>
          </w:p>
          <w:p w14:paraId="0601F052" w14:textId="77777777" w:rsidR="008D23F1" w:rsidRDefault="008D23F1" w:rsidP="00DF06FB">
            <w:pPr>
              <w:spacing w:after="0" w:line="240" w:lineRule="auto"/>
              <w:rPr>
                <w:rFonts w:asciiTheme="minorHAnsi" w:hAnsiTheme="minorHAnsi" w:cstheme="minorHAnsi"/>
              </w:rPr>
            </w:pPr>
          </w:p>
          <w:p w14:paraId="3FB9F633" w14:textId="0527C306" w:rsidR="008D23F1" w:rsidRPr="00BF5BAA" w:rsidRDefault="008D23F1" w:rsidP="00DF06FB">
            <w:pPr>
              <w:spacing w:after="0" w:line="240" w:lineRule="auto"/>
              <w:rPr>
                <w:rFonts w:asciiTheme="minorHAnsi" w:hAnsiTheme="minorHAnsi" w:cstheme="minorHAnsi"/>
              </w:rPr>
            </w:pPr>
            <w:r w:rsidRPr="008408A9">
              <w:rPr>
                <w:rFonts w:asciiTheme="minorHAnsi" w:hAnsiTheme="minorHAnsi" w:cstheme="minorHAnsi"/>
              </w:rPr>
              <w:t>GP practices are granting access to members of the ICB's medicines optimisation team for the whole medical record held on the clinical systems for read and write functionality.</w:t>
            </w:r>
          </w:p>
        </w:tc>
      </w:tr>
      <w:tr w:rsidR="004E17BD" w:rsidRPr="00E971BB" w14:paraId="11474DFF" w14:textId="77777777" w:rsidTr="0023761E">
        <w:tc>
          <w:tcPr>
            <w:tcW w:w="2802" w:type="dxa"/>
            <w:shd w:val="clear" w:color="auto" w:fill="auto"/>
          </w:tcPr>
          <w:p w14:paraId="585FA526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Type of information Used</w:t>
            </w:r>
          </w:p>
        </w:tc>
        <w:tc>
          <w:tcPr>
            <w:tcW w:w="6440" w:type="dxa"/>
            <w:shd w:val="clear" w:color="auto" w:fill="auto"/>
          </w:tcPr>
          <w:p w14:paraId="2743DB5F" w14:textId="21AA4EF7" w:rsidR="008413C5" w:rsidRDefault="008408A9" w:rsidP="0023761E">
            <w:pPr>
              <w:pStyle w:val="NoSpacing"/>
            </w:pPr>
            <w:r>
              <w:t xml:space="preserve">Personal and sensitive information. </w:t>
            </w:r>
            <w:r w:rsidR="00BF5BAA">
              <w:t xml:space="preserve">ICB </w:t>
            </w:r>
            <w:r w:rsidR="00BF5BAA" w:rsidRPr="00BF5BAA">
              <w:t>Pharmacists and Technicians will have access to GP Patient Record.</w:t>
            </w:r>
          </w:p>
          <w:p w14:paraId="4EA0FE44" w14:textId="5A92CF17" w:rsidR="008413C5" w:rsidRPr="00E971BB" w:rsidRDefault="008413C5" w:rsidP="0023761E">
            <w:pPr>
              <w:pStyle w:val="NoSpacing"/>
            </w:pPr>
          </w:p>
        </w:tc>
      </w:tr>
      <w:tr w:rsidR="004E17BD" w:rsidRPr="00E971BB" w14:paraId="15B320C3" w14:textId="77777777" w:rsidTr="0023761E">
        <w:tc>
          <w:tcPr>
            <w:tcW w:w="2802" w:type="dxa"/>
            <w:shd w:val="clear" w:color="auto" w:fill="auto"/>
          </w:tcPr>
          <w:p w14:paraId="7787FA90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Legal basis</w:t>
            </w:r>
          </w:p>
        </w:tc>
        <w:tc>
          <w:tcPr>
            <w:tcW w:w="6440" w:type="dxa"/>
            <w:shd w:val="clear" w:color="auto" w:fill="auto"/>
          </w:tcPr>
          <w:p w14:paraId="34D37BE9" w14:textId="77777777" w:rsidR="001A36D9" w:rsidRDefault="001A36D9" w:rsidP="0023708A">
            <w:pPr>
              <w:pStyle w:val="NoSpacing"/>
            </w:pPr>
            <w:r w:rsidRPr="001A36D9">
              <w:t>GDPR Article 6(1)(</w:t>
            </w:r>
            <w:proofErr w:type="gramStart"/>
            <w:r w:rsidRPr="001A36D9">
              <w:t>e)processing</w:t>
            </w:r>
            <w:proofErr w:type="gramEnd"/>
            <w:r w:rsidRPr="001A36D9">
              <w:t xml:space="preserve"> is necessary for the performance of a task carried out in the public interest or in the exercise of official authority</w:t>
            </w:r>
            <w:r>
              <w:t>…</w:t>
            </w:r>
          </w:p>
          <w:p w14:paraId="749FBFE1" w14:textId="2F910789" w:rsidR="001A36D9" w:rsidRDefault="001A36D9" w:rsidP="0023708A">
            <w:pPr>
              <w:pStyle w:val="NoSpacing"/>
            </w:pPr>
            <w:r>
              <w:t>&amp;</w:t>
            </w:r>
          </w:p>
          <w:p w14:paraId="6D72E0BC" w14:textId="30457B81" w:rsidR="004E17BD" w:rsidRDefault="001A36D9" w:rsidP="0023708A">
            <w:pPr>
              <w:pStyle w:val="NoSpacing"/>
            </w:pPr>
            <w:r w:rsidRPr="001A36D9">
              <w:t>GDPR Article 9(2)(h) processing is necessary for the purposes of the provision of health or social care or treatment or the management of health or social care systems and services</w:t>
            </w:r>
          </w:p>
          <w:p w14:paraId="723D92B1" w14:textId="77777777" w:rsidR="008413C5" w:rsidRDefault="008413C5" w:rsidP="0023708A">
            <w:pPr>
              <w:pStyle w:val="NoSpacing"/>
            </w:pPr>
          </w:p>
          <w:p w14:paraId="6A7B4280" w14:textId="71438B46" w:rsidR="008413C5" w:rsidRPr="00E971BB" w:rsidRDefault="008413C5" w:rsidP="0023708A">
            <w:pPr>
              <w:pStyle w:val="NoSpacing"/>
            </w:pPr>
          </w:p>
        </w:tc>
      </w:tr>
      <w:tr w:rsidR="004E17BD" w:rsidRPr="00E971BB" w14:paraId="593C719F" w14:textId="77777777" w:rsidTr="0023761E">
        <w:tc>
          <w:tcPr>
            <w:tcW w:w="2802" w:type="dxa"/>
            <w:shd w:val="clear" w:color="auto" w:fill="auto"/>
          </w:tcPr>
          <w:p w14:paraId="13FCA0C6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How we collect (the source) and use the information</w:t>
            </w:r>
          </w:p>
        </w:tc>
        <w:tc>
          <w:tcPr>
            <w:tcW w:w="6440" w:type="dxa"/>
            <w:shd w:val="clear" w:color="auto" w:fill="auto"/>
          </w:tcPr>
          <w:p w14:paraId="5DB08DCA" w14:textId="13E85660" w:rsidR="004E17BD" w:rsidRPr="00E971BB" w:rsidRDefault="00686C80" w:rsidP="0023761E">
            <w:pPr>
              <w:pStyle w:val="NoSpacing"/>
            </w:pPr>
            <w:r>
              <w:t xml:space="preserve">Information is obtained from the GP Patient Record. </w:t>
            </w:r>
          </w:p>
        </w:tc>
      </w:tr>
      <w:tr w:rsidR="004E17BD" w:rsidRPr="00E971BB" w14:paraId="7A50B173" w14:textId="77777777" w:rsidTr="0023761E">
        <w:tc>
          <w:tcPr>
            <w:tcW w:w="2802" w:type="dxa"/>
            <w:shd w:val="clear" w:color="auto" w:fill="auto"/>
          </w:tcPr>
          <w:p w14:paraId="7EDFC889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Data Processors</w:t>
            </w:r>
          </w:p>
        </w:tc>
        <w:tc>
          <w:tcPr>
            <w:tcW w:w="6440" w:type="dxa"/>
            <w:shd w:val="clear" w:color="auto" w:fill="auto"/>
          </w:tcPr>
          <w:p w14:paraId="761939AB" w14:textId="5F805F65" w:rsidR="004E17BD" w:rsidRDefault="001A36D9" w:rsidP="0023761E">
            <w:pPr>
              <w:pStyle w:val="NoSpacing"/>
            </w:pPr>
            <w:r>
              <w:t xml:space="preserve">NHS Humber &amp; North Yorkshire Integrated Care Board </w:t>
            </w:r>
          </w:p>
          <w:p w14:paraId="1370C6BA" w14:textId="77777777" w:rsidR="008413C5" w:rsidRDefault="008413C5" w:rsidP="0023761E">
            <w:pPr>
              <w:pStyle w:val="NoSpacing"/>
            </w:pPr>
          </w:p>
          <w:p w14:paraId="6A1D1F8F" w14:textId="6B257ABF" w:rsidR="008413C5" w:rsidRPr="00E971BB" w:rsidRDefault="008413C5" w:rsidP="0023761E">
            <w:pPr>
              <w:pStyle w:val="NoSpacing"/>
            </w:pPr>
          </w:p>
        </w:tc>
      </w:tr>
      <w:tr w:rsidR="004E17BD" w:rsidRPr="00E971BB" w14:paraId="1F2F8878" w14:textId="77777777" w:rsidTr="0023761E">
        <w:tc>
          <w:tcPr>
            <w:tcW w:w="2802" w:type="dxa"/>
            <w:shd w:val="clear" w:color="auto" w:fill="auto"/>
          </w:tcPr>
          <w:p w14:paraId="04B47654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Your Rights</w:t>
            </w:r>
          </w:p>
        </w:tc>
        <w:tc>
          <w:tcPr>
            <w:tcW w:w="6440" w:type="dxa"/>
            <w:shd w:val="clear" w:color="auto" w:fill="auto"/>
          </w:tcPr>
          <w:p w14:paraId="1A2C1736" w14:textId="77777777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>To be informed about the processing of your information (this notice)</w:t>
            </w:r>
          </w:p>
          <w:p w14:paraId="288329EB" w14:textId="77777777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>Of access to the information held about you</w:t>
            </w:r>
          </w:p>
          <w:p w14:paraId="4AEBD1CB" w14:textId="77777777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 xml:space="preserve">To have the information corrected </w:t>
            </w:r>
            <w:proofErr w:type="gramStart"/>
            <w:r w:rsidRPr="00E971BB">
              <w:t>in the event that</w:t>
            </w:r>
            <w:proofErr w:type="gramEnd"/>
            <w:r w:rsidRPr="00E971BB">
              <w:t xml:space="preserve"> it is inaccurate</w:t>
            </w:r>
          </w:p>
          <w:p w14:paraId="447BB469" w14:textId="77777777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>To object to it being processed or used</w:t>
            </w:r>
          </w:p>
          <w:p w14:paraId="58C4F81C" w14:textId="4C103DF8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 xml:space="preserve">Not to be subject </w:t>
            </w:r>
            <w:r w:rsidR="003D5DC1">
              <w:t xml:space="preserve">to </w:t>
            </w:r>
            <w:r w:rsidRPr="00E971BB">
              <w:t>automated decision-taking or profiling</w:t>
            </w:r>
          </w:p>
          <w:p w14:paraId="176F2D74" w14:textId="77777777" w:rsidR="004E17BD" w:rsidRPr="00E971BB" w:rsidRDefault="004E17BD" w:rsidP="004E17BD">
            <w:pPr>
              <w:pStyle w:val="NoSpacing"/>
              <w:numPr>
                <w:ilvl w:val="0"/>
                <w:numId w:val="1"/>
              </w:numPr>
            </w:pPr>
            <w:r w:rsidRPr="00E971BB">
              <w:t>To be notified of data breaches</w:t>
            </w:r>
          </w:p>
        </w:tc>
      </w:tr>
      <w:tr w:rsidR="004E17BD" w:rsidRPr="00E971BB" w14:paraId="0697EACB" w14:textId="77777777" w:rsidTr="0023761E">
        <w:tc>
          <w:tcPr>
            <w:tcW w:w="2802" w:type="dxa"/>
            <w:shd w:val="clear" w:color="auto" w:fill="auto"/>
          </w:tcPr>
          <w:p w14:paraId="7D932873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How long we will keep the information</w:t>
            </w:r>
          </w:p>
        </w:tc>
        <w:tc>
          <w:tcPr>
            <w:tcW w:w="6440" w:type="dxa"/>
            <w:shd w:val="clear" w:color="auto" w:fill="auto"/>
          </w:tcPr>
          <w:p w14:paraId="1183C136" w14:textId="0FD53F8E" w:rsidR="004E17BD" w:rsidRPr="00E971BB" w:rsidRDefault="001A36D9" w:rsidP="0023761E">
            <w:pPr>
              <w:pStyle w:val="NoSpacing"/>
            </w:pPr>
            <w:r>
              <w:t>Information will be retained in line with the NHS Records Management Code of Practice 2023</w:t>
            </w:r>
            <w:r w:rsidR="00686C80">
              <w:t xml:space="preserve">. </w:t>
            </w:r>
            <w:r w:rsidR="00686C80" w:rsidRPr="00686C80">
              <w:t xml:space="preserve"> All GP information will be securely destroyed at the end of the record retention period or transferred back to the GP Practice at the end of the contract via </w:t>
            </w:r>
            <w:proofErr w:type="spellStart"/>
            <w:r w:rsidR="00686C80" w:rsidRPr="00686C80">
              <w:t>NHSmail</w:t>
            </w:r>
            <w:proofErr w:type="spellEnd"/>
            <w:r w:rsidR="00686C80" w:rsidRPr="00686C80">
              <w:t xml:space="preserve"> to </w:t>
            </w:r>
            <w:proofErr w:type="spellStart"/>
            <w:r w:rsidR="00686C80" w:rsidRPr="00686C80">
              <w:t>NHSmai</w:t>
            </w:r>
            <w:r w:rsidR="00686C80">
              <w:t>l</w:t>
            </w:r>
            <w:proofErr w:type="spellEnd"/>
            <w:r w:rsidR="00686C80">
              <w:t xml:space="preserve">. </w:t>
            </w:r>
          </w:p>
        </w:tc>
      </w:tr>
      <w:tr w:rsidR="004E17BD" w14:paraId="06FACB5F" w14:textId="77777777" w:rsidTr="0023761E">
        <w:tc>
          <w:tcPr>
            <w:tcW w:w="2802" w:type="dxa"/>
            <w:shd w:val="clear" w:color="auto" w:fill="auto"/>
          </w:tcPr>
          <w:p w14:paraId="0D172DBD" w14:textId="77777777" w:rsidR="004E17BD" w:rsidRPr="00E971BB" w:rsidRDefault="004E17BD" w:rsidP="0023761E">
            <w:pPr>
              <w:pStyle w:val="NoSpacing"/>
              <w:rPr>
                <w:b/>
              </w:rPr>
            </w:pPr>
            <w:r w:rsidRPr="00E971BB">
              <w:rPr>
                <w:b/>
              </w:rPr>
              <w:t>Who we will share the information with (recipients)</w:t>
            </w:r>
          </w:p>
        </w:tc>
        <w:tc>
          <w:tcPr>
            <w:tcW w:w="6440" w:type="dxa"/>
            <w:shd w:val="clear" w:color="auto" w:fill="auto"/>
          </w:tcPr>
          <w:p w14:paraId="4D4263C8" w14:textId="1B4C7772" w:rsidR="003D5DC1" w:rsidRPr="003D5DC1" w:rsidRDefault="004A103F" w:rsidP="0023761E">
            <w:pPr>
              <w:pStyle w:val="NoSpacing"/>
              <w:rPr>
                <w:rFonts w:asciiTheme="minorHAnsi" w:hAnsiTheme="minorHAnsi" w:cstheme="minorHAnsi"/>
              </w:rPr>
            </w:pPr>
            <w:r>
              <w:rPr>
                <w:rFonts w:asciiTheme="minorHAnsi" w:hAnsiTheme="minorHAnsi" w:cstheme="minorHAnsi"/>
              </w:rPr>
              <w:t xml:space="preserve">Identifiable information is not shared with any other organisations. </w:t>
            </w:r>
          </w:p>
        </w:tc>
      </w:tr>
    </w:tbl>
    <w:p w14:paraId="5E58BB93" w14:textId="77777777" w:rsidR="008413C5" w:rsidRDefault="008413C5"/>
    <w:sectPr w:rsidR="008413C5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0B2FEB"/>
    <w:multiLevelType w:val="hybridMultilevel"/>
    <w:tmpl w:val="2BC44C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892763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17BD"/>
    <w:rsid w:val="0001495F"/>
    <w:rsid w:val="000555FB"/>
    <w:rsid w:val="00084636"/>
    <w:rsid w:val="001073AF"/>
    <w:rsid w:val="001345DC"/>
    <w:rsid w:val="001A36D9"/>
    <w:rsid w:val="001D1DE1"/>
    <w:rsid w:val="001D29E4"/>
    <w:rsid w:val="0023708A"/>
    <w:rsid w:val="00271B36"/>
    <w:rsid w:val="003148C3"/>
    <w:rsid w:val="0033221D"/>
    <w:rsid w:val="003C0B43"/>
    <w:rsid w:val="003D5DC1"/>
    <w:rsid w:val="003F0416"/>
    <w:rsid w:val="00487EDF"/>
    <w:rsid w:val="004A103F"/>
    <w:rsid w:val="004C1A5C"/>
    <w:rsid w:val="004D3B72"/>
    <w:rsid w:val="004E17BD"/>
    <w:rsid w:val="0063472F"/>
    <w:rsid w:val="00686C80"/>
    <w:rsid w:val="00761029"/>
    <w:rsid w:val="008408A9"/>
    <w:rsid w:val="008413C5"/>
    <w:rsid w:val="0087708B"/>
    <w:rsid w:val="008C13BA"/>
    <w:rsid w:val="008D23F1"/>
    <w:rsid w:val="009A5C91"/>
    <w:rsid w:val="00AA1D51"/>
    <w:rsid w:val="00BB2C72"/>
    <w:rsid w:val="00BF5BAA"/>
    <w:rsid w:val="00CD28BC"/>
    <w:rsid w:val="00D312ED"/>
    <w:rsid w:val="00D42445"/>
    <w:rsid w:val="00D52F5B"/>
    <w:rsid w:val="00DA70C1"/>
    <w:rsid w:val="00DB268E"/>
    <w:rsid w:val="00DB274D"/>
    <w:rsid w:val="00DE6F09"/>
    <w:rsid w:val="00DF06FB"/>
    <w:rsid w:val="00EA7A26"/>
    <w:rsid w:val="00F46CE0"/>
    <w:rsid w:val="00F96E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9ED861"/>
  <w15:chartTrackingRefBased/>
  <w15:docId w15:val="{B527EDEB-0946-4937-BA00-0B784F2100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17BD"/>
    <w:rPr>
      <w:rFonts w:ascii="Calibri" w:eastAsia="Calibri" w:hAnsi="Calibri" w:cs="Times New Roman"/>
      <w:kern w:val="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4E17BD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E17BD"/>
    <w:rPr>
      <w:rFonts w:ascii="Cambria" w:eastAsia="Times New Roman" w:hAnsi="Cambria" w:cs="Times New Roman"/>
      <w:b/>
      <w:bCs/>
      <w:kern w:val="32"/>
      <w:sz w:val="32"/>
      <w:szCs w:val="32"/>
      <w14:ligatures w14:val="none"/>
    </w:rPr>
  </w:style>
  <w:style w:type="paragraph" w:styleId="NoSpacing">
    <w:name w:val="No Spacing"/>
    <w:uiPriority w:val="1"/>
    <w:qFormat/>
    <w:rsid w:val="004E17BD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styleId="Hyperlink">
    <w:name w:val="Hyperlink"/>
    <w:uiPriority w:val="99"/>
    <w:unhideWhenUsed/>
    <w:rsid w:val="004E17BD"/>
    <w:rPr>
      <w:color w:val="0000FF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E17B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E17B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E17BD"/>
    <w:rPr>
      <w:rFonts w:ascii="Calibri" w:eastAsia="Calibri" w:hAnsi="Calibri" w:cs="Times New Roman"/>
      <w:kern w:val="0"/>
      <w:sz w:val="20"/>
      <w:szCs w:val="20"/>
      <w14:ligatures w14:val="non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17B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17BD"/>
    <w:rPr>
      <w:rFonts w:ascii="Calibri" w:eastAsia="Calibri" w:hAnsi="Calibri" w:cs="Times New Roman"/>
      <w:b/>
      <w:bCs/>
      <w:kern w:val="0"/>
      <w:sz w:val="20"/>
      <w:szCs w:val="20"/>
      <w14:ligatures w14:val="none"/>
    </w:rPr>
  </w:style>
  <w:style w:type="character" w:customStyle="1" w:styleId="ui-provider">
    <w:name w:val="ui-provider"/>
    <w:basedOn w:val="DefaultParagraphFont"/>
    <w:rsid w:val="00D42445"/>
  </w:style>
  <w:style w:type="paragraph" w:styleId="NormalWeb">
    <w:name w:val="Normal (Web)"/>
    <w:basedOn w:val="Normal"/>
    <w:uiPriority w:val="99"/>
    <w:semiHidden/>
    <w:unhideWhenUsed/>
    <w:rsid w:val="00DA70C1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Revision">
    <w:name w:val="Revision"/>
    <w:hidden/>
    <w:uiPriority w:val="99"/>
    <w:semiHidden/>
    <w:rsid w:val="0063472F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</w:style>
  <w:style w:type="character" w:customStyle="1" w:styleId="cf01">
    <w:name w:val="cf01"/>
    <w:basedOn w:val="DefaultParagraphFont"/>
    <w:rsid w:val="003D5DC1"/>
    <w:rPr>
      <w:rFonts w:ascii="Segoe UI" w:hAnsi="Segoe UI" w:cs="Segoe UI" w:hint="default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949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9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4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7995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e3aa9367-fc84-4ae7-ac9b-8b98bed52397">
      <Terms xmlns="http://schemas.microsoft.com/office/infopath/2007/PartnerControls"/>
    </lcf76f155ced4ddcb4097134ff3c332f>
    <TaxCatchAll xmlns="7e8fbbb6-66ce-4444-ab4f-4857bfdd32e0" xsi:nil="true"/>
    <_ip_UnifiedCompliancePolicyProperties xmlns="http://schemas.microsoft.com/sharepoint/v3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097DF58E94CF644BD28E1BF8FF78180" ma:contentTypeVersion="15" ma:contentTypeDescription="Create a new document." ma:contentTypeScope="" ma:versionID="33f0820aa3da3ae5429f0a20856eedc5">
  <xsd:schema xmlns:xsd="http://www.w3.org/2001/XMLSchema" xmlns:xs="http://www.w3.org/2001/XMLSchema" xmlns:p="http://schemas.microsoft.com/office/2006/metadata/properties" xmlns:ns1="http://schemas.microsoft.com/sharepoint/v3" xmlns:ns2="e3aa9367-fc84-4ae7-ac9b-8b98bed52397" xmlns:ns3="7e8fbbb6-66ce-4444-ab4f-4857bfdd32e0" targetNamespace="http://schemas.microsoft.com/office/2006/metadata/properties" ma:root="true" ma:fieldsID="9f6c3df2931c04da628b941b5619f998" ns1:_="" ns2:_="" ns3:_="">
    <xsd:import namespace="http://schemas.microsoft.com/sharepoint/v3"/>
    <xsd:import namespace="e3aa9367-fc84-4ae7-ac9b-8b98bed52397"/>
    <xsd:import namespace="7e8fbbb6-66ce-4444-ab4f-4857bfdd32e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1:_ip_UnifiedCompliancePolicyProperties" minOccurs="0"/>
                <xsd:element ref="ns1:_ip_UnifiedCompliancePolicyUIAc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1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2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3aa9367-fc84-4ae7-ac9b-8b98bed523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2c8d5fda-b97d-42c6-97e2-f76465e161c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e8fbbb6-66ce-4444-ab4f-4857bfdd32e0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b536dcb0-d4ac-467d-8fac-8b47192480dd}" ma:internalName="TaxCatchAll" ma:showField="CatchAllData" ma:web="7e8fbbb6-66ce-4444-ab4f-4857bfdd32e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6B3BB00-F0D0-4F8C-91EB-CFBD9D7A860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D1D1CD-5597-4ADC-A656-56EA8E4CE967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3aa9367-fc84-4ae7-ac9b-8b98bed52397"/>
    <ds:schemaRef ds:uri="7e8fbbb6-66ce-4444-ab4f-4857bfdd32e0"/>
  </ds:schemaRefs>
</ds:datastoreItem>
</file>

<file path=customXml/itemProps3.xml><?xml version="1.0" encoding="utf-8"?>
<ds:datastoreItem xmlns:ds="http://schemas.openxmlformats.org/officeDocument/2006/customXml" ds:itemID="{F7354EAA-918A-4F49-8E2C-9CBB3F9E3F4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e3aa9367-fc84-4ae7-ac9b-8b98bed52397"/>
    <ds:schemaRef ds:uri="7e8fbbb6-66ce-4444-ab4f-4857bfdd32e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37c354b2-85b0-47f5-b222-07b48d774ee3}" enabled="0" method="" siteId="{37c354b2-85b0-47f5-b222-07b48d774ee3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GILLINGWATER, Hayley (NHS HUMBER AND NORTH YORKSHIRE ICB - 02Y)</dc:creator>
  <cp:keywords/>
  <dc:description/>
  <cp:lastModifiedBy>GILLINGWATER, Hayley (NHS HUMBER AND NORTH YORKSHIRE ICB - 02Y)</cp:lastModifiedBy>
  <cp:revision>2</cp:revision>
  <dcterms:created xsi:type="dcterms:W3CDTF">2025-04-08T10:51:00Z</dcterms:created>
  <dcterms:modified xsi:type="dcterms:W3CDTF">2025-04-08T10:51:00Z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0x0101009097DF58E94CF644BD28E1BF8FF78180</vt:lpwstr>
  </property>
  <property fmtid="{D5CDD505-2E9C-101B-9397-08002B2CF9AE}" pid="3" name="MediaServiceImageTags">
    <vt:lpwstr/>
  </property>
</Properties>
</file>