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9415" w14:textId="22FE6518" w:rsidR="00F264DA" w:rsidRDefault="00A35D88" w:rsidP="0035096D">
      <w:pPr>
        <w:jc w:val="left"/>
        <w:rPr>
          <w:b/>
          <w:bCs/>
        </w:rPr>
      </w:pPr>
      <w:r>
        <w:rPr>
          <w:rFonts w:cs="Arial"/>
          <w:noProof/>
          <w:lang w:eastAsia="en-GB"/>
        </w:rPr>
        <w:drawing>
          <wp:inline distT="0" distB="0" distL="0" distR="0" wp14:anchorId="76AFE6B9" wp14:editId="0C5C8703">
            <wp:extent cx="2819400" cy="558800"/>
            <wp:effectExtent l="0" t="0" r="0" b="0"/>
            <wp:docPr id="9815527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52706" name="Picture 2">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19400" cy="558800"/>
                    </a:xfrm>
                    <a:prstGeom prst="rect">
                      <a:avLst/>
                    </a:prstGeom>
                    <a:noFill/>
                    <a:ln>
                      <a:noFill/>
                    </a:ln>
                  </pic:spPr>
                </pic:pic>
              </a:graphicData>
            </a:graphic>
          </wp:inline>
        </w:drawing>
      </w:r>
      <w:r w:rsidR="00F206C0">
        <w:rPr>
          <w:b/>
          <w:bCs/>
        </w:rPr>
        <w:tab/>
      </w:r>
      <w:r w:rsidR="0035096D">
        <w:rPr>
          <w:b/>
          <w:bCs/>
        </w:rPr>
        <w:tab/>
      </w:r>
      <w:r w:rsidR="0035096D">
        <w:rPr>
          <w:b/>
          <w:bCs/>
        </w:rPr>
        <w:tab/>
      </w:r>
      <w:r w:rsidR="0035096D">
        <w:rPr>
          <w:b/>
          <w:bCs/>
        </w:rPr>
        <w:tab/>
      </w:r>
      <w:r>
        <w:rPr>
          <w:b/>
          <w:bCs/>
        </w:rPr>
        <w:tab/>
      </w:r>
      <w:r w:rsidR="0035096D">
        <w:rPr>
          <w:rFonts w:ascii="Calibri" w:hAnsi="Calibri" w:cs="Calibri"/>
          <w:noProof/>
          <w:lang w:eastAsia="en-GB"/>
        </w:rPr>
        <w:drawing>
          <wp:inline distT="0" distB="0" distL="0" distR="0" wp14:anchorId="78EC2BE7" wp14:editId="175D25AC">
            <wp:extent cx="1625600" cy="755650"/>
            <wp:effectExtent l="0" t="0" r="0" b="6350"/>
            <wp:docPr id="20755692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69297" name="Picture 1">
                      <a:extLst>
                        <a:ext uri="{C183D7F6-B498-43B3-948B-1728B52AA6E4}">
                          <adec:decorative xmlns:adec="http://schemas.microsoft.com/office/drawing/2017/decorative" val="1"/>
                        </a:ext>
                      </a:extLs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25600" cy="755650"/>
                    </a:xfrm>
                    <a:prstGeom prst="rect">
                      <a:avLst/>
                    </a:prstGeom>
                    <a:noFill/>
                    <a:ln>
                      <a:noFill/>
                    </a:ln>
                  </pic:spPr>
                </pic:pic>
              </a:graphicData>
            </a:graphic>
          </wp:inline>
        </w:drawing>
      </w:r>
      <w:r>
        <w:rPr>
          <w:b/>
          <w:bCs/>
        </w:rPr>
        <w:tab/>
      </w:r>
      <w:r>
        <w:rPr>
          <w:b/>
          <w:bCs/>
        </w:rPr>
        <w:tab/>
      </w:r>
      <w:r>
        <w:rPr>
          <w:b/>
          <w:bCs/>
        </w:rPr>
        <w:tab/>
      </w:r>
      <w:r>
        <w:rPr>
          <w:b/>
          <w:bCs/>
        </w:rPr>
        <w:tab/>
      </w:r>
      <w:r>
        <w:rPr>
          <w:b/>
          <w:bCs/>
        </w:rPr>
        <w:tab/>
      </w:r>
      <w:r>
        <w:rPr>
          <w:b/>
          <w:bCs/>
        </w:rPr>
        <w:tab/>
      </w:r>
      <w:r>
        <w:rPr>
          <w:b/>
          <w:bCs/>
        </w:rPr>
        <w:tab/>
      </w:r>
      <w:r>
        <w:rPr>
          <w:b/>
          <w:bCs/>
        </w:rPr>
        <w:tab/>
      </w:r>
      <w:r w:rsidR="00E74FDC">
        <w:rPr>
          <w:b/>
          <w:bCs/>
        </w:rPr>
        <w:t xml:space="preserve">            </w:t>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p>
    <w:p w14:paraId="6151BB73" w14:textId="59E0B4A2" w:rsidR="000F5C95" w:rsidRPr="00F264DA" w:rsidRDefault="00F02C12" w:rsidP="00CC22C5">
      <w:pPr>
        <w:jc w:val="center"/>
        <w:rPr>
          <w:b/>
          <w:bCs/>
          <w:sz w:val="28"/>
          <w:szCs w:val="28"/>
        </w:rPr>
      </w:pPr>
      <w:r w:rsidRPr="00F264DA">
        <w:rPr>
          <w:b/>
          <w:bCs/>
          <w:sz w:val="28"/>
          <w:szCs w:val="28"/>
        </w:rPr>
        <w:t xml:space="preserve">Humber &amp; North Yorkshire Integrated Care Board </w:t>
      </w:r>
    </w:p>
    <w:p w14:paraId="74F92280" w14:textId="7C9A8613" w:rsidR="00CC22C5" w:rsidRDefault="00F264DA" w:rsidP="00CC22C5">
      <w:pPr>
        <w:jc w:val="center"/>
        <w:rPr>
          <w:b/>
          <w:bCs/>
          <w:sz w:val="28"/>
          <w:szCs w:val="28"/>
        </w:rPr>
      </w:pPr>
      <w:r w:rsidRPr="00F264DA">
        <w:rPr>
          <w:b/>
          <w:bCs/>
          <w:sz w:val="28"/>
          <w:szCs w:val="28"/>
        </w:rPr>
        <w:t>Public Questions S</w:t>
      </w:r>
      <w:r w:rsidR="000F5C95" w:rsidRPr="00F264DA">
        <w:rPr>
          <w:b/>
          <w:bCs/>
          <w:sz w:val="28"/>
          <w:szCs w:val="28"/>
        </w:rPr>
        <w:t xml:space="preserve">ummary </w:t>
      </w:r>
      <w:r w:rsidRPr="00F264DA">
        <w:rPr>
          <w:b/>
          <w:bCs/>
          <w:sz w:val="28"/>
          <w:szCs w:val="28"/>
        </w:rPr>
        <w:t>L</w:t>
      </w:r>
      <w:r w:rsidR="000F5C95" w:rsidRPr="00F264DA">
        <w:rPr>
          <w:b/>
          <w:bCs/>
          <w:sz w:val="28"/>
          <w:szCs w:val="28"/>
        </w:rPr>
        <w:t xml:space="preserve">og </w:t>
      </w:r>
      <w:r w:rsidR="0005289B">
        <w:rPr>
          <w:b/>
          <w:bCs/>
          <w:sz w:val="28"/>
          <w:szCs w:val="28"/>
        </w:rPr>
        <w:t>2025-26</w:t>
      </w:r>
    </w:p>
    <w:p w14:paraId="2C4FFF51" w14:textId="77777777" w:rsidR="00911A8B" w:rsidRPr="00F264DA" w:rsidRDefault="00911A8B" w:rsidP="00CC22C5">
      <w:pPr>
        <w:jc w:val="center"/>
        <w:rPr>
          <w:b/>
          <w:bCs/>
          <w:sz w:val="28"/>
          <w:szCs w:val="28"/>
        </w:rPr>
      </w:pPr>
    </w:p>
    <w:tbl>
      <w:tblPr>
        <w:tblStyle w:val="GridTable4-Accent1"/>
        <w:tblW w:w="0" w:type="auto"/>
        <w:tblLook w:val="04A0" w:firstRow="1" w:lastRow="0" w:firstColumn="1" w:lastColumn="0" w:noHBand="0" w:noVBand="1"/>
      </w:tblPr>
      <w:tblGrid>
        <w:gridCol w:w="2547"/>
        <w:gridCol w:w="8215"/>
      </w:tblGrid>
      <w:tr w:rsidR="009033D3" w14:paraId="2E170653" w14:textId="77777777" w:rsidTr="00CC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CBFCD5" w14:textId="39FA3A5D" w:rsidR="0035096D" w:rsidRPr="0035096D" w:rsidRDefault="009033D3" w:rsidP="0035096D">
            <w:pPr>
              <w:pStyle w:val="NoSpacing"/>
              <w:jc w:val="center"/>
              <w:rPr>
                <w:rFonts w:cs="Arial"/>
                <w:b w:val="0"/>
                <w:bCs w:val="0"/>
                <w:sz w:val="24"/>
                <w:szCs w:val="24"/>
              </w:rPr>
            </w:pPr>
            <w:r w:rsidRPr="0035096D">
              <w:rPr>
                <w:rFonts w:cs="Arial"/>
                <w:sz w:val="24"/>
                <w:szCs w:val="24"/>
              </w:rPr>
              <w:t>ICB Board Meeting</w:t>
            </w:r>
          </w:p>
          <w:p w14:paraId="59563B00" w14:textId="554D25DF" w:rsidR="009033D3" w:rsidRPr="001569D7" w:rsidRDefault="00CA63E4" w:rsidP="0035096D">
            <w:pPr>
              <w:pStyle w:val="NoSpacing"/>
              <w:jc w:val="center"/>
              <w:rPr>
                <w:rFonts w:cs="Arial"/>
                <w:b w:val="0"/>
                <w:bCs w:val="0"/>
              </w:rPr>
            </w:pPr>
            <w:r>
              <w:rPr>
                <w:rFonts w:cs="Arial"/>
                <w:sz w:val="24"/>
                <w:szCs w:val="24"/>
              </w:rPr>
              <w:t>11 June 2025</w:t>
            </w:r>
          </w:p>
        </w:tc>
        <w:tc>
          <w:tcPr>
            <w:tcW w:w="8215" w:type="dxa"/>
          </w:tcPr>
          <w:p w14:paraId="5C226203" w14:textId="77777777" w:rsidR="009033D3" w:rsidRPr="001569D7" w:rsidRDefault="009033D3" w:rsidP="00D720AE">
            <w:pPr>
              <w:pStyle w:val="NoSpacing"/>
              <w:cnfStyle w:val="100000000000" w:firstRow="1" w:lastRow="0" w:firstColumn="0" w:lastColumn="0" w:oddVBand="0" w:evenVBand="0" w:oddHBand="0" w:evenHBand="0" w:firstRowFirstColumn="0" w:firstRowLastColumn="0" w:lastRowFirstColumn="0" w:lastRowLastColumn="0"/>
              <w:rPr>
                <w:rFonts w:cs="Arial"/>
                <w14:textFill>
                  <w14:gradFill>
                    <w14:gsLst>
                      <w14:gs w14:pos="0">
                        <w14:schemeClr w14:val="bg1">
                          <w14:shade w14:val="30000"/>
                          <w14:satMod w14:val="115000"/>
                        </w14:schemeClr>
                      </w14:gs>
                      <w14:gs w14:pos="50000">
                        <w14:schemeClr w14:val="bg1">
                          <w14:shade w14:val="67500"/>
                          <w14:satMod w14:val="115000"/>
                        </w14:schemeClr>
                      </w14:gs>
                      <w14:gs w14:pos="100000">
                        <w14:schemeClr w14:val="bg1">
                          <w14:shade w14:val="100000"/>
                          <w14:satMod w14:val="115000"/>
                        </w14:schemeClr>
                      </w14:gs>
                    </w14:gsLst>
                    <w14:lin w14:ang="2700000" w14:scaled="0"/>
                  </w14:gradFill>
                </w14:textFill>
              </w:rPr>
            </w:pPr>
          </w:p>
        </w:tc>
      </w:tr>
      <w:tr w:rsidR="003E0E66" w14:paraId="59962551"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D75D13" w14:textId="12FAF2A8" w:rsidR="003E0E66" w:rsidRPr="0000330F" w:rsidRDefault="003E0E66" w:rsidP="00D720AE">
            <w:pPr>
              <w:pStyle w:val="NoSpacing"/>
              <w:rPr>
                <w:rFonts w:cs="Arial"/>
                <w:b w:val="0"/>
                <w:bCs w:val="0"/>
              </w:rPr>
            </w:pPr>
            <w:r w:rsidRPr="0000330F">
              <w:rPr>
                <w:rFonts w:cs="Arial"/>
              </w:rPr>
              <w:t xml:space="preserve">Date </w:t>
            </w:r>
            <w:r w:rsidR="007F69E2" w:rsidRPr="0000330F">
              <w:rPr>
                <w:rFonts w:cs="Arial"/>
              </w:rPr>
              <w:t xml:space="preserve">Submitted </w:t>
            </w:r>
          </w:p>
        </w:tc>
        <w:tc>
          <w:tcPr>
            <w:tcW w:w="8215" w:type="dxa"/>
          </w:tcPr>
          <w:p w14:paraId="2A1A9A17" w14:textId="6BA2689E" w:rsidR="003E0E66" w:rsidRDefault="001750D5" w:rsidP="00D720AE">
            <w:pPr>
              <w:pStyle w:val="NoSpacing"/>
              <w:cnfStyle w:val="000000100000" w:firstRow="0" w:lastRow="0" w:firstColumn="0" w:lastColumn="0" w:oddVBand="0" w:evenVBand="0" w:oddHBand="1" w:evenHBand="0" w:firstRowFirstColumn="0" w:firstRowLastColumn="0" w:lastRowFirstColumn="0" w:lastRowLastColumn="0"/>
              <w:rPr>
                <w:rFonts w:cs="Arial"/>
              </w:rPr>
            </w:pPr>
            <w:r>
              <w:rPr>
                <w:rFonts w:cs="Arial"/>
              </w:rPr>
              <w:t>7</w:t>
            </w:r>
            <w:r w:rsidR="00B81C0D">
              <w:rPr>
                <w:rFonts w:cs="Arial"/>
              </w:rPr>
              <w:t xml:space="preserve"> April 2025</w:t>
            </w:r>
          </w:p>
        </w:tc>
      </w:tr>
      <w:tr w:rsidR="00C37DE5" w14:paraId="78AB41F0"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50F50C3F" w14:textId="77777777" w:rsidR="00C37DE5" w:rsidRDefault="00296ACA" w:rsidP="00C37DE5">
            <w:pPr>
              <w:pStyle w:val="NoSpacing"/>
              <w:rPr>
                <w:rFonts w:cs="Arial"/>
                <w:b w:val="0"/>
                <w:bCs w:val="0"/>
              </w:rPr>
            </w:pPr>
            <w:r w:rsidRPr="0000330F">
              <w:rPr>
                <w:rFonts w:cs="Arial"/>
              </w:rPr>
              <w:t>Question</w:t>
            </w:r>
          </w:p>
          <w:p w14:paraId="3342F3EB" w14:textId="77777777" w:rsidR="0035096D" w:rsidRDefault="0035096D" w:rsidP="0035096D">
            <w:pPr>
              <w:rPr>
                <w:rFonts w:cs="Arial"/>
                <w:b w:val="0"/>
                <w:bCs w:val="0"/>
              </w:rPr>
            </w:pPr>
          </w:p>
          <w:p w14:paraId="2DAEC4F5" w14:textId="6EAD5E0B" w:rsidR="0035096D" w:rsidRPr="0035096D" w:rsidRDefault="0035096D" w:rsidP="0035096D">
            <w:pPr>
              <w:ind w:firstLine="720"/>
            </w:pPr>
          </w:p>
        </w:tc>
        <w:tc>
          <w:tcPr>
            <w:tcW w:w="8215" w:type="dxa"/>
          </w:tcPr>
          <w:p w14:paraId="3C79390A" w14:textId="77777777" w:rsidR="00911A8B" w:rsidRP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r w:rsidRPr="00911A8B">
              <w:rPr>
                <w:rFonts w:cs="Arial"/>
                <w:b/>
                <w:bCs/>
              </w:rPr>
              <w:t>The new Community Diagnostic Centre, Thornburgh Road, Eastfield, Scarborough</w:t>
            </w:r>
            <w:r w:rsidRPr="00911A8B">
              <w:rPr>
                <w:rFonts w:cs="Arial"/>
              </w:rPr>
              <w:t>.</w:t>
            </w:r>
          </w:p>
          <w:p w14:paraId="10529AB4" w14:textId="6061846F" w:rsid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r w:rsidRPr="00911A8B">
              <w:rPr>
                <w:rFonts w:cs="Arial"/>
              </w:rPr>
              <w:t>The new Diagnostic Centre in Scarborough will be a very welcome addition to our local NHS facilities.</w:t>
            </w:r>
            <w:r>
              <w:rPr>
                <w:rFonts w:cs="Arial"/>
              </w:rPr>
              <w:t xml:space="preserve">  </w:t>
            </w:r>
            <w:r w:rsidRPr="00911A8B">
              <w:rPr>
                <w:rFonts w:cs="Arial"/>
              </w:rPr>
              <w:t>I have noticed recently on the “Next Door” social media site, there has been a lot of activity regarding transport links to the new Community Diagnostic Centre as it is not located in the town centre, but in the Eastfield area of Scarborough.</w:t>
            </w:r>
          </w:p>
          <w:p w14:paraId="7DC27B14" w14:textId="77777777" w:rsidR="00911A8B" w:rsidRP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p>
          <w:p w14:paraId="4C05A54F" w14:textId="683B787A" w:rsid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r w:rsidRPr="00911A8B">
              <w:rPr>
                <w:rFonts w:cs="Arial"/>
              </w:rPr>
              <w:t xml:space="preserve">Our local MP, Alison Hume and a local </w:t>
            </w:r>
            <w:proofErr w:type="spellStart"/>
            <w:r w:rsidRPr="00911A8B">
              <w:rPr>
                <w:rFonts w:cs="Arial"/>
              </w:rPr>
              <w:t>councilor</w:t>
            </w:r>
            <w:proofErr w:type="spellEnd"/>
            <w:r w:rsidRPr="00911A8B">
              <w:rPr>
                <w:rFonts w:cs="Arial"/>
              </w:rPr>
              <w:t xml:space="preserve"> have both made statements about contacting the ICB re. the lack of public transport links and to quote our MP “I have made it absolutely clear to the ICB, there must be a shuttle bus service to the New Community Diagnostic Centre”</w:t>
            </w:r>
            <w:r>
              <w:rPr>
                <w:rFonts w:cs="Arial"/>
              </w:rPr>
              <w:t>.</w:t>
            </w:r>
          </w:p>
          <w:p w14:paraId="5B8F1EDE" w14:textId="77777777" w:rsidR="00911A8B" w:rsidRP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p>
          <w:p w14:paraId="15D1C1C7" w14:textId="7EE8D1D5" w:rsid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r w:rsidRPr="00911A8B">
              <w:rPr>
                <w:rFonts w:cs="Arial"/>
              </w:rPr>
              <w:t>This is in reference to the new facility in the form of a bus service from the town centre or walk able access from Seamer railway station.</w:t>
            </w:r>
            <w:r>
              <w:rPr>
                <w:rFonts w:cs="Arial"/>
              </w:rPr>
              <w:t xml:space="preserve">  </w:t>
            </w:r>
            <w:r w:rsidRPr="00911A8B">
              <w:rPr>
                <w:rFonts w:cs="Arial"/>
              </w:rPr>
              <w:t xml:space="preserve">The proposed shuttle bus service is one option, which will have associated costs to the ICB/NHS (taxpayer), or via our local Council Tax (taxpayer). The cost of providing this service will run into hundreds of thousands p.a., never mind the associated costs of tenders, administration and management of the operation. </w:t>
            </w:r>
          </w:p>
          <w:p w14:paraId="1833C320" w14:textId="77777777" w:rsidR="00911A8B" w:rsidRP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p>
          <w:p w14:paraId="489EADAC" w14:textId="000C6A50" w:rsid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r w:rsidRPr="00911A8B">
              <w:rPr>
                <w:rFonts w:cs="Arial"/>
              </w:rPr>
              <w:t xml:space="preserve">I am not sure what is envisaged by a shuttle bus service, my guess is, there would need to be a minimum of 2 shuttle buses operating each day to ensure patients meet their appointment times. </w:t>
            </w:r>
            <w:r>
              <w:rPr>
                <w:rFonts w:cs="Arial"/>
              </w:rPr>
              <w:t xml:space="preserve"> </w:t>
            </w:r>
            <w:r w:rsidRPr="00911A8B">
              <w:rPr>
                <w:rFonts w:cs="Arial"/>
              </w:rPr>
              <w:t xml:space="preserve">It is a circa 40-minute return journey to the New Diagnostic Centre from the Town Centre, therefore the service with just two buses would be fairly infrequent. </w:t>
            </w:r>
          </w:p>
          <w:p w14:paraId="0C0822EF" w14:textId="77777777" w:rsidR="00911A8B" w:rsidRP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p>
          <w:p w14:paraId="73C27935" w14:textId="4FC65AEC" w:rsid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r w:rsidRPr="00911A8B">
              <w:rPr>
                <w:rFonts w:cs="Arial"/>
              </w:rPr>
              <w:t>I wanted to bring this to your attention, in case this second option may not have been considered, my apologies if it has already been explored.</w:t>
            </w:r>
            <w:r>
              <w:rPr>
                <w:rFonts w:cs="Arial"/>
              </w:rPr>
              <w:t xml:space="preserve">  </w:t>
            </w:r>
            <w:r w:rsidRPr="00911A8B">
              <w:rPr>
                <w:rFonts w:cs="Arial"/>
              </w:rPr>
              <w:t>The ICB Board and the designated department for transport in the ICB may not be aware of the public transport bus routes in Scarborough and our MP is correct in saying, currently there isn’t a bus service which connects the Town Centre, Scarborough Railway Station, Seamer Railway Station and the New Community Diagnostic Centre. However, there is one bus route the 7 and 7a route, operated by the EY Bus Company, which could connect all 4 of these key destinations and already runs every 20 minutes,7 days a week.</w:t>
            </w:r>
          </w:p>
          <w:p w14:paraId="5CD18024" w14:textId="77777777" w:rsidR="00911A8B" w:rsidRP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p>
          <w:p w14:paraId="480230CE" w14:textId="6B3EE4B1" w:rsid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r w:rsidRPr="00911A8B">
              <w:rPr>
                <w:rFonts w:cs="Arial"/>
              </w:rPr>
              <w:t xml:space="preserve">The 7 and 7a, EY bus route passes within 200 yards of Thornburgh Road at Manham Hill and could be re-routed to the new Centre by EY buses very easily and would only add circa 6 or 7 minutes to the route.  </w:t>
            </w:r>
            <w:r>
              <w:rPr>
                <w:rFonts w:cs="Arial"/>
              </w:rPr>
              <w:t xml:space="preserve"> </w:t>
            </w:r>
            <w:r w:rsidRPr="00911A8B">
              <w:rPr>
                <w:rFonts w:cs="Arial"/>
              </w:rPr>
              <w:t xml:space="preserve">Yes, the EY Bus Co. is a private company, so they would of course want to ensure that as a minimum, they break even on any re-routing via additional fares and recover the costs incurred in making the changes. If the ICB had to negotiate a subsidy to the route change with EY </w:t>
            </w:r>
            <w:r w:rsidRPr="00911A8B">
              <w:rPr>
                <w:rFonts w:cs="Arial"/>
              </w:rPr>
              <w:lastRenderedPageBreak/>
              <w:t>buses, (hopefully not), the ongoing cost would be far less to the ICB/NHS and the tax payer as a whole, even if the subsidy was £200k p.a.</w:t>
            </w:r>
          </w:p>
          <w:p w14:paraId="1445E1ED" w14:textId="77777777" w:rsidR="00911A8B" w:rsidRPr="00911A8B"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p>
          <w:p w14:paraId="24C6C61E" w14:textId="4C1D57D5" w:rsidR="000B67AB" w:rsidRPr="0035096D" w:rsidRDefault="00911A8B" w:rsidP="00911A8B">
            <w:pPr>
              <w:cnfStyle w:val="000000000000" w:firstRow="0" w:lastRow="0" w:firstColumn="0" w:lastColumn="0" w:oddVBand="0" w:evenVBand="0" w:oddHBand="0" w:evenHBand="0" w:firstRowFirstColumn="0" w:firstRowLastColumn="0" w:lastRowFirstColumn="0" w:lastRowLastColumn="0"/>
              <w:rPr>
                <w:rFonts w:cs="Arial"/>
              </w:rPr>
            </w:pPr>
            <w:r w:rsidRPr="00911A8B">
              <w:rPr>
                <w:rFonts w:cs="Arial"/>
              </w:rPr>
              <w:t xml:space="preserve">The service, frequency and connections of the 7 and 7a buses would deliver a much better proposition for patients than any proposed shuttle bus operation. </w:t>
            </w:r>
            <w:r>
              <w:rPr>
                <w:rFonts w:cs="Arial"/>
              </w:rPr>
              <w:t xml:space="preserve"> </w:t>
            </w:r>
            <w:r w:rsidRPr="00911A8B">
              <w:rPr>
                <w:rFonts w:cs="Arial"/>
              </w:rPr>
              <w:t>This option would also be a far more cost effective and in the best interests of all parties concerned.</w:t>
            </w:r>
          </w:p>
        </w:tc>
      </w:tr>
      <w:tr w:rsidR="00C37DE5" w:rsidRPr="00A005FE" w14:paraId="63D36A2B"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956903" w14:textId="4FFDAF51" w:rsidR="00C37DE5" w:rsidRPr="0000330F" w:rsidRDefault="00296ACA" w:rsidP="00C37DE5">
            <w:pPr>
              <w:pStyle w:val="NoSpacing"/>
              <w:rPr>
                <w:rFonts w:cs="Arial"/>
                <w:b w:val="0"/>
                <w:bCs w:val="0"/>
              </w:rPr>
            </w:pPr>
            <w:r w:rsidRPr="0000330F">
              <w:rPr>
                <w:rFonts w:cs="Arial"/>
              </w:rPr>
              <w:lastRenderedPageBreak/>
              <w:t xml:space="preserve">Answer </w:t>
            </w:r>
          </w:p>
        </w:tc>
        <w:tc>
          <w:tcPr>
            <w:tcW w:w="8215" w:type="dxa"/>
          </w:tcPr>
          <w:p w14:paraId="6D53B0DB"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b/>
                <w:bCs/>
                <w:lang w:eastAsia="en-GB"/>
              </w:rPr>
            </w:pPr>
            <w:r w:rsidRPr="001B0379">
              <w:rPr>
                <w:rFonts w:eastAsia="Aptos" w:cs="Arial"/>
                <w:b/>
                <w:bCs/>
                <w:lang w:eastAsia="en-GB"/>
              </w:rPr>
              <w:t>Community Diagnostic Centre (CDC) in Scarborough</w:t>
            </w:r>
          </w:p>
          <w:p w14:paraId="3EB4A85C" w14:textId="77777777" w:rsid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The original commercial and procurement approach for the project was to lease space in a new building that North Yorkshire Council intended to construct on its own land behind Scarborough railway station.  This approach relied on the Council securing Levelling Up funding from central government, which unfortunately was not successful.</w:t>
            </w:r>
          </w:p>
          <w:p w14:paraId="55181CC5"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33ABB35B" w14:textId="77777777" w:rsid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As an alternative, the Trust explored purchasing the land, demolishing the existing building, and constructing a new facility to accommodate the Community Diagnostic Centre (CDC).  However, this option was found to carry significant risks and delays, particularly around the projected completion date, as well as concerns related to road access, ground conditions, and overall programme risk.</w:t>
            </w:r>
          </w:p>
          <w:p w14:paraId="4811B9F7"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5D0C6D0B" w14:textId="77777777" w:rsid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As a result, the project team proposed a revised approach to purchase the freehold of a development ready plot of land, which presented fewer risks than the original site and allowed the project to move forward more efficiently.  A site search was conducted based on size, population proximity, transport links, site availability, and future expansion potential.</w:t>
            </w:r>
          </w:p>
          <w:p w14:paraId="15C0FA63"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40C027AC"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Six sites that were shortlisted</w:t>
            </w:r>
          </w:p>
          <w:p w14:paraId="26BEC1CF"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w:t>
            </w:r>
            <w:r w:rsidRPr="001B0379">
              <w:rPr>
                <w:rFonts w:eastAsia="Aptos" w:cs="Arial"/>
                <w:lang w:eastAsia="en-GB"/>
              </w:rPr>
              <w:tab/>
              <w:t>Brunswick Centre (former Debenhams)</w:t>
            </w:r>
          </w:p>
          <w:p w14:paraId="7F1DF13F"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w:t>
            </w:r>
            <w:r w:rsidRPr="001B0379">
              <w:rPr>
                <w:rFonts w:eastAsia="Aptos" w:cs="Arial"/>
                <w:lang w:eastAsia="en-GB"/>
              </w:rPr>
              <w:tab/>
              <w:t>Unit 2, Chapman’s Yard</w:t>
            </w:r>
          </w:p>
          <w:p w14:paraId="3ABCEFEE"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w:t>
            </w:r>
            <w:r w:rsidRPr="001B0379">
              <w:rPr>
                <w:rFonts w:eastAsia="Aptos" w:cs="Arial"/>
                <w:lang w:eastAsia="en-GB"/>
              </w:rPr>
              <w:tab/>
              <w:t>Dean Road land</w:t>
            </w:r>
          </w:p>
          <w:p w14:paraId="7D4D429E"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w:t>
            </w:r>
            <w:r w:rsidRPr="001B0379">
              <w:rPr>
                <w:rFonts w:eastAsia="Aptos" w:cs="Arial"/>
                <w:lang w:eastAsia="en-GB"/>
              </w:rPr>
              <w:tab/>
              <w:t>Lady Edith’s Drive</w:t>
            </w:r>
          </w:p>
          <w:p w14:paraId="18019A57"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w:t>
            </w:r>
            <w:r w:rsidRPr="001B0379">
              <w:rPr>
                <w:rFonts w:eastAsia="Aptos" w:cs="Arial"/>
                <w:lang w:eastAsia="en-GB"/>
              </w:rPr>
              <w:tab/>
              <w:t>Columbus Ravine (former showroom)</w:t>
            </w:r>
          </w:p>
          <w:p w14:paraId="108AC7A9" w14:textId="77777777" w:rsid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w:t>
            </w:r>
            <w:r w:rsidRPr="001B0379">
              <w:rPr>
                <w:rFonts w:eastAsia="Aptos" w:cs="Arial"/>
                <w:lang w:eastAsia="en-GB"/>
              </w:rPr>
              <w:tab/>
              <w:t>Scarborough Business Park</w:t>
            </w:r>
          </w:p>
          <w:p w14:paraId="1DDB4C1B"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371A5FE2" w14:textId="77777777" w:rsid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An appraisal by the CDC NYY Steering Committee on 24 May 2022 evaluated these against six critical success factors, meeting population needs, strategic alignment, benefits optimisation, deliverability, provider capability, and affordability.</w:t>
            </w:r>
          </w:p>
          <w:p w14:paraId="4B17C889" w14:textId="77777777" w:rsidR="00425D7D" w:rsidRPr="001B0379" w:rsidRDefault="00425D7D"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09DD3181" w14:textId="77777777" w:rsid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 xml:space="preserve">Although the Brunswick Centre was initially preferred, it was ruled out due to incompatibility with mobile imaging units. The Comet Building was also considered but found unviable within the project’s timeline.  </w:t>
            </w:r>
          </w:p>
          <w:p w14:paraId="661A4EA7"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05C0D186" w14:textId="77777777" w:rsid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In August 2023, Scarborough Business Park was reviewed and recommended as the preferred site, as it met all key criteria.</w:t>
            </w:r>
          </w:p>
          <w:p w14:paraId="6256C8C1"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5132A2DF" w14:textId="77777777" w:rsidR="001B0379" w:rsidRPr="001B0379"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b/>
                <w:bCs/>
                <w:lang w:eastAsia="en-GB"/>
              </w:rPr>
            </w:pPr>
            <w:r w:rsidRPr="001B0379">
              <w:rPr>
                <w:rFonts w:eastAsia="Aptos" w:cs="Arial"/>
                <w:b/>
                <w:bCs/>
                <w:lang w:eastAsia="en-GB"/>
              </w:rPr>
              <w:t>Transport Links to the Eastfield Site</w:t>
            </w:r>
          </w:p>
          <w:p w14:paraId="681BF275" w14:textId="77777777" w:rsidR="000B67AB" w:rsidRDefault="001B03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1B0379">
              <w:rPr>
                <w:rFonts w:eastAsia="Aptos" w:cs="Arial"/>
                <w:lang w:eastAsia="en-GB"/>
              </w:rPr>
              <w:t>The project team is working with East Yorkshire Motor Services to extend the current bus service to include the Industrial Estate and the CDC site.  A proposed reroute via Taylor Way, potentially starting from 20 July or early September has been modelled.  Discussions are ongoing regarding the funding needed to implement this change, as the model indicates it would require an additional vehicle and three drivers per day.</w:t>
            </w:r>
          </w:p>
          <w:p w14:paraId="6A6C4289" w14:textId="77777777" w:rsidR="00013279" w:rsidRDefault="00013279" w:rsidP="001B03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38721F45" w14:textId="77777777" w:rsidR="00E80151" w:rsidRPr="00E80151" w:rsidRDefault="00E80151" w:rsidP="00E80151">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E80151">
              <w:rPr>
                <w:rFonts w:eastAsia="Aptos" w:cs="Arial"/>
                <w:lang w:eastAsia="en-GB"/>
              </w:rPr>
              <w:t>When did the project team start working with the East Yorkshire Motor Services, to extend the current bus service?</w:t>
            </w:r>
          </w:p>
          <w:p w14:paraId="0D26715C" w14:textId="77777777" w:rsidR="00E80151" w:rsidRPr="00E80151" w:rsidRDefault="00E80151" w:rsidP="00E80151">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74EA83E9" w14:textId="16D7A15A" w:rsidR="00013279" w:rsidRPr="00556694" w:rsidRDefault="00E80151" w:rsidP="00E80151">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E80151">
              <w:rPr>
                <w:rFonts w:eastAsia="Aptos" w:cs="Arial"/>
                <w:lang w:eastAsia="en-GB"/>
              </w:rPr>
              <w:t>We can confirm that our initial contact with East Yorkshire Motor Services began in early January 2025.</w:t>
            </w:r>
          </w:p>
        </w:tc>
      </w:tr>
      <w:tr w:rsidR="006D2A7B" w:rsidRPr="00A005FE" w14:paraId="302EAACB"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35E01FB0" w14:textId="77777777" w:rsidR="006D2A7B" w:rsidRPr="0000330F" w:rsidRDefault="006D2A7B" w:rsidP="00C37DE5">
            <w:pPr>
              <w:pStyle w:val="NoSpacing"/>
              <w:rPr>
                <w:rFonts w:cs="Arial"/>
              </w:rPr>
            </w:pPr>
          </w:p>
        </w:tc>
        <w:tc>
          <w:tcPr>
            <w:tcW w:w="8215" w:type="dxa"/>
          </w:tcPr>
          <w:p w14:paraId="722C7FC5" w14:textId="77777777" w:rsidR="006D2A7B" w:rsidRPr="001B0379" w:rsidRDefault="006D2A7B" w:rsidP="001B0379">
            <w:pPr>
              <w:cnfStyle w:val="000000000000" w:firstRow="0" w:lastRow="0" w:firstColumn="0" w:lastColumn="0" w:oddVBand="0" w:evenVBand="0" w:oddHBand="0" w:evenHBand="0" w:firstRowFirstColumn="0" w:firstRowLastColumn="0" w:lastRowFirstColumn="0" w:lastRowLastColumn="0"/>
              <w:rPr>
                <w:rFonts w:eastAsia="Aptos" w:cs="Arial"/>
                <w:b/>
                <w:bCs/>
                <w:lang w:eastAsia="en-GB"/>
              </w:rPr>
            </w:pPr>
          </w:p>
        </w:tc>
      </w:tr>
    </w:tbl>
    <w:p w14:paraId="12EBEE70" w14:textId="77777777" w:rsidR="00E80151" w:rsidRDefault="00E80151">
      <w:r>
        <w:rPr>
          <w:b/>
          <w:bCs/>
        </w:rPr>
        <w:br w:type="page"/>
      </w:r>
    </w:p>
    <w:tbl>
      <w:tblPr>
        <w:tblStyle w:val="GridTable4-Accent1"/>
        <w:tblW w:w="0" w:type="auto"/>
        <w:tblLook w:val="04A0" w:firstRow="1" w:lastRow="0" w:firstColumn="1" w:lastColumn="0" w:noHBand="0" w:noVBand="1"/>
      </w:tblPr>
      <w:tblGrid>
        <w:gridCol w:w="2547"/>
        <w:gridCol w:w="8215"/>
      </w:tblGrid>
      <w:tr w:rsidR="00205779" w:rsidRPr="00205779" w14:paraId="64C9FBF2" w14:textId="77777777" w:rsidTr="00CC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C80A2B9" w14:textId="77777777" w:rsidR="00205779" w:rsidRPr="00205779" w:rsidRDefault="00205779" w:rsidP="00205779">
            <w:pPr>
              <w:pStyle w:val="NoSpacing"/>
            </w:pPr>
            <w:r w:rsidRPr="00205779">
              <w:lastRenderedPageBreak/>
              <w:t xml:space="preserve">Date Submitted </w:t>
            </w:r>
          </w:p>
        </w:tc>
        <w:tc>
          <w:tcPr>
            <w:tcW w:w="8215" w:type="dxa"/>
          </w:tcPr>
          <w:p w14:paraId="7DEF6A32" w14:textId="5828BF50" w:rsidR="00205779" w:rsidRPr="00205779" w:rsidRDefault="006B23C3" w:rsidP="00205779">
            <w:pPr>
              <w:pStyle w:val="NoSpacing"/>
              <w:cnfStyle w:val="100000000000" w:firstRow="1" w:lastRow="0" w:firstColumn="0" w:lastColumn="0" w:oddVBand="0" w:evenVBand="0" w:oddHBand="0" w:evenHBand="0" w:firstRowFirstColumn="0" w:firstRowLastColumn="0" w:lastRowFirstColumn="0" w:lastRowLastColumn="0"/>
            </w:pPr>
            <w:r>
              <w:t>10 June 2025</w:t>
            </w:r>
          </w:p>
        </w:tc>
      </w:tr>
      <w:tr w:rsidR="00205779" w:rsidRPr="00205779" w14:paraId="72F5E88C" w14:textId="77777777" w:rsidTr="00CC40B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547" w:type="dxa"/>
          </w:tcPr>
          <w:p w14:paraId="33D34F74" w14:textId="77777777" w:rsidR="00205779" w:rsidRPr="00205779" w:rsidRDefault="00205779" w:rsidP="00205779">
            <w:pPr>
              <w:pStyle w:val="NoSpacing"/>
            </w:pPr>
            <w:r w:rsidRPr="00205779">
              <w:t>Question</w:t>
            </w:r>
          </w:p>
          <w:p w14:paraId="114C317A" w14:textId="77777777" w:rsidR="00205779" w:rsidRPr="00205779" w:rsidRDefault="00205779" w:rsidP="00205779">
            <w:pPr>
              <w:pStyle w:val="NoSpacing"/>
            </w:pPr>
          </w:p>
        </w:tc>
        <w:tc>
          <w:tcPr>
            <w:tcW w:w="8215" w:type="dxa"/>
          </w:tcPr>
          <w:p w14:paraId="6E596147" w14:textId="77777777" w:rsidR="00FA76CA" w:rsidRDefault="00FA76CA" w:rsidP="00FA76CA">
            <w:pPr>
              <w:contextualSpacing/>
              <w:cnfStyle w:val="000000100000" w:firstRow="0" w:lastRow="0" w:firstColumn="0" w:lastColumn="0" w:oddVBand="0" w:evenVBand="0" w:oddHBand="1" w:evenHBand="0" w:firstRowFirstColumn="0" w:firstRowLastColumn="0" w:lastRowFirstColumn="0" w:lastRowLastColumn="0"/>
            </w:pPr>
            <w:r>
              <w:t xml:space="preserve">The NHS 2025/2026 Priorities &amp; Operational Planning Guidance asks Integrated Care Systems to Optimise medicines value and improve the adoption of, and compliance with, best value NHS Supply Chain Frameworks in medicine and procurement. </w:t>
            </w:r>
          </w:p>
          <w:p w14:paraId="75F5D621" w14:textId="77777777" w:rsidR="00FA76CA" w:rsidRDefault="00FA76CA" w:rsidP="00FA76CA">
            <w:pPr>
              <w:contextualSpacing/>
              <w:cnfStyle w:val="000000100000" w:firstRow="0" w:lastRow="0" w:firstColumn="0" w:lastColumn="0" w:oddVBand="0" w:evenVBand="0" w:oddHBand="1" w:evenHBand="0" w:firstRowFirstColumn="0" w:firstRowLastColumn="0" w:lastRowFirstColumn="0" w:lastRowLastColumn="0"/>
            </w:pPr>
          </w:p>
          <w:p w14:paraId="7F594F92" w14:textId="44B9D8D9" w:rsidR="000B67AB" w:rsidRDefault="00FA76CA" w:rsidP="00205779">
            <w:pPr>
              <w:contextualSpacing/>
              <w:cnfStyle w:val="000000100000" w:firstRow="0" w:lastRow="0" w:firstColumn="0" w:lastColumn="0" w:oddVBand="0" w:evenVBand="0" w:oddHBand="1" w:evenHBand="0" w:firstRowFirstColumn="0" w:firstRowLastColumn="0" w:lastRowFirstColumn="0" w:lastRowLastColumn="0"/>
            </w:pPr>
            <w:r>
              <w:t>Which NHS Supply Chain Frameworks will the ICB be prioritising to show projected savings in to implement the planning guidance.</w:t>
            </w:r>
          </w:p>
          <w:p w14:paraId="3312CAAC" w14:textId="154BF694" w:rsidR="000B67AB" w:rsidRPr="00205779" w:rsidRDefault="000B67AB" w:rsidP="00205779">
            <w:pPr>
              <w:contextualSpacing/>
              <w:cnfStyle w:val="000000100000" w:firstRow="0" w:lastRow="0" w:firstColumn="0" w:lastColumn="0" w:oddVBand="0" w:evenVBand="0" w:oddHBand="1" w:evenHBand="0" w:firstRowFirstColumn="0" w:firstRowLastColumn="0" w:lastRowFirstColumn="0" w:lastRowLastColumn="0"/>
            </w:pPr>
          </w:p>
        </w:tc>
      </w:tr>
      <w:tr w:rsidR="00205779" w:rsidRPr="00205779" w14:paraId="41C1395D"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5EE72850" w14:textId="77777777" w:rsidR="00205779" w:rsidRPr="00205779" w:rsidRDefault="00205779" w:rsidP="00205779">
            <w:pPr>
              <w:pStyle w:val="NoSpacing"/>
            </w:pPr>
            <w:r w:rsidRPr="00205779">
              <w:t xml:space="preserve">Answer </w:t>
            </w:r>
          </w:p>
        </w:tc>
        <w:tc>
          <w:tcPr>
            <w:tcW w:w="8215" w:type="dxa"/>
          </w:tcPr>
          <w:p w14:paraId="4DCFE8C4" w14:textId="77777777" w:rsidR="0062021C" w:rsidRDefault="0062021C" w:rsidP="0062021C">
            <w:pPr>
              <w:cnfStyle w:val="000000000000" w:firstRow="0" w:lastRow="0" w:firstColumn="0" w:lastColumn="0" w:oddVBand="0" w:evenVBand="0" w:oddHBand="0" w:evenHBand="0" w:firstRowFirstColumn="0" w:firstRowLastColumn="0" w:lastRowFirstColumn="0" w:lastRowLastColumn="0"/>
            </w:pPr>
            <w:r>
              <w:t xml:space="preserve">NHS Humber and North Yorkshire Integrated Care Board does not select or prioritise NHS Supply Chain Frameworks for medicines and procurement. The Medicines Value Programme (MVP) is a strategic NHS initiative aimed at improving the value for money from the NHS medicines budget while maintaining or improving clinical outcomes. The Medicines Value Programme is led by NHS England, with support from NHS Supply Chain and the regional procurement teams, and focuses on a mix of commercial, clinical, and operational levers to control spend. </w:t>
            </w:r>
          </w:p>
          <w:p w14:paraId="3C21901B" w14:textId="77777777" w:rsidR="0062021C" w:rsidRDefault="0062021C" w:rsidP="0062021C">
            <w:pPr>
              <w:cnfStyle w:val="000000000000" w:firstRow="0" w:lastRow="0" w:firstColumn="0" w:lastColumn="0" w:oddVBand="0" w:evenVBand="0" w:oddHBand="0" w:evenHBand="0" w:firstRowFirstColumn="0" w:firstRowLastColumn="0" w:lastRowFirstColumn="0" w:lastRowLastColumn="0"/>
            </w:pPr>
          </w:p>
          <w:p w14:paraId="6EA231AD" w14:textId="77777777" w:rsidR="0062021C" w:rsidRDefault="0062021C" w:rsidP="0062021C">
            <w:pPr>
              <w:cnfStyle w:val="000000000000" w:firstRow="0" w:lastRow="0" w:firstColumn="0" w:lastColumn="0" w:oddVBand="0" w:evenVBand="0" w:oddHBand="0" w:evenHBand="0" w:firstRowFirstColumn="0" w:firstRowLastColumn="0" w:lastRowFirstColumn="0" w:lastRowLastColumn="0"/>
            </w:pPr>
            <w:r>
              <w:t xml:space="preserve">Our regional procurement team is provided by NHS England - by the Regional Pharmacy Procurement Specialist North East and Yorkshire, Specialist Pharmacy Services Procurement Service. The Regional Pharmacy Procurement Specialists advise our providers (mainly our 4 acute hospital trusts) on the best value frameworks related to medicines. The ICB plays a role in seeking assurance from our providers that they are engaging with the recommendations set out by the Regional Pharmacy Procurement Specialists. </w:t>
            </w:r>
          </w:p>
          <w:p w14:paraId="5F5899D4" w14:textId="77777777" w:rsidR="0062021C" w:rsidRDefault="0062021C" w:rsidP="0062021C">
            <w:pPr>
              <w:cnfStyle w:val="000000000000" w:firstRow="0" w:lastRow="0" w:firstColumn="0" w:lastColumn="0" w:oddVBand="0" w:evenVBand="0" w:oddHBand="0" w:evenHBand="0" w:firstRowFirstColumn="0" w:firstRowLastColumn="0" w:lastRowFirstColumn="0" w:lastRowLastColumn="0"/>
            </w:pPr>
          </w:p>
          <w:p w14:paraId="4130B336" w14:textId="18EA900D" w:rsidR="000B67AB" w:rsidRDefault="0062021C" w:rsidP="0062021C">
            <w:pPr>
              <w:cnfStyle w:val="000000000000" w:firstRow="0" w:lastRow="0" w:firstColumn="0" w:lastColumn="0" w:oddVBand="0" w:evenVBand="0" w:oddHBand="0" w:evenHBand="0" w:firstRowFirstColumn="0" w:firstRowLastColumn="0" w:lastRowFirstColumn="0" w:lastRowLastColumn="0"/>
            </w:pPr>
            <w:r>
              <w:t xml:space="preserve">The ICB also plays a role in supporting our providers to adopt the recommendations, for example, the ICB has been working closely with providers on the use of biosimilar medicines. A Humber and North Yorkshire (HNY) Area Prescribing Committee document outlining the principles for using bioequivalent (biosimilar) medicines across HNY Integrated Care Partnership has been published </w:t>
            </w:r>
          </w:p>
          <w:p w14:paraId="40225850" w14:textId="1A67B9C8" w:rsidR="000B67AB" w:rsidRDefault="0062021C" w:rsidP="00205779">
            <w:pPr>
              <w:cnfStyle w:val="000000000000" w:firstRow="0" w:lastRow="0" w:firstColumn="0" w:lastColumn="0" w:oddVBand="0" w:evenVBand="0" w:oddHBand="0" w:evenHBand="0" w:firstRowFirstColumn="0" w:firstRowLastColumn="0" w:lastRowFirstColumn="0" w:lastRowLastColumn="0"/>
              <w:rPr>
                <w:color w:val="000000"/>
              </w:rPr>
            </w:pPr>
            <w:hyperlink r:id="rId12" w:tooltip="Original URL: https://humberandnorthyorkshire.icb.nhs.uk/wp-content/uploads/2025/03/Clinical-Commissioning-Policy-Number-152-Biological-and-Bioequivalent-Biosimilar-Medicines-Policy-Approved-27.02.25.docx. Click or tap if you trust this link." w:history="1">
              <w:r>
                <w:rPr>
                  <w:rStyle w:val="Hyperlink"/>
                  <w:lang w:eastAsia="en-GB"/>
                </w:rPr>
                <w:t>https://humberandnorthyorkshire.icb.nhs.uk/wp-content/uploads/2025/03/Clinical-Commissioning-Policy-Number-152-Biological-and-Bioequivalent-Biosimilar-Medicines-Policy-Approved-27.02.25.docx</w:t>
              </w:r>
            </w:hyperlink>
            <w:r>
              <w:rPr>
                <w:color w:val="000000"/>
              </w:rPr>
              <w:t>.</w:t>
            </w:r>
          </w:p>
          <w:p w14:paraId="25C09FC8" w14:textId="77777777" w:rsidR="0062021C" w:rsidRDefault="0062021C" w:rsidP="00205779">
            <w:pPr>
              <w:cnfStyle w:val="000000000000" w:firstRow="0" w:lastRow="0" w:firstColumn="0" w:lastColumn="0" w:oddVBand="0" w:evenVBand="0" w:oddHBand="0" w:evenHBand="0" w:firstRowFirstColumn="0" w:firstRowLastColumn="0" w:lastRowFirstColumn="0" w:lastRowLastColumn="0"/>
              <w:rPr>
                <w:color w:val="000000"/>
              </w:rPr>
            </w:pPr>
          </w:p>
          <w:p w14:paraId="43F84BB2" w14:textId="77777777" w:rsidR="00DD41C0" w:rsidRPr="00DD41C0" w:rsidRDefault="00DD41C0" w:rsidP="00DD41C0">
            <w:pPr>
              <w:cnfStyle w:val="000000000000" w:firstRow="0" w:lastRow="0" w:firstColumn="0" w:lastColumn="0" w:oddVBand="0" w:evenVBand="0" w:oddHBand="0" w:evenHBand="0" w:firstRowFirstColumn="0" w:firstRowLastColumn="0" w:lastRowFirstColumn="0" w:lastRowLastColumn="0"/>
              <w:rPr>
                <w:b/>
                <w:bCs/>
              </w:rPr>
            </w:pPr>
            <w:r w:rsidRPr="00DD41C0">
              <w:rPr>
                <w:b/>
                <w:bCs/>
              </w:rPr>
              <w:t>Aims of the Medicines Value Programme</w:t>
            </w:r>
          </w:p>
          <w:p w14:paraId="277CBAA4" w14:textId="77777777" w:rsidR="00DD41C0" w:rsidRPr="00DD41C0" w:rsidRDefault="00DD41C0" w:rsidP="00DD41C0">
            <w:pPr>
              <w:numPr>
                <w:ilvl w:val="0"/>
                <w:numId w:val="13"/>
              </w:numPr>
              <w:cnfStyle w:val="000000000000" w:firstRow="0" w:lastRow="0" w:firstColumn="0" w:lastColumn="0" w:oddVBand="0" w:evenVBand="0" w:oddHBand="0" w:evenHBand="0" w:firstRowFirstColumn="0" w:firstRowLastColumn="0" w:lastRowFirstColumn="0" w:lastRowLastColumn="0"/>
            </w:pPr>
            <w:r w:rsidRPr="00DD41C0">
              <w:t>Reduce the cost of medicines through:</w:t>
            </w:r>
          </w:p>
          <w:p w14:paraId="7710EA49" w14:textId="77777777" w:rsidR="00DD41C0" w:rsidRPr="00DD41C0" w:rsidRDefault="00DD41C0" w:rsidP="00DD41C0">
            <w:pPr>
              <w:numPr>
                <w:ilvl w:val="1"/>
                <w:numId w:val="14"/>
              </w:numPr>
              <w:cnfStyle w:val="000000000000" w:firstRow="0" w:lastRow="0" w:firstColumn="0" w:lastColumn="0" w:oddVBand="0" w:evenVBand="0" w:oddHBand="0" w:evenHBand="0" w:firstRowFirstColumn="0" w:firstRowLastColumn="0" w:lastRowFirstColumn="0" w:lastRowLastColumn="0"/>
            </w:pPr>
            <w:r w:rsidRPr="00DD41C0">
              <w:t>Better procurement practices</w:t>
            </w:r>
          </w:p>
          <w:p w14:paraId="5EF8E203" w14:textId="77777777" w:rsidR="00DD41C0" w:rsidRPr="00DD41C0" w:rsidRDefault="00DD41C0" w:rsidP="00DD41C0">
            <w:pPr>
              <w:numPr>
                <w:ilvl w:val="1"/>
                <w:numId w:val="14"/>
              </w:numPr>
              <w:cnfStyle w:val="000000000000" w:firstRow="0" w:lastRow="0" w:firstColumn="0" w:lastColumn="0" w:oddVBand="0" w:evenVBand="0" w:oddHBand="0" w:evenHBand="0" w:firstRowFirstColumn="0" w:firstRowLastColumn="0" w:lastRowFirstColumn="0" w:lastRowLastColumn="0"/>
            </w:pPr>
            <w:r w:rsidRPr="00DD41C0">
              <w:t>Use of biosimilars and generics</w:t>
            </w:r>
          </w:p>
          <w:p w14:paraId="0D0371B9" w14:textId="77777777" w:rsidR="00DD41C0" w:rsidRPr="00DD41C0" w:rsidRDefault="00DD41C0" w:rsidP="00DD41C0">
            <w:pPr>
              <w:numPr>
                <w:ilvl w:val="1"/>
                <w:numId w:val="14"/>
              </w:numPr>
              <w:cnfStyle w:val="000000000000" w:firstRow="0" w:lastRow="0" w:firstColumn="0" w:lastColumn="0" w:oddVBand="0" w:evenVBand="0" w:oddHBand="0" w:evenHBand="0" w:firstRowFirstColumn="0" w:firstRowLastColumn="0" w:lastRowFirstColumn="0" w:lastRowLastColumn="0"/>
            </w:pPr>
            <w:r w:rsidRPr="00DD41C0">
              <w:t>Volume-based discounts (Committed Volume Agreements)</w:t>
            </w:r>
          </w:p>
          <w:p w14:paraId="582E7782" w14:textId="77777777" w:rsidR="00DD41C0" w:rsidRPr="00DD41C0" w:rsidRDefault="00DD41C0" w:rsidP="00DD41C0">
            <w:pPr>
              <w:numPr>
                <w:ilvl w:val="0"/>
                <w:numId w:val="15"/>
              </w:numPr>
              <w:cnfStyle w:val="000000000000" w:firstRow="0" w:lastRow="0" w:firstColumn="0" w:lastColumn="0" w:oddVBand="0" w:evenVBand="0" w:oddHBand="0" w:evenHBand="0" w:firstRowFirstColumn="0" w:firstRowLastColumn="0" w:lastRowFirstColumn="0" w:lastRowLastColumn="0"/>
            </w:pPr>
            <w:r w:rsidRPr="00DD41C0">
              <w:t>Increase consistency in medicine use across the NHS</w:t>
            </w:r>
          </w:p>
          <w:p w14:paraId="09ABA400" w14:textId="77777777" w:rsidR="00DD41C0" w:rsidRPr="00DD41C0" w:rsidRDefault="00DD41C0" w:rsidP="00DD41C0">
            <w:pPr>
              <w:numPr>
                <w:ilvl w:val="0"/>
                <w:numId w:val="15"/>
              </w:numPr>
              <w:cnfStyle w:val="000000000000" w:firstRow="0" w:lastRow="0" w:firstColumn="0" w:lastColumn="0" w:oddVBand="0" w:evenVBand="0" w:oddHBand="0" w:evenHBand="0" w:firstRowFirstColumn="0" w:firstRowLastColumn="0" w:lastRowFirstColumn="0" w:lastRowLastColumn="0"/>
            </w:pPr>
            <w:r w:rsidRPr="00DD41C0">
              <w:t>Support innovation and new models of care, including homecare medicines</w:t>
            </w:r>
          </w:p>
          <w:p w14:paraId="18BF4B73" w14:textId="77777777" w:rsidR="00DD41C0" w:rsidRPr="00DD41C0" w:rsidRDefault="00DD41C0" w:rsidP="00DD41C0">
            <w:pPr>
              <w:numPr>
                <w:ilvl w:val="0"/>
                <w:numId w:val="15"/>
              </w:numPr>
              <w:cnfStyle w:val="000000000000" w:firstRow="0" w:lastRow="0" w:firstColumn="0" w:lastColumn="0" w:oddVBand="0" w:evenVBand="0" w:oddHBand="0" w:evenHBand="0" w:firstRowFirstColumn="0" w:firstRowLastColumn="0" w:lastRowFirstColumn="0" w:lastRowLastColumn="0"/>
            </w:pPr>
            <w:r w:rsidRPr="00DD41C0">
              <w:t>Ensure sustainability and resilience of supply chains</w:t>
            </w:r>
          </w:p>
          <w:p w14:paraId="7DBE3E22" w14:textId="77777777" w:rsidR="00DD41C0" w:rsidRPr="00DD41C0" w:rsidRDefault="00DD41C0" w:rsidP="00DD41C0">
            <w:pPr>
              <w:numPr>
                <w:ilvl w:val="0"/>
                <w:numId w:val="15"/>
              </w:numPr>
              <w:cnfStyle w:val="000000000000" w:firstRow="0" w:lastRow="0" w:firstColumn="0" w:lastColumn="0" w:oddVBand="0" w:evenVBand="0" w:oddHBand="0" w:evenHBand="0" w:firstRowFirstColumn="0" w:firstRowLastColumn="0" w:lastRowFirstColumn="0" w:lastRowLastColumn="0"/>
            </w:pPr>
            <w:r w:rsidRPr="00DD41C0">
              <w:t>Enable value-based healthcare—aligning spend with patient outcomes</w:t>
            </w:r>
          </w:p>
          <w:p w14:paraId="0662A9DF" w14:textId="77777777" w:rsidR="00DD41C0" w:rsidRPr="00DD41C0" w:rsidRDefault="00DD41C0" w:rsidP="00DD41C0">
            <w:pPr>
              <w:cnfStyle w:val="000000000000" w:firstRow="0" w:lastRow="0" w:firstColumn="0" w:lastColumn="0" w:oddVBand="0" w:evenVBand="0" w:oddHBand="0" w:evenHBand="0" w:firstRowFirstColumn="0" w:firstRowLastColumn="0" w:lastRowFirstColumn="0" w:lastRowLastColumn="0"/>
            </w:pPr>
            <w:r w:rsidRPr="00DD41C0">
              <w:t> </w:t>
            </w:r>
          </w:p>
          <w:p w14:paraId="2B7ACBD3" w14:textId="77777777" w:rsidR="00DD41C0" w:rsidRDefault="00DD41C0" w:rsidP="00DD41C0">
            <w:pPr>
              <w:cnfStyle w:val="000000000000" w:firstRow="0" w:lastRow="0" w:firstColumn="0" w:lastColumn="0" w:oddVBand="0" w:evenVBand="0" w:oddHBand="0" w:evenHBand="0" w:firstRowFirstColumn="0" w:firstRowLastColumn="0" w:lastRowFirstColumn="0" w:lastRowLastColumn="0"/>
            </w:pPr>
            <w:r w:rsidRPr="00DD41C0">
              <w:t>For more information about Medicines Value and Access:</w:t>
            </w:r>
          </w:p>
          <w:p w14:paraId="3D8F0556" w14:textId="3F5E9B5B" w:rsidR="00DD41C0" w:rsidRDefault="00DD41C0" w:rsidP="00DD41C0">
            <w:pPr>
              <w:cnfStyle w:val="000000000000" w:firstRow="0" w:lastRow="0" w:firstColumn="0" w:lastColumn="0" w:oddVBand="0" w:evenVBand="0" w:oddHBand="0" w:evenHBand="0" w:firstRowFirstColumn="0" w:firstRowLastColumn="0" w:lastRowFirstColumn="0" w:lastRowLastColumn="0"/>
            </w:pPr>
            <w:r w:rsidRPr="00DD41C0">
              <w:t> </w:t>
            </w:r>
            <w:hyperlink r:id="rId13" w:tooltip="Original URL: https://www.england.nhs.uk/medicines-2/medicines-value-and-access/. Click or tap if you trust this link." w:history="1">
              <w:r w:rsidRPr="00DD41C0">
                <w:rPr>
                  <w:rStyle w:val="Hyperlink"/>
                </w:rPr>
                <w:t>https://www.england.nhs.uk/medicines-2/medicines-value-and-access/</w:t>
              </w:r>
            </w:hyperlink>
            <w:r w:rsidRPr="00DD41C0">
              <w:t>     </w:t>
            </w:r>
          </w:p>
          <w:p w14:paraId="68FB5543" w14:textId="77777777" w:rsidR="00DD41C0" w:rsidRDefault="00DD41C0" w:rsidP="00DD41C0">
            <w:pPr>
              <w:cnfStyle w:val="000000000000" w:firstRow="0" w:lastRow="0" w:firstColumn="0" w:lastColumn="0" w:oddVBand="0" w:evenVBand="0" w:oddHBand="0" w:evenHBand="0" w:firstRowFirstColumn="0" w:firstRowLastColumn="0" w:lastRowFirstColumn="0" w:lastRowLastColumn="0"/>
            </w:pPr>
          </w:p>
          <w:p w14:paraId="121B8BE2" w14:textId="0D02CC27" w:rsidR="00DD41C0" w:rsidRPr="00DD41C0" w:rsidRDefault="00DD41C0" w:rsidP="00DD41C0">
            <w:pPr>
              <w:cnfStyle w:val="000000000000" w:firstRow="0" w:lastRow="0" w:firstColumn="0" w:lastColumn="0" w:oddVBand="0" w:evenVBand="0" w:oddHBand="0" w:evenHBand="0" w:firstRowFirstColumn="0" w:firstRowLastColumn="0" w:lastRowFirstColumn="0" w:lastRowLastColumn="0"/>
            </w:pPr>
            <w:r w:rsidRPr="00DD41C0">
              <w:t>More info about SPS: </w:t>
            </w:r>
            <w:hyperlink r:id="rId14" w:tooltip="Original URL: https://www.sps.nhs.uk/. Click or tap if you trust this link." w:history="1">
              <w:r w:rsidRPr="00DD41C0">
                <w:rPr>
                  <w:rStyle w:val="Hyperlink"/>
                </w:rPr>
                <w:t>https://www.sps.nhs.uk/</w:t>
              </w:r>
            </w:hyperlink>
          </w:p>
          <w:p w14:paraId="45D21599" w14:textId="77777777" w:rsidR="00DD41C0" w:rsidRPr="00DD41C0" w:rsidRDefault="00DD41C0" w:rsidP="00DD41C0">
            <w:pPr>
              <w:cnfStyle w:val="000000000000" w:firstRow="0" w:lastRow="0" w:firstColumn="0" w:lastColumn="0" w:oddVBand="0" w:evenVBand="0" w:oddHBand="0" w:evenHBand="0" w:firstRowFirstColumn="0" w:firstRowLastColumn="0" w:lastRowFirstColumn="0" w:lastRowLastColumn="0"/>
            </w:pPr>
            <w:r w:rsidRPr="00DD41C0">
              <w:t>  </w:t>
            </w:r>
          </w:p>
          <w:p w14:paraId="1B345583" w14:textId="73FCB507" w:rsidR="000B67AB" w:rsidRPr="00205779" w:rsidRDefault="00DD41C0" w:rsidP="004908AB">
            <w:pPr>
              <w:cnfStyle w:val="000000000000" w:firstRow="0" w:lastRow="0" w:firstColumn="0" w:lastColumn="0" w:oddVBand="0" w:evenVBand="0" w:oddHBand="0" w:evenHBand="0" w:firstRowFirstColumn="0" w:firstRowLastColumn="0" w:lastRowFirstColumn="0" w:lastRowLastColumn="0"/>
            </w:pPr>
            <w:r w:rsidRPr="00DD41C0">
              <w:t>On a local level, the ICB have established a system-wide medicines optimisation programme (MOP). The MOP has been set up to address system-wide issues that relate to the prescribing of medicines and other prescribable products where it is deemed there are significant inefficiencies that have not been resolved to date, as they rely on a multiple-pronged approach and support, for example, wound care. The ICB are / will be working closely with providers on these areas and will look to use the NHS Supply Chain Frameworks available.</w:t>
            </w:r>
          </w:p>
        </w:tc>
      </w:tr>
    </w:tbl>
    <w:p w14:paraId="23175036" w14:textId="38939FC8" w:rsidR="003D33F7" w:rsidRPr="00CC22C5" w:rsidRDefault="003D33F7" w:rsidP="004908AB"/>
    <w:sectPr w:rsidR="003D33F7" w:rsidRPr="00CC22C5" w:rsidSect="00501B23">
      <w:footerReference w:type="default" r:id="rId15"/>
      <w:pgSz w:w="11906" w:h="16838"/>
      <w:pgMar w:top="28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FBB2C" w14:textId="77777777" w:rsidR="00D178CC" w:rsidRDefault="00D178CC" w:rsidP="004E06DF">
      <w:pPr>
        <w:spacing w:after="0" w:line="240" w:lineRule="auto"/>
      </w:pPr>
      <w:r>
        <w:separator/>
      </w:r>
    </w:p>
  </w:endnote>
  <w:endnote w:type="continuationSeparator" w:id="0">
    <w:p w14:paraId="5BBC93E0" w14:textId="77777777" w:rsidR="00D178CC" w:rsidRDefault="00D178CC" w:rsidP="004E06DF">
      <w:pPr>
        <w:spacing w:after="0" w:line="240" w:lineRule="auto"/>
      </w:pPr>
      <w:r>
        <w:continuationSeparator/>
      </w:r>
    </w:p>
  </w:endnote>
  <w:endnote w:type="continuationNotice" w:id="1">
    <w:p w14:paraId="4AD20082" w14:textId="77777777" w:rsidR="00D178CC" w:rsidRDefault="00D17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453232"/>
      <w:docPartObj>
        <w:docPartGallery w:val="Page Numbers (Bottom of Page)"/>
        <w:docPartUnique/>
      </w:docPartObj>
    </w:sdtPr>
    <w:sdtEndPr/>
    <w:sdtContent>
      <w:sdt>
        <w:sdtPr>
          <w:id w:val="-1769616900"/>
          <w:docPartObj>
            <w:docPartGallery w:val="Page Numbers (Top of Page)"/>
            <w:docPartUnique/>
          </w:docPartObj>
        </w:sdtPr>
        <w:sdtEndPr/>
        <w:sdtContent>
          <w:p w14:paraId="4BB529DE" w14:textId="1C26F4F4" w:rsidR="005A08F9" w:rsidRDefault="005A08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971B3B" w14:textId="77777777" w:rsidR="005A08F9" w:rsidRDefault="005A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0543" w14:textId="77777777" w:rsidR="00D178CC" w:rsidRDefault="00D178CC" w:rsidP="004E06DF">
      <w:pPr>
        <w:spacing w:after="0" w:line="240" w:lineRule="auto"/>
      </w:pPr>
      <w:r>
        <w:separator/>
      </w:r>
    </w:p>
  </w:footnote>
  <w:footnote w:type="continuationSeparator" w:id="0">
    <w:p w14:paraId="54E6C862" w14:textId="77777777" w:rsidR="00D178CC" w:rsidRDefault="00D178CC" w:rsidP="004E06DF">
      <w:pPr>
        <w:spacing w:after="0" w:line="240" w:lineRule="auto"/>
      </w:pPr>
      <w:r>
        <w:continuationSeparator/>
      </w:r>
    </w:p>
  </w:footnote>
  <w:footnote w:type="continuationNotice" w:id="1">
    <w:p w14:paraId="4DB434A9" w14:textId="77777777" w:rsidR="00D178CC" w:rsidRDefault="00D178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EF9"/>
    <w:multiLevelType w:val="hybridMultilevel"/>
    <w:tmpl w:val="CC36E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637B6E"/>
    <w:multiLevelType w:val="hybridMultilevel"/>
    <w:tmpl w:val="F6BC1F10"/>
    <w:lvl w:ilvl="0" w:tplc="F942EA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446E6A"/>
    <w:multiLevelType w:val="multilevel"/>
    <w:tmpl w:val="46488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26B0E60"/>
    <w:multiLevelType w:val="hybridMultilevel"/>
    <w:tmpl w:val="5B8A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E24119"/>
    <w:multiLevelType w:val="multilevel"/>
    <w:tmpl w:val="3C5E5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DB1FC8"/>
    <w:multiLevelType w:val="hybridMultilevel"/>
    <w:tmpl w:val="CF1AA042"/>
    <w:lvl w:ilvl="0" w:tplc="F942EA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8A2D82"/>
    <w:multiLevelType w:val="hybridMultilevel"/>
    <w:tmpl w:val="CF36F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DB49A3"/>
    <w:multiLevelType w:val="hybridMultilevel"/>
    <w:tmpl w:val="85581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9D0684"/>
    <w:multiLevelType w:val="hybridMultilevel"/>
    <w:tmpl w:val="9B26A7F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47F5ABA"/>
    <w:multiLevelType w:val="multilevel"/>
    <w:tmpl w:val="9E0844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264C67"/>
    <w:multiLevelType w:val="hybridMultilevel"/>
    <w:tmpl w:val="95A41F56"/>
    <w:lvl w:ilvl="0" w:tplc="6AFCCE1E">
      <w:numFmt w:val="bullet"/>
      <w:lvlText w:val=""/>
      <w:lvlJc w:val="left"/>
      <w:pPr>
        <w:ind w:left="360" w:hanging="360"/>
      </w:pPr>
      <w:rPr>
        <w:rFonts w:ascii="Symbol" w:eastAsia="Symbol" w:hAnsi="Symbol" w:cs="Symbol" w:hint="default"/>
        <w:w w:val="99"/>
        <w:sz w:val="20"/>
        <w:szCs w:val="20"/>
        <w:lang w:val="en-GB" w:eastAsia="en-US" w:bidi="ar-SA"/>
      </w:rPr>
    </w:lvl>
    <w:lvl w:ilvl="1" w:tplc="CD8ABDD8">
      <w:numFmt w:val="bullet"/>
      <w:lvlText w:val="•"/>
      <w:lvlJc w:val="left"/>
      <w:pPr>
        <w:ind w:left="616" w:hanging="360"/>
      </w:pPr>
      <w:rPr>
        <w:rFonts w:hint="default"/>
        <w:lang w:val="en-GB" w:eastAsia="en-US" w:bidi="ar-SA"/>
      </w:rPr>
    </w:lvl>
    <w:lvl w:ilvl="2" w:tplc="B1988B1E">
      <w:numFmt w:val="bullet"/>
      <w:lvlText w:val="•"/>
      <w:lvlJc w:val="left"/>
      <w:pPr>
        <w:ind w:left="881" w:hanging="360"/>
      </w:pPr>
      <w:rPr>
        <w:rFonts w:hint="default"/>
        <w:lang w:val="en-GB" w:eastAsia="en-US" w:bidi="ar-SA"/>
      </w:rPr>
    </w:lvl>
    <w:lvl w:ilvl="3" w:tplc="A8E4A876">
      <w:numFmt w:val="bullet"/>
      <w:lvlText w:val="•"/>
      <w:lvlJc w:val="left"/>
      <w:pPr>
        <w:ind w:left="1145" w:hanging="360"/>
      </w:pPr>
      <w:rPr>
        <w:rFonts w:hint="default"/>
        <w:lang w:val="en-GB" w:eastAsia="en-US" w:bidi="ar-SA"/>
      </w:rPr>
    </w:lvl>
    <w:lvl w:ilvl="4" w:tplc="23F4AA64">
      <w:numFmt w:val="bullet"/>
      <w:lvlText w:val="•"/>
      <w:lvlJc w:val="left"/>
      <w:pPr>
        <w:ind w:left="1410" w:hanging="360"/>
      </w:pPr>
      <w:rPr>
        <w:rFonts w:hint="default"/>
        <w:lang w:val="en-GB" w:eastAsia="en-US" w:bidi="ar-SA"/>
      </w:rPr>
    </w:lvl>
    <w:lvl w:ilvl="5" w:tplc="2878104E">
      <w:numFmt w:val="bullet"/>
      <w:lvlText w:val="•"/>
      <w:lvlJc w:val="left"/>
      <w:pPr>
        <w:ind w:left="1674" w:hanging="360"/>
      </w:pPr>
      <w:rPr>
        <w:rFonts w:hint="default"/>
        <w:lang w:val="en-GB" w:eastAsia="en-US" w:bidi="ar-SA"/>
      </w:rPr>
    </w:lvl>
    <w:lvl w:ilvl="6" w:tplc="C49AEA38">
      <w:numFmt w:val="bullet"/>
      <w:lvlText w:val="•"/>
      <w:lvlJc w:val="left"/>
      <w:pPr>
        <w:ind w:left="1939" w:hanging="360"/>
      </w:pPr>
      <w:rPr>
        <w:rFonts w:hint="default"/>
        <w:lang w:val="en-GB" w:eastAsia="en-US" w:bidi="ar-SA"/>
      </w:rPr>
    </w:lvl>
    <w:lvl w:ilvl="7" w:tplc="EEE6B3A2">
      <w:numFmt w:val="bullet"/>
      <w:lvlText w:val="•"/>
      <w:lvlJc w:val="left"/>
      <w:pPr>
        <w:ind w:left="2203" w:hanging="360"/>
      </w:pPr>
      <w:rPr>
        <w:rFonts w:hint="default"/>
        <w:lang w:val="en-GB" w:eastAsia="en-US" w:bidi="ar-SA"/>
      </w:rPr>
    </w:lvl>
    <w:lvl w:ilvl="8" w:tplc="D7E87D78">
      <w:numFmt w:val="bullet"/>
      <w:lvlText w:val="•"/>
      <w:lvlJc w:val="left"/>
      <w:pPr>
        <w:ind w:left="2468" w:hanging="360"/>
      </w:pPr>
      <w:rPr>
        <w:rFonts w:hint="default"/>
        <w:lang w:val="en-GB" w:eastAsia="en-US" w:bidi="ar-SA"/>
      </w:rPr>
    </w:lvl>
  </w:abstractNum>
  <w:abstractNum w:abstractNumId="11" w15:restartNumberingAfterBreak="0">
    <w:nsid w:val="6C9C7BDF"/>
    <w:multiLevelType w:val="hybridMultilevel"/>
    <w:tmpl w:val="BDBED62C"/>
    <w:lvl w:ilvl="0" w:tplc="F942EA38">
      <w:start w:val="1"/>
      <w:numFmt w:val="bullet"/>
      <w:lvlText w:val=""/>
      <w:lvlJc w:val="left"/>
      <w:pPr>
        <w:ind w:left="360" w:hanging="360"/>
      </w:pPr>
      <w:rPr>
        <w:rFonts w:ascii="Symbol" w:hAnsi="Symbol" w:hint="default"/>
        <w:w w:val="99"/>
        <w:sz w:val="20"/>
        <w:szCs w:val="20"/>
        <w:lang w:val="en-GB" w:eastAsia="en-US" w:bidi="ar-SA"/>
      </w:rPr>
    </w:lvl>
    <w:lvl w:ilvl="1" w:tplc="CD8ABDD8">
      <w:numFmt w:val="bullet"/>
      <w:lvlText w:val="•"/>
      <w:lvlJc w:val="left"/>
      <w:pPr>
        <w:ind w:left="616" w:hanging="360"/>
      </w:pPr>
      <w:rPr>
        <w:rFonts w:hint="default"/>
        <w:lang w:val="en-GB" w:eastAsia="en-US" w:bidi="ar-SA"/>
      </w:rPr>
    </w:lvl>
    <w:lvl w:ilvl="2" w:tplc="B1988B1E">
      <w:numFmt w:val="bullet"/>
      <w:lvlText w:val="•"/>
      <w:lvlJc w:val="left"/>
      <w:pPr>
        <w:ind w:left="881" w:hanging="360"/>
      </w:pPr>
      <w:rPr>
        <w:rFonts w:hint="default"/>
        <w:lang w:val="en-GB" w:eastAsia="en-US" w:bidi="ar-SA"/>
      </w:rPr>
    </w:lvl>
    <w:lvl w:ilvl="3" w:tplc="A8E4A876">
      <w:numFmt w:val="bullet"/>
      <w:lvlText w:val="•"/>
      <w:lvlJc w:val="left"/>
      <w:pPr>
        <w:ind w:left="1145" w:hanging="360"/>
      </w:pPr>
      <w:rPr>
        <w:rFonts w:hint="default"/>
        <w:lang w:val="en-GB" w:eastAsia="en-US" w:bidi="ar-SA"/>
      </w:rPr>
    </w:lvl>
    <w:lvl w:ilvl="4" w:tplc="23F4AA64">
      <w:numFmt w:val="bullet"/>
      <w:lvlText w:val="•"/>
      <w:lvlJc w:val="left"/>
      <w:pPr>
        <w:ind w:left="1410" w:hanging="360"/>
      </w:pPr>
      <w:rPr>
        <w:rFonts w:hint="default"/>
        <w:lang w:val="en-GB" w:eastAsia="en-US" w:bidi="ar-SA"/>
      </w:rPr>
    </w:lvl>
    <w:lvl w:ilvl="5" w:tplc="2878104E">
      <w:numFmt w:val="bullet"/>
      <w:lvlText w:val="•"/>
      <w:lvlJc w:val="left"/>
      <w:pPr>
        <w:ind w:left="1674" w:hanging="360"/>
      </w:pPr>
      <w:rPr>
        <w:rFonts w:hint="default"/>
        <w:lang w:val="en-GB" w:eastAsia="en-US" w:bidi="ar-SA"/>
      </w:rPr>
    </w:lvl>
    <w:lvl w:ilvl="6" w:tplc="C49AEA38">
      <w:numFmt w:val="bullet"/>
      <w:lvlText w:val="•"/>
      <w:lvlJc w:val="left"/>
      <w:pPr>
        <w:ind w:left="1939" w:hanging="360"/>
      </w:pPr>
      <w:rPr>
        <w:rFonts w:hint="default"/>
        <w:lang w:val="en-GB" w:eastAsia="en-US" w:bidi="ar-SA"/>
      </w:rPr>
    </w:lvl>
    <w:lvl w:ilvl="7" w:tplc="EEE6B3A2">
      <w:numFmt w:val="bullet"/>
      <w:lvlText w:val="•"/>
      <w:lvlJc w:val="left"/>
      <w:pPr>
        <w:ind w:left="2203" w:hanging="360"/>
      </w:pPr>
      <w:rPr>
        <w:rFonts w:hint="default"/>
        <w:lang w:val="en-GB" w:eastAsia="en-US" w:bidi="ar-SA"/>
      </w:rPr>
    </w:lvl>
    <w:lvl w:ilvl="8" w:tplc="D7E87D78">
      <w:numFmt w:val="bullet"/>
      <w:lvlText w:val="•"/>
      <w:lvlJc w:val="left"/>
      <w:pPr>
        <w:ind w:left="2468" w:hanging="360"/>
      </w:pPr>
      <w:rPr>
        <w:rFonts w:hint="default"/>
        <w:lang w:val="en-GB" w:eastAsia="en-US" w:bidi="ar-SA"/>
      </w:rPr>
    </w:lvl>
  </w:abstractNum>
  <w:abstractNum w:abstractNumId="12" w15:restartNumberingAfterBreak="0">
    <w:nsid w:val="6CBC4928"/>
    <w:multiLevelType w:val="hybridMultilevel"/>
    <w:tmpl w:val="B1467C50"/>
    <w:lvl w:ilvl="0" w:tplc="F942E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17AED"/>
    <w:multiLevelType w:val="hybridMultilevel"/>
    <w:tmpl w:val="187CBF16"/>
    <w:lvl w:ilvl="0" w:tplc="27AC3CF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ACC4A17"/>
    <w:multiLevelType w:val="hybridMultilevel"/>
    <w:tmpl w:val="12C0918E"/>
    <w:lvl w:ilvl="0" w:tplc="F942E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4291">
    <w:abstractNumId w:val="7"/>
  </w:num>
  <w:num w:numId="2" w16cid:durableId="2054109842">
    <w:abstractNumId w:val="10"/>
  </w:num>
  <w:num w:numId="3" w16cid:durableId="1805350280">
    <w:abstractNumId w:val="14"/>
  </w:num>
  <w:num w:numId="4" w16cid:durableId="1727294336">
    <w:abstractNumId w:val="12"/>
  </w:num>
  <w:num w:numId="5" w16cid:durableId="1804496958">
    <w:abstractNumId w:val="11"/>
  </w:num>
  <w:num w:numId="6" w16cid:durableId="1511337995">
    <w:abstractNumId w:val="1"/>
  </w:num>
  <w:num w:numId="7" w16cid:durableId="461772327">
    <w:abstractNumId w:val="0"/>
  </w:num>
  <w:num w:numId="8" w16cid:durableId="657268429">
    <w:abstractNumId w:val="3"/>
  </w:num>
  <w:num w:numId="9" w16cid:durableId="284238912">
    <w:abstractNumId w:val="6"/>
  </w:num>
  <w:num w:numId="10" w16cid:durableId="1226796236">
    <w:abstractNumId w:val="5"/>
  </w:num>
  <w:num w:numId="11" w16cid:durableId="12833457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8298384">
    <w:abstractNumId w:val="13"/>
  </w:num>
  <w:num w:numId="13" w16cid:durableId="919487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389076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429884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qYSwK9Xp98EeWBgVv4TGb5VjFzvVmiLPTyk3jBetksfSolY7gpeCi6C/V5DoCgwObNpshycBDQK6Cm2SRzfGWA==" w:salt="Pzj53QYABn0PKB3yJo3GM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1D"/>
    <w:rsid w:val="0000330F"/>
    <w:rsid w:val="00013279"/>
    <w:rsid w:val="00022E3E"/>
    <w:rsid w:val="00050DB9"/>
    <w:rsid w:val="0005289B"/>
    <w:rsid w:val="0005755F"/>
    <w:rsid w:val="000610A5"/>
    <w:rsid w:val="000666F1"/>
    <w:rsid w:val="000700BA"/>
    <w:rsid w:val="00072D3B"/>
    <w:rsid w:val="0009037F"/>
    <w:rsid w:val="000B13D5"/>
    <w:rsid w:val="000B4A9B"/>
    <w:rsid w:val="000B67AB"/>
    <w:rsid w:val="000C2DE6"/>
    <w:rsid w:val="000E69BE"/>
    <w:rsid w:val="000F483B"/>
    <w:rsid w:val="000F5C95"/>
    <w:rsid w:val="001058F4"/>
    <w:rsid w:val="00111AD8"/>
    <w:rsid w:val="001347DB"/>
    <w:rsid w:val="001569D7"/>
    <w:rsid w:val="00162C93"/>
    <w:rsid w:val="00172B38"/>
    <w:rsid w:val="001750D5"/>
    <w:rsid w:val="001A48DC"/>
    <w:rsid w:val="001B0379"/>
    <w:rsid w:val="001F13B5"/>
    <w:rsid w:val="00205779"/>
    <w:rsid w:val="0021121E"/>
    <w:rsid w:val="0022026D"/>
    <w:rsid w:val="0025643D"/>
    <w:rsid w:val="00257A47"/>
    <w:rsid w:val="00294942"/>
    <w:rsid w:val="00296ACA"/>
    <w:rsid w:val="002977A1"/>
    <w:rsid w:val="002A0221"/>
    <w:rsid w:val="002B7C20"/>
    <w:rsid w:val="002D78D1"/>
    <w:rsid w:val="002E0411"/>
    <w:rsid w:val="002E4C1D"/>
    <w:rsid w:val="002E7554"/>
    <w:rsid w:val="002F04B1"/>
    <w:rsid w:val="002F1255"/>
    <w:rsid w:val="00302434"/>
    <w:rsid w:val="003037DF"/>
    <w:rsid w:val="00314A54"/>
    <w:rsid w:val="00317D8E"/>
    <w:rsid w:val="00331D06"/>
    <w:rsid w:val="003365DD"/>
    <w:rsid w:val="00341AA2"/>
    <w:rsid w:val="0035096D"/>
    <w:rsid w:val="00360E1E"/>
    <w:rsid w:val="003659BE"/>
    <w:rsid w:val="0037259E"/>
    <w:rsid w:val="00374AD6"/>
    <w:rsid w:val="003757BD"/>
    <w:rsid w:val="003831F6"/>
    <w:rsid w:val="003873CB"/>
    <w:rsid w:val="00397A5C"/>
    <w:rsid w:val="003A32FC"/>
    <w:rsid w:val="003A39E7"/>
    <w:rsid w:val="003D33F7"/>
    <w:rsid w:val="003D4637"/>
    <w:rsid w:val="003E0E66"/>
    <w:rsid w:val="003E233B"/>
    <w:rsid w:val="003E2ACC"/>
    <w:rsid w:val="003F658F"/>
    <w:rsid w:val="00404F79"/>
    <w:rsid w:val="00407C93"/>
    <w:rsid w:val="00410DB2"/>
    <w:rsid w:val="00417B68"/>
    <w:rsid w:val="00422C27"/>
    <w:rsid w:val="00425D7D"/>
    <w:rsid w:val="00436051"/>
    <w:rsid w:val="004477D3"/>
    <w:rsid w:val="00476E26"/>
    <w:rsid w:val="00476FBA"/>
    <w:rsid w:val="004908AB"/>
    <w:rsid w:val="00495C63"/>
    <w:rsid w:val="004A7F05"/>
    <w:rsid w:val="004B1304"/>
    <w:rsid w:val="004B7CBB"/>
    <w:rsid w:val="004C248C"/>
    <w:rsid w:val="004D1167"/>
    <w:rsid w:val="004E06DF"/>
    <w:rsid w:val="004E7478"/>
    <w:rsid w:val="004F2125"/>
    <w:rsid w:val="005012B1"/>
    <w:rsid w:val="00501B23"/>
    <w:rsid w:val="00517FC9"/>
    <w:rsid w:val="00547FB4"/>
    <w:rsid w:val="00554FC5"/>
    <w:rsid w:val="00556694"/>
    <w:rsid w:val="00556B37"/>
    <w:rsid w:val="00574105"/>
    <w:rsid w:val="00580F26"/>
    <w:rsid w:val="00581B05"/>
    <w:rsid w:val="005835DA"/>
    <w:rsid w:val="00591463"/>
    <w:rsid w:val="005A08F9"/>
    <w:rsid w:val="005C2242"/>
    <w:rsid w:val="005C4565"/>
    <w:rsid w:val="005C7522"/>
    <w:rsid w:val="005E3537"/>
    <w:rsid w:val="005F47A0"/>
    <w:rsid w:val="0062021C"/>
    <w:rsid w:val="00625837"/>
    <w:rsid w:val="006272A1"/>
    <w:rsid w:val="00632030"/>
    <w:rsid w:val="006349DD"/>
    <w:rsid w:val="00650408"/>
    <w:rsid w:val="00653EB2"/>
    <w:rsid w:val="006543A1"/>
    <w:rsid w:val="00654942"/>
    <w:rsid w:val="0066160F"/>
    <w:rsid w:val="00664DD3"/>
    <w:rsid w:val="00677D26"/>
    <w:rsid w:val="00695849"/>
    <w:rsid w:val="0069673F"/>
    <w:rsid w:val="006A00B7"/>
    <w:rsid w:val="006A341D"/>
    <w:rsid w:val="006A4198"/>
    <w:rsid w:val="006B23C3"/>
    <w:rsid w:val="006C57F2"/>
    <w:rsid w:val="006D2A7B"/>
    <w:rsid w:val="006D6B64"/>
    <w:rsid w:val="006E0248"/>
    <w:rsid w:val="006E0633"/>
    <w:rsid w:val="006E69FC"/>
    <w:rsid w:val="006F65FA"/>
    <w:rsid w:val="00701FBE"/>
    <w:rsid w:val="00703F99"/>
    <w:rsid w:val="0070497C"/>
    <w:rsid w:val="00707A92"/>
    <w:rsid w:val="007310BC"/>
    <w:rsid w:val="00746A1A"/>
    <w:rsid w:val="00750B9E"/>
    <w:rsid w:val="00767980"/>
    <w:rsid w:val="00772AFF"/>
    <w:rsid w:val="00780A93"/>
    <w:rsid w:val="00781AAE"/>
    <w:rsid w:val="00786513"/>
    <w:rsid w:val="007A040D"/>
    <w:rsid w:val="007A57C1"/>
    <w:rsid w:val="007A6E89"/>
    <w:rsid w:val="007B14B2"/>
    <w:rsid w:val="007B3E42"/>
    <w:rsid w:val="007C0B56"/>
    <w:rsid w:val="007C6BCA"/>
    <w:rsid w:val="007C6CFE"/>
    <w:rsid w:val="007D4AFD"/>
    <w:rsid w:val="007E160D"/>
    <w:rsid w:val="007E45EC"/>
    <w:rsid w:val="007F101E"/>
    <w:rsid w:val="007F69E2"/>
    <w:rsid w:val="0080540C"/>
    <w:rsid w:val="00807ED7"/>
    <w:rsid w:val="008231B1"/>
    <w:rsid w:val="00831A64"/>
    <w:rsid w:val="00832337"/>
    <w:rsid w:val="00833A3A"/>
    <w:rsid w:val="008351CE"/>
    <w:rsid w:val="00846055"/>
    <w:rsid w:val="0085487E"/>
    <w:rsid w:val="00870C74"/>
    <w:rsid w:val="00881916"/>
    <w:rsid w:val="00890669"/>
    <w:rsid w:val="008912FE"/>
    <w:rsid w:val="0089776B"/>
    <w:rsid w:val="008A7A71"/>
    <w:rsid w:val="008A7B40"/>
    <w:rsid w:val="008C5F81"/>
    <w:rsid w:val="008D6CCB"/>
    <w:rsid w:val="008D7F4A"/>
    <w:rsid w:val="008E762E"/>
    <w:rsid w:val="008F4576"/>
    <w:rsid w:val="008F4E12"/>
    <w:rsid w:val="008F6CFA"/>
    <w:rsid w:val="009033D3"/>
    <w:rsid w:val="00911480"/>
    <w:rsid w:val="00911A8B"/>
    <w:rsid w:val="00930643"/>
    <w:rsid w:val="00946240"/>
    <w:rsid w:val="00950E84"/>
    <w:rsid w:val="00953D4C"/>
    <w:rsid w:val="00956BDB"/>
    <w:rsid w:val="009660E0"/>
    <w:rsid w:val="00977568"/>
    <w:rsid w:val="0097793D"/>
    <w:rsid w:val="00985274"/>
    <w:rsid w:val="0099259B"/>
    <w:rsid w:val="00997CD5"/>
    <w:rsid w:val="009A777F"/>
    <w:rsid w:val="009E09AF"/>
    <w:rsid w:val="009E2297"/>
    <w:rsid w:val="009F210D"/>
    <w:rsid w:val="009F4E73"/>
    <w:rsid w:val="00A14AAE"/>
    <w:rsid w:val="00A24273"/>
    <w:rsid w:val="00A35D88"/>
    <w:rsid w:val="00A50593"/>
    <w:rsid w:val="00A643B2"/>
    <w:rsid w:val="00A64B7A"/>
    <w:rsid w:val="00A6531F"/>
    <w:rsid w:val="00A74CEF"/>
    <w:rsid w:val="00A768B2"/>
    <w:rsid w:val="00A77F90"/>
    <w:rsid w:val="00A80C42"/>
    <w:rsid w:val="00A81245"/>
    <w:rsid w:val="00AC1AA9"/>
    <w:rsid w:val="00AC5849"/>
    <w:rsid w:val="00AD0159"/>
    <w:rsid w:val="00AE33BA"/>
    <w:rsid w:val="00AF63CA"/>
    <w:rsid w:val="00B24169"/>
    <w:rsid w:val="00B31895"/>
    <w:rsid w:val="00B37B1B"/>
    <w:rsid w:val="00B46BD2"/>
    <w:rsid w:val="00B50B8B"/>
    <w:rsid w:val="00B5110E"/>
    <w:rsid w:val="00B723C0"/>
    <w:rsid w:val="00B74D3B"/>
    <w:rsid w:val="00B74FA6"/>
    <w:rsid w:val="00B81C0D"/>
    <w:rsid w:val="00B91690"/>
    <w:rsid w:val="00BA17FF"/>
    <w:rsid w:val="00BB1000"/>
    <w:rsid w:val="00BB1448"/>
    <w:rsid w:val="00BB2F18"/>
    <w:rsid w:val="00BD76C6"/>
    <w:rsid w:val="00BF4E5F"/>
    <w:rsid w:val="00C0690C"/>
    <w:rsid w:val="00C20FF0"/>
    <w:rsid w:val="00C21667"/>
    <w:rsid w:val="00C36E02"/>
    <w:rsid w:val="00C37DE5"/>
    <w:rsid w:val="00C45713"/>
    <w:rsid w:val="00C5034D"/>
    <w:rsid w:val="00C55F90"/>
    <w:rsid w:val="00C66F6F"/>
    <w:rsid w:val="00C7623F"/>
    <w:rsid w:val="00C85DD0"/>
    <w:rsid w:val="00C923DC"/>
    <w:rsid w:val="00C946CB"/>
    <w:rsid w:val="00C95739"/>
    <w:rsid w:val="00CA20F8"/>
    <w:rsid w:val="00CA63E4"/>
    <w:rsid w:val="00CA6D81"/>
    <w:rsid w:val="00CB26A5"/>
    <w:rsid w:val="00CC22C5"/>
    <w:rsid w:val="00CC27A3"/>
    <w:rsid w:val="00CC39C5"/>
    <w:rsid w:val="00CC40BA"/>
    <w:rsid w:val="00CC6EF1"/>
    <w:rsid w:val="00CC733E"/>
    <w:rsid w:val="00CF093E"/>
    <w:rsid w:val="00CF3BC4"/>
    <w:rsid w:val="00CF59BD"/>
    <w:rsid w:val="00D11E05"/>
    <w:rsid w:val="00D14EC6"/>
    <w:rsid w:val="00D178CC"/>
    <w:rsid w:val="00D376C1"/>
    <w:rsid w:val="00D421E0"/>
    <w:rsid w:val="00D54735"/>
    <w:rsid w:val="00D62320"/>
    <w:rsid w:val="00D648D9"/>
    <w:rsid w:val="00D721D0"/>
    <w:rsid w:val="00D7665E"/>
    <w:rsid w:val="00D76AA8"/>
    <w:rsid w:val="00D805E9"/>
    <w:rsid w:val="00D87016"/>
    <w:rsid w:val="00D90374"/>
    <w:rsid w:val="00DA51F5"/>
    <w:rsid w:val="00DB11EE"/>
    <w:rsid w:val="00DB503F"/>
    <w:rsid w:val="00DD41C0"/>
    <w:rsid w:val="00DD7E20"/>
    <w:rsid w:val="00DE1C92"/>
    <w:rsid w:val="00DE3276"/>
    <w:rsid w:val="00DF02CD"/>
    <w:rsid w:val="00E10A1F"/>
    <w:rsid w:val="00E12941"/>
    <w:rsid w:val="00E40891"/>
    <w:rsid w:val="00E4646E"/>
    <w:rsid w:val="00E5043B"/>
    <w:rsid w:val="00E55CDF"/>
    <w:rsid w:val="00E579F8"/>
    <w:rsid w:val="00E613E1"/>
    <w:rsid w:val="00E63F1C"/>
    <w:rsid w:val="00E721C8"/>
    <w:rsid w:val="00E74FDC"/>
    <w:rsid w:val="00E80151"/>
    <w:rsid w:val="00E8386F"/>
    <w:rsid w:val="00E93F33"/>
    <w:rsid w:val="00E9674A"/>
    <w:rsid w:val="00EA64AB"/>
    <w:rsid w:val="00ED45B3"/>
    <w:rsid w:val="00EE3FA1"/>
    <w:rsid w:val="00EE5C14"/>
    <w:rsid w:val="00F02C12"/>
    <w:rsid w:val="00F14478"/>
    <w:rsid w:val="00F205FC"/>
    <w:rsid w:val="00F206C0"/>
    <w:rsid w:val="00F264DA"/>
    <w:rsid w:val="00F36FFB"/>
    <w:rsid w:val="00F507EA"/>
    <w:rsid w:val="00F60682"/>
    <w:rsid w:val="00F71948"/>
    <w:rsid w:val="00F81DE4"/>
    <w:rsid w:val="00FA2A23"/>
    <w:rsid w:val="00FA76CA"/>
    <w:rsid w:val="00FB5ECA"/>
    <w:rsid w:val="00FD491A"/>
    <w:rsid w:val="00FE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3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3E"/>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43B"/>
    <w:pPr>
      <w:spacing w:after="0" w:line="240" w:lineRule="auto"/>
      <w:jc w:val="both"/>
    </w:pPr>
    <w:rPr>
      <w:rFonts w:ascii="Arial" w:hAnsi="Arial"/>
    </w:rPr>
  </w:style>
  <w:style w:type="table" w:styleId="TableGrid">
    <w:name w:val="Table Grid"/>
    <w:basedOn w:val="TableNormal"/>
    <w:uiPriority w:val="39"/>
    <w:rsid w:val="005C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DF"/>
    <w:rPr>
      <w:rFonts w:ascii="Arial" w:hAnsi="Arial"/>
    </w:rPr>
  </w:style>
  <w:style w:type="paragraph" w:styleId="Footer">
    <w:name w:val="footer"/>
    <w:basedOn w:val="Normal"/>
    <w:link w:val="FooterChar"/>
    <w:uiPriority w:val="99"/>
    <w:unhideWhenUsed/>
    <w:rsid w:val="004E0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DF"/>
    <w:rPr>
      <w:rFonts w:ascii="Arial" w:hAnsi="Arial"/>
    </w:rPr>
  </w:style>
  <w:style w:type="table" w:styleId="GridTable4-Accent1">
    <w:name w:val="Grid Table 4 Accent 1"/>
    <w:basedOn w:val="TableNormal"/>
    <w:uiPriority w:val="49"/>
    <w:rsid w:val="001569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205779"/>
    <w:rPr>
      <w:color w:val="0563C1" w:themeColor="hyperlink"/>
      <w:u w:val="single"/>
    </w:rPr>
  </w:style>
  <w:style w:type="character" w:styleId="UnresolvedMention">
    <w:name w:val="Unresolved Mention"/>
    <w:basedOn w:val="DefaultParagraphFont"/>
    <w:uiPriority w:val="99"/>
    <w:semiHidden/>
    <w:unhideWhenUsed/>
    <w:rsid w:val="00205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36755">
      <w:bodyDiv w:val="1"/>
      <w:marLeft w:val="0"/>
      <w:marRight w:val="0"/>
      <w:marTop w:val="0"/>
      <w:marBottom w:val="0"/>
      <w:divBdr>
        <w:top w:val="none" w:sz="0" w:space="0" w:color="auto"/>
        <w:left w:val="none" w:sz="0" w:space="0" w:color="auto"/>
        <w:bottom w:val="none" w:sz="0" w:space="0" w:color="auto"/>
        <w:right w:val="none" w:sz="0" w:space="0" w:color="auto"/>
      </w:divBdr>
    </w:div>
    <w:div w:id="477457814">
      <w:bodyDiv w:val="1"/>
      <w:marLeft w:val="0"/>
      <w:marRight w:val="0"/>
      <w:marTop w:val="0"/>
      <w:marBottom w:val="0"/>
      <w:divBdr>
        <w:top w:val="none" w:sz="0" w:space="0" w:color="auto"/>
        <w:left w:val="none" w:sz="0" w:space="0" w:color="auto"/>
        <w:bottom w:val="none" w:sz="0" w:space="0" w:color="auto"/>
        <w:right w:val="none" w:sz="0" w:space="0" w:color="auto"/>
      </w:divBdr>
    </w:div>
    <w:div w:id="874198166">
      <w:bodyDiv w:val="1"/>
      <w:marLeft w:val="0"/>
      <w:marRight w:val="0"/>
      <w:marTop w:val="0"/>
      <w:marBottom w:val="0"/>
      <w:divBdr>
        <w:top w:val="none" w:sz="0" w:space="0" w:color="auto"/>
        <w:left w:val="none" w:sz="0" w:space="0" w:color="auto"/>
        <w:bottom w:val="none" w:sz="0" w:space="0" w:color="auto"/>
        <w:right w:val="none" w:sz="0" w:space="0" w:color="auto"/>
      </w:divBdr>
    </w:div>
    <w:div w:id="957487981">
      <w:bodyDiv w:val="1"/>
      <w:marLeft w:val="0"/>
      <w:marRight w:val="0"/>
      <w:marTop w:val="0"/>
      <w:marBottom w:val="0"/>
      <w:divBdr>
        <w:top w:val="none" w:sz="0" w:space="0" w:color="auto"/>
        <w:left w:val="none" w:sz="0" w:space="0" w:color="auto"/>
        <w:bottom w:val="none" w:sz="0" w:space="0" w:color="auto"/>
        <w:right w:val="none" w:sz="0" w:space="0" w:color="auto"/>
      </w:divBdr>
    </w:div>
    <w:div w:id="1161241024">
      <w:bodyDiv w:val="1"/>
      <w:marLeft w:val="0"/>
      <w:marRight w:val="0"/>
      <w:marTop w:val="0"/>
      <w:marBottom w:val="0"/>
      <w:divBdr>
        <w:top w:val="none" w:sz="0" w:space="0" w:color="auto"/>
        <w:left w:val="none" w:sz="0" w:space="0" w:color="auto"/>
        <w:bottom w:val="none" w:sz="0" w:space="0" w:color="auto"/>
        <w:right w:val="none" w:sz="0" w:space="0" w:color="auto"/>
      </w:divBdr>
    </w:div>
    <w:div w:id="19966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br01.safelinks.protection.outlook.com/?url=https%3A%2F%2Fwww.england.nhs.uk%2Fmedicines-2%2Fmedicines-value-and-access%2F&amp;data=05%7C02%7Chnyicb.icbboard%40nhs.net%7Ccfb997e8c436400c8b6608ddb3c6c2ee%7C37c354b285b047f5b22207b48d774ee3%7C0%7C0%7C638864388435298188%7CUnknown%7CTWFpbGZsb3d8eyJFbXB0eU1hcGkiOnRydWUsIlYiOiIwLjAuMDAwMCIsIlAiOiJXaW4zMiIsIkFOIjoiTWFpbCIsIldUIjoyfQ%3D%3D%7C0%7C%7C%7C&amp;sdata=pPdzvuP2ywKyUXqIPqLGP01LQzXUxOsbmWlCEBTrG0o%3D&amp;reserved=0"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s%3A%2F%2Fhumberandnorthyorkshire.icb.nhs.uk%2Fwp-content%2Fuploads%2F2025%2F03%2FClinical-Commissioning-Policy-Number-152-Biological-and-Bioequivalent-Biosimilar-Medicines-Policy-Approved-27.02.25.docx&amp;data=05%7C02%7Chnyicb.icbboard%40nhs.net%7Ccfb997e8c436400c8b6608ddb3c6c2ee%7C37c354b285b047f5b22207b48d774ee3%7C0%7C0%7C638864388435272406%7CUnknown%7CTWFpbGZsb3d8eyJFbXB0eU1hcGkiOnRydWUsIlYiOiIwLjAuMDAwMCIsIlAiOiJXaW4zMiIsIkFOIjoiTWFpbCIsIldUIjoyfQ%3D%3D%7C0%7C%7C%7C&amp;sdata=wCMoAd5FG9m8d1FM6by8MtPASwVcPAd6xJRcFSVumF4%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ADC54.809235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cid:image001.jpg@01DADC54.80923500" TargetMode="External"/><Relationship Id="rId14" Type="http://schemas.openxmlformats.org/officeDocument/2006/relationships/hyperlink" Target="https://gbr01.safelinks.protection.outlook.com/?url=https%3A%2F%2Fwww.sps.nhs.uk%2F&amp;data=05%7C02%7Chnyicb.icbboard%40nhs.net%7Ccfb997e8c436400c8b6608ddb3c6c2ee%7C37c354b285b047f5b22207b48d774ee3%7C0%7C0%7C638864388435312492%7CUnknown%7CTWFpbGZsb3d8eyJFbXB0eU1hcGkiOnRydWUsIlYiOiIwLjAuMDAwMCIsIlAiOiJXaW4zMiIsIkFOIjoiTWFpbCIsIldUIjoyfQ%3D%3D%7C0%7C%7C%7C&amp;sdata=aU5osXqJOJvEXiGcWwgqs9QFA3mp0rhBCXxE3E7rzg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D86A314A5662468AC62A285259CDF9" ma:contentTypeVersion="12" ma:contentTypeDescription="Create a new document." ma:contentTypeScope="" ma:versionID="03963bc2b0d94dcd7125ece58d1b67b8">
  <xsd:schema xmlns:xsd="http://www.w3.org/2001/XMLSchema" xmlns:xs="http://www.w3.org/2001/XMLSchema" xmlns:p="http://schemas.microsoft.com/office/2006/metadata/properties" xmlns:ns2="7f1362e0-a567-4ac4-92a3-13dba5253b65" xmlns:ns3="a90f94d4-af09-48ec-819d-71fd66152ef4" targetNamespace="http://schemas.microsoft.com/office/2006/metadata/properties" ma:root="true" ma:fieldsID="d00a89765a2e78c46aa04a8a0bd8b953" ns2:_="" ns3:_="">
    <xsd:import namespace="7f1362e0-a567-4ac4-92a3-13dba5253b65"/>
    <xsd:import namespace="a90f94d4-af09-48ec-819d-71fd66152e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62e0-a567-4ac4-92a3-13dba5253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f94d4-af09-48ec-819d-71fd66152e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fc063-a7dc-408f-b977-227f9563dd80}" ma:internalName="TaxCatchAll" ma:showField="CatchAllData" ma:web="a90f94d4-af09-48ec-819d-71fd66152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1362e0-a567-4ac4-92a3-13dba5253b65">
      <Terms xmlns="http://schemas.microsoft.com/office/infopath/2007/PartnerControls"/>
    </lcf76f155ced4ddcb4097134ff3c332f>
    <TaxCatchAll xmlns="a90f94d4-af09-48ec-819d-71fd66152ef4" xsi:nil="true"/>
  </documentManagement>
</p:properties>
</file>

<file path=customXml/itemProps1.xml><?xml version="1.0" encoding="utf-8"?>
<ds:datastoreItem xmlns:ds="http://schemas.openxmlformats.org/officeDocument/2006/customXml" ds:itemID="{E3E38B18-B0CB-48F4-81B1-CB5A8D7C1B4E}">
  <ds:schemaRefs>
    <ds:schemaRef ds:uri="http://schemas.openxmlformats.org/officeDocument/2006/bibliography"/>
  </ds:schemaRefs>
</ds:datastoreItem>
</file>

<file path=customXml/itemProps2.xml><?xml version="1.0" encoding="utf-8"?>
<ds:datastoreItem xmlns:ds="http://schemas.openxmlformats.org/officeDocument/2006/customXml" ds:itemID="{2DBF5AE6-ABA8-45C1-A18C-F032C7087D16}"/>
</file>

<file path=customXml/itemProps3.xml><?xml version="1.0" encoding="utf-8"?>
<ds:datastoreItem xmlns:ds="http://schemas.openxmlformats.org/officeDocument/2006/customXml" ds:itemID="{6186EF2A-E2C4-4624-947C-52FE610275A3}"/>
</file>

<file path=customXml/itemProps4.xml><?xml version="1.0" encoding="utf-8"?>
<ds:datastoreItem xmlns:ds="http://schemas.openxmlformats.org/officeDocument/2006/customXml" ds:itemID="{C689C996-5CAD-4F36-9A19-DFFA648268D2}"/>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9404</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2025-06-25T09:12:00Z</dcterms:created>
  <dcterms:modified xsi:type="dcterms:W3CDTF">2025-06-25T09:13:00Z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0x0101002FD86A314A5662468AC62A285259CDF9</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