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405"/>
        <w:gridCol w:w="6611"/>
      </w:tblGrid>
      <w:tr w:rsidR="00B97DAB" w14:paraId="3F32C22B" w14:textId="77777777" w:rsidTr="2C725BED">
        <w:tc>
          <w:tcPr>
            <w:tcW w:w="2405" w:type="dxa"/>
          </w:tcPr>
          <w:p w14:paraId="2137C5A4" w14:textId="11B48F23" w:rsidR="00B97DAB" w:rsidRDefault="00B97DAB">
            <w:r>
              <w:t xml:space="preserve">Intervention </w:t>
            </w:r>
          </w:p>
        </w:tc>
        <w:tc>
          <w:tcPr>
            <w:tcW w:w="6611" w:type="dxa"/>
          </w:tcPr>
          <w:p w14:paraId="73A5EAEF" w14:textId="3B925B49" w:rsidR="00B97DAB" w:rsidRPr="00ED5143" w:rsidRDefault="1E004A7E" w:rsidP="2C725BED">
            <w:pPr>
              <w:rPr>
                <w:b/>
                <w:bCs/>
                <w:lang w:val="en-US"/>
              </w:rPr>
            </w:pPr>
            <w:r w:rsidRPr="2C725BED">
              <w:rPr>
                <w:b/>
                <w:bCs/>
                <w:lang w:val="en-US"/>
              </w:rPr>
              <w:t xml:space="preserve">138. </w:t>
            </w:r>
            <w:r w:rsidR="0034218A" w:rsidRPr="2C725BED">
              <w:rPr>
                <w:b/>
                <w:bCs/>
                <w:lang w:val="en-US"/>
              </w:rPr>
              <w:t xml:space="preserve">Cranial </w:t>
            </w:r>
            <w:proofErr w:type="spellStart"/>
            <w:r w:rsidR="0034218A" w:rsidRPr="2C725BED">
              <w:rPr>
                <w:b/>
                <w:bCs/>
                <w:lang w:val="en-US"/>
              </w:rPr>
              <w:t>moulding</w:t>
            </w:r>
            <w:proofErr w:type="spellEnd"/>
            <w:r w:rsidR="0034218A" w:rsidRPr="2C725BED">
              <w:rPr>
                <w:b/>
                <w:bCs/>
                <w:lang w:val="en-US"/>
              </w:rPr>
              <w:t xml:space="preserve"> </w:t>
            </w:r>
            <w:proofErr w:type="gramStart"/>
            <w:r w:rsidR="0034218A" w:rsidRPr="2C725BED">
              <w:rPr>
                <w:b/>
                <w:bCs/>
                <w:lang w:val="en-US"/>
              </w:rPr>
              <w:t>orthosis (‘</w:t>
            </w:r>
            <w:proofErr w:type="gramEnd"/>
            <w:r w:rsidR="0034218A" w:rsidRPr="2C725BED">
              <w:rPr>
                <w:b/>
                <w:bCs/>
                <w:lang w:val="en-US"/>
              </w:rPr>
              <w:t>helmet therapy’)</w:t>
            </w:r>
          </w:p>
        </w:tc>
      </w:tr>
      <w:tr w:rsidR="00B97DAB" w14:paraId="004828E6" w14:textId="77777777" w:rsidTr="2C725BED">
        <w:tc>
          <w:tcPr>
            <w:tcW w:w="2405" w:type="dxa"/>
          </w:tcPr>
          <w:p w14:paraId="194FC277" w14:textId="469D4455" w:rsidR="00B97DAB" w:rsidRDefault="00B97DAB">
            <w:r>
              <w:t xml:space="preserve">For the treatment of </w:t>
            </w:r>
          </w:p>
        </w:tc>
        <w:tc>
          <w:tcPr>
            <w:tcW w:w="6611" w:type="dxa"/>
          </w:tcPr>
          <w:p w14:paraId="23E416B7" w14:textId="6A889A1F" w:rsidR="00656075" w:rsidRDefault="0034218A" w:rsidP="00330790">
            <w:r>
              <w:t>Positional plagiocephaly/brachycephaly (flattening to the side or back of the head) in children</w:t>
            </w:r>
          </w:p>
        </w:tc>
      </w:tr>
      <w:tr w:rsidR="00113D9B" w14:paraId="3D720573" w14:textId="77777777" w:rsidTr="2C725BED">
        <w:tc>
          <w:tcPr>
            <w:tcW w:w="2405" w:type="dxa"/>
          </w:tcPr>
          <w:p w14:paraId="6B55BECB" w14:textId="291589DB" w:rsidR="00113D9B" w:rsidRDefault="00113D9B" w:rsidP="00113D9B">
            <w:r>
              <w:t xml:space="preserve">Commissioning Position </w:t>
            </w:r>
          </w:p>
        </w:tc>
        <w:tc>
          <w:tcPr>
            <w:tcW w:w="6611" w:type="dxa"/>
          </w:tcPr>
          <w:p w14:paraId="53855746" w14:textId="7FDC45C9" w:rsidR="00177C4D" w:rsidRPr="002F405C" w:rsidRDefault="0034218A" w:rsidP="00177C4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This intervention is not commissioned and therefore should not be routinely offered to patients. Application for funding approval can be made, using the IFR process, by the clinician recommending the intervention, if their assessment is that there are exceptional reasons why their patient could benefit from it.</w:t>
            </w:r>
          </w:p>
        </w:tc>
      </w:tr>
      <w:tr w:rsidR="00113D9B" w14:paraId="2EEB5014" w14:textId="77777777" w:rsidTr="2C725BED">
        <w:tc>
          <w:tcPr>
            <w:tcW w:w="2405" w:type="dxa"/>
          </w:tcPr>
          <w:p w14:paraId="31574E9B" w14:textId="509110BD" w:rsidR="00113D9B" w:rsidRDefault="00113D9B" w:rsidP="00113D9B">
            <w:r>
              <w:t>Summary of Rationale</w:t>
            </w:r>
          </w:p>
          <w:p w14:paraId="61460744" w14:textId="7D87783C" w:rsidR="00113D9B" w:rsidRDefault="00113D9B" w:rsidP="00113D9B"/>
        </w:tc>
        <w:tc>
          <w:tcPr>
            <w:tcW w:w="6611" w:type="dxa"/>
          </w:tcPr>
          <w:p w14:paraId="550D6C0F" w14:textId="131D7CE9" w:rsidR="00C524B8" w:rsidRDefault="0034218A" w:rsidP="002F405C">
            <w:pPr>
              <w:pStyle w:val="paragraph"/>
              <w:spacing w:before="0" w:beforeAutospacing="0" w:after="0" w:afterAutospacing="0"/>
              <w:textAlignment w:val="baseline"/>
              <w:rPr>
                <w:rFonts w:ascii="Calibri" w:hAnsi="Calibri" w:cs="Calibri"/>
                <w:sz w:val="22"/>
                <w:szCs w:val="22"/>
              </w:rPr>
            </w:pPr>
            <w:r w:rsidRPr="0034218A">
              <w:rPr>
                <w:rFonts w:ascii="Calibri" w:hAnsi="Calibri" w:cs="Calibri"/>
                <w:sz w:val="22"/>
                <w:szCs w:val="22"/>
              </w:rPr>
              <w:t xml:space="preserve">There is clear evidence and expert consensus that a helmet does not affect the natural course of skull growth and should not be used. </w:t>
            </w:r>
            <w:r>
              <w:rPr>
                <w:rFonts w:ascii="Calibri" w:hAnsi="Calibri" w:cs="Calibri"/>
                <w:sz w:val="22"/>
                <w:szCs w:val="22"/>
              </w:rPr>
              <w:t>T</w:t>
            </w:r>
            <w:r w:rsidRPr="0034218A">
              <w:rPr>
                <w:rFonts w:ascii="Calibri" w:hAnsi="Calibri" w:cs="Calibri"/>
                <w:sz w:val="22"/>
                <w:szCs w:val="22"/>
              </w:rPr>
              <w:t>he flattened area of the head usually self-corrects naturally, as a baby grows, develops and becomes more mobile with increased muscle strength, and spends less time lying in one position.</w:t>
            </w:r>
            <w:r>
              <w:rPr>
                <w:rFonts w:ascii="Calibri" w:hAnsi="Calibri" w:cs="Calibri"/>
                <w:sz w:val="22"/>
                <w:szCs w:val="22"/>
              </w:rPr>
              <w:t xml:space="preserve"> </w:t>
            </w:r>
            <w:r w:rsidRPr="0034218A">
              <w:rPr>
                <w:rFonts w:ascii="Calibri" w:hAnsi="Calibri" w:cs="Calibri"/>
                <w:sz w:val="22"/>
                <w:szCs w:val="22"/>
              </w:rPr>
              <w:t>Helmets may be associated with significant risks such as pain, pressure sores and may adversely affect the bond between baby and parents. They are also expensive.</w:t>
            </w:r>
          </w:p>
          <w:p w14:paraId="145D30C1" w14:textId="553FFEC4" w:rsidR="00C524B8" w:rsidRPr="00C524B8" w:rsidRDefault="00C524B8" w:rsidP="00C524B8">
            <w:pPr>
              <w:pStyle w:val="paragraph"/>
              <w:spacing w:after="0"/>
              <w:textAlignment w:val="baseline"/>
              <w:rPr>
                <w:rFonts w:ascii="Calibri" w:hAnsi="Calibri" w:cs="Calibri"/>
                <w:sz w:val="22"/>
                <w:szCs w:val="22"/>
              </w:rPr>
            </w:pPr>
            <w:r w:rsidRPr="00C524B8">
              <w:rPr>
                <w:rFonts w:ascii="Calibri" w:hAnsi="Calibri" w:cs="Calibri"/>
                <w:sz w:val="22"/>
                <w:szCs w:val="22"/>
              </w:rPr>
              <w:t>To re</w:t>
            </w:r>
            <w:r>
              <w:rPr>
                <w:rFonts w:ascii="Calibri" w:hAnsi="Calibri" w:cs="Calibri"/>
                <w:sz w:val="22"/>
                <w:szCs w:val="22"/>
              </w:rPr>
              <w:t>d</w:t>
            </w:r>
            <w:r w:rsidRPr="00C524B8">
              <w:rPr>
                <w:rFonts w:ascii="Calibri" w:hAnsi="Calibri" w:cs="Calibri"/>
                <w:sz w:val="22"/>
                <w:szCs w:val="22"/>
              </w:rPr>
              <w:t>uce pressure on the flattened part of the head and encourage remoulding, the following simple interventions are suggested:</w:t>
            </w:r>
          </w:p>
          <w:p w14:paraId="4048E799" w14:textId="77777777" w:rsidR="00C524B8" w:rsidRPr="00C524B8" w:rsidRDefault="00C524B8" w:rsidP="00C524B8">
            <w:pPr>
              <w:pStyle w:val="paragraph"/>
              <w:numPr>
                <w:ilvl w:val="0"/>
                <w:numId w:val="13"/>
              </w:numPr>
              <w:spacing w:after="0"/>
              <w:textAlignment w:val="baseline"/>
              <w:rPr>
                <w:rFonts w:ascii="Calibri" w:hAnsi="Calibri" w:cs="Calibri"/>
                <w:sz w:val="22"/>
                <w:szCs w:val="22"/>
              </w:rPr>
            </w:pPr>
            <w:r w:rsidRPr="00C524B8">
              <w:rPr>
                <w:rFonts w:ascii="Calibri" w:hAnsi="Calibri" w:cs="Calibri"/>
                <w:sz w:val="22"/>
                <w:szCs w:val="22"/>
              </w:rPr>
              <w:t>‘Tummy time’ – Allow baby to spend time lying on their front while awake, supervised and playing</w:t>
            </w:r>
          </w:p>
          <w:p w14:paraId="47E9A72F" w14:textId="77777777" w:rsidR="00C524B8" w:rsidRPr="00C524B8" w:rsidRDefault="00C524B8" w:rsidP="00C524B8">
            <w:pPr>
              <w:pStyle w:val="paragraph"/>
              <w:numPr>
                <w:ilvl w:val="0"/>
                <w:numId w:val="13"/>
              </w:numPr>
              <w:spacing w:after="0"/>
              <w:textAlignment w:val="baseline"/>
              <w:rPr>
                <w:rFonts w:ascii="Calibri" w:hAnsi="Calibri" w:cs="Calibri"/>
                <w:sz w:val="22"/>
                <w:szCs w:val="22"/>
              </w:rPr>
            </w:pPr>
            <w:r w:rsidRPr="00C524B8">
              <w:rPr>
                <w:rFonts w:ascii="Calibri" w:hAnsi="Calibri" w:cs="Calibri"/>
                <w:sz w:val="22"/>
                <w:szCs w:val="22"/>
              </w:rPr>
              <w:t>Change the position of toys / mobiles / cot in the room to encourage baby to move their head away from the flattened side</w:t>
            </w:r>
          </w:p>
          <w:p w14:paraId="69BF7E4E" w14:textId="77777777" w:rsidR="00C524B8" w:rsidRPr="00C524B8" w:rsidRDefault="00C524B8" w:rsidP="00C524B8">
            <w:pPr>
              <w:pStyle w:val="paragraph"/>
              <w:numPr>
                <w:ilvl w:val="0"/>
                <w:numId w:val="13"/>
              </w:numPr>
              <w:spacing w:after="0"/>
              <w:textAlignment w:val="baseline"/>
              <w:rPr>
                <w:rFonts w:ascii="Calibri" w:hAnsi="Calibri" w:cs="Calibri"/>
                <w:sz w:val="22"/>
                <w:szCs w:val="22"/>
              </w:rPr>
            </w:pPr>
            <w:r w:rsidRPr="00C524B8">
              <w:rPr>
                <w:rFonts w:ascii="Calibri" w:hAnsi="Calibri" w:cs="Calibri"/>
                <w:sz w:val="22"/>
                <w:szCs w:val="22"/>
              </w:rPr>
              <w:t>Use a sling or a front carrier to reduce the amount of time baby spends lying on a firm flat surface</w:t>
            </w:r>
          </w:p>
          <w:p w14:paraId="725D5412" w14:textId="77777777" w:rsidR="00C524B8" w:rsidRPr="00C524B8" w:rsidRDefault="00C524B8" w:rsidP="00C524B8">
            <w:pPr>
              <w:pStyle w:val="paragraph"/>
              <w:numPr>
                <w:ilvl w:val="0"/>
                <w:numId w:val="13"/>
              </w:numPr>
              <w:spacing w:after="0"/>
              <w:textAlignment w:val="baseline"/>
              <w:rPr>
                <w:rFonts w:ascii="Calibri" w:hAnsi="Calibri" w:cs="Calibri"/>
                <w:sz w:val="22"/>
                <w:szCs w:val="22"/>
              </w:rPr>
            </w:pPr>
            <w:r w:rsidRPr="00C524B8">
              <w:rPr>
                <w:rFonts w:ascii="Calibri" w:hAnsi="Calibri" w:cs="Calibri"/>
                <w:sz w:val="22"/>
                <w:szCs w:val="22"/>
              </w:rPr>
              <w:t>Modify Parental lap “nursing” position to promote contact with less flattened side to parental chest.</w:t>
            </w:r>
          </w:p>
          <w:p w14:paraId="5691B576" w14:textId="016F194C" w:rsidR="00C524B8" w:rsidRPr="002F405C" w:rsidRDefault="00C524B8" w:rsidP="00C524B8">
            <w:pPr>
              <w:pStyle w:val="paragraph"/>
              <w:spacing w:before="0" w:beforeAutospacing="0" w:after="0" w:afterAutospacing="0"/>
              <w:textAlignment w:val="baseline"/>
              <w:rPr>
                <w:rFonts w:ascii="Calibri" w:hAnsi="Calibri" w:cs="Calibri"/>
                <w:sz w:val="22"/>
                <w:szCs w:val="22"/>
              </w:rPr>
            </w:pPr>
            <w:r w:rsidRPr="00C524B8">
              <w:rPr>
                <w:rFonts w:ascii="Calibri" w:hAnsi="Calibri" w:cs="Calibri"/>
                <w:sz w:val="22"/>
                <w:szCs w:val="22"/>
              </w:rPr>
              <w:t>All babies including those with non-</w:t>
            </w:r>
            <w:proofErr w:type="spellStart"/>
            <w:r w:rsidRPr="00C524B8">
              <w:rPr>
                <w:rFonts w:ascii="Calibri" w:hAnsi="Calibri" w:cs="Calibri"/>
                <w:sz w:val="22"/>
                <w:szCs w:val="22"/>
              </w:rPr>
              <w:t>synostotic</w:t>
            </w:r>
            <w:proofErr w:type="spellEnd"/>
            <w:r w:rsidRPr="00C524B8">
              <w:rPr>
                <w:rFonts w:ascii="Calibri" w:hAnsi="Calibri" w:cs="Calibri"/>
                <w:sz w:val="22"/>
                <w:szCs w:val="22"/>
              </w:rPr>
              <w:t xml:space="preserve">/positional plagiocephaly or brachycephaly must be laid to sleep on their back. Sleeping in positions other than this is associated with an increased risk of </w:t>
            </w:r>
            <w:proofErr w:type="gramStart"/>
            <w:r w:rsidRPr="00C524B8">
              <w:rPr>
                <w:rFonts w:ascii="Calibri" w:hAnsi="Calibri" w:cs="Calibri"/>
                <w:sz w:val="22"/>
                <w:szCs w:val="22"/>
              </w:rPr>
              <w:t>Sudden Infant Death Syndrome</w:t>
            </w:r>
            <w:proofErr w:type="gramEnd"/>
            <w:r w:rsidRPr="00C524B8">
              <w:rPr>
                <w:rFonts w:ascii="Calibri" w:hAnsi="Calibri" w:cs="Calibri"/>
                <w:sz w:val="22"/>
                <w:szCs w:val="22"/>
              </w:rPr>
              <w:t xml:space="preserve"> or SIDS (formerly known as Cot Death). For the same reason, no pillows or props should be used to change a baby’s sleeping position.</w:t>
            </w:r>
          </w:p>
        </w:tc>
      </w:tr>
      <w:tr w:rsidR="00113D9B" w14:paraId="45DC12DB" w14:textId="77777777" w:rsidTr="2C725BED">
        <w:tc>
          <w:tcPr>
            <w:tcW w:w="2405" w:type="dxa"/>
          </w:tcPr>
          <w:p w14:paraId="5A47F1A1" w14:textId="4F582E47" w:rsidR="00113D9B" w:rsidRDefault="00113D9B" w:rsidP="00113D9B">
            <w:r>
              <w:t xml:space="preserve">References </w:t>
            </w:r>
          </w:p>
        </w:tc>
        <w:tc>
          <w:tcPr>
            <w:tcW w:w="6611" w:type="dxa"/>
          </w:tcPr>
          <w:p w14:paraId="150D9A10" w14:textId="721A3176" w:rsidR="0071328A" w:rsidRPr="0039492D" w:rsidRDefault="00C524B8" w:rsidP="00177C4D">
            <w:pPr>
              <w:rPr>
                <w:rFonts w:ascii="Calibri" w:eastAsia="Calibri" w:hAnsi="Calibri" w:cs="Calibri"/>
              </w:rPr>
            </w:pPr>
            <w:hyperlink r:id="rId10" w:history="1">
              <w:r>
                <w:rPr>
                  <w:rStyle w:val="Hyperlink"/>
                  <w:rFonts w:ascii="Calibri" w:eastAsia="Calibri" w:hAnsi="Calibri" w:cs="Calibri"/>
                </w:rPr>
                <w:t>Helmet therapy for treatment of positional plagiocephaly/brachycephaly in children (EBI)</w:t>
              </w:r>
            </w:hyperlink>
          </w:p>
        </w:tc>
      </w:tr>
      <w:tr w:rsidR="00113D9B" w14:paraId="2F64E887" w14:textId="77777777" w:rsidTr="2C725BED">
        <w:tc>
          <w:tcPr>
            <w:tcW w:w="2405" w:type="dxa"/>
          </w:tcPr>
          <w:p w14:paraId="26CC3A7F" w14:textId="3F59DDFA" w:rsidR="00113D9B" w:rsidRDefault="00113D9B" w:rsidP="00113D9B">
            <w:r>
              <w:t>Effective from</w:t>
            </w:r>
          </w:p>
        </w:tc>
        <w:tc>
          <w:tcPr>
            <w:tcW w:w="6611" w:type="dxa"/>
          </w:tcPr>
          <w:p w14:paraId="03ECD2F0" w14:textId="4F2E3DDE" w:rsidR="00113D9B" w:rsidRDefault="002D3FF4" w:rsidP="00113D9B">
            <w:r>
              <w:t>July</w:t>
            </w:r>
            <w:r w:rsidR="00113D9B">
              <w:t xml:space="preserve"> 202</w:t>
            </w:r>
            <w:r w:rsidR="0071328A">
              <w:t>5</w:t>
            </w:r>
          </w:p>
        </w:tc>
      </w:tr>
      <w:tr w:rsidR="00113D9B" w14:paraId="2C1E1213" w14:textId="77777777" w:rsidTr="2C725BED">
        <w:tc>
          <w:tcPr>
            <w:tcW w:w="2405" w:type="dxa"/>
          </w:tcPr>
          <w:p w14:paraId="4D394461" w14:textId="4D85EBE7" w:rsidR="00113D9B" w:rsidRDefault="00113D9B" w:rsidP="00113D9B">
            <w:r>
              <w:t xml:space="preserve">Policy Review Date </w:t>
            </w:r>
          </w:p>
        </w:tc>
        <w:tc>
          <w:tcPr>
            <w:tcW w:w="6611" w:type="dxa"/>
          </w:tcPr>
          <w:p w14:paraId="29012611" w14:textId="724D4841" w:rsidR="00113D9B" w:rsidRDefault="002D3FF4" w:rsidP="00113D9B">
            <w:r>
              <w:t>July</w:t>
            </w:r>
            <w:r w:rsidR="00113D9B">
              <w:t xml:space="preserve"> 202</w:t>
            </w:r>
            <w:r w:rsidR="0071328A">
              <w:t>8</w:t>
            </w:r>
          </w:p>
        </w:tc>
      </w:tr>
    </w:tbl>
    <w:p w14:paraId="18EDB3DD" w14:textId="77777777" w:rsidR="000E104F" w:rsidRDefault="000E104F"/>
    <w:sectPr w:rsidR="000E10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1748" w14:textId="77777777" w:rsidR="002269FC" w:rsidRDefault="002269FC">
      <w:pPr>
        <w:spacing w:after="0" w:line="240" w:lineRule="auto"/>
      </w:pPr>
      <w:r>
        <w:separator/>
      </w:r>
    </w:p>
  </w:endnote>
  <w:endnote w:type="continuationSeparator" w:id="0">
    <w:p w14:paraId="226604A1" w14:textId="77777777" w:rsidR="002269FC" w:rsidRDefault="0022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D83C1" w14:textId="77777777" w:rsidR="002269FC" w:rsidRDefault="002269FC">
      <w:pPr>
        <w:spacing w:after="0" w:line="240" w:lineRule="auto"/>
      </w:pPr>
      <w:r>
        <w:separator/>
      </w:r>
    </w:p>
  </w:footnote>
  <w:footnote w:type="continuationSeparator" w:id="0">
    <w:p w14:paraId="5AB3DBC3" w14:textId="77777777" w:rsidR="002269FC" w:rsidRDefault="00226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4358"/>
    <w:multiLevelType w:val="hybridMultilevel"/>
    <w:tmpl w:val="A756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197457"/>
    <w:multiLevelType w:val="hybridMultilevel"/>
    <w:tmpl w:val="12C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386344">
    <w:abstractNumId w:val="2"/>
  </w:num>
  <w:num w:numId="2" w16cid:durableId="1872303278">
    <w:abstractNumId w:val="12"/>
  </w:num>
  <w:num w:numId="3" w16cid:durableId="1147431926">
    <w:abstractNumId w:val="1"/>
  </w:num>
  <w:num w:numId="4" w16cid:durableId="890380511">
    <w:abstractNumId w:val="4"/>
  </w:num>
  <w:num w:numId="5" w16cid:durableId="1585725535">
    <w:abstractNumId w:val="11"/>
  </w:num>
  <w:num w:numId="6" w16cid:durableId="1128164145">
    <w:abstractNumId w:val="8"/>
  </w:num>
  <w:num w:numId="7" w16cid:durableId="1607155194">
    <w:abstractNumId w:val="10"/>
  </w:num>
  <w:num w:numId="8" w16cid:durableId="70854915">
    <w:abstractNumId w:val="3"/>
  </w:num>
  <w:num w:numId="9" w16cid:durableId="1686781628">
    <w:abstractNumId w:val="6"/>
  </w:num>
  <w:num w:numId="10" w16cid:durableId="1966278688">
    <w:abstractNumId w:val="7"/>
  </w:num>
  <w:num w:numId="11" w16cid:durableId="864752626">
    <w:abstractNumId w:val="9"/>
  </w:num>
  <w:num w:numId="12" w16cid:durableId="443887326">
    <w:abstractNumId w:val="5"/>
  </w:num>
  <w:num w:numId="13" w16cid:durableId="81410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269FC"/>
    <w:rsid w:val="002D3FF4"/>
    <w:rsid w:val="002D97A4"/>
    <w:rsid w:val="002F405C"/>
    <w:rsid w:val="00315AA0"/>
    <w:rsid w:val="0032275B"/>
    <w:rsid w:val="00330790"/>
    <w:rsid w:val="0034218A"/>
    <w:rsid w:val="0039492D"/>
    <w:rsid w:val="004C292B"/>
    <w:rsid w:val="005565A7"/>
    <w:rsid w:val="005820AB"/>
    <w:rsid w:val="005E3ADB"/>
    <w:rsid w:val="005F0F1D"/>
    <w:rsid w:val="00656075"/>
    <w:rsid w:val="00702D52"/>
    <w:rsid w:val="0071328A"/>
    <w:rsid w:val="007606C0"/>
    <w:rsid w:val="00784A20"/>
    <w:rsid w:val="007A1D76"/>
    <w:rsid w:val="0080365B"/>
    <w:rsid w:val="0086083A"/>
    <w:rsid w:val="0093C44A"/>
    <w:rsid w:val="00946B0C"/>
    <w:rsid w:val="009D48EB"/>
    <w:rsid w:val="00A21761"/>
    <w:rsid w:val="00A719FC"/>
    <w:rsid w:val="00AA38E1"/>
    <w:rsid w:val="00AE39A5"/>
    <w:rsid w:val="00B835D0"/>
    <w:rsid w:val="00B97DAB"/>
    <w:rsid w:val="00BC27F1"/>
    <w:rsid w:val="00C524B8"/>
    <w:rsid w:val="00C5358B"/>
    <w:rsid w:val="00C55041"/>
    <w:rsid w:val="00D81158"/>
    <w:rsid w:val="00DD4A29"/>
    <w:rsid w:val="00DF00AB"/>
    <w:rsid w:val="00E17065"/>
    <w:rsid w:val="00E23A5B"/>
    <w:rsid w:val="00E30A7A"/>
    <w:rsid w:val="00EB3CFA"/>
    <w:rsid w:val="00ED5143"/>
    <w:rsid w:val="00F012EF"/>
    <w:rsid w:val="00F9067A"/>
    <w:rsid w:val="00FF3EE2"/>
    <w:rsid w:val="00FF6EF3"/>
    <w:rsid w:val="01A0723A"/>
    <w:rsid w:val="02B3C44F"/>
    <w:rsid w:val="0B6A0C66"/>
    <w:rsid w:val="0DCB6B24"/>
    <w:rsid w:val="0E2289EC"/>
    <w:rsid w:val="17AECED6"/>
    <w:rsid w:val="1BC662FA"/>
    <w:rsid w:val="1C8B89BA"/>
    <w:rsid w:val="1D7BA3D8"/>
    <w:rsid w:val="1DD6F1EE"/>
    <w:rsid w:val="1E004A7E"/>
    <w:rsid w:val="1F92CEBE"/>
    <w:rsid w:val="229E4C0C"/>
    <w:rsid w:val="236D715C"/>
    <w:rsid w:val="237966E0"/>
    <w:rsid w:val="24D5FB3E"/>
    <w:rsid w:val="2A602EEE"/>
    <w:rsid w:val="2B9E4B41"/>
    <w:rsid w:val="2BF356F9"/>
    <w:rsid w:val="2C725BED"/>
    <w:rsid w:val="3194BA9C"/>
    <w:rsid w:val="34B68F6F"/>
    <w:rsid w:val="389181A6"/>
    <w:rsid w:val="39BAF3F0"/>
    <w:rsid w:val="3B526FD8"/>
    <w:rsid w:val="3FF48BFB"/>
    <w:rsid w:val="44709B3A"/>
    <w:rsid w:val="44DFFF9E"/>
    <w:rsid w:val="45497F20"/>
    <w:rsid w:val="492132F9"/>
    <w:rsid w:val="4CADA413"/>
    <w:rsid w:val="4D8DD7CD"/>
    <w:rsid w:val="4F9A594B"/>
    <w:rsid w:val="506D4E92"/>
    <w:rsid w:val="509D0A6E"/>
    <w:rsid w:val="56541B87"/>
    <w:rsid w:val="56FDB0F3"/>
    <w:rsid w:val="5889EC3A"/>
    <w:rsid w:val="5ACDA373"/>
    <w:rsid w:val="5EEF045C"/>
    <w:rsid w:val="618E33EE"/>
    <w:rsid w:val="62E581D5"/>
    <w:rsid w:val="6454475A"/>
    <w:rsid w:val="684015C6"/>
    <w:rsid w:val="6B712061"/>
    <w:rsid w:val="72F30E7F"/>
    <w:rsid w:val="788B39B6"/>
    <w:rsid w:val="79BC8E83"/>
    <w:rsid w:val="7ADC5D01"/>
    <w:rsid w:val="7D588AA7"/>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character" w:styleId="UnresolvedMention">
    <w:name w:val="Unresolved Mention"/>
    <w:basedOn w:val="DefaultParagraphFont"/>
    <w:uiPriority w:val="99"/>
    <w:semiHidden/>
    <w:unhideWhenUsed/>
    <w:rsid w:val="002F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 w:id="635449598">
      <w:bodyDiv w:val="1"/>
      <w:marLeft w:val="0"/>
      <w:marRight w:val="0"/>
      <w:marTop w:val="0"/>
      <w:marBottom w:val="0"/>
      <w:divBdr>
        <w:top w:val="none" w:sz="0" w:space="0" w:color="auto"/>
        <w:left w:val="none" w:sz="0" w:space="0" w:color="auto"/>
        <w:bottom w:val="none" w:sz="0" w:space="0" w:color="auto"/>
        <w:right w:val="none" w:sz="0" w:space="0" w:color="auto"/>
      </w:divBdr>
    </w:div>
    <w:div w:id="2082871705">
      <w:bodyDiv w:val="1"/>
      <w:marLeft w:val="0"/>
      <w:marRight w:val="0"/>
      <w:marTop w:val="0"/>
      <w:marBottom w:val="0"/>
      <w:divBdr>
        <w:top w:val="none" w:sz="0" w:space="0" w:color="auto"/>
        <w:left w:val="none" w:sz="0" w:space="0" w:color="auto"/>
        <w:bottom w:val="none" w:sz="0" w:space="0" w:color="auto"/>
        <w:right w:val="none" w:sz="0" w:space="0" w:color="auto"/>
      </w:divBdr>
    </w:div>
    <w:div w:id="2097094772">
      <w:bodyDiv w:val="1"/>
      <w:marLeft w:val="0"/>
      <w:marRight w:val="0"/>
      <w:marTop w:val="0"/>
      <w:marBottom w:val="0"/>
      <w:divBdr>
        <w:top w:val="none" w:sz="0" w:space="0" w:color="auto"/>
        <w:left w:val="none" w:sz="0" w:space="0" w:color="auto"/>
        <w:bottom w:val="none" w:sz="0" w:space="0" w:color="auto"/>
        <w:right w:val="none" w:sz="0" w:space="0" w:color="auto"/>
      </w:divBdr>
    </w:div>
    <w:div w:id="21465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ebi.aomrc.org.uk/interventions/helmet-therapy-for-treatment-of-positional-plagiocephaly-brachycephaly-in-childr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4" ma:contentTypeDescription="Create a new document." ma:contentTypeScope="" ma:versionID="1c80c22be313f6cedacd09506805b8e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4c108e74b334b212211c669f96a83a18"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E2BB1-B746-425F-8753-9F82113632BA}">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2.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3.xml><?xml version="1.0" encoding="utf-8"?>
<ds:datastoreItem xmlns:ds="http://schemas.openxmlformats.org/officeDocument/2006/customXml" ds:itemID="{FF7CE82E-D43D-4180-952B-0103B6F5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Company>NHS</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5</cp:revision>
  <dcterms:created xsi:type="dcterms:W3CDTF">2025-01-14T14:48:00Z</dcterms:created>
  <dcterms:modified xsi:type="dcterms:W3CDTF">2025-07-18T14:55:00Z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