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97DAB" w14:paraId="3F32C22B" w14:textId="77777777" w:rsidTr="0AAD2EBA">
        <w:tc>
          <w:tcPr>
            <w:tcW w:w="240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611" w:type="dxa"/>
          </w:tcPr>
          <w:p w14:paraId="73A5EAEF" w14:textId="30EB21BF" w:rsidR="00B97DAB" w:rsidRPr="00ED5143" w:rsidRDefault="4557D402" w:rsidP="0AAD2EBA">
            <w:pPr>
              <w:rPr>
                <w:b/>
                <w:bCs/>
                <w:lang w:val="en-US"/>
              </w:rPr>
            </w:pPr>
            <w:r w:rsidRPr="0AAD2EBA">
              <w:rPr>
                <w:b/>
                <w:bCs/>
                <w:lang w:val="en-US"/>
              </w:rPr>
              <w:t xml:space="preserve">140. </w:t>
            </w:r>
            <w:r w:rsidR="00172E9A" w:rsidRPr="0AAD2EBA">
              <w:rPr>
                <w:b/>
                <w:bCs/>
                <w:lang w:val="en-US"/>
              </w:rPr>
              <w:t>Surgical removal of kidney stones (Ureteroscopy (URS) or Percutaneous Stone Surgery (PCNL)</w:t>
            </w:r>
            <w:r w:rsidR="00DD6366" w:rsidRPr="0AAD2EBA">
              <w:rPr>
                <w:b/>
                <w:bCs/>
                <w:lang w:val="en-US"/>
              </w:rPr>
              <w:t>,</w:t>
            </w:r>
            <w:r w:rsidR="00172E9A" w:rsidRPr="0AAD2EBA">
              <w:rPr>
                <w:b/>
                <w:bCs/>
                <w:lang w:val="en-US"/>
              </w:rPr>
              <w:t xml:space="preserve"> with or without stent)</w:t>
            </w:r>
          </w:p>
        </w:tc>
      </w:tr>
      <w:tr w:rsidR="00B97DAB" w14:paraId="004828E6" w14:textId="77777777" w:rsidTr="0AAD2EBA">
        <w:tc>
          <w:tcPr>
            <w:tcW w:w="2405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611" w:type="dxa"/>
          </w:tcPr>
          <w:p w14:paraId="23E416B7" w14:textId="63B0B979" w:rsidR="00656075" w:rsidRDefault="00172E9A" w:rsidP="00330790">
            <w:r>
              <w:t>Renal or ureteric stones</w:t>
            </w:r>
          </w:p>
        </w:tc>
      </w:tr>
      <w:tr w:rsidR="00113D9B" w14:paraId="3D720573" w14:textId="77777777" w:rsidTr="0AAD2EBA">
        <w:tc>
          <w:tcPr>
            <w:tcW w:w="2405" w:type="dxa"/>
          </w:tcPr>
          <w:p w14:paraId="6B55BECB" w14:textId="291589DB" w:rsidR="00113D9B" w:rsidRDefault="00113D9B" w:rsidP="00113D9B">
            <w:r>
              <w:t xml:space="preserve">Commissioning Position </w:t>
            </w:r>
          </w:p>
        </w:tc>
        <w:tc>
          <w:tcPr>
            <w:tcW w:w="6611" w:type="dxa"/>
          </w:tcPr>
          <w:p w14:paraId="0FCC7BAA" w14:textId="6FD77A44" w:rsidR="00EC4149" w:rsidRDefault="00EC4149" w:rsidP="00172E9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E00B0">
              <w:rPr>
                <w:rFonts w:ascii="Calibri" w:hAnsi="Calibri" w:cs="Calibri"/>
                <w:sz w:val="22"/>
                <w:szCs w:val="22"/>
              </w:rPr>
              <w:t>T</w:t>
            </w:r>
            <w:r w:rsidRPr="00EC4149">
              <w:rPr>
                <w:rFonts w:ascii="Calibri" w:hAnsi="Calibri" w:cs="Calibri"/>
                <w:sz w:val="22"/>
                <w:szCs w:val="22"/>
              </w:rPr>
              <w:t>hese interventions are commissioned as follows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3CED09A" w14:textId="38B1606E" w:rsidR="005F5507" w:rsidRPr="00EC4149" w:rsidRDefault="005F5507" w:rsidP="00172E9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 16 years and over</w:t>
            </w:r>
            <w:r w:rsidR="003E00B0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2D12421" w14:textId="07CD3D26" w:rsidR="005F5507" w:rsidRDefault="005F5507" w:rsidP="00EF516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URS </w:t>
            </w:r>
            <w:r w:rsidR="00172E9A" w:rsidRPr="00EC4149">
              <w:rPr>
                <w:rFonts w:ascii="Calibri" w:hAnsi="Calibri" w:cs="Calibri"/>
                <w:sz w:val="22"/>
                <w:szCs w:val="22"/>
              </w:rPr>
              <w:t>for treatment of</w:t>
            </w:r>
            <w:r w:rsidR="003E00B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060C113" w14:textId="505A369F" w:rsidR="00172E9A" w:rsidRDefault="00EC4149" w:rsidP="00EF5161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C4149">
              <w:rPr>
                <w:rFonts w:ascii="Calibri" w:hAnsi="Calibri" w:cs="Calibri"/>
                <w:sz w:val="22"/>
                <w:szCs w:val="22"/>
              </w:rPr>
              <w:t>r</w:t>
            </w:r>
            <w:r w:rsidR="00172E9A" w:rsidRPr="00EC4149">
              <w:rPr>
                <w:rFonts w:ascii="Calibri" w:hAnsi="Calibri" w:cs="Calibri"/>
                <w:sz w:val="22"/>
                <w:szCs w:val="22"/>
              </w:rPr>
              <w:t xml:space="preserve">enal </w:t>
            </w:r>
            <w:r w:rsidR="0032752E" w:rsidRPr="00EC4149">
              <w:rPr>
                <w:rFonts w:ascii="Calibri" w:hAnsi="Calibri" w:cs="Calibri"/>
                <w:sz w:val="22"/>
                <w:szCs w:val="22"/>
              </w:rPr>
              <w:t xml:space="preserve">or ureteric </w:t>
            </w:r>
            <w:r w:rsidR="00172E9A" w:rsidRPr="00EC4149">
              <w:rPr>
                <w:rFonts w:ascii="Calibri" w:hAnsi="Calibri" w:cs="Calibri"/>
                <w:sz w:val="22"/>
                <w:szCs w:val="22"/>
              </w:rPr>
              <w:t>stone</w:t>
            </w:r>
            <w:r w:rsidR="005F5507">
              <w:rPr>
                <w:rFonts w:ascii="Calibri" w:hAnsi="Calibri" w:cs="Calibri"/>
                <w:sz w:val="22"/>
                <w:szCs w:val="22"/>
              </w:rPr>
              <w:t xml:space="preserve"> &lt;20mm diameter</w:t>
            </w:r>
            <w:r w:rsidR="00172E9A" w:rsidRPr="00EC4149">
              <w:rPr>
                <w:rFonts w:ascii="Calibri" w:hAnsi="Calibri" w:cs="Calibri"/>
                <w:sz w:val="22"/>
                <w:szCs w:val="22"/>
              </w:rPr>
              <w:t xml:space="preserve"> if shockwave lithotripsy (SWL) is contraindicated</w:t>
            </w:r>
            <w:r w:rsidR="005F55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F5507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="005F5507">
              <w:rPr>
                <w:rFonts w:ascii="Calibri" w:hAnsi="Calibri" w:cs="Calibri"/>
                <w:sz w:val="22"/>
                <w:szCs w:val="22"/>
              </w:rPr>
              <w:t xml:space="preserve"> due to anatomical reasons</w:t>
            </w:r>
            <w:r w:rsidR="0032752E" w:rsidRPr="00EC414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F5507">
              <w:rPr>
                <w:rFonts w:ascii="Calibri" w:hAnsi="Calibri" w:cs="Calibri"/>
                <w:sz w:val="22"/>
                <w:szCs w:val="22"/>
              </w:rPr>
              <w:t>has failed or stone clearance not possible within 4 weeks</w:t>
            </w:r>
            <w:r w:rsidR="003E00B0">
              <w:rPr>
                <w:rFonts w:ascii="Calibri" w:hAnsi="Calibri" w:cs="Calibri"/>
                <w:sz w:val="22"/>
                <w:szCs w:val="22"/>
              </w:rPr>
              <w:t xml:space="preserve"> OR</w:t>
            </w:r>
          </w:p>
          <w:p w14:paraId="2DDE6CC2" w14:textId="78F0F7EC" w:rsidR="00EF5161" w:rsidRPr="00EF5161" w:rsidRDefault="005F5507" w:rsidP="00EF5161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renal stone (including staghorn) &gt;20mm diameter if PCNL is contraindicated</w:t>
            </w:r>
            <w:r w:rsidR="003E00B0">
              <w:rPr>
                <w:rFonts w:ascii="Calibri" w:hAnsi="Calibri" w:cs="Calibri"/>
                <w:sz w:val="22"/>
                <w:szCs w:val="22"/>
              </w:rPr>
              <w:t xml:space="preserve"> or not an option</w:t>
            </w:r>
          </w:p>
          <w:p w14:paraId="0665247B" w14:textId="77777777" w:rsidR="003E00B0" w:rsidRDefault="0032752E" w:rsidP="00EF516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C4149">
              <w:rPr>
                <w:rFonts w:ascii="Calibri" w:hAnsi="Calibri" w:cs="Calibri"/>
                <w:sz w:val="22"/>
                <w:szCs w:val="22"/>
              </w:rPr>
              <w:t>PCNL for treatment of</w:t>
            </w:r>
            <w:r w:rsidR="003E00B0">
              <w:rPr>
                <w:rFonts w:ascii="Calibri" w:hAnsi="Calibri" w:cs="Calibri"/>
                <w:sz w:val="22"/>
                <w:szCs w:val="22"/>
              </w:rPr>
              <w:t>:</w:t>
            </w:r>
            <w:r w:rsidR="00EC4149" w:rsidRPr="00EC414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8066868" w14:textId="6A5E1C2E" w:rsidR="0032752E" w:rsidRDefault="00EC4149" w:rsidP="00EF5161">
            <w:pPr>
              <w:pStyle w:val="paragraph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C4149">
              <w:rPr>
                <w:rFonts w:ascii="Calibri" w:hAnsi="Calibri" w:cs="Calibri"/>
                <w:sz w:val="22"/>
                <w:szCs w:val="22"/>
              </w:rPr>
              <w:t>r</w:t>
            </w:r>
            <w:r w:rsidR="0032752E" w:rsidRPr="00EC4149">
              <w:rPr>
                <w:rFonts w:ascii="Calibri" w:hAnsi="Calibri" w:cs="Calibri"/>
                <w:sz w:val="22"/>
                <w:szCs w:val="22"/>
              </w:rPr>
              <w:t>enal stone (including staghorn) &gt;20mm diameter</w:t>
            </w:r>
          </w:p>
          <w:p w14:paraId="409F6D9F" w14:textId="376C05F9" w:rsidR="003E00B0" w:rsidRDefault="003E00B0" w:rsidP="00EF5161">
            <w:pPr>
              <w:pStyle w:val="paragraph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renal stone &lt;20mm diameter if SWL and URS have failed or are not an option</w:t>
            </w:r>
          </w:p>
          <w:p w14:paraId="7C067668" w14:textId="5D941476" w:rsidR="00EF5161" w:rsidRPr="00EF5161" w:rsidRDefault="003E00B0" w:rsidP="00DD6366">
            <w:pPr>
              <w:pStyle w:val="paragraph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ureteric stone 10-20mm diameter </w:t>
            </w:r>
            <w:r w:rsidR="00DD6366">
              <w:rPr>
                <w:rFonts w:ascii="Calibri" w:hAnsi="Calibri" w:cs="Calibri"/>
                <w:sz w:val="22"/>
                <w:szCs w:val="22"/>
              </w:rPr>
              <w:t>for impacted stone if URS has failed</w:t>
            </w:r>
          </w:p>
          <w:p w14:paraId="43AD53E7" w14:textId="77777777" w:rsidR="00EF5161" w:rsidRDefault="00EF5161" w:rsidP="00EF516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Stent insertion following URS is commissioned if:</w:t>
            </w:r>
          </w:p>
          <w:p w14:paraId="6B789DC8" w14:textId="36BEBEAF" w:rsidR="00EF5161" w:rsidRDefault="00EF5161" w:rsidP="00EF5161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stone is &lt;20mm diameter AND</w:t>
            </w:r>
          </w:p>
          <w:p w14:paraId="0D49EBD5" w14:textId="53AE5A40" w:rsidR="00EF5161" w:rsidRDefault="00EF5161" w:rsidP="00EF5161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further treatment is anticipated OR</w:t>
            </w:r>
          </w:p>
          <w:p w14:paraId="67E90CB0" w14:textId="5A4B2FE7" w:rsidR="00EF5161" w:rsidRDefault="00EF5161" w:rsidP="00EF5161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there is evidence of infection or obstruction OR</w:t>
            </w:r>
          </w:p>
          <w:p w14:paraId="6347F7D7" w14:textId="031CD47E" w:rsidR="00EF5161" w:rsidRDefault="00EF5161" w:rsidP="00EF5161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there is a solitary kidney</w:t>
            </w:r>
          </w:p>
          <w:p w14:paraId="0C592A67" w14:textId="77777777" w:rsidR="00EF5161" w:rsidRDefault="00EF5161" w:rsidP="00DD636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7A20C77" w14:textId="5AFBE3A5" w:rsidR="00DD6366" w:rsidRDefault="00DD6366" w:rsidP="00DD636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 under 16 years</w:t>
            </w:r>
          </w:p>
          <w:p w14:paraId="301BD3D8" w14:textId="77777777" w:rsidR="00DD6366" w:rsidRDefault="00DD6366" w:rsidP="00EF516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URS for treatment of any renal or ureteric stone</w:t>
            </w:r>
          </w:p>
          <w:p w14:paraId="11340B6E" w14:textId="77777777" w:rsidR="00DD6366" w:rsidRDefault="00DD6366" w:rsidP="00EF516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PCNL for treatment of </w:t>
            </w:r>
          </w:p>
          <w:p w14:paraId="2210BF20" w14:textId="03C3FFAC" w:rsidR="00DD6366" w:rsidRDefault="00DD6366" w:rsidP="00EF5161">
            <w:pPr>
              <w:pStyle w:val="paragraph"/>
              <w:numPr>
                <w:ilvl w:val="1"/>
                <w:numId w:val="2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renal stone 10mm diameter or larger</w:t>
            </w:r>
          </w:p>
          <w:p w14:paraId="53855746" w14:textId="1FAB1ACD" w:rsidR="00EF5161" w:rsidRPr="00EF5161" w:rsidRDefault="00DD6366" w:rsidP="00EF5161">
            <w:pPr>
              <w:pStyle w:val="paragraph"/>
              <w:numPr>
                <w:ilvl w:val="1"/>
                <w:numId w:val="2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renal stone &lt;10mm diameter if SWL and URS have failed or PCNL is preferred due to anatomical reasons</w:t>
            </w:r>
          </w:p>
        </w:tc>
      </w:tr>
      <w:tr w:rsidR="00113D9B" w14:paraId="2EEB5014" w14:textId="77777777" w:rsidTr="0AAD2EBA">
        <w:tc>
          <w:tcPr>
            <w:tcW w:w="2405" w:type="dxa"/>
          </w:tcPr>
          <w:p w14:paraId="31574E9B" w14:textId="509110BD" w:rsidR="00113D9B" w:rsidRDefault="00113D9B" w:rsidP="00113D9B">
            <w:r>
              <w:t>Summary of Rationale</w:t>
            </w:r>
          </w:p>
          <w:p w14:paraId="61460744" w14:textId="7D87783C" w:rsidR="00113D9B" w:rsidRDefault="00113D9B" w:rsidP="00113D9B"/>
        </w:tc>
        <w:tc>
          <w:tcPr>
            <w:tcW w:w="6611" w:type="dxa"/>
          </w:tcPr>
          <w:p w14:paraId="2FD07FCC" w14:textId="77777777" w:rsidR="00C524B8" w:rsidRDefault="0032752E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SWL</w:t>
            </w:r>
            <w:r w:rsidRPr="0032752E">
              <w:rPr>
                <w:rFonts w:ascii="Arial" w:eastAsiaTheme="minorHAnsi" w:hAnsi="Arial" w:cs="Arial"/>
                <w:color w:val="737373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Pr="0032752E">
              <w:rPr>
                <w:rFonts w:ascii="Calibri" w:hAnsi="Calibri" w:cs="Calibri"/>
                <w:sz w:val="22"/>
                <w:szCs w:val="22"/>
              </w:rPr>
              <w:t>has shorter hospital stays, less pain and fewer major adverse events compared to URS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renal stones &lt;10mm diameter</w:t>
            </w:r>
            <w:r w:rsidRPr="0032752E">
              <w:rPr>
                <w:rFonts w:ascii="Calibri" w:hAnsi="Calibri" w:cs="Calibri"/>
                <w:sz w:val="22"/>
                <w:szCs w:val="22"/>
              </w:rPr>
              <w:t>, although URS normally needs fewer treatments.</w:t>
            </w:r>
          </w:p>
          <w:p w14:paraId="45C37E78" w14:textId="77777777" w:rsidR="0032752E" w:rsidRDefault="0032752E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ADE74D" w14:textId="150AE872" w:rsidR="0032752E" w:rsidRDefault="0032752E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2752E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EC4149">
              <w:rPr>
                <w:rFonts w:ascii="Calibri" w:hAnsi="Calibri" w:cs="Calibri"/>
                <w:sz w:val="22"/>
                <w:szCs w:val="22"/>
              </w:rPr>
              <w:t>u</w:t>
            </w:r>
            <w:r w:rsidRPr="0032752E">
              <w:rPr>
                <w:rFonts w:ascii="Calibri" w:hAnsi="Calibri" w:cs="Calibri"/>
                <w:sz w:val="22"/>
                <w:szCs w:val="22"/>
              </w:rPr>
              <w:t xml:space="preserve">reteric stones </w:t>
            </w:r>
            <w:r w:rsidR="00EC4149">
              <w:rPr>
                <w:rFonts w:ascii="Calibri" w:hAnsi="Calibri" w:cs="Calibri"/>
                <w:sz w:val="22"/>
                <w:szCs w:val="22"/>
              </w:rPr>
              <w:t>&lt;</w:t>
            </w:r>
            <w:r w:rsidRPr="0032752E">
              <w:rPr>
                <w:rFonts w:ascii="Calibri" w:hAnsi="Calibri" w:cs="Calibri"/>
                <w:sz w:val="22"/>
                <w:szCs w:val="22"/>
              </w:rPr>
              <w:t>10mm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diameter</w:t>
            </w:r>
            <w:r w:rsidRPr="0032752E">
              <w:rPr>
                <w:rFonts w:ascii="Calibri" w:hAnsi="Calibri" w:cs="Calibri"/>
                <w:sz w:val="22"/>
                <w:szCs w:val="22"/>
              </w:rPr>
              <w:t xml:space="preserve"> SWL </w:t>
            </w:r>
            <w:r w:rsidR="00EC4149">
              <w:rPr>
                <w:rFonts w:ascii="Calibri" w:hAnsi="Calibri" w:cs="Calibri"/>
                <w:sz w:val="22"/>
                <w:szCs w:val="22"/>
              </w:rPr>
              <w:t xml:space="preserve">has </w:t>
            </w:r>
            <w:r w:rsidRPr="0032752E">
              <w:rPr>
                <w:rFonts w:ascii="Calibri" w:hAnsi="Calibri" w:cs="Calibri"/>
                <w:sz w:val="22"/>
                <w:szCs w:val="22"/>
              </w:rPr>
              <w:t>show</w:t>
            </w:r>
            <w:r w:rsidR="00EC4149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Pr="0032752E">
              <w:rPr>
                <w:rFonts w:ascii="Calibri" w:hAnsi="Calibri" w:cs="Calibri"/>
                <w:sz w:val="22"/>
                <w:szCs w:val="22"/>
              </w:rPr>
              <w:t>benefits in terms of readmission and fewer major adverse events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32752E">
              <w:rPr>
                <w:rFonts w:ascii="Calibri" w:hAnsi="Calibri" w:cs="Calibri"/>
                <w:sz w:val="22"/>
                <w:szCs w:val="22"/>
              </w:rPr>
              <w:t xml:space="preserve"> although URS had lower retreatment rates.</w:t>
            </w:r>
          </w:p>
          <w:p w14:paraId="056BBCD3" w14:textId="77777777" w:rsidR="0032752E" w:rsidRDefault="0032752E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A9FF6FB" w14:textId="77777777" w:rsidR="0032752E" w:rsidRDefault="0032752E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renal and ureteric stones 10-20mm diameter</w:t>
            </w:r>
            <w:r w:rsidR="00EC4149">
              <w:rPr>
                <w:rFonts w:ascii="Calibri" w:hAnsi="Calibri" w:cs="Calibri"/>
                <w:sz w:val="22"/>
                <w:szCs w:val="22"/>
              </w:rPr>
              <w:t xml:space="preserve"> the optimal strategy will depend on the stone and speed of access to treatment options.</w:t>
            </w:r>
          </w:p>
          <w:p w14:paraId="0A52CF42" w14:textId="77777777" w:rsidR="00EF5161" w:rsidRDefault="00EF5161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B7A5AFD" w14:textId="184F4672" w:rsidR="00EF5161" w:rsidRDefault="00EF5161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5161">
              <w:rPr>
                <w:rFonts w:ascii="Calibri" w:hAnsi="Calibri" w:cs="Calibri"/>
                <w:sz w:val="22"/>
                <w:szCs w:val="22"/>
              </w:rPr>
              <w:t>Evidence show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EF5161">
              <w:rPr>
                <w:rFonts w:ascii="Calibri" w:hAnsi="Calibri" w:cs="Calibri"/>
                <w:sz w:val="22"/>
                <w:szCs w:val="22"/>
              </w:rPr>
              <w:t xml:space="preserve"> no benefit of routine stenting after URS for adults with ureteric stones </w:t>
            </w:r>
            <w:r>
              <w:rPr>
                <w:rFonts w:ascii="Calibri" w:hAnsi="Calibri" w:cs="Calibri"/>
                <w:sz w:val="22"/>
                <w:szCs w:val="22"/>
              </w:rPr>
              <w:t>&lt;</w:t>
            </w:r>
            <w:r w:rsidRPr="00EF5161">
              <w:rPr>
                <w:rFonts w:ascii="Calibri" w:hAnsi="Calibri" w:cs="Calibri"/>
                <w:sz w:val="22"/>
                <w:szCs w:val="22"/>
              </w:rPr>
              <w:t>20 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there is no evidence relating to stones &gt;20mm. </w:t>
            </w:r>
            <w:r w:rsidRPr="00EF5161">
              <w:rPr>
                <w:rFonts w:ascii="Calibri" w:hAnsi="Calibri" w:cs="Calibri"/>
                <w:sz w:val="22"/>
                <w:szCs w:val="22"/>
              </w:rPr>
              <w:t xml:space="preserve">Stents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are however </w:t>
            </w:r>
            <w:r w:rsidRPr="00EF5161">
              <w:rPr>
                <w:rFonts w:ascii="Calibri" w:hAnsi="Calibri" w:cs="Calibri"/>
                <w:sz w:val="22"/>
                <w:szCs w:val="22"/>
              </w:rPr>
              <w:t>associated with a number of adverse symptoms (dysuria, haematuria, irritative symptoms, frequency and urgency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F5161">
              <w:rPr>
                <w:rFonts w:ascii="Calibri" w:hAnsi="Calibri" w:cs="Calibri"/>
                <w:sz w:val="22"/>
                <w:szCs w:val="22"/>
              </w:rPr>
              <w:t>abdominal and bladder pain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50A3DCCF" w14:textId="77777777" w:rsidR="00EC4149" w:rsidRDefault="00EC4149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691B576" w14:textId="4463553B" w:rsidR="00EC4149" w:rsidRPr="002F405C" w:rsidRDefault="00EC4149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Asymptomatic renal and ureteric stones &lt;5mm diameter may pass spontaneously, so watchful waiting, potentially including medical therapy in the case of a ureteric stone e.g. alpha blocker carries less risk than other interventions. </w:t>
            </w:r>
          </w:p>
        </w:tc>
      </w:tr>
      <w:tr w:rsidR="00113D9B" w14:paraId="45DC12DB" w14:textId="77777777" w:rsidTr="0AAD2EBA">
        <w:tc>
          <w:tcPr>
            <w:tcW w:w="2405" w:type="dxa"/>
          </w:tcPr>
          <w:p w14:paraId="5A47F1A1" w14:textId="4F582E47" w:rsidR="00113D9B" w:rsidRDefault="00113D9B" w:rsidP="00113D9B">
            <w:r>
              <w:t xml:space="preserve">References </w:t>
            </w:r>
          </w:p>
        </w:tc>
        <w:tc>
          <w:tcPr>
            <w:tcW w:w="6611" w:type="dxa"/>
          </w:tcPr>
          <w:p w14:paraId="07FBB6F1" w14:textId="77777777" w:rsidR="0071328A" w:rsidRDefault="00EC4149" w:rsidP="00177C4D">
            <w:pPr>
              <w:rPr>
                <w:rFonts w:ascii="Calibri" w:eastAsia="Calibri" w:hAnsi="Calibri" w:cs="Calibri"/>
              </w:rPr>
            </w:pPr>
            <w:hyperlink r:id="rId10" w:history="1">
              <w:r>
                <w:rPr>
                  <w:rStyle w:val="Hyperlink"/>
                  <w:rFonts w:ascii="Calibri" w:eastAsia="Calibri" w:hAnsi="Calibri" w:cs="Calibri"/>
                </w:rPr>
                <w:t>Surgical removal of kidney stones (EBI)</w:t>
              </w:r>
            </w:hyperlink>
          </w:p>
          <w:p w14:paraId="150D9A10" w14:textId="2B184E77" w:rsidR="00EC4149" w:rsidRPr="0039492D" w:rsidRDefault="00EC4149" w:rsidP="00177C4D">
            <w:pPr>
              <w:rPr>
                <w:rFonts w:ascii="Calibri" w:eastAsia="Calibri" w:hAnsi="Calibri" w:cs="Calibri"/>
              </w:rPr>
            </w:pPr>
            <w:hyperlink r:id="rId11" w:history="1">
              <w:r>
                <w:rPr>
                  <w:rStyle w:val="Hyperlink"/>
                  <w:rFonts w:ascii="Calibri" w:eastAsia="Calibri" w:hAnsi="Calibri" w:cs="Calibri"/>
                </w:rPr>
                <w:t>NG118 Renal and ureteric stones: assessment and management (NICE)</w:t>
              </w:r>
            </w:hyperlink>
          </w:p>
        </w:tc>
      </w:tr>
      <w:tr w:rsidR="00113D9B" w14:paraId="2F64E887" w14:textId="77777777" w:rsidTr="0AAD2EBA">
        <w:tc>
          <w:tcPr>
            <w:tcW w:w="2405" w:type="dxa"/>
          </w:tcPr>
          <w:p w14:paraId="26CC3A7F" w14:textId="3F59DDFA" w:rsidR="00113D9B" w:rsidRDefault="00113D9B" w:rsidP="00113D9B">
            <w:r>
              <w:t>Effective from</w:t>
            </w:r>
          </w:p>
        </w:tc>
        <w:tc>
          <w:tcPr>
            <w:tcW w:w="6611" w:type="dxa"/>
          </w:tcPr>
          <w:p w14:paraId="03ECD2F0" w14:textId="3B73D477" w:rsidR="00113D9B" w:rsidRDefault="0071328A" w:rsidP="00113D9B">
            <w:r>
              <w:t>April</w:t>
            </w:r>
            <w:r w:rsidR="00113D9B">
              <w:t xml:space="preserve"> 202</w:t>
            </w:r>
            <w:r>
              <w:t>5</w:t>
            </w:r>
          </w:p>
        </w:tc>
      </w:tr>
      <w:tr w:rsidR="00113D9B" w14:paraId="2C1E1213" w14:textId="77777777" w:rsidTr="0AAD2EBA">
        <w:tc>
          <w:tcPr>
            <w:tcW w:w="2405" w:type="dxa"/>
          </w:tcPr>
          <w:p w14:paraId="4D394461" w14:textId="4D85EBE7" w:rsidR="00113D9B" w:rsidRDefault="00113D9B" w:rsidP="00113D9B">
            <w:r>
              <w:t xml:space="preserve">Policy Review Date </w:t>
            </w:r>
          </w:p>
        </w:tc>
        <w:tc>
          <w:tcPr>
            <w:tcW w:w="6611" w:type="dxa"/>
          </w:tcPr>
          <w:p w14:paraId="29012611" w14:textId="72C57CD2" w:rsidR="00113D9B" w:rsidRDefault="0071328A" w:rsidP="00113D9B">
            <w:r>
              <w:t>April</w:t>
            </w:r>
            <w:r w:rsidR="00113D9B">
              <w:t xml:space="preserve"> 202</w:t>
            </w:r>
            <w:r>
              <w:t>8</w:t>
            </w:r>
          </w:p>
        </w:tc>
      </w:tr>
    </w:tbl>
    <w:p w14:paraId="18EDB3DD" w14:textId="77777777" w:rsidR="000E104F" w:rsidRDefault="000E104F"/>
    <w:sectPr w:rsidR="000E104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9CE1" w14:textId="77777777" w:rsidR="00FA06EA" w:rsidRDefault="00FA06EA">
      <w:pPr>
        <w:spacing w:after="0" w:line="240" w:lineRule="auto"/>
      </w:pPr>
      <w:r>
        <w:separator/>
      </w:r>
    </w:p>
  </w:endnote>
  <w:endnote w:type="continuationSeparator" w:id="0">
    <w:p w14:paraId="39E614B9" w14:textId="77777777" w:rsidR="00FA06EA" w:rsidRDefault="00FA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3835" w14:textId="77777777" w:rsidR="00FA06EA" w:rsidRDefault="00FA06EA">
      <w:pPr>
        <w:spacing w:after="0" w:line="240" w:lineRule="auto"/>
      </w:pPr>
      <w:r>
        <w:separator/>
      </w:r>
    </w:p>
  </w:footnote>
  <w:footnote w:type="continuationSeparator" w:id="0">
    <w:p w14:paraId="3B30A42F" w14:textId="77777777" w:rsidR="00FA06EA" w:rsidRDefault="00FA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vZB7MKQ7i+4f" int2:id="CED87H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4358"/>
    <w:multiLevelType w:val="hybridMultilevel"/>
    <w:tmpl w:val="A756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3193"/>
    <w:multiLevelType w:val="hybridMultilevel"/>
    <w:tmpl w:val="3512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5EF2"/>
    <w:multiLevelType w:val="hybridMultilevel"/>
    <w:tmpl w:val="93547C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73C7C"/>
    <w:multiLevelType w:val="hybridMultilevel"/>
    <w:tmpl w:val="4B5C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7457"/>
    <w:multiLevelType w:val="hybridMultilevel"/>
    <w:tmpl w:val="12C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394E8D"/>
    <w:multiLevelType w:val="hybridMultilevel"/>
    <w:tmpl w:val="9A74F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EF32BC"/>
    <w:multiLevelType w:val="hybridMultilevel"/>
    <w:tmpl w:val="39B4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50423"/>
    <w:multiLevelType w:val="hybridMultilevel"/>
    <w:tmpl w:val="BC6A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85019"/>
    <w:multiLevelType w:val="hybridMultilevel"/>
    <w:tmpl w:val="2658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F0C2C"/>
    <w:multiLevelType w:val="hybridMultilevel"/>
    <w:tmpl w:val="3844F3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31B50"/>
    <w:multiLevelType w:val="hybridMultilevel"/>
    <w:tmpl w:val="4E381D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D40CE"/>
    <w:multiLevelType w:val="hybridMultilevel"/>
    <w:tmpl w:val="E544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86344">
    <w:abstractNumId w:val="3"/>
  </w:num>
  <w:num w:numId="2" w16cid:durableId="1872303278">
    <w:abstractNumId w:val="22"/>
  </w:num>
  <w:num w:numId="3" w16cid:durableId="1147431926">
    <w:abstractNumId w:val="2"/>
  </w:num>
  <w:num w:numId="4" w16cid:durableId="890380511">
    <w:abstractNumId w:val="6"/>
  </w:num>
  <w:num w:numId="5" w16cid:durableId="1585725535">
    <w:abstractNumId w:val="19"/>
  </w:num>
  <w:num w:numId="6" w16cid:durableId="1128164145">
    <w:abstractNumId w:val="13"/>
  </w:num>
  <w:num w:numId="7" w16cid:durableId="1607155194">
    <w:abstractNumId w:val="18"/>
  </w:num>
  <w:num w:numId="8" w16cid:durableId="70854915">
    <w:abstractNumId w:val="5"/>
  </w:num>
  <w:num w:numId="9" w16cid:durableId="1686781628">
    <w:abstractNumId w:val="9"/>
  </w:num>
  <w:num w:numId="10" w16cid:durableId="1966278688">
    <w:abstractNumId w:val="10"/>
  </w:num>
  <w:num w:numId="11" w16cid:durableId="864752626">
    <w:abstractNumId w:val="17"/>
  </w:num>
  <w:num w:numId="12" w16cid:durableId="443887326">
    <w:abstractNumId w:val="8"/>
  </w:num>
  <w:num w:numId="13" w16cid:durableId="814105023">
    <w:abstractNumId w:val="0"/>
  </w:num>
  <w:num w:numId="14" w16cid:durableId="918371703">
    <w:abstractNumId w:val="15"/>
  </w:num>
  <w:num w:numId="15" w16cid:durableId="748161320">
    <w:abstractNumId w:val="21"/>
  </w:num>
  <w:num w:numId="16" w16cid:durableId="553808747">
    <w:abstractNumId w:val="7"/>
  </w:num>
  <w:num w:numId="17" w16cid:durableId="1193500339">
    <w:abstractNumId w:val="12"/>
  </w:num>
  <w:num w:numId="18" w16cid:durableId="1320498748">
    <w:abstractNumId w:val="14"/>
  </w:num>
  <w:num w:numId="19" w16cid:durableId="1658654350">
    <w:abstractNumId w:val="1"/>
  </w:num>
  <w:num w:numId="20" w16cid:durableId="311838272">
    <w:abstractNumId w:val="11"/>
  </w:num>
  <w:num w:numId="21" w16cid:durableId="698747037">
    <w:abstractNumId w:val="16"/>
  </w:num>
  <w:num w:numId="22" w16cid:durableId="1031150261">
    <w:abstractNumId w:val="4"/>
  </w:num>
  <w:num w:numId="23" w16cid:durableId="2618833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E104F"/>
    <w:rsid w:val="00113D9B"/>
    <w:rsid w:val="00172E9A"/>
    <w:rsid w:val="00177C4D"/>
    <w:rsid w:val="001816E6"/>
    <w:rsid w:val="002878C5"/>
    <w:rsid w:val="002D97A4"/>
    <w:rsid w:val="002F405C"/>
    <w:rsid w:val="00315AA0"/>
    <w:rsid w:val="0032752E"/>
    <w:rsid w:val="00330790"/>
    <w:rsid w:val="0034218A"/>
    <w:rsid w:val="0039492D"/>
    <w:rsid w:val="003E00B0"/>
    <w:rsid w:val="003E5749"/>
    <w:rsid w:val="003E6AAE"/>
    <w:rsid w:val="004C292B"/>
    <w:rsid w:val="005565A7"/>
    <w:rsid w:val="005820AB"/>
    <w:rsid w:val="005D51AC"/>
    <w:rsid w:val="005E3ADB"/>
    <w:rsid w:val="005F0F1D"/>
    <w:rsid w:val="005F5507"/>
    <w:rsid w:val="00656075"/>
    <w:rsid w:val="00702D52"/>
    <w:rsid w:val="0071328A"/>
    <w:rsid w:val="007606C0"/>
    <w:rsid w:val="00784A20"/>
    <w:rsid w:val="007A1D76"/>
    <w:rsid w:val="0080365B"/>
    <w:rsid w:val="0086083A"/>
    <w:rsid w:val="0093C44A"/>
    <w:rsid w:val="00946B0C"/>
    <w:rsid w:val="009D48EB"/>
    <w:rsid w:val="009E11A9"/>
    <w:rsid w:val="00A21761"/>
    <w:rsid w:val="00A719FC"/>
    <w:rsid w:val="00AA38E1"/>
    <w:rsid w:val="00AE39A5"/>
    <w:rsid w:val="00B835D0"/>
    <w:rsid w:val="00B97DAB"/>
    <w:rsid w:val="00BC27F1"/>
    <w:rsid w:val="00C524B8"/>
    <w:rsid w:val="00C5358B"/>
    <w:rsid w:val="00C55041"/>
    <w:rsid w:val="00D81158"/>
    <w:rsid w:val="00DD4A29"/>
    <w:rsid w:val="00DD6366"/>
    <w:rsid w:val="00DF00AB"/>
    <w:rsid w:val="00E119F6"/>
    <w:rsid w:val="00E17065"/>
    <w:rsid w:val="00E23A5B"/>
    <w:rsid w:val="00E562FF"/>
    <w:rsid w:val="00EB3CFA"/>
    <w:rsid w:val="00EC4149"/>
    <w:rsid w:val="00ED5143"/>
    <w:rsid w:val="00EF5161"/>
    <w:rsid w:val="00F012EF"/>
    <w:rsid w:val="00F9067A"/>
    <w:rsid w:val="00FA06EA"/>
    <w:rsid w:val="00FF3EE2"/>
    <w:rsid w:val="00FF6EF3"/>
    <w:rsid w:val="01A0723A"/>
    <w:rsid w:val="02B3C44F"/>
    <w:rsid w:val="0AAD2EBA"/>
    <w:rsid w:val="0B6A0C66"/>
    <w:rsid w:val="0DCB6B24"/>
    <w:rsid w:val="0E2289EC"/>
    <w:rsid w:val="17AECED6"/>
    <w:rsid w:val="1BC662FA"/>
    <w:rsid w:val="1C8B89BA"/>
    <w:rsid w:val="1D7BA3D8"/>
    <w:rsid w:val="1DD6F1EE"/>
    <w:rsid w:val="1F92CEBE"/>
    <w:rsid w:val="229E4C0C"/>
    <w:rsid w:val="236D715C"/>
    <w:rsid w:val="237966E0"/>
    <w:rsid w:val="24D5FB3E"/>
    <w:rsid w:val="2A602EEE"/>
    <w:rsid w:val="2B9E4B41"/>
    <w:rsid w:val="2BF356F9"/>
    <w:rsid w:val="3194BA9C"/>
    <w:rsid w:val="34B68F6F"/>
    <w:rsid w:val="389181A6"/>
    <w:rsid w:val="39BAF3F0"/>
    <w:rsid w:val="3B526FD8"/>
    <w:rsid w:val="3FF48BFB"/>
    <w:rsid w:val="44709B3A"/>
    <w:rsid w:val="44DFFF9E"/>
    <w:rsid w:val="45497F20"/>
    <w:rsid w:val="4557D402"/>
    <w:rsid w:val="492132F9"/>
    <w:rsid w:val="4CADA413"/>
    <w:rsid w:val="4D8DD7CD"/>
    <w:rsid w:val="4F9A594B"/>
    <w:rsid w:val="506D4E92"/>
    <w:rsid w:val="509D0A6E"/>
    <w:rsid w:val="56541B87"/>
    <w:rsid w:val="56FDB0F3"/>
    <w:rsid w:val="5889EC3A"/>
    <w:rsid w:val="5EEF045C"/>
    <w:rsid w:val="618E33EE"/>
    <w:rsid w:val="62E581D5"/>
    <w:rsid w:val="6454475A"/>
    <w:rsid w:val="684015C6"/>
    <w:rsid w:val="6B712061"/>
    <w:rsid w:val="72F30E7F"/>
    <w:rsid w:val="788B39B6"/>
    <w:rsid w:val="79BC8E83"/>
    <w:rsid w:val="7ADC5D01"/>
    <w:rsid w:val="7D588AA7"/>
    <w:rsid w:val="7E0A7EF1"/>
    <w:rsid w:val="7F3030AF"/>
    <w:rsid w:val="7F6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F1D33F2A-868D-425A-BE63-2D9A010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  <w:style w:type="character" w:styleId="UnresolvedMention">
    <w:name w:val="Unresolved Mention"/>
    <w:basedOn w:val="DefaultParagraphFont"/>
    <w:uiPriority w:val="99"/>
    <w:semiHidden/>
    <w:unhideWhenUsed/>
    <w:rsid w:val="002F4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ng11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bi.aomrc.org.uk/interventions/surgical-removal-of-kidney-ston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4" ma:contentTypeDescription="Create a new document." ma:contentTypeScope="" ma:versionID="1c80c22be313f6cedacd09506805b8e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4c108e74b334b212211c669f96a83a18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C118-464D-42DD-9638-E1A8E5DF4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E2BB1-B746-425F-8753-9F8211363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>NHS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3</cp:revision>
  <dcterms:created xsi:type="dcterms:W3CDTF">2025-01-14T16:44:00Z</dcterms:created>
  <dcterms:modified xsi:type="dcterms:W3CDTF">2025-05-01T09:39:00Z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