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97DAB" w14:paraId="3F32C22B" w14:textId="77777777" w:rsidTr="355BC0C4">
        <w:tc>
          <w:tcPr>
            <w:tcW w:w="240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611" w:type="dxa"/>
          </w:tcPr>
          <w:p w14:paraId="73A5EAEF" w14:textId="102912A1" w:rsidR="00B97DAB" w:rsidRPr="00ED5143" w:rsidRDefault="7D997FA2" w:rsidP="355BC0C4">
            <w:pPr>
              <w:rPr>
                <w:b/>
                <w:bCs/>
                <w:lang w:val="en-US"/>
              </w:rPr>
            </w:pPr>
            <w:r w:rsidRPr="355BC0C4">
              <w:rPr>
                <w:b/>
                <w:bCs/>
                <w:lang w:val="en-US"/>
              </w:rPr>
              <w:t xml:space="preserve">141. </w:t>
            </w:r>
            <w:r w:rsidR="00A01AEA" w:rsidRPr="355BC0C4">
              <w:rPr>
                <w:b/>
                <w:bCs/>
                <w:lang w:val="en-US"/>
              </w:rPr>
              <w:t>Vertebral augmentation</w:t>
            </w:r>
            <w:r w:rsidR="001A039F" w:rsidRPr="355BC0C4">
              <w:rPr>
                <w:b/>
                <w:bCs/>
                <w:lang w:val="en-US"/>
              </w:rPr>
              <w:t xml:space="preserve"> (vertebroplasty (VP) or kyphoplasty (KP))</w:t>
            </w:r>
          </w:p>
        </w:tc>
      </w:tr>
      <w:tr w:rsidR="00B97DAB" w14:paraId="004828E6" w14:textId="77777777" w:rsidTr="355BC0C4">
        <w:tc>
          <w:tcPr>
            <w:tcW w:w="2405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611" w:type="dxa"/>
          </w:tcPr>
          <w:p w14:paraId="23E416B7" w14:textId="1F61FF7C" w:rsidR="00656075" w:rsidRDefault="001A039F" w:rsidP="001A039F">
            <w:pPr>
              <w:tabs>
                <w:tab w:val="left" w:pos="2440"/>
              </w:tabs>
            </w:pPr>
            <w:r>
              <w:t>Painful osteoporotic vertebral fractures</w:t>
            </w:r>
          </w:p>
        </w:tc>
      </w:tr>
      <w:tr w:rsidR="00113D9B" w14:paraId="3D720573" w14:textId="77777777" w:rsidTr="355BC0C4">
        <w:tc>
          <w:tcPr>
            <w:tcW w:w="2405" w:type="dxa"/>
          </w:tcPr>
          <w:p w14:paraId="6B55BECB" w14:textId="291589DB" w:rsidR="00113D9B" w:rsidRDefault="00113D9B" w:rsidP="00113D9B">
            <w:r>
              <w:t xml:space="preserve">Commissioning Position </w:t>
            </w:r>
          </w:p>
        </w:tc>
        <w:tc>
          <w:tcPr>
            <w:tcW w:w="6611" w:type="dxa"/>
          </w:tcPr>
          <w:p w14:paraId="0FCC7BAA" w14:textId="66FA08F7" w:rsidR="00EC4149" w:rsidRDefault="00EC4149" w:rsidP="00172E9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E00B0">
              <w:rPr>
                <w:rFonts w:ascii="Calibri" w:hAnsi="Calibri" w:cs="Calibri"/>
                <w:sz w:val="22"/>
                <w:szCs w:val="22"/>
              </w:rPr>
              <w:t>T</w:t>
            </w:r>
            <w:r w:rsidRPr="00EC4149">
              <w:rPr>
                <w:rFonts w:ascii="Calibri" w:hAnsi="Calibri" w:cs="Calibri"/>
                <w:sz w:val="22"/>
                <w:szCs w:val="22"/>
              </w:rPr>
              <w:t xml:space="preserve">hese interventions are commissioned </w:t>
            </w:r>
            <w:r w:rsidR="001A039F">
              <w:rPr>
                <w:rFonts w:ascii="Calibri" w:hAnsi="Calibri" w:cs="Calibri"/>
                <w:sz w:val="22"/>
                <w:szCs w:val="22"/>
              </w:rPr>
              <w:t>if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6F0C6EF" w14:textId="50EC35B1" w:rsidR="001A039F" w:rsidRPr="001A039F" w:rsidRDefault="001A039F" w:rsidP="001A039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A039F">
              <w:rPr>
                <w:rFonts w:ascii="Calibri" w:hAnsi="Calibri" w:cs="Calibri"/>
                <w:sz w:val="22"/>
                <w:szCs w:val="22"/>
              </w:rPr>
              <w:t>patients have severe (7/10 or greater on VAS scale) ongoing pain after a recent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(usually not more than 6 weeks)</w:t>
            </w:r>
            <w:r w:rsidRPr="001A039F">
              <w:rPr>
                <w:rFonts w:ascii="Calibri" w:hAnsi="Calibri" w:cs="Calibri"/>
                <w:sz w:val="22"/>
                <w:szCs w:val="22"/>
              </w:rPr>
              <w:t>, unhealed vertebral fracture despite optimal pain management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</w:t>
            </w:r>
          </w:p>
          <w:p w14:paraId="5E0C7166" w14:textId="3570F988" w:rsidR="001A039F" w:rsidRPr="001A039F" w:rsidRDefault="001A039F" w:rsidP="001A039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A039F">
              <w:rPr>
                <w:rFonts w:ascii="Calibri" w:hAnsi="Calibri" w:cs="Calibri"/>
                <w:sz w:val="22"/>
                <w:szCs w:val="22"/>
              </w:rPr>
              <w:t>the acute vertebral fracture has been proven on imaging and correlates with the site of maximal pain on clinical examination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</w:t>
            </w:r>
          </w:p>
          <w:p w14:paraId="1E674733" w14:textId="2E40AF6F" w:rsidR="001A039F" w:rsidRPr="001A039F" w:rsidRDefault="001A039F" w:rsidP="001A039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1A039F">
              <w:rPr>
                <w:rFonts w:ascii="Calibri" w:hAnsi="Calibri" w:cs="Calibri"/>
                <w:sz w:val="22"/>
                <w:szCs w:val="22"/>
              </w:rPr>
              <w:t xml:space="preserve">he decision to treat </w:t>
            </w:r>
            <w:r>
              <w:rPr>
                <w:rFonts w:ascii="Calibri" w:hAnsi="Calibri" w:cs="Calibri"/>
                <w:sz w:val="22"/>
                <w:szCs w:val="22"/>
              </w:rPr>
              <w:t>is</w:t>
            </w:r>
            <w:r w:rsidRPr="001A03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recommended following</w:t>
            </w:r>
            <w:r w:rsidRPr="001A039F">
              <w:rPr>
                <w:rFonts w:ascii="Calibri" w:hAnsi="Calibri" w:cs="Calibri"/>
                <w:sz w:val="22"/>
                <w:szCs w:val="22"/>
              </w:rPr>
              <w:t xml:space="preserve"> multidisciplinary team </w:t>
            </w:r>
            <w:r>
              <w:rPr>
                <w:rFonts w:ascii="Calibri" w:hAnsi="Calibri" w:cs="Calibri"/>
                <w:sz w:val="22"/>
                <w:szCs w:val="22"/>
              </w:rPr>
              <w:t>review AND</w:t>
            </w:r>
          </w:p>
          <w:p w14:paraId="306734D4" w14:textId="77777777" w:rsidR="008C4E05" w:rsidRDefault="001A039F" w:rsidP="008C4E0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1A039F">
              <w:rPr>
                <w:rFonts w:ascii="Calibri" w:hAnsi="Calibri" w:cs="Calibri"/>
                <w:sz w:val="22"/>
                <w:szCs w:val="22"/>
              </w:rPr>
              <w:t>he procedure take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1A039F">
              <w:rPr>
                <w:rFonts w:ascii="Calibri" w:hAnsi="Calibri" w:cs="Calibri"/>
                <w:sz w:val="22"/>
                <w:szCs w:val="22"/>
              </w:rPr>
              <w:t xml:space="preserve"> place at a facility with access to spinal surgery services</w:t>
            </w:r>
            <w:r w:rsidR="008C4E05">
              <w:rPr>
                <w:rFonts w:ascii="Calibri" w:hAnsi="Calibri" w:cs="Calibri"/>
                <w:sz w:val="22"/>
                <w:szCs w:val="22"/>
              </w:rPr>
              <w:t xml:space="preserve"> AND</w:t>
            </w:r>
          </w:p>
          <w:p w14:paraId="53855746" w14:textId="62212A63" w:rsidR="008C4E05" w:rsidRPr="008C4E05" w:rsidRDefault="008C4E05" w:rsidP="008C4E0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4E05">
              <w:rPr>
                <w:rFonts w:ascii="Calibri" w:hAnsi="Calibri" w:cs="Calibri"/>
                <w:sz w:val="22"/>
                <w:szCs w:val="22"/>
              </w:rPr>
              <w:t xml:space="preserve">VP/KP </w:t>
            </w:r>
            <w:r>
              <w:rPr>
                <w:rFonts w:ascii="Calibri" w:hAnsi="Calibri" w:cs="Calibri"/>
                <w:sz w:val="22"/>
                <w:szCs w:val="22"/>
              </w:rPr>
              <w:t>are</w:t>
            </w:r>
            <w:r w:rsidRPr="008C4E05">
              <w:rPr>
                <w:rFonts w:ascii="Calibri" w:hAnsi="Calibri" w:cs="Calibri"/>
                <w:sz w:val="22"/>
                <w:szCs w:val="22"/>
              </w:rPr>
              <w:t xml:space="preserve"> performed in conjunction with additional measures to improve bone health.</w:t>
            </w:r>
          </w:p>
        </w:tc>
      </w:tr>
      <w:tr w:rsidR="00113D9B" w14:paraId="2EEB5014" w14:textId="77777777" w:rsidTr="355BC0C4">
        <w:tc>
          <w:tcPr>
            <w:tcW w:w="2405" w:type="dxa"/>
          </w:tcPr>
          <w:p w14:paraId="31574E9B" w14:textId="509110BD" w:rsidR="00113D9B" w:rsidRDefault="00113D9B" w:rsidP="00113D9B">
            <w:r>
              <w:t>Summary of Rationale</w:t>
            </w:r>
          </w:p>
          <w:p w14:paraId="61460744" w14:textId="7D87783C" w:rsidR="00113D9B" w:rsidRDefault="00113D9B" w:rsidP="00113D9B"/>
        </w:tc>
        <w:tc>
          <w:tcPr>
            <w:tcW w:w="6611" w:type="dxa"/>
          </w:tcPr>
          <w:p w14:paraId="2FD07FCC" w14:textId="5A2C07AC" w:rsidR="001A039F" w:rsidRDefault="008C4E05" w:rsidP="001A039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evidence for these interventions has been heterogenous and resulted in </w:t>
            </w:r>
            <w:r w:rsidR="00DE6F1D">
              <w:rPr>
                <w:rFonts w:ascii="Calibri" w:hAnsi="Calibri" w:cs="Calibri"/>
                <w:sz w:val="22"/>
                <w:szCs w:val="22"/>
              </w:rPr>
              <w:t>conflicting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conclusions. A Cochrane systematic review in 2018 concluded that evidence did not support the use of VP in painful osteoporotic fractures, but NICE TA 279 recommended its use and p</w:t>
            </w:r>
            <w:r w:rsidR="001A039F" w:rsidRPr="001A039F">
              <w:rPr>
                <w:rFonts w:ascii="Calibri" w:hAnsi="Calibri" w:cs="Calibri"/>
                <w:sz w:val="22"/>
                <w:szCs w:val="22"/>
              </w:rPr>
              <w:t>ublications since 2016 have shown a reduction in mortality</w:t>
            </w:r>
            <w:r w:rsidR="001A039F">
              <w:rPr>
                <w:rFonts w:ascii="Calibri" w:hAnsi="Calibri" w:cs="Calibri"/>
                <w:sz w:val="22"/>
                <w:szCs w:val="22"/>
              </w:rPr>
              <w:t xml:space="preserve"> and reduction in length of inpatient stay</w:t>
            </w:r>
            <w:r w:rsidR="001A039F" w:rsidRPr="001A039F">
              <w:rPr>
                <w:rFonts w:ascii="Calibri" w:hAnsi="Calibri" w:cs="Calibri"/>
                <w:sz w:val="22"/>
                <w:szCs w:val="22"/>
              </w:rPr>
              <w:t xml:space="preserve"> in those treated with VA as opposed to conservative management</w:t>
            </w:r>
            <w:r w:rsidR="001A039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A039F" w:rsidRPr="001A039F">
              <w:rPr>
                <w:rFonts w:ascii="Calibri" w:hAnsi="Calibri" w:cs="Calibri"/>
                <w:sz w:val="22"/>
                <w:szCs w:val="22"/>
              </w:rPr>
              <w:t> Risk of serious adverse event following VA is rare. VA has not shown to cause an increase in additional/adjacent vertebral fractures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7ABF100" w14:textId="77777777" w:rsidR="008C4E05" w:rsidRPr="008C4E05" w:rsidRDefault="008C4E05" w:rsidP="008C4E0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691B576" w14:textId="71531F45" w:rsidR="00EC4149" w:rsidRPr="002F405C" w:rsidRDefault="008C4E05" w:rsidP="00C524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view of the ongoing lack of conclusive evidence, p</w:t>
            </w:r>
            <w:r w:rsidRPr="008C4E05">
              <w:rPr>
                <w:rFonts w:ascii="Calibri" w:hAnsi="Calibri" w:cs="Calibri"/>
                <w:sz w:val="22"/>
                <w:szCs w:val="22"/>
              </w:rPr>
              <w:t>rocesses for audit and clinical governance should be in place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where the interventions are provided.</w:t>
            </w:r>
          </w:p>
        </w:tc>
      </w:tr>
      <w:tr w:rsidR="00113D9B" w14:paraId="45DC12DB" w14:textId="77777777" w:rsidTr="355BC0C4">
        <w:tc>
          <w:tcPr>
            <w:tcW w:w="2405" w:type="dxa"/>
          </w:tcPr>
          <w:p w14:paraId="5A47F1A1" w14:textId="4F582E47" w:rsidR="00113D9B" w:rsidRDefault="00113D9B" w:rsidP="00113D9B">
            <w:r>
              <w:t xml:space="preserve">References </w:t>
            </w:r>
          </w:p>
        </w:tc>
        <w:tc>
          <w:tcPr>
            <w:tcW w:w="6611" w:type="dxa"/>
          </w:tcPr>
          <w:p w14:paraId="3D63C798" w14:textId="6D88305A" w:rsidR="001A039F" w:rsidRDefault="001A039F" w:rsidP="00177C4D">
            <w:pPr>
              <w:rPr>
                <w:rFonts w:ascii="Calibri" w:eastAsia="Calibri" w:hAnsi="Calibri" w:cs="Calibri"/>
              </w:rPr>
            </w:pPr>
            <w:hyperlink r:id="rId10" w:history="1">
              <w:r>
                <w:rPr>
                  <w:rStyle w:val="Hyperlink"/>
                  <w:rFonts w:ascii="Calibri" w:eastAsia="Calibri" w:hAnsi="Calibri" w:cs="Calibri"/>
                </w:rPr>
                <w:t>Vertebral augmentation for painful osteoporotic vertebral fractures (EBI)</w:t>
              </w:r>
            </w:hyperlink>
          </w:p>
          <w:p w14:paraId="5E2CEE3B" w14:textId="77777777" w:rsidR="00EC4149" w:rsidRDefault="001A039F" w:rsidP="00177C4D">
            <w:pPr>
              <w:rPr>
                <w:rFonts w:ascii="Calibri" w:eastAsia="Calibri" w:hAnsi="Calibri" w:cs="Calibri"/>
              </w:rPr>
            </w:pPr>
            <w:hyperlink r:id="rId11" w:history="1">
              <w:r>
                <w:rPr>
                  <w:rStyle w:val="Hyperlink"/>
                  <w:rFonts w:ascii="Calibri" w:eastAsia="Calibri" w:hAnsi="Calibri" w:cs="Calibri"/>
                </w:rPr>
                <w:t>TA279 Percutaneous vertebroplasty and percutaneous balloon kyphoplasty for treating osteoporotic vertebral compression fractures (NICE)</w:t>
              </w:r>
            </w:hyperlink>
          </w:p>
          <w:p w14:paraId="150D9A10" w14:textId="59D48C3B" w:rsidR="008C4E05" w:rsidRPr="0039492D" w:rsidRDefault="008C4E05" w:rsidP="00177C4D">
            <w:pPr>
              <w:rPr>
                <w:rFonts w:ascii="Calibri" w:eastAsia="Calibri" w:hAnsi="Calibri" w:cs="Calibri"/>
              </w:rPr>
            </w:pPr>
            <w:hyperlink r:id="rId12" w:history="1">
              <w:r w:rsidRPr="008C4E05">
                <w:rPr>
                  <w:rStyle w:val="Hyperlink"/>
                  <w:rFonts w:ascii="Calibri" w:eastAsia="Calibri" w:hAnsi="Calibri" w:cs="Calibri"/>
                </w:rPr>
                <w:t>Percutaneous vertebroplasty for osteoporotic vertebral compression fracture - Buchbinder, R - 2018 | Cochrane Library</w:t>
              </w:r>
            </w:hyperlink>
          </w:p>
        </w:tc>
      </w:tr>
      <w:tr w:rsidR="00113D9B" w14:paraId="2F64E887" w14:textId="77777777" w:rsidTr="355BC0C4">
        <w:tc>
          <w:tcPr>
            <w:tcW w:w="2405" w:type="dxa"/>
          </w:tcPr>
          <w:p w14:paraId="26CC3A7F" w14:textId="3F59DDFA" w:rsidR="00113D9B" w:rsidRDefault="00113D9B" w:rsidP="00113D9B">
            <w:r>
              <w:t>Effective from</w:t>
            </w:r>
          </w:p>
        </w:tc>
        <w:tc>
          <w:tcPr>
            <w:tcW w:w="6611" w:type="dxa"/>
          </w:tcPr>
          <w:p w14:paraId="03ECD2F0" w14:textId="3B73D477" w:rsidR="00113D9B" w:rsidRDefault="0071328A" w:rsidP="00113D9B">
            <w:r>
              <w:t>April</w:t>
            </w:r>
            <w:r w:rsidR="00113D9B">
              <w:t xml:space="preserve"> 202</w:t>
            </w:r>
            <w:r>
              <w:t>5</w:t>
            </w:r>
          </w:p>
        </w:tc>
      </w:tr>
      <w:tr w:rsidR="00113D9B" w14:paraId="2C1E1213" w14:textId="77777777" w:rsidTr="355BC0C4">
        <w:tc>
          <w:tcPr>
            <w:tcW w:w="2405" w:type="dxa"/>
          </w:tcPr>
          <w:p w14:paraId="4D394461" w14:textId="4D85EBE7" w:rsidR="00113D9B" w:rsidRDefault="00113D9B" w:rsidP="00113D9B">
            <w:r>
              <w:t xml:space="preserve">Policy Review Date </w:t>
            </w:r>
          </w:p>
        </w:tc>
        <w:tc>
          <w:tcPr>
            <w:tcW w:w="6611" w:type="dxa"/>
          </w:tcPr>
          <w:p w14:paraId="29012611" w14:textId="72C57CD2" w:rsidR="00113D9B" w:rsidRDefault="0071328A" w:rsidP="00113D9B">
            <w:r>
              <w:t>April</w:t>
            </w:r>
            <w:r w:rsidR="00113D9B">
              <w:t xml:space="preserve"> 202</w:t>
            </w:r>
            <w:r>
              <w:t>8</w:t>
            </w:r>
          </w:p>
        </w:tc>
      </w:tr>
    </w:tbl>
    <w:p w14:paraId="18EDB3DD" w14:textId="77777777" w:rsidR="000E104F" w:rsidRDefault="000E104F"/>
    <w:sectPr w:rsidR="000E104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BB31" w14:textId="77777777" w:rsidR="00D71015" w:rsidRDefault="00D71015">
      <w:pPr>
        <w:spacing w:after="0" w:line="240" w:lineRule="auto"/>
      </w:pPr>
      <w:r>
        <w:separator/>
      </w:r>
    </w:p>
  </w:endnote>
  <w:endnote w:type="continuationSeparator" w:id="0">
    <w:p w14:paraId="5339D58B" w14:textId="77777777" w:rsidR="00D71015" w:rsidRDefault="00D7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83F9" w14:textId="77777777" w:rsidR="00D71015" w:rsidRDefault="00D71015">
      <w:pPr>
        <w:spacing w:after="0" w:line="240" w:lineRule="auto"/>
      </w:pPr>
      <w:r>
        <w:separator/>
      </w:r>
    </w:p>
  </w:footnote>
  <w:footnote w:type="continuationSeparator" w:id="0">
    <w:p w14:paraId="498696AE" w14:textId="77777777" w:rsidR="00D71015" w:rsidRDefault="00D7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vZB7MKQ7i+4f" int2:id="CED87H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CFE"/>
    <w:multiLevelType w:val="multilevel"/>
    <w:tmpl w:val="01F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4358"/>
    <w:multiLevelType w:val="hybridMultilevel"/>
    <w:tmpl w:val="A756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3193"/>
    <w:multiLevelType w:val="hybridMultilevel"/>
    <w:tmpl w:val="3512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95EF2"/>
    <w:multiLevelType w:val="hybridMultilevel"/>
    <w:tmpl w:val="93547C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773C7C"/>
    <w:multiLevelType w:val="hybridMultilevel"/>
    <w:tmpl w:val="4B5C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97457"/>
    <w:multiLevelType w:val="hybridMultilevel"/>
    <w:tmpl w:val="12C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E42156"/>
    <w:multiLevelType w:val="hybridMultilevel"/>
    <w:tmpl w:val="1152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94E8D"/>
    <w:multiLevelType w:val="hybridMultilevel"/>
    <w:tmpl w:val="9A74F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EF32BC"/>
    <w:multiLevelType w:val="hybridMultilevel"/>
    <w:tmpl w:val="39B4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0423"/>
    <w:multiLevelType w:val="hybridMultilevel"/>
    <w:tmpl w:val="BC6A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85019"/>
    <w:multiLevelType w:val="hybridMultilevel"/>
    <w:tmpl w:val="2658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E2B54"/>
    <w:multiLevelType w:val="multilevel"/>
    <w:tmpl w:val="CB4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F0C2C"/>
    <w:multiLevelType w:val="hybridMultilevel"/>
    <w:tmpl w:val="3844F3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31B50"/>
    <w:multiLevelType w:val="hybridMultilevel"/>
    <w:tmpl w:val="4E381D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D40CE"/>
    <w:multiLevelType w:val="hybridMultilevel"/>
    <w:tmpl w:val="E544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86344">
    <w:abstractNumId w:val="4"/>
  </w:num>
  <w:num w:numId="2" w16cid:durableId="1872303278">
    <w:abstractNumId w:val="25"/>
  </w:num>
  <w:num w:numId="3" w16cid:durableId="1147431926">
    <w:abstractNumId w:val="3"/>
  </w:num>
  <w:num w:numId="4" w16cid:durableId="890380511">
    <w:abstractNumId w:val="7"/>
  </w:num>
  <w:num w:numId="5" w16cid:durableId="1585725535">
    <w:abstractNumId w:val="22"/>
  </w:num>
  <w:num w:numId="6" w16cid:durableId="1128164145">
    <w:abstractNumId w:val="15"/>
  </w:num>
  <w:num w:numId="7" w16cid:durableId="1607155194">
    <w:abstractNumId w:val="21"/>
  </w:num>
  <w:num w:numId="8" w16cid:durableId="70854915">
    <w:abstractNumId w:val="6"/>
  </w:num>
  <w:num w:numId="9" w16cid:durableId="1686781628">
    <w:abstractNumId w:val="10"/>
  </w:num>
  <w:num w:numId="10" w16cid:durableId="1966278688">
    <w:abstractNumId w:val="11"/>
  </w:num>
  <w:num w:numId="11" w16cid:durableId="864752626">
    <w:abstractNumId w:val="20"/>
  </w:num>
  <w:num w:numId="12" w16cid:durableId="443887326">
    <w:abstractNumId w:val="9"/>
  </w:num>
  <w:num w:numId="13" w16cid:durableId="814105023">
    <w:abstractNumId w:val="1"/>
  </w:num>
  <w:num w:numId="14" w16cid:durableId="918371703">
    <w:abstractNumId w:val="17"/>
  </w:num>
  <w:num w:numId="15" w16cid:durableId="748161320">
    <w:abstractNumId w:val="24"/>
  </w:num>
  <w:num w:numId="16" w16cid:durableId="553808747">
    <w:abstractNumId w:val="8"/>
  </w:num>
  <w:num w:numId="17" w16cid:durableId="1193500339">
    <w:abstractNumId w:val="14"/>
  </w:num>
  <w:num w:numId="18" w16cid:durableId="1320498748">
    <w:abstractNumId w:val="16"/>
  </w:num>
  <w:num w:numId="19" w16cid:durableId="1658654350">
    <w:abstractNumId w:val="2"/>
  </w:num>
  <w:num w:numId="20" w16cid:durableId="311838272">
    <w:abstractNumId w:val="13"/>
  </w:num>
  <w:num w:numId="21" w16cid:durableId="698747037">
    <w:abstractNumId w:val="19"/>
  </w:num>
  <w:num w:numId="22" w16cid:durableId="1031150261">
    <w:abstractNumId w:val="5"/>
  </w:num>
  <w:num w:numId="23" w16cid:durableId="261883331">
    <w:abstractNumId w:val="23"/>
  </w:num>
  <w:num w:numId="24" w16cid:durableId="1457797229">
    <w:abstractNumId w:val="0"/>
  </w:num>
  <w:num w:numId="25" w16cid:durableId="2004122983">
    <w:abstractNumId w:val="12"/>
  </w:num>
  <w:num w:numId="26" w16cid:durableId="2354746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E104F"/>
    <w:rsid w:val="00113D9B"/>
    <w:rsid w:val="00172E9A"/>
    <w:rsid w:val="00177C4D"/>
    <w:rsid w:val="001816E6"/>
    <w:rsid w:val="001A039F"/>
    <w:rsid w:val="002D97A4"/>
    <w:rsid w:val="002F405C"/>
    <w:rsid w:val="00315AA0"/>
    <w:rsid w:val="0032752E"/>
    <w:rsid w:val="00330790"/>
    <w:rsid w:val="0034218A"/>
    <w:rsid w:val="0039492D"/>
    <w:rsid w:val="003E00B0"/>
    <w:rsid w:val="003E5749"/>
    <w:rsid w:val="004C292B"/>
    <w:rsid w:val="005565A7"/>
    <w:rsid w:val="005820AB"/>
    <w:rsid w:val="005D51AC"/>
    <w:rsid w:val="005E3ADB"/>
    <w:rsid w:val="005F0F1D"/>
    <w:rsid w:val="005F5507"/>
    <w:rsid w:val="00656075"/>
    <w:rsid w:val="006877E9"/>
    <w:rsid w:val="00702D52"/>
    <w:rsid w:val="0071328A"/>
    <w:rsid w:val="007606C0"/>
    <w:rsid w:val="00784A20"/>
    <w:rsid w:val="007A1D76"/>
    <w:rsid w:val="0080365B"/>
    <w:rsid w:val="0086083A"/>
    <w:rsid w:val="00860DCA"/>
    <w:rsid w:val="008C4E05"/>
    <w:rsid w:val="0093C44A"/>
    <w:rsid w:val="00946B0C"/>
    <w:rsid w:val="009D48EB"/>
    <w:rsid w:val="009E11A9"/>
    <w:rsid w:val="00A01AEA"/>
    <w:rsid w:val="00A21761"/>
    <w:rsid w:val="00A719FC"/>
    <w:rsid w:val="00AA38E1"/>
    <w:rsid w:val="00AE39A5"/>
    <w:rsid w:val="00B835D0"/>
    <w:rsid w:val="00B97DAB"/>
    <w:rsid w:val="00BC27F1"/>
    <w:rsid w:val="00C524B8"/>
    <w:rsid w:val="00C5358B"/>
    <w:rsid w:val="00C55041"/>
    <w:rsid w:val="00D71015"/>
    <w:rsid w:val="00D81158"/>
    <w:rsid w:val="00DB5F89"/>
    <w:rsid w:val="00DD4A29"/>
    <w:rsid w:val="00DD6366"/>
    <w:rsid w:val="00DE6F1D"/>
    <w:rsid w:val="00DF00AB"/>
    <w:rsid w:val="00E17065"/>
    <w:rsid w:val="00E23A5B"/>
    <w:rsid w:val="00E562FF"/>
    <w:rsid w:val="00EB3CFA"/>
    <w:rsid w:val="00EC4149"/>
    <w:rsid w:val="00ED5143"/>
    <w:rsid w:val="00EF5161"/>
    <w:rsid w:val="00F012EF"/>
    <w:rsid w:val="00F9067A"/>
    <w:rsid w:val="00FF3EE2"/>
    <w:rsid w:val="00FF6EF3"/>
    <w:rsid w:val="01A0723A"/>
    <w:rsid w:val="02B3C44F"/>
    <w:rsid w:val="0B6A0C66"/>
    <w:rsid w:val="0DCB6B24"/>
    <w:rsid w:val="0E2289EC"/>
    <w:rsid w:val="17AECED6"/>
    <w:rsid w:val="1BC662FA"/>
    <w:rsid w:val="1C8B89BA"/>
    <w:rsid w:val="1D7BA3D8"/>
    <w:rsid w:val="1DD6F1EE"/>
    <w:rsid w:val="1F92CEBE"/>
    <w:rsid w:val="229E4C0C"/>
    <w:rsid w:val="236D715C"/>
    <w:rsid w:val="237966E0"/>
    <w:rsid w:val="24D5FB3E"/>
    <w:rsid w:val="2A602EEE"/>
    <w:rsid w:val="2B9E4B41"/>
    <w:rsid w:val="2BF356F9"/>
    <w:rsid w:val="3194BA9C"/>
    <w:rsid w:val="34B68F6F"/>
    <w:rsid w:val="355BC0C4"/>
    <w:rsid w:val="389181A6"/>
    <w:rsid w:val="39BAF3F0"/>
    <w:rsid w:val="3B526FD8"/>
    <w:rsid w:val="3FF48BFB"/>
    <w:rsid w:val="44709B3A"/>
    <w:rsid w:val="44DFFF9E"/>
    <w:rsid w:val="45497F20"/>
    <w:rsid w:val="492132F9"/>
    <w:rsid w:val="4CADA413"/>
    <w:rsid w:val="4D8DD7CD"/>
    <w:rsid w:val="4F9A594B"/>
    <w:rsid w:val="506D4E92"/>
    <w:rsid w:val="509D0A6E"/>
    <w:rsid w:val="56541B87"/>
    <w:rsid w:val="56FDB0F3"/>
    <w:rsid w:val="5889EC3A"/>
    <w:rsid w:val="5EEF045C"/>
    <w:rsid w:val="618E33EE"/>
    <w:rsid w:val="62E581D5"/>
    <w:rsid w:val="6454475A"/>
    <w:rsid w:val="684015C6"/>
    <w:rsid w:val="6B712061"/>
    <w:rsid w:val="72F30E7F"/>
    <w:rsid w:val="788B39B6"/>
    <w:rsid w:val="79BC8E83"/>
    <w:rsid w:val="7ADC5D01"/>
    <w:rsid w:val="7D588AA7"/>
    <w:rsid w:val="7D997FA2"/>
    <w:rsid w:val="7E0A7EF1"/>
    <w:rsid w:val="7F3030AF"/>
    <w:rsid w:val="7F6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F1D33F2A-868D-425A-BE63-2D9A010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  <w:style w:type="character" w:styleId="UnresolvedMention">
    <w:name w:val="Unresolved Mention"/>
    <w:basedOn w:val="DefaultParagraphFont"/>
    <w:uiPriority w:val="99"/>
    <w:semiHidden/>
    <w:unhideWhenUsed/>
    <w:rsid w:val="002F4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chranelibrary.com/cdsr/doi/10.1002/14651858.CD006349.pub4/full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ta27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bi.aomrc.org.uk/interventions/vertebral-augmentation-for-painful-osteoporotic-vertebral-fractur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4" ma:contentTypeDescription="Create a new document." ma:contentTypeScope="" ma:versionID="1c80c22be313f6cedacd09506805b8e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4c108e74b334b212211c669f96a83a18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AB2D2-14C4-4207-BCC1-EC6DE996E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E2BB1-B746-425F-8753-9F8211363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>NHS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3</cp:revision>
  <dcterms:created xsi:type="dcterms:W3CDTF">2025-01-14T17:06:00Z</dcterms:created>
  <dcterms:modified xsi:type="dcterms:W3CDTF">2025-05-01T09:51:00Z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