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055"/>
        <w:gridCol w:w="6961"/>
      </w:tblGrid>
      <w:tr w:rsidR="00B97DAB" w14:paraId="3F32C22B" w14:textId="77777777" w:rsidTr="43B06E93">
        <w:tc>
          <w:tcPr>
            <w:tcW w:w="2055" w:type="dxa"/>
          </w:tcPr>
          <w:p w14:paraId="2137C5A4" w14:textId="11B48F23" w:rsidR="00B97DAB" w:rsidRDefault="00B97DAB">
            <w:r>
              <w:t xml:space="preserve">Intervention </w:t>
            </w:r>
          </w:p>
        </w:tc>
        <w:tc>
          <w:tcPr>
            <w:tcW w:w="6961" w:type="dxa"/>
          </w:tcPr>
          <w:p w14:paraId="73A5EAEF" w14:textId="4EC4B438" w:rsidR="00961228" w:rsidRPr="00BC4BBB" w:rsidRDefault="04EDD1E7">
            <w:pPr>
              <w:rPr>
                <w:b/>
                <w:bCs/>
              </w:rPr>
            </w:pPr>
            <w:r w:rsidRPr="43B06E93">
              <w:rPr>
                <w:b/>
                <w:bCs/>
              </w:rPr>
              <w:t xml:space="preserve">142. </w:t>
            </w:r>
            <w:r w:rsidR="00414584" w:rsidRPr="43B06E93">
              <w:rPr>
                <w:b/>
                <w:bCs/>
              </w:rPr>
              <w:t>Ultrasound guided injection (USGI)</w:t>
            </w:r>
            <w:r w:rsidR="00162C14" w:rsidRPr="43B06E93">
              <w:rPr>
                <w:b/>
                <w:bCs/>
              </w:rPr>
              <w:t xml:space="preserve"> of soft tissue or joints</w:t>
            </w:r>
          </w:p>
        </w:tc>
      </w:tr>
      <w:tr w:rsidR="00B97DAB" w14:paraId="004828E6" w14:textId="77777777" w:rsidTr="43B06E93">
        <w:tc>
          <w:tcPr>
            <w:tcW w:w="2055" w:type="dxa"/>
          </w:tcPr>
          <w:p w14:paraId="194FC277" w14:textId="07A99929" w:rsidR="00B97DAB" w:rsidRDefault="00B97DAB">
            <w:r>
              <w:t>For the treatment</w:t>
            </w:r>
            <w:r w:rsidR="00527869">
              <w:t xml:space="preserve"> or diagnosis</w:t>
            </w:r>
            <w:r>
              <w:t xml:space="preserve"> of </w:t>
            </w:r>
          </w:p>
        </w:tc>
        <w:tc>
          <w:tcPr>
            <w:tcW w:w="6961" w:type="dxa"/>
          </w:tcPr>
          <w:p w14:paraId="23E416B7" w14:textId="10656BCD" w:rsidR="00961228" w:rsidRDefault="00527869">
            <w:r>
              <w:t>M</w:t>
            </w:r>
            <w:r w:rsidR="00414584">
              <w:t>usculoskeletal pathology</w:t>
            </w:r>
          </w:p>
        </w:tc>
      </w:tr>
      <w:tr w:rsidR="00B97DAB" w14:paraId="3D720573" w14:textId="77777777" w:rsidTr="43B06E93">
        <w:tc>
          <w:tcPr>
            <w:tcW w:w="2055" w:type="dxa"/>
          </w:tcPr>
          <w:p w14:paraId="6B55BECB" w14:textId="291589DB" w:rsidR="00B97DAB" w:rsidRDefault="00B97DAB">
            <w:r>
              <w:t xml:space="preserve">Commissioning Position </w:t>
            </w:r>
          </w:p>
        </w:tc>
        <w:tc>
          <w:tcPr>
            <w:tcW w:w="6961" w:type="dxa"/>
          </w:tcPr>
          <w:p w14:paraId="521C2F20" w14:textId="760D2149" w:rsidR="00414584" w:rsidRPr="00414584" w:rsidRDefault="00414584" w:rsidP="00162C14">
            <w:pPr>
              <w:shd w:val="clear" w:color="auto" w:fill="FFFFFF" w:themeFill="background1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USGI of a corticosteroid</w:t>
            </w:r>
            <w:r w:rsidR="00162C1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162C14">
              <w:rPr>
                <w:rStyle w:val="normaltextrun"/>
              </w:rPr>
              <w:t>to soft tissue or a joint</w:t>
            </w:r>
            <w:r w:rsidR="00707B4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73340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is</w:t>
            </w:r>
            <w:r w:rsidR="00A003D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707B40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commissioned</w:t>
            </w:r>
            <w:r w:rsidR="00A003D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if </w:t>
            </w:r>
            <w:r>
              <w:rPr>
                <w:rStyle w:val="normaltextrun"/>
              </w:rPr>
              <w:t>there is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:</w:t>
            </w:r>
            <w:r w:rsidRPr="0041458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  <w:p w14:paraId="1E48C74D" w14:textId="0EA31A5B" w:rsidR="00414584" w:rsidRPr="00414584" w:rsidRDefault="00414584" w:rsidP="00162C14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before="240" w:after="360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414584">
              <w:rPr>
                <w:rFonts w:ascii="Calibri" w:hAnsi="Calibri" w:cs="Calibri"/>
                <w:color w:val="000000"/>
                <w:shd w:val="clear" w:color="auto" w:fill="FFFFFF"/>
              </w:rPr>
              <w:t>History of severe trauma which would derange the normal architecture of the joint</w:t>
            </w:r>
            <w:r w:rsidR="00162C1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OR</w:t>
            </w:r>
          </w:p>
          <w:p w14:paraId="0B5C23AA" w14:textId="42C92D95" w:rsidR="00414584" w:rsidRPr="00162C14" w:rsidRDefault="00414584" w:rsidP="00162C14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360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414584">
              <w:rPr>
                <w:rFonts w:ascii="Calibri" w:hAnsi="Calibri" w:cs="Calibri"/>
                <w:color w:val="000000"/>
                <w:shd w:val="clear" w:color="auto" w:fill="FFFFFF"/>
              </w:rPr>
              <w:t>Failure to identify landmarks due to obesity or another disease process</w:t>
            </w:r>
            <w:r w:rsidR="00162C1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OR</w:t>
            </w:r>
          </w:p>
          <w:p w14:paraId="68D0D612" w14:textId="41DB6356" w:rsidR="00414584" w:rsidRPr="00414584" w:rsidRDefault="00414584" w:rsidP="00414584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360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414584">
              <w:rPr>
                <w:rFonts w:ascii="Calibri" w:hAnsi="Calibri" w:cs="Calibri"/>
                <w:color w:val="000000"/>
                <w:shd w:val="clear" w:color="auto" w:fill="FFFFFF"/>
              </w:rPr>
              <w:t>No symptomatic relief after two landmark guided injections</w:t>
            </w:r>
            <w:r w:rsidR="00162C1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OR</w:t>
            </w:r>
          </w:p>
          <w:p w14:paraId="2EB15BEA" w14:textId="512B2BA7" w:rsidR="00414584" w:rsidRPr="00414584" w:rsidRDefault="00414584" w:rsidP="00414584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414584">
              <w:rPr>
                <w:rFonts w:ascii="Calibri" w:hAnsi="Calibri" w:cs="Calibri"/>
                <w:color w:val="000000"/>
                <w:shd w:val="clear" w:color="auto" w:fill="FFFFFF"/>
              </w:rPr>
              <w:t>Significant adverse effects associated with a landmark guided injection, such as severe procedural pain</w:t>
            </w:r>
          </w:p>
          <w:p w14:paraId="651FDEA5" w14:textId="77777777" w:rsidR="00414584" w:rsidRPr="00414584" w:rsidRDefault="00414584" w:rsidP="00414584">
            <w:pPr>
              <w:shd w:val="clear" w:color="auto" w:fill="FFFFFF" w:themeFill="background1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41458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AND </w:t>
            </w:r>
          </w:p>
          <w:p w14:paraId="026B7545" w14:textId="77777777" w:rsidR="00162C14" w:rsidRDefault="00414584" w:rsidP="00162C14">
            <w:pPr>
              <w:shd w:val="clear" w:color="auto" w:fill="FFFFFF" w:themeFill="background1"/>
              <w:spacing w:before="240" w:after="360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41458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No response </w:t>
            </w:r>
            <w:r w:rsidR="00162C14" w:rsidRPr="0041458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to conservative treatment </w:t>
            </w:r>
            <w:r w:rsidRPr="0041458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over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at least</w:t>
            </w:r>
            <w:r w:rsidRPr="0041458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162C14">
              <w:rPr>
                <w:rFonts w:ascii="Calibri" w:hAnsi="Calibri" w:cs="Calibri"/>
                <w:color w:val="000000"/>
                <w:shd w:val="clear" w:color="auto" w:fill="FFFFFF"/>
              </w:rPr>
              <w:t>three</w:t>
            </w:r>
            <w:r w:rsidRPr="0041458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months.</w:t>
            </w:r>
          </w:p>
          <w:p w14:paraId="74E109C6" w14:textId="77777777" w:rsidR="00162C14" w:rsidRDefault="00162C14" w:rsidP="00527869">
            <w:pPr>
              <w:shd w:val="clear" w:color="auto" w:fill="FFFFFF" w:themeFill="background1"/>
              <w:spacing w:before="240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USGI for aspiration of a joint is commissioned if there is:</w:t>
            </w:r>
          </w:p>
          <w:p w14:paraId="31AD2DD4" w14:textId="77777777" w:rsidR="00162C14" w:rsidRPr="00414584" w:rsidRDefault="00162C14" w:rsidP="00162C14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before="240" w:after="360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414584">
              <w:rPr>
                <w:rFonts w:ascii="Calibri" w:hAnsi="Calibri" w:cs="Calibri"/>
                <w:color w:val="000000"/>
                <w:shd w:val="clear" w:color="auto" w:fill="FFFFFF"/>
              </w:rPr>
              <w:t>History of severe trauma which would derange the normal architecture of the joint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OR</w:t>
            </w:r>
          </w:p>
          <w:p w14:paraId="5BC3F8E7" w14:textId="77777777" w:rsidR="00162C14" w:rsidRPr="00162C14" w:rsidRDefault="00162C14" w:rsidP="00162C14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360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414584">
              <w:rPr>
                <w:rFonts w:ascii="Calibri" w:hAnsi="Calibri" w:cs="Calibri"/>
                <w:color w:val="000000"/>
                <w:shd w:val="clear" w:color="auto" w:fill="FFFFFF"/>
              </w:rPr>
              <w:t>Failure to identify landmarks due to obesity or another disease process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OR</w:t>
            </w:r>
          </w:p>
          <w:p w14:paraId="08309C6C" w14:textId="63A9A670" w:rsidR="00162C14" w:rsidRPr="00414584" w:rsidRDefault="00162C14" w:rsidP="00162C14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360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Failure to successfully aspirate</w:t>
            </w:r>
            <w:r w:rsidRPr="0041458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after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a</w:t>
            </w:r>
            <w:r w:rsidRPr="0041458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landmark guided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attempt OR</w:t>
            </w:r>
          </w:p>
          <w:p w14:paraId="53855746" w14:textId="1D815413" w:rsidR="00162C14" w:rsidRPr="00162C14" w:rsidRDefault="00162C14" w:rsidP="00162C14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Abandonment of </w:t>
            </w:r>
            <w:r w:rsidRPr="0041458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a landmark guided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attempt</w:t>
            </w:r>
            <w:r w:rsidRPr="0041458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due to significant adverse effects, </w:t>
            </w:r>
            <w:r w:rsidRPr="00414584">
              <w:rPr>
                <w:rFonts w:ascii="Calibri" w:hAnsi="Calibri" w:cs="Calibri"/>
                <w:color w:val="000000"/>
                <w:shd w:val="clear" w:color="auto" w:fill="FFFFFF"/>
              </w:rPr>
              <w:t>such as severe procedural pain</w:t>
            </w:r>
            <w:r w:rsidR="00527869">
              <w:rPr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</w:tc>
      </w:tr>
      <w:tr w:rsidR="000F51A1" w14:paraId="79787E02" w14:textId="77777777" w:rsidTr="43B06E93">
        <w:tc>
          <w:tcPr>
            <w:tcW w:w="2055" w:type="dxa"/>
          </w:tcPr>
          <w:p w14:paraId="5E604744" w14:textId="180E2DAF" w:rsidR="000F51A1" w:rsidRDefault="000F51A1">
            <w:r>
              <w:t>Evidence/Summar</w:t>
            </w:r>
            <w:r w:rsidR="14F88419">
              <w:t>y</w:t>
            </w:r>
            <w:r>
              <w:t xml:space="preserve"> of Rationale</w:t>
            </w:r>
          </w:p>
          <w:p w14:paraId="1473DFFC" w14:textId="763189AF" w:rsidR="000F51A1" w:rsidRDefault="000F51A1"/>
        </w:tc>
        <w:tc>
          <w:tcPr>
            <w:tcW w:w="6961" w:type="dxa"/>
          </w:tcPr>
          <w:p w14:paraId="6493B434" w14:textId="31BDFAAF" w:rsidR="00527869" w:rsidRDefault="00527869" w:rsidP="00221422">
            <w:pPr>
              <w:shd w:val="clear" w:color="auto" w:fill="FFFFFF" w:themeFill="background1"/>
              <w:spacing w:after="360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527869">
              <w:rPr>
                <w:rFonts w:ascii="Calibri" w:hAnsi="Calibri" w:cs="Calibri"/>
                <w:color w:val="000000"/>
                <w:shd w:val="clear" w:color="auto" w:fill="FFFFFF"/>
              </w:rPr>
              <w:t>Corticosteroid injections are commonly used for patients with ongoing joint pain. It is a recognised step according to NICE guidance on the pain management pathway for several conditions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  <w:p w14:paraId="2CC33A4F" w14:textId="6F3A72BC" w:rsidR="00527869" w:rsidRDefault="00527869" w:rsidP="00221422">
            <w:pPr>
              <w:shd w:val="clear" w:color="auto" w:fill="FFFFFF" w:themeFill="background1"/>
              <w:spacing w:after="360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Aspiration of joints is commonly undertaken for symptomatic or diagnostic reasons.</w:t>
            </w:r>
          </w:p>
          <w:p w14:paraId="3C64936D" w14:textId="1E965F14" w:rsidR="00527869" w:rsidRPr="00221422" w:rsidRDefault="00414584" w:rsidP="00530443">
            <w:pPr>
              <w:shd w:val="clear" w:color="auto" w:fill="FFFFFF" w:themeFill="background1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There is </w:t>
            </w:r>
            <w:r w:rsidRPr="0041458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high quality evidence that USGI are more accurate than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landmark guided </w:t>
            </w:r>
            <w:r w:rsidRPr="0041458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injections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but</w:t>
            </w:r>
            <w:r w:rsidRPr="0041458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inconclusive</w:t>
            </w:r>
            <w:r w:rsidRPr="0041458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evidence that USGI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are more clinically effective than landmark guided injections.</w:t>
            </w:r>
            <w:r w:rsidR="00527869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USGI</w:t>
            </w:r>
            <w:r w:rsidR="00527869" w:rsidRPr="00527869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are more expensive than landmark guided injections and therefore should be reserved for cases</w:t>
            </w:r>
            <w:r w:rsidR="00527869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where there is a technical challenge to performing landmark guided injection</w:t>
            </w:r>
            <w:r w:rsidR="00527869" w:rsidRPr="00527869"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or those which do not initially respond well to landmark guided </w:t>
            </w:r>
            <w:r w:rsidR="00527869">
              <w:rPr>
                <w:rFonts w:ascii="Calibri" w:hAnsi="Calibri" w:cs="Calibri"/>
                <w:color w:val="000000"/>
                <w:shd w:val="clear" w:color="auto" w:fill="FFFFFF"/>
              </w:rPr>
              <w:t>injection</w:t>
            </w:r>
            <w:r w:rsidR="00527869" w:rsidRPr="00527869">
              <w:rPr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</w:tc>
      </w:tr>
      <w:tr w:rsidR="00B97DAB" w14:paraId="45DC12DB" w14:textId="77777777" w:rsidTr="43B06E93">
        <w:tc>
          <w:tcPr>
            <w:tcW w:w="2055" w:type="dxa"/>
          </w:tcPr>
          <w:p w14:paraId="0252210C" w14:textId="2AA54999" w:rsidR="00B97DAB" w:rsidRDefault="005B45A5">
            <w:r>
              <w:t>Clinical Reference Documents</w:t>
            </w:r>
          </w:p>
          <w:p w14:paraId="5A47F1A1" w14:textId="248ADF9B" w:rsidR="005B45A5" w:rsidRDefault="005B45A5"/>
        </w:tc>
        <w:tc>
          <w:tcPr>
            <w:tcW w:w="6961" w:type="dxa"/>
          </w:tcPr>
          <w:p w14:paraId="22BBF38C" w14:textId="77777777" w:rsidR="00C013DA" w:rsidRDefault="00414584" w:rsidP="16D0CE4E">
            <w:pPr>
              <w:spacing w:after="160" w:line="257" w:lineRule="auto"/>
            </w:pPr>
            <w:hyperlink r:id="rId10" w:history="1">
              <w:r>
                <w:rPr>
                  <w:rStyle w:val="Hyperlink"/>
                </w:rPr>
                <w:t>BMUS USGI Guidelines 2023</w:t>
              </w:r>
            </w:hyperlink>
          </w:p>
          <w:p w14:paraId="603608A1" w14:textId="77777777" w:rsidR="00162C14" w:rsidRDefault="00527869" w:rsidP="16D0CE4E">
            <w:pPr>
              <w:spacing w:after="160" w:line="257" w:lineRule="auto"/>
            </w:pPr>
            <w:hyperlink r:id="rId11" w:history="1">
              <w:r>
                <w:rPr>
                  <w:rStyle w:val="Hyperlink"/>
                </w:rPr>
                <w:t>NG226 Osteoarthritis in over 16s: diagnosis and management (NICE)</w:t>
              </w:r>
            </w:hyperlink>
          </w:p>
          <w:p w14:paraId="150D9A10" w14:textId="6590DB54" w:rsidR="00530443" w:rsidRPr="00DD1657" w:rsidRDefault="00530443" w:rsidP="16D0CE4E">
            <w:pPr>
              <w:spacing w:after="160" w:line="257" w:lineRule="auto"/>
            </w:pPr>
            <w:hyperlink r:id="rId12" w:history="1">
              <w:r>
                <w:rPr>
                  <w:rStyle w:val="Hyperlink"/>
                </w:rPr>
                <w:t>EBI Scans for shoulder pain and guided injections for shoulder pain (</w:t>
              </w:r>
              <w:proofErr w:type="spellStart"/>
              <w:r>
                <w:rPr>
                  <w:rStyle w:val="Hyperlink"/>
                </w:rPr>
                <w:t>AoMRC</w:t>
              </w:r>
              <w:proofErr w:type="spellEnd"/>
              <w:r>
                <w:rPr>
                  <w:rStyle w:val="Hyperlink"/>
                </w:rPr>
                <w:t>)</w:t>
              </w:r>
            </w:hyperlink>
          </w:p>
        </w:tc>
      </w:tr>
      <w:tr w:rsidR="00B97DAB" w14:paraId="2F64E887" w14:textId="77777777" w:rsidTr="43B06E93">
        <w:tc>
          <w:tcPr>
            <w:tcW w:w="2055" w:type="dxa"/>
          </w:tcPr>
          <w:p w14:paraId="26CC3A7F" w14:textId="3F59DDFA" w:rsidR="00B97DAB" w:rsidRDefault="00B97DAB">
            <w:r>
              <w:t>Effective from</w:t>
            </w:r>
          </w:p>
        </w:tc>
        <w:tc>
          <w:tcPr>
            <w:tcW w:w="6961" w:type="dxa"/>
          </w:tcPr>
          <w:p w14:paraId="03ECD2F0" w14:textId="38F90AE4" w:rsidR="00B97DAB" w:rsidRDefault="00DD1657" w:rsidP="3F5C98CF">
            <w:pPr>
              <w:spacing w:line="259" w:lineRule="auto"/>
            </w:pPr>
            <w:r>
              <w:t>???</w:t>
            </w:r>
            <w:r w:rsidR="3B32F6E6">
              <w:t xml:space="preserve"> 202</w:t>
            </w:r>
            <w:r w:rsidR="00947954">
              <w:t>5</w:t>
            </w:r>
          </w:p>
        </w:tc>
      </w:tr>
      <w:tr w:rsidR="00B97DAB" w14:paraId="2C1E1213" w14:textId="77777777" w:rsidTr="43B06E93">
        <w:tc>
          <w:tcPr>
            <w:tcW w:w="2055" w:type="dxa"/>
          </w:tcPr>
          <w:p w14:paraId="4D394461" w14:textId="4D85EBE7" w:rsidR="00B97DAB" w:rsidRDefault="00B97DAB">
            <w:r>
              <w:t xml:space="preserve">Policy Review Date </w:t>
            </w:r>
          </w:p>
        </w:tc>
        <w:tc>
          <w:tcPr>
            <w:tcW w:w="6961" w:type="dxa"/>
          </w:tcPr>
          <w:p w14:paraId="29012611" w14:textId="48B94AAF" w:rsidR="00B97DAB" w:rsidRDefault="00DD1657">
            <w:r>
              <w:t>???</w:t>
            </w:r>
            <w:r w:rsidR="52AD6533">
              <w:t xml:space="preserve"> 202</w:t>
            </w:r>
            <w:r w:rsidR="00947954">
              <w:t>8</w:t>
            </w:r>
          </w:p>
        </w:tc>
      </w:tr>
    </w:tbl>
    <w:p w14:paraId="5C5F0394" w14:textId="199FB939" w:rsidR="007A1D76" w:rsidRPr="008F1981" w:rsidRDefault="007A1D76" w:rsidP="008F1981">
      <w:pPr>
        <w:rPr>
          <w:lang w:val="en-US"/>
        </w:rPr>
      </w:pPr>
    </w:p>
    <w:p w14:paraId="18EDB3DD" w14:textId="77777777" w:rsidR="000E104F" w:rsidRDefault="000E104F"/>
    <w:sectPr w:rsidR="000E104F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6C670" w14:textId="77777777" w:rsidR="00012254" w:rsidRDefault="00012254" w:rsidP="00CE51EC">
      <w:pPr>
        <w:spacing w:after="0" w:line="240" w:lineRule="auto"/>
      </w:pPr>
      <w:r>
        <w:separator/>
      </w:r>
    </w:p>
  </w:endnote>
  <w:endnote w:type="continuationSeparator" w:id="0">
    <w:p w14:paraId="01823DC1" w14:textId="77777777" w:rsidR="00012254" w:rsidRDefault="00012254" w:rsidP="00CE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9F913" w14:textId="77777777" w:rsidR="00012254" w:rsidRDefault="00012254" w:rsidP="00CE51EC">
      <w:pPr>
        <w:spacing w:after="0" w:line="240" w:lineRule="auto"/>
      </w:pPr>
      <w:r>
        <w:separator/>
      </w:r>
    </w:p>
  </w:footnote>
  <w:footnote w:type="continuationSeparator" w:id="0">
    <w:p w14:paraId="3F693A7F" w14:textId="77777777" w:rsidR="00012254" w:rsidRDefault="00012254" w:rsidP="00CE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23907" w14:textId="42F18973" w:rsidR="00CE51EC" w:rsidRDefault="00CE51E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32E435" wp14:editId="49B29952">
          <wp:simplePos x="0" y="0"/>
          <wp:positionH relativeFrom="column">
            <wp:posOffset>5124893</wp:posOffset>
          </wp:positionH>
          <wp:positionV relativeFrom="paragraph">
            <wp:posOffset>-385312</wp:posOffset>
          </wp:positionV>
          <wp:extent cx="1411258" cy="754912"/>
          <wp:effectExtent l="0" t="0" r="0" b="7620"/>
          <wp:wrapNone/>
          <wp:docPr id="499385552" name="Picture 4" descr="A black background with white text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385552" name="Picture 4" descr="A black background with white text and blu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258" cy="7549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933521F" wp14:editId="74B52FA3">
          <wp:simplePos x="0" y="0"/>
          <wp:positionH relativeFrom="column">
            <wp:posOffset>-776177</wp:posOffset>
          </wp:positionH>
          <wp:positionV relativeFrom="paragraph">
            <wp:posOffset>-310885</wp:posOffset>
          </wp:positionV>
          <wp:extent cx="2908300" cy="554990"/>
          <wp:effectExtent l="0" t="0" r="6350" b="0"/>
          <wp:wrapNone/>
          <wp:docPr id="94675721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75721" name="Picture 3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5E5FB3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3C1D83"/>
    <w:multiLevelType w:val="hybridMultilevel"/>
    <w:tmpl w:val="C60C3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1938"/>
    <w:multiLevelType w:val="hybridMultilevel"/>
    <w:tmpl w:val="63EA7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35450"/>
    <w:multiLevelType w:val="hybridMultilevel"/>
    <w:tmpl w:val="75105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405EC"/>
    <w:multiLevelType w:val="hybridMultilevel"/>
    <w:tmpl w:val="B0E48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A0002"/>
    <w:multiLevelType w:val="hybridMultilevel"/>
    <w:tmpl w:val="C388ADCE"/>
    <w:lvl w:ilvl="0" w:tplc="5A1EC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B02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09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01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86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DCD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65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2C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2E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6015D"/>
    <w:multiLevelType w:val="hybridMultilevel"/>
    <w:tmpl w:val="F7840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4E792"/>
    <w:multiLevelType w:val="hybridMultilevel"/>
    <w:tmpl w:val="3AAC4448"/>
    <w:lvl w:ilvl="0" w:tplc="E0AEF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96E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0E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47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49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7C2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A0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AE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2EB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201F5"/>
    <w:multiLevelType w:val="hybridMultilevel"/>
    <w:tmpl w:val="2EA82C80"/>
    <w:lvl w:ilvl="0" w:tplc="32D4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702470">
    <w:abstractNumId w:val="5"/>
  </w:num>
  <w:num w:numId="2" w16cid:durableId="436873448">
    <w:abstractNumId w:val="7"/>
  </w:num>
  <w:num w:numId="3" w16cid:durableId="1872303278">
    <w:abstractNumId w:val="8"/>
  </w:num>
  <w:num w:numId="4" w16cid:durableId="1214466223">
    <w:abstractNumId w:val="2"/>
  </w:num>
  <w:num w:numId="5" w16cid:durableId="1211645692">
    <w:abstractNumId w:val="4"/>
  </w:num>
  <w:num w:numId="6" w16cid:durableId="199369076">
    <w:abstractNumId w:val="3"/>
  </w:num>
  <w:num w:numId="7" w16cid:durableId="1725832306">
    <w:abstractNumId w:val="1"/>
  </w:num>
  <w:num w:numId="8" w16cid:durableId="478151067">
    <w:abstractNumId w:val="0"/>
  </w:num>
  <w:num w:numId="9" w16cid:durableId="1004358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AB"/>
    <w:rsid w:val="00012254"/>
    <w:rsid w:val="0006635B"/>
    <w:rsid w:val="00074F11"/>
    <w:rsid w:val="000C6C6D"/>
    <w:rsid w:val="000E104F"/>
    <w:rsid w:val="000E22C5"/>
    <w:rsid w:val="000F51A1"/>
    <w:rsid w:val="00157034"/>
    <w:rsid w:val="00162C14"/>
    <w:rsid w:val="001E314F"/>
    <w:rsid w:val="001F029C"/>
    <w:rsid w:val="00207BCF"/>
    <w:rsid w:val="00221422"/>
    <w:rsid w:val="00312662"/>
    <w:rsid w:val="0039492D"/>
    <w:rsid w:val="003B0A18"/>
    <w:rsid w:val="00414584"/>
    <w:rsid w:val="00483E22"/>
    <w:rsid w:val="004A6B33"/>
    <w:rsid w:val="004A77F5"/>
    <w:rsid w:val="004C292B"/>
    <w:rsid w:val="00527869"/>
    <w:rsid w:val="00530443"/>
    <w:rsid w:val="0054417D"/>
    <w:rsid w:val="005A0BB0"/>
    <w:rsid w:val="005B45A5"/>
    <w:rsid w:val="005B531A"/>
    <w:rsid w:val="005C1302"/>
    <w:rsid w:val="005D2645"/>
    <w:rsid w:val="0062278C"/>
    <w:rsid w:val="00632491"/>
    <w:rsid w:val="00676520"/>
    <w:rsid w:val="00696DB8"/>
    <w:rsid w:val="006A7496"/>
    <w:rsid w:val="006C425E"/>
    <w:rsid w:val="00707B40"/>
    <w:rsid w:val="00733409"/>
    <w:rsid w:val="00740BFB"/>
    <w:rsid w:val="00751687"/>
    <w:rsid w:val="007A1D76"/>
    <w:rsid w:val="007B3237"/>
    <w:rsid w:val="007E4931"/>
    <w:rsid w:val="007F20F3"/>
    <w:rsid w:val="008554D1"/>
    <w:rsid w:val="00860DCA"/>
    <w:rsid w:val="008618E2"/>
    <w:rsid w:val="008F1981"/>
    <w:rsid w:val="00946B0C"/>
    <w:rsid w:val="00947954"/>
    <w:rsid w:val="00961228"/>
    <w:rsid w:val="00961920"/>
    <w:rsid w:val="009907D4"/>
    <w:rsid w:val="00996D10"/>
    <w:rsid w:val="00997A41"/>
    <w:rsid w:val="009C4B93"/>
    <w:rsid w:val="009D318D"/>
    <w:rsid w:val="009F394A"/>
    <w:rsid w:val="00A003D6"/>
    <w:rsid w:val="00A648E4"/>
    <w:rsid w:val="00B02411"/>
    <w:rsid w:val="00B060F1"/>
    <w:rsid w:val="00B8009E"/>
    <w:rsid w:val="00B97DAB"/>
    <w:rsid w:val="00BC4BBB"/>
    <w:rsid w:val="00C013DA"/>
    <w:rsid w:val="00C178BD"/>
    <w:rsid w:val="00CA2C43"/>
    <w:rsid w:val="00CE51EC"/>
    <w:rsid w:val="00D13734"/>
    <w:rsid w:val="00D9004B"/>
    <w:rsid w:val="00DA1333"/>
    <w:rsid w:val="00DA3D14"/>
    <w:rsid w:val="00DD1657"/>
    <w:rsid w:val="00DD4A29"/>
    <w:rsid w:val="00E43E94"/>
    <w:rsid w:val="00EA1FF2"/>
    <w:rsid w:val="00EB6D5D"/>
    <w:rsid w:val="00EE1C30"/>
    <w:rsid w:val="00F045AB"/>
    <w:rsid w:val="00F54857"/>
    <w:rsid w:val="00F55D3F"/>
    <w:rsid w:val="00F6438E"/>
    <w:rsid w:val="00F84A15"/>
    <w:rsid w:val="00FA7031"/>
    <w:rsid w:val="01D350F5"/>
    <w:rsid w:val="02FA7B5F"/>
    <w:rsid w:val="0379D3FB"/>
    <w:rsid w:val="03C51DA7"/>
    <w:rsid w:val="04026941"/>
    <w:rsid w:val="04EDD1E7"/>
    <w:rsid w:val="052C8E0B"/>
    <w:rsid w:val="0592779E"/>
    <w:rsid w:val="06D95F56"/>
    <w:rsid w:val="06FD56ED"/>
    <w:rsid w:val="0778818D"/>
    <w:rsid w:val="07C648EF"/>
    <w:rsid w:val="0890C69D"/>
    <w:rsid w:val="08BF516D"/>
    <w:rsid w:val="08C4A986"/>
    <w:rsid w:val="09205963"/>
    <w:rsid w:val="0E6401A8"/>
    <w:rsid w:val="0EE87D71"/>
    <w:rsid w:val="1119C930"/>
    <w:rsid w:val="11D5385A"/>
    <w:rsid w:val="11DFCAF8"/>
    <w:rsid w:val="11E87CA9"/>
    <w:rsid w:val="12FE97EA"/>
    <w:rsid w:val="13277966"/>
    <w:rsid w:val="13AE34F2"/>
    <w:rsid w:val="14F88419"/>
    <w:rsid w:val="153C0971"/>
    <w:rsid w:val="16D0CE4E"/>
    <w:rsid w:val="172E811E"/>
    <w:rsid w:val="18077233"/>
    <w:rsid w:val="18D1E391"/>
    <w:rsid w:val="18DB8CDB"/>
    <w:rsid w:val="196BB281"/>
    <w:rsid w:val="1AC2BD90"/>
    <w:rsid w:val="1AFD0538"/>
    <w:rsid w:val="1B0B3B02"/>
    <w:rsid w:val="1B2CDA29"/>
    <w:rsid w:val="1C40A460"/>
    <w:rsid w:val="1CBF692E"/>
    <w:rsid w:val="1D8F4A03"/>
    <w:rsid w:val="1DA14CCD"/>
    <w:rsid w:val="1DF5008F"/>
    <w:rsid w:val="1E4A5376"/>
    <w:rsid w:val="1F42DFFB"/>
    <w:rsid w:val="1F480AB2"/>
    <w:rsid w:val="204A66B7"/>
    <w:rsid w:val="20EC5062"/>
    <w:rsid w:val="213E10EB"/>
    <w:rsid w:val="21C81598"/>
    <w:rsid w:val="2355B321"/>
    <w:rsid w:val="23F1029A"/>
    <w:rsid w:val="248C79F9"/>
    <w:rsid w:val="279E1F1C"/>
    <w:rsid w:val="28EC6886"/>
    <w:rsid w:val="29A17278"/>
    <w:rsid w:val="2BC55496"/>
    <w:rsid w:val="2C207653"/>
    <w:rsid w:val="2C3BFB2A"/>
    <w:rsid w:val="2C4516A4"/>
    <w:rsid w:val="2D4CC2B2"/>
    <w:rsid w:val="2D4F949C"/>
    <w:rsid w:val="2E1BF35F"/>
    <w:rsid w:val="2EBFC473"/>
    <w:rsid w:val="2FF44F23"/>
    <w:rsid w:val="30A20C76"/>
    <w:rsid w:val="32D60584"/>
    <w:rsid w:val="32EEA28B"/>
    <w:rsid w:val="35DFCFF0"/>
    <w:rsid w:val="35FBC1E3"/>
    <w:rsid w:val="36772E68"/>
    <w:rsid w:val="37408D3C"/>
    <w:rsid w:val="392BACF5"/>
    <w:rsid w:val="3B32F6E6"/>
    <w:rsid w:val="3DE3485F"/>
    <w:rsid w:val="3F5C98CF"/>
    <w:rsid w:val="40572975"/>
    <w:rsid w:val="40AA2275"/>
    <w:rsid w:val="4149DC80"/>
    <w:rsid w:val="42427552"/>
    <w:rsid w:val="4314F4F0"/>
    <w:rsid w:val="434A7C2A"/>
    <w:rsid w:val="435A103A"/>
    <w:rsid w:val="435DF59F"/>
    <w:rsid w:val="43B06E93"/>
    <w:rsid w:val="43C8EFD8"/>
    <w:rsid w:val="4552BAB2"/>
    <w:rsid w:val="461ADA13"/>
    <w:rsid w:val="465E0A3D"/>
    <w:rsid w:val="47169C8E"/>
    <w:rsid w:val="48C9BAA6"/>
    <w:rsid w:val="48F9048D"/>
    <w:rsid w:val="49239A15"/>
    <w:rsid w:val="49B999BC"/>
    <w:rsid w:val="4C4B0EC4"/>
    <w:rsid w:val="4C5A2914"/>
    <w:rsid w:val="4C5D46BF"/>
    <w:rsid w:val="4C682818"/>
    <w:rsid w:val="52849377"/>
    <w:rsid w:val="52AD6533"/>
    <w:rsid w:val="52F186E7"/>
    <w:rsid w:val="54C1337E"/>
    <w:rsid w:val="55142223"/>
    <w:rsid w:val="553EF307"/>
    <w:rsid w:val="55BEAAC9"/>
    <w:rsid w:val="5627586D"/>
    <w:rsid w:val="562795BE"/>
    <w:rsid w:val="562CDC04"/>
    <w:rsid w:val="56405FC7"/>
    <w:rsid w:val="56D1B2B1"/>
    <w:rsid w:val="58FBD39D"/>
    <w:rsid w:val="5912B183"/>
    <w:rsid w:val="5925C715"/>
    <w:rsid w:val="592ED407"/>
    <w:rsid w:val="5A3D34A5"/>
    <w:rsid w:val="5B1C6396"/>
    <w:rsid w:val="5C26DC70"/>
    <w:rsid w:val="5C4A670C"/>
    <w:rsid w:val="5C7A684C"/>
    <w:rsid w:val="5EC3BFD3"/>
    <w:rsid w:val="5FCCA4E3"/>
    <w:rsid w:val="60630888"/>
    <w:rsid w:val="63427E4A"/>
    <w:rsid w:val="646F30AD"/>
    <w:rsid w:val="64A4ACAC"/>
    <w:rsid w:val="655C81AE"/>
    <w:rsid w:val="6607695B"/>
    <w:rsid w:val="670A658F"/>
    <w:rsid w:val="6717D900"/>
    <w:rsid w:val="67A39EC9"/>
    <w:rsid w:val="68CCB06F"/>
    <w:rsid w:val="68E761D9"/>
    <w:rsid w:val="690E8582"/>
    <w:rsid w:val="69F0DBCC"/>
    <w:rsid w:val="6BDCADA3"/>
    <w:rsid w:val="6D464DBD"/>
    <w:rsid w:val="6D9702E5"/>
    <w:rsid w:val="6DB5330A"/>
    <w:rsid w:val="6E089404"/>
    <w:rsid w:val="6E9AB8EF"/>
    <w:rsid w:val="6F14BFFA"/>
    <w:rsid w:val="70437A63"/>
    <w:rsid w:val="70750BBC"/>
    <w:rsid w:val="719884DF"/>
    <w:rsid w:val="71C055FE"/>
    <w:rsid w:val="7230657A"/>
    <w:rsid w:val="75C36E41"/>
    <w:rsid w:val="7721B6FD"/>
    <w:rsid w:val="788D385E"/>
    <w:rsid w:val="78B819EF"/>
    <w:rsid w:val="79B7F04A"/>
    <w:rsid w:val="79B7F35D"/>
    <w:rsid w:val="7B17E934"/>
    <w:rsid w:val="7B25FCEB"/>
    <w:rsid w:val="7B2B1F60"/>
    <w:rsid w:val="7B853EEE"/>
    <w:rsid w:val="7F87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799D"/>
  <w15:chartTrackingRefBased/>
  <w15:docId w15:val="{B2484E64-2E5F-4A91-853F-0FEBFFCA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D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D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1D7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5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1EC"/>
  </w:style>
  <w:style w:type="paragraph" w:styleId="Footer">
    <w:name w:val="footer"/>
    <w:basedOn w:val="Normal"/>
    <w:link w:val="FooterChar"/>
    <w:uiPriority w:val="99"/>
    <w:unhideWhenUsed/>
    <w:rsid w:val="00CE5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1EC"/>
  </w:style>
  <w:style w:type="character" w:customStyle="1" w:styleId="normaltextrun">
    <w:name w:val="normaltextrun"/>
    <w:basedOn w:val="DefaultParagraphFont"/>
    <w:rsid w:val="00707B40"/>
  </w:style>
  <w:style w:type="character" w:styleId="UnresolvedMention">
    <w:name w:val="Unresolved Mention"/>
    <w:basedOn w:val="DefaultParagraphFont"/>
    <w:uiPriority w:val="99"/>
    <w:semiHidden/>
    <w:unhideWhenUsed/>
    <w:rsid w:val="00DD1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bi.aomrc.org.uk/interventions/scans-for-shoulder-pain-and-guided-injections-for-shoulder-pai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ce.org.uk/guidance/ng226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mus.org/media/resources/files/BMUS_USGI_Guidelines_2023_FINAL_he-edi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4" ma:contentTypeDescription="Create a new document." ma:contentTypeScope="" ma:versionID="1c80c22be313f6cedacd09506805b8e1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4c108e74b334b212211c669f96a83a18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6a82410-35a1-48d9-a432-e298e5b95e46">
      <Terms xmlns="http://schemas.microsoft.com/office/infopath/2007/PartnerControls"/>
    </lcf76f155ced4ddcb4097134ff3c332f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TaxCatchAll xmlns="1365388d-8e0b-4df5-a0a3-cd102b49988e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Props1.xml><?xml version="1.0" encoding="utf-8"?>
<ds:datastoreItem xmlns:ds="http://schemas.openxmlformats.org/officeDocument/2006/customXml" ds:itemID="{5861830C-759F-45BB-B788-C4D1C059C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65388d-8e0b-4df5-a0a3-cd102b49988e"/>
    <ds:schemaRef ds:uri="f6a82410-35a1-48d9-a432-e298e5b95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263A37-511E-41B7-9196-2A3EBB721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C66B9-5893-49C7-85EA-09F8F2846A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a82410-35a1-48d9-a432-e298e5b95e46"/>
    <ds:schemaRef ds:uri="1365388d-8e0b-4df5-a0a3-cd102b49988e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Company>NHS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Lee</dc:creator>
  <cp:keywords/>
  <dc:description/>
  <cp:lastModifiedBy>BLACK, Rebecca (NHS HUMBER AND NORTH YORKSHIRE ICB - 02Y)</cp:lastModifiedBy>
  <cp:revision>3</cp:revision>
  <dcterms:created xsi:type="dcterms:W3CDTF">2025-04-17T10:23:00Z</dcterms:created>
  <dcterms:modified xsi:type="dcterms:W3CDTF">2025-05-01T10:09:00Z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  <property fmtid="{D5CDD505-2E9C-101B-9397-08002B2CF9AE}" pid="3" name="MediaServiceImageTags">
    <vt:lpwstr/>
  </property>
</Properties>
</file>