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B97DAB" w14:paraId="3F32C22B" w14:textId="77777777" w:rsidTr="39FEE332">
        <w:tc>
          <w:tcPr>
            <w:tcW w:w="2405" w:type="dxa"/>
          </w:tcPr>
          <w:p w14:paraId="2137C5A4" w14:textId="11B48F23" w:rsidR="00B97DAB" w:rsidRDefault="00B97DAB">
            <w:r>
              <w:t xml:space="preserve">Intervention </w:t>
            </w:r>
          </w:p>
        </w:tc>
        <w:tc>
          <w:tcPr>
            <w:tcW w:w="6611" w:type="dxa"/>
          </w:tcPr>
          <w:p w14:paraId="73A5EAEF" w14:textId="6E1BE0CB" w:rsidR="00B97DAB" w:rsidRPr="00ED5143" w:rsidRDefault="00321167" w:rsidP="11F3E19C">
            <w:pPr>
              <w:rPr>
                <w:b/>
                <w:bCs/>
                <w:lang w:val="en-US"/>
              </w:rPr>
            </w:pPr>
            <w:r w:rsidRPr="11F3E19C">
              <w:rPr>
                <w:b/>
                <w:bCs/>
                <w:lang w:val="en-US"/>
              </w:rPr>
              <w:t>143. Trigger Point Injections</w:t>
            </w:r>
          </w:p>
        </w:tc>
      </w:tr>
      <w:tr w:rsidR="00B97DAB" w14:paraId="004828E6" w14:textId="77777777" w:rsidTr="39FEE332">
        <w:tc>
          <w:tcPr>
            <w:tcW w:w="2405" w:type="dxa"/>
          </w:tcPr>
          <w:p w14:paraId="194FC277" w14:textId="469D4455" w:rsidR="00B97DAB" w:rsidRDefault="00B97DAB">
            <w:r>
              <w:t xml:space="preserve">For the treatment of </w:t>
            </w:r>
          </w:p>
        </w:tc>
        <w:tc>
          <w:tcPr>
            <w:tcW w:w="6611" w:type="dxa"/>
          </w:tcPr>
          <w:p w14:paraId="23E416B7" w14:textId="4EC06EC7" w:rsidR="00656075" w:rsidRDefault="484AF79B" w:rsidP="0EBCFA57">
            <w:pPr>
              <w:rPr>
                <w:rFonts w:ascii="Calibri" w:eastAsia="Calibri" w:hAnsi="Calibri" w:cs="Calibri"/>
              </w:rPr>
            </w:pPr>
            <w:r w:rsidRPr="0EBCFA57">
              <w:rPr>
                <w:rFonts w:ascii="Calibri" w:eastAsia="Calibri" w:hAnsi="Calibri" w:cs="Calibri"/>
              </w:rPr>
              <w:t>Chronic pain</w:t>
            </w:r>
          </w:p>
        </w:tc>
      </w:tr>
      <w:tr w:rsidR="00113D9B" w14:paraId="3D720573" w14:textId="77777777" w:rsidTr="39FEE332">
        <w:trPr>
          <w:trHeight w:val="1740"/>
        </w:trPr>
        <w:tc>
          <w:tcPr>
            <w:tcW w:w="2405" w:type="dxa"/>
          </w:tcPr>
          <w:p w14:paraId="6B55BECB" w14:textId="291589DB" w:rsidR="00113D9B" w:rsidRDefault="00113D9B" w:rsidP="00113D9B">
            <w:r>
              <w:t xml:space="preserve">Commissioning Position </w:t>
            </w:r>
          </w:p>
        </w:tc>
        <w:tc>
          <w:tcPr>
            <w:tcW w:w="6611" w:type="dxa"/>
          </w:tcPr>
          <w:p w14:paraId="53855746" w14:textId="1168EE6E" w:rsidR="003E5749" w:rsidRPr="006E5861" w:rsidRDefault="3D5464AE" w:rsidP="006E5861">
            <w:pPr>
              <w:textAlignment w:val="baseline"/>
              <w:rPr>
                <w:rFonts w:eastAsiaTheme="minorEastAsia"/>
              </w:rPr>
            </w:pPr>
            <w:r w:rsidRPr="11F3E19C">
              <w:rPr>
                <w:rFonts w:eastAsiaTheme="minorEastAsia"/>
                <w:color w:val="000000" w:themeColor="text1"/>
              </w:rPr>
              <w:t xml:space="preserve">This intervention is not routinely commissioned and therefore should not be </w:t>
            </w:r>
            <w:r w:rsidR="006E5861">
              <w:rPr>
                <w:rFonts w:eastAsiaTheme="minorEastAsia"/>
                <w:color w:val="000000" w:themeColor="text1"/>
              </w:rPr>
              <w:t xml:space="preserve">routinely </w:t>
            </w:r>
            <w:r w:rsidRPr="11F3E19C">
              <w:rPr>
                <w:rFonts w:eastAsiaTheme="minorEastAsia"/>
                <w:color w:val="000000" w:themeColor="text1"/>
              </w:rPr>
              <w:t xml:space="preserve">offered to patients. Application for </w:t>
            </w:r>
            <w:r w:rsidRPr="11F3E19C">
              <w:rPr>
                <w:rFonts w:eastAsiaTheme="minorEastAsia"/>
              </w:rPr>
              <w:t>funding approval can be made, using the IFR process, by the clinician recommending the intervention, if their assessment is that there are exceptional reasons why their patient could benefit from it.</w:t>
            </w:r>
          </w:p>
        </w:tc>
      </w:tr>
      <w:tr w:rsidR="00113D9B" w14:paraId="2EEB5014" w14:textId="77777777" w:rsidTr="39FEE332">
        <w:trPr>
          <w:trHeight w:val="2385"/>
        </w:trPr>
        <w:tc>
          <w:tcPr>
            <w:tcW w:w="2405" w:type="dxa"/>
          </w:tcPr>
          <w:p w14:paraId="31574E9B" w14:textId="509110BD" w:rsidR="00113D9B" w:rsidRDefault="00113D9B" w:rsidP="00113D9B">
            <w:r>
              <w:t>Summary of Rationale</w:t>
            </w:r>
          </w:p>
          <w:p w14:paraId="61460744" w14:textId="7D87783C" w:rsidR="00113D9B" w:rsidRDefault="00113D9B" w:rsidP="00113D9B"/>
        </w:tc>
        <w:tc>
          <w:tcPr>
            <w:tcW w:w="6611" w:type="dxa"/>
          </w:tcPr>
          <w:p w14:paraId="5691B576" w14:textId="044265F5" w:rsidR="00C524B8" w:rsidRPr="002F405C" w:rsidRDefault="006E5861" w:rsidP="006E5861">
            <w:pPr>
              <w:textAlignment w:val="baseline"/>
              <w:rPr>
                <w:rFonts w:eastAsiaTheme="minorEastAsia"/>
                <w:color w:val="000000" w:themeColor="text1"/>
              </w:rPr>
            </w:pPr>
            <w:r>
              <w:rPr>
                <w:rFonts w:eastAsiaTheme="minorEastAsia"/>
                <w:color w:val="000000" w:themeColor="text1"/>
              </w:rPr>
              <w:t xml:space="preserve">Identification of trigger points depends on the subjective </w:t>
            </w:r>
            <w:r w:rsidR="00512157">
              <w:rPr>
                <w:rFonts w:eastAsiaTheme="minorEastAsia"/>
                <w:color w:val="000000" w:themeColor="text1"/>
              </w:rPr>
              <w:t>assessment</w:t>
            </w:r>
            <w:r>
              <w:rPr>
                <w:rFonts w:eastAsiaTheme="minorEastAsia"/>
                <w:color w:val="000000" w:themeColor="text1"/>
              </w:rPr>
              <w:t xml:space="preserve"> of </w:t>
            </w:r>
            <w:r w:rsidR="00512157">
              <w:rPr>
                <w:rFonts w:eastAsiaTheme="minorEastAsia"/>
                <w:color w:val="000000" w:themeColor="text1"/>
              </w:rPr>
              <w:t>a</w:t>
            </w:r>
            <w:r>
              <w:rPr>
                <w:rFonts w:eastAsiaTheme="minorEastAsia"/>
                <w:color w:val="000000" w:themeColor="text1"/>
              </w:rPr>
              <w:t xml:space="preserve"> clinician and there are no objective clinical tests in routine use or any imaging criteria to determine</w:t>
            </w:r>
            <w:r w:rsidR="00512157">
              <w:rPr>
                <w:rFonts w:eastAsiaTheme="minorEastAsia"/>
                <w:color w:val="000000" w:themeColor="text1"/>
              </w:rPr>
              <w:t xml:space="preserve"> the location of</w:t>
            </w:r>
            <w:r>
              <w:rPr>
                <w:rFonts w:eastAsiaTheme="minorEastAsia"/>
                <w:color w:val="000000" w:themeColor="text1"/>
              </w:rPr>
              <w:t xml:space="preserve"> trigger points. </w:t>
            </w:r>
            <w:r w:rsidR="55C0C886" w:rsidRPr="11F3E19C">
              <w:rPr>
                <w:rFonts w:eastAsiaTheme="minorEastAsia"/>
                <w:color w:val="000000" w:themeColor="text1"/>
              </w:rPr>
              <w:t xml:space="preserve">There </w:t>
            </w:r>
            <w:r>
              <w:rPr>
                <w:rFonts w:eastAsiaTheme="minorEastAsia"/>
                <w:color w:val="000000" w:themeColor="text1"/>
              </w:rPr>
              <w:t>is a</w:t>
            </w:r>
            <w:r w:rsidR="55C0C886" w:rsidRPr="11F3E19C">
              <w:rPr>
                <w:rFonts w:eastAsiaTheme="minorEastAsia"/>
                <w:color w:val="000000" w:themeColor="text1"/>
              </w:rPr>
              <w:t xml:space="preserve"> lack of high-quality evidence </w:t>
            </w:r>
            <w:r w:rsidR="00512157">
              <w:rPr>
                <w:rFonts w:eastAsiaTheme="minorEastAsia"/>
                <w:color w:val="000000" w:themeColor="text1"/>
              </w:rPr>
              <w:t xml:space="preserve">of clinical effectiveness </w:t>
            </w:r>
            <w:r w:rsidR="55C0C886" w:rsidRPr="11F3E19C">
              <w:rPr>
                <w:rFonts w:eastAsiaTheme="minorEastAsia"/>
                <w:color w:val="000000" w:themeColor="text1"/>
              </w:rPr>
              <w:t xml:space="preserve">to support the use of trigger point injections with </w:t>
            </w:r>
            <w:r>
              <w:rPr>
                <w:rFonts w:eastAsiaTheme="minorEastAsia"/>
                <w:color w:val="000000" w:themeColor="text1"/>
              </w:rPr>
              <w:t>corticosteroids +/- local anaesthetic</w:t>
            </w:r>
            <w:r w:rsidR="02F938B7" w:rsidRPr="11F3E19C">
              <w:rPr>
                <w:rFonts w:eastAsiaTheme="minorEastAsia"/>
                <w:color w:val="000000" w:themeColor="text1"/>
              </w:rPr>
              <w:t>.</w:t>
            </w:r>
            <w:r>
              <w:rPr>
                <w:rFonts w:eastAsiaTheme="minorEastAsia"/>
                <w:color w:val="000000" w:themeColor="text1"/>
              </w:rPr>
              <w:t xml:space="preserve"> </w:t>
            </w:r>
            <w:r w:rsidR="02F938B7" w:rsidRPr="11F3E19C">
              <w:rPr>
                <w:rFonts w:eastAsiaTheme="minorEastAsia"/>
                <w:color w:val="000000" w:themeColor="text1"/>
              </w:rPr>
              <w:t xml:space="preserve">NICE </w:t>
            </w:r>
            <w:r>
              <w:rPr>
                <w:rFonts w:eastAsiaTheme="minorEastAsia"/>
                <w:color w:val="000000" w:themeColor="text1"/>
              </w:rPr>
              <w:t>guidance (</w:t>
            </w:r>
            <w:r w:rsidR="02F938B7" w:rsidRPr="11F3E19C">
              <w:rPr>
                <w:rFonts w:eastAsiaTheme="minorEastAsia"/>
                <w:color w:val="000000" w:themeColor="text1"/>
              </w:rPr>
              <w:t>NG193</w:t>
            </w:r>
            <w:r>
              <w:rPr>
                <w:rFonts w:eastAsiaTheme="minorEastAsia"/>
                <w:color w:val="000000" w:themeColor="text1"/>
              </w:rPr>
              <w:t>)</w:t>
            </w:r>
            <w:r w:rsidR="02F938B7" w:rsidRPr="11F3E19C">
              <w:rPr>
                <w:rFonts w:eastAsiaTheme="minorEastAsia"/>
                <w:color w:val="000000" w:themeColor="text1"/>
              </w:rPr>
              <w:t xml:space="preserve"> </w:t>
            </w:r>
            <w:r>
              <w:rPr>
                <w:rFonts w:eastAsiaTheme="minorEastAsia"/>
                <w:color w:val="000000" w:themeColor="text1"/>
              </w:rPr>
              <w:t>recommends that these injections are not initiated</w:t>
            </w:r>
            <w:r w:rsidR="02F938B7" w:rsidRPr="11F3E19C">
              <w:rPr>
                <w:rFonts w:eastAsiaTheme="minorEastAsia"/>
                <w:color w:val="000000" w:themeColor="text1"/>
              </w:rPr>
              <w:t>.</w:t>
            </w:r>
          </w:p>
        </w:tc>
      </w:tr>
      <w:tr w:rsidR="00113D9B" w14:paraId="45DC12DB" w14:textId="77777777" w:rsidTr="39FEE332">
        <w:trPr>
          <w:trHeight w:val="1080"/>
        </w:trPr>
        <w:tc>
          <w:tcPr>
            <w:tcW w:w="2405" w:type="dxa"/>
          </w:tcPr>
          <w:p w14:paraId="5A47F1A1" w14:textId="4F582E47" w:rsidR="00113D9B" w:rsidRDefault="00113D9B" w:rsidP="00113D9B">
            <w:r>
              <w:t xml:space="preserve">References </w:t>
            </w:r>
          </w:p>
        </w:tc>
        <w:tc>
          <w:tcPr>
            <w:tcW w:w="6611" w:type="dxa"/>
          </w:tcPr>
          <w:p w14:paraId="150D9A10" w14:textId="45804934" w:rsidR="0071328A" w:rsidRPr="0039492D" w:rsidRDefault="00512157" w:rsidP="00512157">
            <w:pPr>
              <w:spacing w:line="257" w:lineRule="auto"/>
              <w:rPr>
                <w:rFonts w:eastAsiaTheme="minorEastAsia"/>
              </w:rPr>
            </w:pPr>
            <w:hyperlink r:id="rId10" w:history="1">
              <w:r>
                <w:rPr>
                  <w:rStyle w:val="Hyperlink"/>
                  <w:rFonts w:eastAsiaTheme="minorEastAsia"/>
                </w:rPr>
                <w:t>NG193 Chronic pain (primary and secondary) in over 16s: assessment of all chronic pain and management of chronic primary pain (NICE)</w:t>
              </w:r>
            </w:hyperlink>
          </w:p>
        </w:tc>
      </w:tr>
      <w:tr w:rsidR="00113D9B" w14:paraId="2F64E887" w14:textId="77777777" w:rsidTr="39FEE332">
        <w:tc>
          <w:tcPr>
            <w:tcW w:w="2405" w:type="dxa"/>
          </w:tcPr>
          <w:p w14:paraId="26CC3A7F" w14:textId="3F59DDFA" w:rsidR="00113D9B" w:rsidRDefault="00113D9B" w:rsidP="00113D9B">
            <w:r>
              <w:t>Effective from</w:t>
            </w:r>
          </w:p>
        </w:tc>
        <w:tc>
          <w:tcPr>
            <w:tcW w:w="6611" w:type="dxa"/>
          </w:tcPr>
          <w:p w14:paraId="03ECD2F0" w14:textId="2F4C23EA" w:rsidR="00113D9B" w:rsidRDefault="44D7A1EB" w:rsidP="11F3E19C">
            <w:pPr>
              <w:rPr>
                <w:rFonts w:eastAsiaTheme="minorEastAsia"/>
              </w:rPr>
            </w:pPr>
            <w:r w:rsidRPr="11F3E19C">
              <w:rPr>
                <w:rFonts w:eastAsiaTheme="minorEastAsia"/>
              </w:rPr>
              <w:t>July 2025</w:t>
            </w:r>
          </w:p>
        </w:tc>
      </w:tr>
      <w:tr w:rsidR="00113D9B" w14:paraId="2C1E1213" w14:textId="77777777" w:rsidTr="39FEE332">
        <w:tc>
          <w:tcPr>
            <w:tcW w:w="2405" w:type="dxa"/>
          </w:tcPr>
          <w:p w14:paraId="4D394461" w14:textId="4D85EBE7" w:rsidR="00113D9B" w:rsidRDefault="00113D9B" w:rsidP="00113D9B">
            <w:r>
              <w:t xml:space="preserve">Policy Review Date </w:t>
            </w:r>
          </w:p>
        </w:tc>
        <w:tc>
          <w:tcPr>
            <w:tcW w:w="6611" w:type="dxa"/>
          </w:tcPr>
          <w:p w14:paraId="29012611" w14:textId="38A00E7F" w:rsidR="00113D9B" w:rsidRDefault="2B4E72BF" w:rsidP="11F3E19C">
            <w:pPr>
              <w:rPr>
                <w:rFonts w:eastAsiaTheme="minorEastAsia"/>
              </w:rPr>
            </w:pPr>
            <w:r w:rsidRPr="11F3E19C">
              <w:rPr>
                <w:rFonts w:eastAsiaTheme="minorEastAsia"/>
              </w:rPr>
              <w:t>July2028</w:t>
            </w:r>
          </w:p>
        </w:tc>
      </w:tr>
    </w:tbl>
    <w:p w14:paraId="18EDB3DD" w14:textId="2D395606"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83091" w14:textId="77777777" w:rsidR="000434DA" w:rsidRDefault="000434DA">
      <w:pPr>
        <w:spacing w:after="0" w:line="240" w:lineRule="auto"/>
      </w:pPr>
      <w:r>
        <w:separator/>
      </w:r>
    </w:p>
  </w:endnote>
  <w:endnote w:type="continuationSeparator" w:id="0">
    <w:p w14:paraId="534FF6DD" w14:textId="77777777" w:rsidR="000434DA" w:rsidRDefault="0004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57C5" w14:textId="77777777" w:rsidR="000434DA" w:rsidRDefault="000434DA">
      <w:pPr>
        <w:spacing w:after="0" w:line="240" w:lineRule="auto"/>
      </w:pPr>
      <w:r>
        <w:separator/>
      </w:r>
    </w:p>
  </w:footnote>
  <w:footnote w:type="continuationSeparator" w:id="0">
    <w:p w14:paraId="3AD17289" w14:textId="77777777" w:rsidR="000434DA" w:rsidRDefault="0004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4358"/>
    <w:multiLevelType w:val="hybridMultilevel"/>
    <w:tmpl w:val="A756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197457"/>
    <w:multiLevelType w:val="hybridMultilevel"/>
    <w:tmpl w:val="12C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85019"/>
    <w:multiLevelType w:val="hybridMultilevel"/>
    <w:tmpl w:val="265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2"/>
  </w:num>
  <w:num w:numId="2" w16cid:durableId="1872303278">
    <w:abstractNumId w:val="13"/>
  </w:num>
  <w:num w:numId="3" w16cid:durableId="1147431926">
    <w:abstractNumId w:val="1"/>
  </w:num>
  <w:num w:numId="4" w16cid:durableId="890380511">
    <w:abstractNumId w:val="4"/>
  </w:num>
  <w:num w:numId="5" w16cid:durableId="1585725535">
    <w:abstractNumId w:val="12"/>
  </w:num>
  <w:num w:numId="6" w16cid:durableId="1128164145">
    <w:abstractNumId w:val="8"/>
  </w:num>
  <w:num w:numId="7" w16cid:durableId="1607155194">
    <w:abstractNumId w:val="11"/>
  </w:num>
  <w:num w:numId="8" w16cid:durableId="70854915">
    <w:abstractNumId w:val="3"/>
  </w:num>
  <w:num w:numId="9" w16cid:durableId="1686781628">
    <w:abstractNumId w:val="6"/>
  </w:num>
  <w:num w:numId="10" w16cid:durableId="1966278688">
    <w:abstractNumId w:val="7"/>
  </w:num>
  <w:num w:numId="11" w16cid:durableId="864752626">
    <w:abstractNumId w:val="10"/>
  </w:num>
  <w:num w:numId="12" w16cid:durableId="443887326">
    <w:abstractNumId w:val="5"/>
  </w:num>
  <w:num w:numId="13" w16cid:durableId="814105023">
    <w:abstractNumId w:val="0"/>
  </w:num>
  <w:num w:numId="14" w16cid:durableId="918371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434DA"/>
    <w:rsid w:val="000E104F"/>
    <w:rsid w:val="00113D9B"/>
    <w:rsid w:val="00177C4D"/>
    <w:rsid w:val="001816E6"/>
    <w:rsid w:val="001C7C21"/>
    <w:rsid w:val="00206AA6"/>
    <w:rsid w:val="002D97A4"/>
    <w:rsid w:val="002E2723"/>
    <w:rsid w:val="002F405C"/>
    <w:rsid w:val="00315AA0"/>
    <w:rsid w:val="00321167"/>
    <w:rsid w:val="00330790"/>
    <w:rsid w:val="0034218A"/>
    <w:rsid w:val="003849AF"/>
    <w:rsid w:val="0039492D"/>
    <w:rsid w:val="003E5749"/>
    <w:rsid w:val="004C292B"/>
    <w:rsid w:val="00512157"/>
    <w:rsid w:val="005357F8"/>
    <w:rsid w:val="005565A7"/>
    <w:rsid w:val="005820AB"/>
    <w:rsid w:val="005D51AC"/>
    <w:rsid w:val="005E3ADB"/>
    <w:rsid w:val="005F0F1D"/>
    <w:rsid w:val="00610BAE"/>
    <w:rsid w:val="00656075"/>
    <w:rsid w:val="006E5861"/>
    <w:rsid w:val="00702D52"/>
    <w:rsid w:val="0071328A"/>
    <w:rsid w:val="007606C0"/>
    <w:rsid w:val="00784A20"/>
    <w:rsid w:val="007A1D76"/>
    <w:rsid w:val="0080365B"/>
    <w:rsid w:val="0086083A"/>
    <w:rsid w:val="008637E8"/>
    <w:rsid w:val="0093C44A"/>
    <w:rsid w:val="00946B0C"/>
    <w:rsid w:val="009D48EB"/>
    <w:rsid w:val="009E11A9"/>
    <w:rsid w:val="00A21761"/>
    <w:rsid w:val="00A719FC"/>
    <w:rsid w:val="00A82C90"/>
    <w:rsid w:val="00AA38E1"/>
    <w:rsid w:val="00AE39A5"/>
    <w:rsid w:val="00B672A1"/>
    <w:rsid w:val="00B835D0"/>
    <w:rsid w:val="00B97DAB"/>
    <w:rsid w:val="00BB3672"/>
    <w:rsid w:val="00BC27F1"/>
    <w:rsid w:val="00C524B8"/>
    <w:rsid w:val="00C5358B"/>
    <w:rsid w:val="00C55041"/>
    <w:rsid w:val="00C67777"/>
    <w:rsid w:val="00CA6AFC"/>
    <w:rsid w:val="00D05B5A"/>
    <w:rsid w:val="00D81158"/>
    <w:rsid w:val="00DD4A29"/>
    <w:rsid w:val="00DF00AB"/>
    <w:rsid w:val="00E06429"/>
    <w:rsid w:val="00E17065"/>
    <w:rsid w:val="00E23A5B"/>
    <w:rsid w:val="00E562FF"/>
    <w:rsid w:val="00EB3CFA"/>
    <w:rsid w:val="00ED5143"/>
    <w:rsid w:val="00F012EF"/>
    <w:rsid w:val="00F9067A"/>
    <w:rsid w:val="00FF3EE2"/>
    <w:rsid w:val="00FF6EF3"/>
    <w:rsid w:val="016907A7"/>
    <w:rsid w:val="01A0723A"/>
    <w:rsid w:val="02B3C44F"/>
    <w:rsid w:val="02F938B7"/>
    <w:rsid w:val="053B534F"/>
    <w:rsid w:val="0B6A0C66"/>
    <w:rsid w:val="0DCB6B24"/>
    <w:rsid w:val="0E2289EC"/>
    <w:rsid w:val="0EBCFA57"/>
    <w:rsid w:val="11F3E19C"/>
    <w:rsid w:val="17AECED6"/>
    <w:rsid w:val="19380A18"/>
    <w:rsid w:val="1BC662FA"/>
    <w:rsid w:val="1C8B89BA"/>
    <w:rsid w:val="1CFCFD2C"/>
    <w:rsid w:val="1D7BA3D8"/>
    <w:rsid w:val="1DD6F1EE"/>
    <w:rsid w:val="1EDCB36C"/>
    <w:rsid w:val="1F92CEBE"/>
    <w:rsid w:val="229E4C0C"/>
    <w:rsid w:val="236D715C"/>
    <w:rsid w:val="237966E0"/>
    <w:rsid w:val="24D5FB3E"/>
    <w:rsid w:val="2A602EEE"/>
    <w:rsid w:val="2B4E72BF"/>
    <w:rsid w:val="2B9E4B41"/>
    <w:rsid w:val="2BF356F9"/>
    <w:rsid w:val="311621F0"/>
    <w:rsid w:val="3194BA9C"/>
    <w:rsid w:val="32330BAB"/>
    <w:rsid w:val="34B68F6F"/>
    <w:rsid w:val="389181A6"/>
    <w:rsid w:val="39AA3599"/>
    <w:rsid w:val="39BAF3F0"/>
    <w:rsid w:val="39FEE332"/>
    <w:rsid w:val="3B526FD8"/>
    <w:rsid w:val="3D5464AE"/>
    <w:rsid w:val="3FF48BFB"/>
    <w:rsid w:val="43C81A4B"/>
    <w:rsid w:val="44709B3A"/>
    <w:rsid w:val="44D7A1EB"/>
    <w:rsid w:val="44DFFF9E"/>
    <w:rsid w:val="45497F20"/>
    <w:rsid w:val="484AF79B"/>
    <w:rsid w:val="492132F9"/>
    <w:rsid w:val="4CADA413"/>
    <w:rsid w:val="4D8DD7CD"/>
    <w:rsid w:val="4F9A594B"/>
    <w:rsid w:val="506D4E92"/>
    <w:rsid w:val="509D0A6E"/>
    <w:rsid w:val="52168EF0"/>
    <w:rsid w:val="55C0C886"/>
    <w:rsid w:val="56541B87"/>
    <w:rsid w:val="56FDB0F3"/>
    <w:rsid w:val="5889EC3A"/>
    <w:rsid w:val="5EEF045C"/>
    <w:rsid w:val="60263D1B"/>
    <w:rsid w:val="618E33EE"/>
    <w:rsid w:val="62E581D5"/>
    <w:rsid w:val="63BA8A98"/>
    <w:rsid w:val="6454475A"/>
    <w:rsid w:val="64EE7EAA"/>
    <w:rsid w:val="675A5A50"/>
    <w:rsid w:val="684015C6"/>
    <w:rsid w:val="6B712061"/>
    <w:rsid w:val="6C9951CD"/>
    <w:rsid w:val="6E67E78E"/>
    <w:rsid w:val="72F30E7F"/>
    <w:rsid w:val="76EEFFE2"/>
    <w:rsid w:val="788B39B6"/>
    <w:rsid w:val="79BC8E83"/>
    <w:rsid w:val="7ADC5D01"/>
    <w:rsid w:val="7D588AA7"/>
    <w:rsid w:val="7E0A7EF1"/>
    <w:rsid w:val="7F3030AF"/>
    <w:rsid w:val="7F6C614E"/>
    <w:rsid w:val="7FA2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2F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 w:id="635449598">
      <w:bodyDiv w:val="1"/>
      <w:marLeft w:val="0"/>
      <w:marRight w:val="0"/>
      <w:marTop w:val="0"/>
      <w:marBottom w:val="0"/>
      <w:divBdr>
        <w:top w:val="none" w:sz="0" w:space="0" w:color="auto"/>
        <w:left w:val="none" w:sz="0" w:space="0" w:color="auto"/>
        <w:bottom w:val="none" w:sz="0" w:space="0" w:color="auto"/>
        <w:right w:val="none" w:sz="0" w:space="0" w:color="auto"/>
      </w:divBdr>
    </w:div>
    <w:div w:id="2082871705">
      <w:bodyDiv w:val="1"/>
      <w:marLeft w:val="0"/>
      <w:marRight w:val="0"/>
      <w:marTop w:val="0"/>
      <w:marBottom w:val="0"/>
      <w:divBdr>
        <w:top w:val="none" w:sz="0" w:space="0" w:color="auto"/>
        <w:left w:val="none" w:sz="0" w:space="0" w:color="auto"/>
        <w:bottom w:val="none" w:sz="0" w:space="0" w:color="auto"/>
        <w:right w:val="none" w:sz="0" w:space="0" w:color="auto"/>
      </w:divBdr>
    </w:div>
    <w:div w:id="2097094772">
      <w:bodyDiv w:val="1"/>
      <w:marLeft w:val="0"/>
      <w:marRight w:val="0"/>
      <w:marTop w:val="0"/>
      <w:marBottom w:val="0"/>
      <w:divBdr>
        <w:top w:val="none" w:sz="0" w:space="0" w:color="auto"/>
        <w:left w:val="none" w:sz="0" w:space="0" w:color="auto"/>
        <w:bottom w:val="none" w:sz="0" w:space="0" w:color="auto"/>
        <w:right w:val="none" w:sz="0" w:space="0" w:color="auto"/>
      </w:divBdr>
    </w:div>
    <w:div w:id="2146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nice.org.uk/guidance/NG1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4" ma:contentTypeDescription="Create a new document." ma:contentTypeScope="" ma:versionID="1c80c22be313f6cedacd09506805b8e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4c108e74b334b212211c669f96a83a18"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63B6FB3B-DE82-44DF-9D5E-6E24FC570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EF5E2BB1-B746-425F-8753-9F82113632BA}">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Company>NHS</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3</cp:revision>
  <dcterms:created xsi:type="dcterms:W3CDTF">2025-05-14T08:45:00Z</dcterms:created>
  <dcterms:modified xsi:type="dcterms:W3CDTF">2025-05-15T09:09:00Z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